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E26" w:rsidRDefault="00116D1E" w:rsidP="00940830">
      <w:pPr>
        <w:pStyle w:val="PublicationTitle"/>
      </w:pPr>
      <w:bookmarkStart w:id="0" w:name="_Toc296423677"/>
      <w:bookmarkStart w:id="1" w:name="_Toc296497508"/>
      <w:r>
        <w:rPr>
          <w:noProof/>
          <w:lang w:eastAsia="en-AU"/>
        </w:rPr>
        <w:drawing>
          <wp:anchor distT="0" distB="0" distL="114300" distR="114300" simplePos="0" relativeHeight="251653120" behindDoc="0" locked="0" layoutInCell="1" allowOverlap="1">
            <wp:simplePos x="0" y="0"/>
            <wp:positionH relativeFrom="column">
              <wp:posOffset>1657985</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p w:rsidR="00F624EC" w:rsidRPr="00C93B05" w:rsidRDefault="00F624EC" w:rsidP="00F624EC">
      <w:pPr>
        <w:pStyle w:val="PublicationTitle"/>
        <w:spacing w:before="0" w:after="0"/>
      </w:pPr>
      <w:r w:rsidRPr="00C93B05">
        <w:t xml:space="preserve">Improving participation </w:t>
      </w:r>
    </w:p>
    <w:p w:rsidR="009E231A" w:rsidRPr="00C93B05" w:rsidRDefault="00F624EC" w:rsidP="00F624EC">
      <w:pPr>
        <w:pStyle w:val="PublicationTitle"/>
        <w:spacing w:before="0" w:after="0"/>
      </w:pPr>
      <w:proofErr w:type="gramStart"/>
      <w:r w:rsidRPr="00C93B05">
        <w:t>and</w:t>
      </w:r>
      <w:proofErr w:type="gramEnd"/>
      <w:r w:rsidRPr="00C93B05">
        <w:t xml:space="preserve"> success in VET for disadvantaged learners</w:t>
      </w:r>
      <w:r w:rsidR="00697318" w:rsidRPr="00C93B05">
        <w:t xml:space="preserve">: </w:t>
      </w:r>
      <w:r w:rsidRPr="00C93B05">
        <w:t>regional analysis</w:t>
      </w:r>
      <w:r w:rsidR="00C93B05">
        <w:t xml:space="preserve"> </w:t>
      </w:r>
    </w:p>
    <w:p w:rsidR="00C93B05" w:rsidRDefault="00C93B05" w:rsidP="00697318">
      <w:pPr>
        <w:spacing w:before="0" w:line="240" w:lineRule="auto"/>
        <w:ind w:left="2552" w:right="-1"/>
        <w:rPr>
          <w:rFonts w:ascii="Arial" w:hAnsi="Arial" w:cs="Tahoma"/>
          <w:sz w:val="28"/>
        </w:rPr>
      </w:pPr>
    </w:p>
    <w:p w:rsidR="00C93B05" w:rsidRDefault="00C93B05" w:rsidP="00697318">
      <w:pPr>
        <w:spacing w:before="0" w:line="240" w:lineRule="auto"/>
        <w:ind w:left="2552" w:right="-1"/>
        <w:rPr>
          <w:rFonts w:ascii="Arial" w:hAnsi="Arial" w:cs="Tahoma"/>
          <w:sz w:val="28"/>
        </w:rPr>
      </w:pPr>
    </w:p>
    <w:p w:rsidR="00697318" w:rsidRPr="00A92F9A" w:rsidRDefault="00697318" w:rsidP="00697318">
      <w:pPr>
        <w:spacing w:before="0" w:line="240" w:lineRule="auto"/>
        <w:ind w:left="2552" w:right="-1"/>
        <w:rPr>
          <w:rFonts w:ascii="Arial" w:hAnsi="Arial" w:cs="Tahoma"/>
          <w:sz w:val="28"/>
        </w:rPr>
      </w:pPr>
      <w:r>
        <w:rPr>
          <w:rFonts w:ascii="Arial" w:hAnsi="Arial" w:cs="Tahoma"/>
          <w:sz w:val="28"/>
        </w:rPr>
        <w:t>Centre for International Research on Education Systems</w:t>
      </w:r>
    </w:p>
    <w:p w:rsidR="00697318" w:rsidRPr="00A92F9A" w:rsidRDefault="00697318" w:rsidP="00697318">
      <w:pPr>
        <w:spacing w:before="120" w:line="240" w:lineRule="auto"/>
        <w:ind w:left="2552"/>
        <w:rPr>
          <w:rFonts w:ascii="Arial" w:hAnsi="Arial" w:cs="Tahoma"/>
          <w:sz w:val="24"/>
        </w:rPr>
      </w:pPr>
      <w:r>
        <w:rPr>
          <w:rFonts w:ascii="Arial" w:hAnsi="Arial" w:cs="Tahoma"/>
          <w:sz w:val="24"/>
        </w:rPr>
        <w:t>Victoria University</w:t>
      </w:r>
    </w:p>
    <w:p w:rsidR="000315D7" w:rsidRDefault="000315D7" w:rsidP="00940830">
      <w:pPr>
        <w:pStyle w:val="Organisation"/>
      </w:pPr>
    </w:p>
    <w:p w:rsidR="006C5DA9" w:rsidRPr="006C5DA9" w:rsidRDefault="006C5DA9"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3107B3" w:rsidP="00A9334E">
      <w:pPr>
        <w:pStyle w:val="Text"/>
        <w:ind w:left="2552"/>
      </w:pPr>
      <w:r>
        <w:rPr>
          <w:noProof/>
          <w:lang w:eastAsia="en-AU"/>
        </w:rPr>
        <mc:AlternateContent>
          <mc:Choice Requires="wps">
            <w:drawing>
              <wp:anchor distT="0" distB="0" distL="114300" distR="114300" simplePos="0" relativeHeight="251657216" behindDoc="0" locked="0" layoutInCell="1" allowOverlap="1" wp14:anchorId="20C275C8" wp14:editId="5F2D458F">
                <wp:simplePos x="0" y="0"/>
                <wp:positionH relativeFrom="column">
                  <wp:posOffset>1566725</wp:posOffset>
                </wp:positionH>
                <wp:positionV relativeFrom="margin">
                  <wp:posOffset>5810921</wp:posOffset>
                </wp:positionV>
                <wp:extent cx="3825875" cy="2449902"/>
                <wp:effectExtent l="0" t="0" r="0" b="762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44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B05" w:rsidRDefault="00C93B05" w:rsidP="000C1642">
                            <w:pPr>
                              <w:pStyle w:val="Imprint"/>
                            </w:pPr>
                          </w:p>
                          <w:p w:rsidR="00C93B05" w:rsidRPr="00B57CC9" w:rsidRDefault="00C93B05" w:rsidP="00B57CC9">
                            <w:pPr>
                              <w:pStyle w:val="Text"/>
                              <w:shd w:val="clear" w:color="auto" w:fill="000000" w:themeFill="text1"/>
                            </w:pPr>
                            <w:r w:rsidRPr="000C1642">
                              <w:t xml:space="preserve">This document was produced by the author(s) based on their research for the report </w:t>
                            </w:r>
                            <w:r>
                              <w:rPr>
                                <w:i/>
                              </w:rPr>
                              <w:t>Improving participation and success in VET for disadvantaged learners</w:t>
                            </w:r>
                            <w:r w:rsidRPr="000C1642">
                              <w:t xml:space="preserve">, and is an added resource for further information. The report is available on NCVER’s </w:t>
                            </w:r>
                            <w:r>
                              <w:t>Portal: &lt;</w:t>
                            </w:r>
                            <w:hyperlink r:id="rId10" w:history="1">
                              <w:r w:rsidRPr="00241AFF">
                                <w:rPr>
                                  <w:rStyle w:val="Hyperlink"/>
                                </w:rPr>
                                <w:t>http://www.ncver.edu.au</w:t>
                              </w:r>
                            </w:hyperlink>
                            <w:r>
                              <w:t xml:space="preserve">&gt;.  </w:t>
                            </w:r>
                          </w:p>
                          <w:p w:rsidR="00C93B05" w:rsidRDefault="00C93B05" w:rsidP="000C1642">
                            <w:pPr>
                              <w:pStyle w:val="Imprint"/>
                            </w:pPr>
                          </w:p>
                          <w:p w:rsidR="00C93B05" w:rsidRDefault="00C93B05" w:rsidP="000C1642">
                            <w:pPr>
                              <w:pStyle w:val="Imprint"/>
                            </w:pPr>
                            <w:r>
                              <w:t>The views and opinions expressed in this document are those of the author(s) and do not necessarily reflect the views of the Australian Government, state and territory governments or NCVER. Any errors and omissions are the responsibility of the author(s).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23.35pt;margin-top:457.55pt;width:301.25pt;height:19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XtwIAALs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" filled="f" stroked="f">
                <v:textbox>
                  <w:txbxContent>
                    <w:p w:rsidR="00C93B05" w:rsidRDefault="00C93B05" w:rsidP="000C1642">
                      <w:pPr>
                        <w:pStyle w:val="Imprint"/>
                      </w:pPr>
                    </w:p>
                    <w:p w:rsidR="00C93B05" w:rsidRPr="00B57CC9" w:rsidRDefault="00C93B05" w:rsidP="00B57CC9">
                      <w:pPr>
                        <w:pStyle w:val="Text"/>
                        <w:shd w:val="clear" w:color="auto" w:fill="000000" w:themeFill="text1"/>
                      </w:pPr>
                      <w:r w:rsidRPr="000C1642">
                        <w:t xml:space="preserve">This document was produced by the author(s) based on their research for the report </w:t>
                      </w:r>
                      <w:r>
                        <w:rPr>
                          <w:i/>
                        </w:rPr>
                        <w:t>Improving participation and success in VET for disadvantaged learners</w:t>
                      </w:r>
                      <w:r w:rsidRPr="000C1642">
                        <w:t xml:space="preserve">, and is an added resource for further information. The report is available on NCVER’s </w:t>
                      </w:r>
                      <w:r>
                        <w:t>Portal: &lt;</w:t>
                      </w:r>
                      <w:hyperlink r:id="rId11" w:history="1">
                        <w:r w:rsidRPr="00241AFF">
                          <w:rPr>
                            <w:rStyle w:val="Hyperlink"/>
                          </w:rPr>
                          <w:t>http://www.ncver.edu.au</w:t>
                        </w:r>
                      </w:hyperlink>
                      <w:r>
                        <w:t xml:space="preserve">&gt;.  </w:t>
                      </w:r>
                    </w:p>
                    <w:p w:rsidR="00C93B05" w:rsidRDefault="00C93B05" w:rsidP="000C1642">
                      <w:pPr>
                        <w:pStyle w:val="Imprint"/>
                      </w:pPr>
                    </w:p>
                    <w:p w:rsidR="00C93B05" w:rsidRDefault="00C93B05" w:rsidP="000C1642">
                      <w:pPr>
                        <w:pStyle w:val="Imprint"/>
                      </w:pPr>
                      <w:r>
                        <w:t>The views and opinions expressed in this document are those of the author(s) and do not necessarily reflect the views of the Australian Government, state and territory governments or NCVER. Any errors and omissions are the responsibility of the author(s).</w:t>
                      </w:r>
                    </w:p>
                  </w:txbxContent>
                </v:textbox>
                <w10:wrap anchory="margin"/>
              </v:shape>
            </w:pict>
          </mc:Fallback>
        </mc:AlternateContent>
      </w:r>
    </w:p>
    <w:p w:rsidR="001B43CF" w:rsidRDefault="001B43CF" w:rsidP="00A9334E">
      <w:pPr>
        <w:pStyle w:val="Text"/>
        <w:ind w:left="2552"/>
      </w:pPr>
    </w:p>
    <w:p w:rsidR="00DB599C" w:rsidRDefault="00DB599C" w:rsidP="00A9334E">
      <w:pPr>
        <w:pStyle w:val="Text"/>
        <w:ind w:left="2552"/>
      </w:pPr>
    </w:p>
    <w:p w:rsidR="00DB599C" w:rsidRDefault="00DB599C" w:rsidP="00A9334E">
      <w:pPr>
        <w:pStyle w:val="Text"/>
        <w:ind w:left="2552"/>
      </w:pPr>
    </w:p>
    <w:p w:rsidR="00DB599C" w:rsidRDefault="00DB599C" w:rsidP="00A9334E">
      <w:pPr>
        <w:pStyle w:val="Heading3"/>
        <w:ind w:left="2552" w:right="-1"/>
      </w:pPr>
      <w:r>
        <w:softHyphen/>
      </w:r>
    </w:p>
    <w:p w:rsidR="00177827" w:rsidRDefault="00FE4A2D" w:rsidP="00A9334E">
      <w:pPr>
        <w:pStyle w:val="Heading3"/>
        <w:ind w:left="2552" w:right="-1"/>
      </w:pPr>
      <w:r w:rsidRPr="005C2FCF">
        <w:br w:type="page"/>
      </w:r>
      <w:bookmarkStart w:id="2" w:name="_Toc495748330"/>
      <w:bookmarkStart w:id="3" w:name="_Toc495810630"/>
      <w:bookmarkStart w:id="4" w:name="_Toc6031787"/>
      <w:bookmarkStart w:id="5" w:name="_Toc6031844"/>
    </w:p>
    <w:p w:rsidR="00177827" w:rsidRDefault="00177827" w:rsidP="00874DA5">
      <w:pPr>
        <w:pStyle w:val="Contents"/>
      </w:pPr>
    </w:p>
    <w:p w:rsidR="006A702B" w:rsidRDefault="006A702B" w:rsidP="006A702B">
      <w:pPr>
        <w:pStyle w:val="Heading1"/>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116D1E" w:rsidP="006A702B">
      <w:pPr>
        <w:pStyle w:val="Text"/>
      </w:pPr>
      <w:r>
        <w:rPr>
          <w:noProof/>
          <w:kern w:val="28"/>
          <w:lang w:eastAsia="en-AU"/>
        </w:rPr>
        <mc:AlternateContent>
          <mc:Choice Requires="wps">
            <w:drawing>
              <wp:anchor distT="0" distB="0" distL="114300" distR="114300" simplePos="0" relativeHeight="251659264" behindDoc="0" locked="0" layoutInCell="1" allowOverlap="1" wp14:anchorId="7656ED2E" wp14:editId="7FD5FF42">
                <wp:simplePos x="0" y="0"/>
                <wp:positionH relativeFrom="column">
                  <wp:posOffset>-1833</wp:posOffset>
                </wp:positionH>
                <wp:positionV relativeFrom="margin">
                  <wp:posOffset>4215034</wp:posOffset>
                </wp:positionV>
                <wp:extent cx="5682615" cy="5141344"/>
                <wp:effectExtent l="0" t="0" r="0" b="254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5141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B05" w:rsidRPr="00A021FC" w:rsidRDefault="00C93B05" w:rsidP="00C93B05">
                            <w:pPr>
                              <w:pStyle w:val="Imprint"/>
                              <w:rPr>
                                <w:b/>
                              </w:rPr>
                            </w:pPr>
                            <w:r w:rsidRPr="00A021FC">
                              <w:rPr>
                                <w:b/>
                              </w:rPr>
                              <w:t xml:space="preserve">© </w:t>
                            </w:r>
                            <w:r w:rsidRPr="005679F2">
                              <w:rPr>
                                <w:b/>
                              </w:rPr>
                              <w:t>Commonwealth of Australia</w:t>
                            </w:r>
                            <w:r>
                              <w:rPr>
                                <w:b/>
                              </w:rPr>
                              <w:t>, 2018</w:t>
                            </w:r>
                          </w:p>
                          <w:p w:rsidR="00C93B05" w:rsidRDefault="00C93B05" w:rsidP="00C93B05">
                            <w:pPr>
                              <w:pStyle w:val="Imprint"/>
                              <w:rPr>
                                <w:sz w:val="20"/>
                              </w:rPr>
                            </w:pPr>
                            <w:r w:rsidRPr="00E80270">
                              <w:rPr>
                                <w:noProof/>
                                <w:sz w:val="20"/>
                                <w:lang w:eastAsia="en-AU"/>
                              </w:rPr>
                              <w:drawing>
                                <wp:inline distT="0" distB="0" distL="0" distR="0" wp14:anchorId="641E63E9" wp14:editId="7CEBC047">
                                  <wp:extent cx="850265" cy="302895"/>
                                  <wp:effectExtent l="19050" t="0" r="6985" b="0"/>
                                  <wp:docPr id="16"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C93B05" w:rsidRDefault="00C93B05" w:rsidP="00C93B05">
                            <w:pPr>
                              <w:pStyle w:val="Imprint"/>
                            </w:pPr>
                            <w:r w:rsidRPr="001D321A">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C93B05" w:rsidRPr="001D321A" w:rsidRDefault="00C93B05" w:rsidP="00C93B05">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rsidR="00C93B05" w:rsidRDefault="00C93B05" w:rsidP="00C93B05">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rsidR="00C93B05" w:rsidRPr="00A021FC" w:rsidRDefault="00C93B05" w:rsidP="00C93B05">
                            <w:pPr>
                              <w:pStyle w:val="Imprint"/>
                            </w:pPr>
                            <w:r w:rsidRPr="00A021FC">
                              <w:t>Thi</w:t>
                            </w:r>
                            <w:r>
                              <w:t xml:space="preserve">s document should be attributed </w:t>
                            </w:r>
                            <w:r w:rsidRPr="00A021FC">
                              <w:t xml:space="preserve">as </w:t>
                            </w:r>
                            <w:r>
                              <w:t>Centre for International Research on Education Systems 2018</w:t>
                            </w:r>
                            <w:r w:rsidRPr="00C25C12">
                              <w:t xml:space="preserve">, </w:t>
                            </w:r>
                            <w:r w:rsidRPr="00C25C12">
                              <w:rPr>
                                <w:i/>
                              </w:rPr>
                              <w:t xml:space="preserve">Support Document: </w:t>
                            </w:r>
                            <w:r>
                              <w:rPr>
                                <w:i/>
                              </w:rPr>
                              <w:t>Improving participation and success in VET for disadvantaged learners — regional analysis</w:t>
                            </w:r>
                            <w:r w:rsidRPr="00C25C12">
                              <w:rPr>
                                <w:i/>
                              </w:rPr>
                              <w:t xml:space="preserve">, </w:t>
                            </w:r>
                            <w:r w:rsidRPr="00C25C12">
                              <w:t>NCVER, Adelaide.</w:t>
                            </w:r>
                            <w:r>
                              <w:t xml:space="preserve"> </w:t>
                            </w:r>
                          </w:p>
                          <w:p w:rsidR="00C93B05" w:rsidRPr="001D321A" w:rsidRDefault="00C93B05" w:rsidP="00C93B05">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 xml:space="preserve">Department of Education and Training. </w:t>
                            </w:r>
                          </w:p>
                          <w:p w:rsidR="00C93B05" w:rsidRPr="00D42A61" w:rsidRDefault="00C93B05" w:rsidP="00C93B05">
                            <w:pPr>
                              <w:pStyle w:val="Imprint"/>
                              <w:rPr>
                                <w:color w:val="000000"/>
                              </w:rPr>
                            </w:pPr>
                            <w:r w:rsidRPr="00D42A61">
                              <w:rPr>
                                <w:color w:val="000000"/>
                              </w:rPr>
                              <w:t>Published by NCVER, ABN 87 007 967 311</w:t>
                            </w:r>
                          </w:p>
                          <w:p w:rsidR="00C93B05" w:rsidRPr="00D42A61" w:rsidRDefault="00C93B05" w:rsidP="00C93B05">
                            <w:pPr>
                              <w:pStyle w:val="Imprint"/>
                              <w:rPr>
                                <w:color w:val="000000"/>
                              </w:rPr>
                            </w:pPr>
                            <w:r w:rsidRPr="00D42A61">
                              <w:rPr>
                                <w:color w:val="000000"/>
                              </w:rPr>
                              <w:t xml:space="preserve">Level </w:t>
                            </w:r>
                            <w:r>
                              <w:rPr>
                                <w:color w:val="000000"/>
                              </w:rPr>
                              <w:t>5, 60 Light Square</w:t>
                            </w:r>
                            <w:r w:rsidRPr="00D42A61">
                              <w:rPr>
                                <w:color w:val="000000"/>
                              </w:rPr>
                              <w:t>, Adelaide, SA 5000</w:t>
                            </w:r>
                            <w:r w:rsidRPr="00D42A61">
                              <w:rPr>
                                <w:color w:val="000000"/>
                              </w:rPr>
                              <w:br/>
                              <w:t>PO Box 8288 Station Arcade, Adelaide SA 5000, Australia</w:t>
                            </w:r>
                          </w:p>
                          <w:p w:rsidR="00C93B05" w:rsidRDefault="00C93B05" w:rsidP="00C93B05">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3" w:history="1">
                              <w:r w:rsidRPr="00D42A61">
                                <w:rPr>
                                  <w:rStyle w:val="Hyperlink"/>
                                </w:rPr>
                                <w:t>ncver@ncver.edu.au</w:t>
                              </w:r>
                            </w:hyperlink>
                            <w:r w:rsidRPr="00D42A61">
                              <w:rPr>
                                <w:color w:val="000000"/>
                              </w:rPr>
                              <w:t xml:space="preserve">     </w:t>
                            </w:r>
                          </w:p>
                          <w:p w:rsidR="00C93B05" w:rsidRPr="00D42A61" w:rsidRDefault="00C93B05" w:rsidP="00C93B05">
                            <w:pPr>
                              <w:pStyle w:val="Imprint"/>
                              <w:rPr>
                                <w:color w:val="000000"/>
                              </w:rPr>
                            </w:pPr>
                            <w:r w:rsidRPr="00D42A61">
                              <w:rPr>
                                <w:b/>
                                <w:color w:val="000000"/>
                              </w:rPr>
                              <w:t>Web</w:t>
                            </w:r>
                            <w:r w:rsidRPr="00D42A61">
                              <w:rPr>
                                <w:color w:val="000000"/>
                              </w:rPr>
                              <w:t xml:space="preserve"> &lt;http</w:t>
                            </w:r>
                            <w:r>
                              <w:rPr>
                                <w:color w:val="000000"/>
                              </w:rPr>
                              <w:t>s://www.ncver.edu.au&gt;</w:t>
                            </w:r>
                            <w:r w:rsidRPr="00D42A61">
                              <w:rPr>
                                <w:color w:val="000000"/>
                              </w:rPr>
                              <w:t xml:space="preserve"> </w:t>
                            </w:r>
                          </w:p>
                          <w:p w:rsidR="00C93B05" w:rsidRPr="00D42A61" w:rsidRDefault="00C93B05" w:rsidP="00C93B05">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7B3C4D70" wp14:editId="5373C63C">
                                  <wp:extent cx="1238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1B88D214" wp14:editId="6AEFFA6B">
                                  <wp:extent cx="133350"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rsidR="00C93B05" w:rsidRPr="00D42A61" w:rsidRDefault="00C93B05" w:rsidP="00C93B05">
                            <w:pPr>
                              <w:pStyle w:val="Imprint"/>
                            </w:pPr>
                          </w:p>
                          <w:p w:rsidR="00C93B05" w:rsidRDefault="00C93B05" w:rsidP="00233C8D"/>
                          <w:p w:rsidR="00C93B05" w:rsidRPr="00D42A61" w:rsidRDefault="00C93B05" w:rsidP="00D42A61">
                            <w:pPr>
                              <w:pStyle w:val="Imprint"/>
                            </w:pPr>
                          </w:p>
                          <w:p w:rsidR="00C93B05" w:rsidRPr="006A702B" w:rsidRDefault="00C93B05"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5pt;margin-top:331.9pt;width:447.45pt;height:40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3aEuQ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" filled="f" stroked="f">
                <v:textbox>
                  <w:txbxContent>
                    <w:p w:rsidR="00C93B05" w:rsidRPr="00A021FC" w:rsidRDefault="00C93B05" w:rsidP="00C93B05">
                      <w:pPr>
                        <w:pStyle w:val="Imprint"/>
                        <w:rPr>
                          <w:b/>
                        </w:rPr>
                      </w:pPr>
                      <w:r w:rsidRPr="00A021FC">
                        <w:rPr>
                          <w:b/>
                        </w:rPr>
                        <w:t xml:space="preserve">© </w:t>
                      </w:r>
                      <w:r w:rsidRPr="005679F2">
                        <w:rPr>
                          <w:b/>
                        </w:rPr>
                        <w:t>Commonwealth of Australia</w:t>
                      </w:r>
                      <w:r>
                        <w:rPr>
                          <w:b/>
                        </w:rPr>
                        <w:t>, 2018</w:t>
                      </w:r>
                    </w:p>
                    <w:p w:rsidR="00C93B05" w:rsidRDefault="00C93B05" w:rsidP="00C93B05">
                      <w:pPr>
                        <w:pStyle w:val="Imprint"/>
                        <w:rPr>
                          <w:sz w:val="20"/>
                        </w:rPr>
                      </w:pPr>
                      <w:r w:rsidRPr="00E80270">
                        <w:rPr>
                          <w:noProof/>
                          <w:sz w:val="20"/>
                          <w:lang w:eastAsia="en-AU"/>
                        </w:rPr>
                        <w:drawing>
                          <wp:inline distT="0" distB="0" distL="0" distR="0" wp14:anchorId="641E63E9" wp14:editId="7CEBC047">
                            <wp:extent cx="850265" cy="302895"/>
                            <wp:effectExtent l="19050" t="0" r="6985" b="0"/>
                            <wp:docPr id="16"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C93B05" w:rsidRDefault="00C93B05" w:rsidP="00C93B05">
                      <w:pPr>
                        <w:pStyle w:val="Imprint"/>
                      </w:pPr>
                      <w:r w:rsidRPr="001D321A">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C93B05" w:rsidRPr="001D321A" w:rsidRDefault="00C93B05" w:rsidP="00C93B05">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rsidR="00C93B05" w:rsidRDefault="00C93B05" w:rsidP="00C93B05">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rsidR="00C93B05" w:rsidRPr="00A021FC" w:rsidRDefault="00C93B05" w:rsidP="00C93B05">
                      <w:pPr>
                        <w:pStyle w:val="Imprint"/>
                      </w:pPr>
                      <w:r w:rsidRPr="00A021FC">
                        <w:t>Thi</w:t>
                      </w:r>
                      <w:r>
                        <w:t xml:space="preserve">s document should be attributed </w:t>
                      </w:r>
                      <w:r w:rsidRPr="00A021FC">
                        <w:t xml:space="preserve">as </w:t>
                      </w:r>
                      <w:r>
                        <w:t>Centre for International Research on Education Systems 2018</w:t>
                      </w:r>
                      <w:r w:rsidRPr="00C25C12">
                        <w:t xml:space="preserve">, </w:t>
                      </w:r>
                      <w:r w:rsidRPr="00C25C12">
                        <w:rPr>
                          <w:i/>
                        </w:rPr>
                        <w:t xml:space="preserve">Support Document: </w:t>
                      </w:r>
                      <w:r>
                        <w:rPr>
                          <w:i/>
                        </w:rPr>
                        <w:t>Improving participation and success in VET for disadvantaged learners — regional analysis</w:t>
                      </w:r>
                      <w:r w:rsidRPr="00C25C12">
                        <w:rPr>
                          <w:i/>
                        </w:rPr>
                        <w:t xml:space="preserve">, </w:t>
                      </w:r>
                      <w:r w:rsidRPr="00C25C12">
                        <w:t>NCVER, Adelaide.</w:t>
                      </w:r>
                      <w:r>
                        <w:t xml:space="preserve"> </w:t>
                      </w:r>
                    </w:p>
                    <w:p w:rsidR="00C93B05" w:rsidRPr="001D321A" w:rsidRDefault="00C93B05" w:rsidP="00C93B05">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 xml:space="preserve">Department of Education and Training. </w:t>
                      </w:r>
                    </w:p>
                    <w:p w:rsidR="00C93B05" w:rsidRPr="00D42A61" w:rsidRDefault="00C93B05" w:rsidP="00C93B05">
                      <w:pPr>
                        <w:pStyle w:val="Imprint"/>
                        <w:rPr>
                          <w:color w:val="000000"/>
                        </w:rPr>
                      </w:pPr>
                      <w:r w:rsidRPr="00D42A61">
                        <w:rPr>
                          <w:color w:val="000000"/>
                        </w:rPr>
                        <w:t>Published by NCVER, ABN 87 007 967 311</w:t>
                      </w:r>
                    </w:p>
                    <w:p w:rsidR="00C93B05" w:rsidRPr="00D42A61" w:rsidRDefault="00C93B05" w:rsidP="00C93B05">
                      <w:pPr>
                        <w:pStyle w:val="Imprint"/>
                        <w:rPr>
                          <w:color w:val="000000"/>
                        </w:rPr>
                      </w:pPr>
                      <w:r w:rsidRPr="00D42A61">
                        <w:rPr>
                          <w:color w:val="000000"/>
                        </w:rPr>
                        <w:t xml:space="preserve">Level </w:t>
                      </w:r>
                      <w:r>
                        <w:rPr>
                          <w:color w:val="000000"/>
                        </w:rPr>
                        <w:t>5, 60 Light Square</w:t>
                      </w:r>
                      <w:r w:rsidRPr="00D42A61">
                        <w:rPr>
                          <w:color w:val="000000"/>
                        </w:rPr>
                        <w:t>, Adelaide, SA 5000</w:t>
                      </w:r>
                      <w:r w:rsidRPr="00D42A61">
                        <w:rPr>
                          <w:color w:val="000000"/>
                        </w:rPr>
                        <w:br/>
                        <w:t>PO Box 8288 Station Arcade, Adelaide SA 5000, Australia</w:t>
                      </w:r>
                    </w:p>
                    <w:p w:rsidR="00C93B05" w:rsidRDefault="00C93B05" w:rsidP="00C93B05">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6" w:history="1">
                        <w:r w:rsidRPr="00D42A61">
                          <w:rPr>
                            <w:rStyle w:val="Hyperlink"/>
                          </w:rPr>
                          <w:t>ncver@ncver.edu.au</w:t>
                        </w:r>
                      </w:hyperlink>
                      <w:r w:rsidRPr="00D42A61">
                        <w:rPr>
                          <w:color w:val="000000"/>
                        </w:rPr>
                        <w:t xml:space="preserve">     </w:t>
                      </w:r>
                    </w:p>
                    <w:p w:rsidR="00C93B05" w:rsidRPr="00D42A61" w:rsidRDefault="00C93B05" w:rsidP="00C93B05">
                      <w:pPr>
                        <w:pStyle w:val="Imprint"/>
                        <w:rPr>
                          <w:color w:val="000000"/>
                        </w:rPr>
                      </w:pPr>
                      <w:r w:rsidRPr="00D42A61">
                        <w:rPr>
                          <w:b/>
                          <w:color w:val="000000"/>
                        </w:rPr>
                        <w:t>Web</w:t>
                      </w:r>
                      <w:r w:rsidRPr="00D42A61">
                        <w:rPr>
                          <w:color w:val="000000"/>
                        </w:rPr>
                        <w:t xml:space="preserve"> &lt;http</w:t>
                      </w:r>
                      <w:r>
                        <w:rPr>
                          <w:color w:val="000000"/>
                        </w:rPr>
                        <w:t>s://www.ncver.edu.au&gt;</w:t>
                      </w:r>
                      <w:r w:rsidRPr="00D42A61">
                        <w:rPr>
                          <w:color w:val="000000"/>
                        </w:rPr>
                        <w:t xml:space="preserve"> </w:t>
                      </w:r>
                    </w:p>
                    <w:p w:rsidR="00C93B05" w:rsidRPr="00D42A61" w:rsidRDefault="00C93B05" w:rsidP="00C93B05">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7B3C4D70" wp14:editId="5373C63C">
                            <wp:extent cx="1238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1B88D214" wp14:editId="6AEFFA6B">
                            <wp:extent cx="133350"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rsidR="00C93B05" w:rsidRPr="00D42A61" w:rsidRDefault="00C93B05" w:rsidP="00C93B05">
                      <w:pPr>
                        <w:pStyle w:val="Imprint"/>
                      </w:pPr>
                    </w:p>
                    <w:p w:rsidR="00C93B05" w:rsidRDefault="00C93B05" w:rsidP="00233C8D"/>
                    <w:p w:rsidR="00C93B05" w:rsidRPr="00D42A61" w:rsidRDefault="00C93B05" w:rsidP="00D42A61">
                      <w:pPr>
                        <w:pStyle w:val="Imprint"/>
                      </w:pPr>
                    </w:p>
                    <w:p w:rsidR="00C93B05" w:rsidRPr="006A702B" w:rsidRDefault="00C93B05" w:rsidP="00233C8D"/>
                  </w:txbxContent>
                </v:textbox>
                <w10:wrap anchory="margin"/>
              </v:shape>
            </w:pict>
          </mc:Fallback>
        </mc:AlternateContent>
      </w:r>
    </w:p>
    <w:p w:rsidR="006A702B" w:rsidRDefault="006A702B" w:rsidP="006A702B">
      <w:pPr>
        <w:pStyle w:val="Text"/>
      </w:pPr>
    </w:p>
    <w:p w:rsidR="006A702B" w:rsidRDefault="006A702B" w:rsidP="006A702B">
      <w:pPr>
        <w:pStyle w:val="Text"/>
      </w:pPr>
    </w:p>
    <w:p w:rsidR="006A702B" w:rsidRDefault="006A702B" w:rsidP="006A702B">
      <w:pPr>
        <w:pStyle w:val="Text"/>
      </w:pPr>
    </w:p>
    <w:p w:rsidR="00177827" w:rsidRDefault="00177827" w:rsidP="00874DA5">
      <w:pPr>
        <w:pStyle w:val="Contents"/>
      </w:pPr>
    </w:p>
    <w:p w:rsidR="00D42A61" w:rsidRDefault="00D42A61" w:rsidP="00874DA5">
      <w:pPr>
        <w:pStyle w:val="Contents"/>
      </w:pPr>
    </w:p>
    <w:p w:rsidR="00D42A61" w:rsidRDefault="00D42A61" w:rsidP="00874DA5">
      <w:pPr>
        <w:pStyle w:val="Contents"/>
        <w:sectPr w:rsidR="00D42A61" w:rsidSect="00177827">
          <w:footerReference w:type="default" r:id="rId17"/>
          <w:type w:val="continuous"/>
          <w:pgSz w:w="11907" w:h="16840" w:code="9"/>
          <w:pgMar w:top="1418" w:right="1701" w:bottom="1134" w:left="1418" w:header="709" w:footer="556" w:gutter="0"/>
          <w:cols w:space="708" w:equalWidth="0">
            <w:col w:w="8788"/>
          </w:cols>
          <w:docGrid w:linePitch="360"/>
        </w:sectPr>
      </w:pPr>
    </w:p>
    <w:p w:rsidR="009E231A" w:rsidRPr="00DC5F5C" w:rsidRDefault="00FE4A2D" w:rsidP="00874DA5">
      <w:pPr>
        <w:pStyle w:val="Contents"/>
      </w:pPr>
      <w:bookmarkStart w:id="6" w:name="_Toc98394880"/>
      <w:bookmarkStart w:id="7" w:name="_Toc296423683"/>
      <w:bookmarkStart w:id="8" w:name="_Toc296497514"/>
      <w:r w:rsidRPr="00DC5F5C">
        <w:lastRenderedPageBreak/>
        <w:t>Contents</w:t>
      </w:r>
      <w:bookmarkEnd w:id="6"/>
      <w:bookmarkEnd w:id="7"/>
      <w:bookmarkEnd w:id="8"/>
    </w:p>
    <w:p w:rsidR="004574C7" w:rsidRDefault="00E110EA">
      <w:pPr>
        <w:pStyle w:val="TOC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4574C7">
        <w:t>Tables and figures</w:t>
      </w:r>
      <w:r w:rsidR="004574C7">
        <w:tab/>
      </w:r>
      <w:r w:rsidR="004574C7">
        <w:fldChar w:fldCharType="begin"/>
      </w:r>
      <w:r w:rsidR="004574C7">
        <w:instrText xml:space="preserve"> PAGEREF _Toc498936336 \h </w:instrText>
      </w:r>
      <w:r w:rsidR="004574C7">
        <w:fldChar w:fldCharType="separate"/>
      </w:r>
      <w:r w:rsidR="004574C7">
        <w:t>4</w:t>
      </w:r>
      <w:r w:rsidR="004574C7">
        <w:fldChar w:fldCharType="end"/>
      </w:r>
    </w:p>
    <w:p w:rsidR="004574C7" w:rsidRDefault="004574C7">
      <w:pPr>
        <w:pStyle w:val="TOC1"/>
        <w:rPr>
          <w:rFonts w:asciiTheme="minorHAnsi" w:eastAsiaTheme="minorEastAsia" w:hAnsiTheme="minorHAnsi" w:cstheme="minorBidi"/>
          <w:color w:val="auto"/>
          <w:sz w:val="22"/>
          <w:szCs w:val="22"/>
          <w:lang w:eastAsia="en-AU"/>
        </w:rPr>
      </w:pPr>
      <w:r>
        <w:t>Introduction</w:t>
      </w:r>
      <w:r>
        <w:tab/>
      </w:r>
      <w:r>
        <w:fldChar w:fldCharType="begin"/>
      </w:r>
      <w:r>
        <w:instrText xml:space="preserve"> PAGEREF _Toc498936339 \h </w:instrText>
      </w:r>
      <w:r>
        <w:fldChar w:fldCharType="separate"/>
      </w:r>
      <w:r>
        <w:t>5</w:t>
      </w:r>
      <w:r>
        <w:fldChar w:fldCharType="end"/>
      </w:r>
    </w:p>
    <w:p w:rsidR="004574C7" w:rsidRDefault="004574C7">
      <w:pPr>
        <w:pStyle w:val="TOC2"/>
        <w:rPr>
          <w:rFonts w:asciiTheme="minorHAnsi" w:eastAsiaTheme="minorEastAsia" w:hAnsiTheme="minorHAnsi" w:cstheme="minorBidi"/>
          <w:color w:val="auto"/>
          <w:sz w:val="22"/>
          <w:szCs w:val="22"/>
          <w:lang w:eastAsia="en-AU"/>
        </w:rPr>
      </w:pPr>
      <w:r>
        <w:t>Aims and approach</w:t>
      </w:r>
      <w:r>
        <w:tab/>
      </w:r>
      <w:r>
        <w:fldChar w:fldCharType="begin"/>
      </w:r>
      <w:r>
        <w:instrText xml:space="preserve"> PAGEREF _Toc498936340 \h </w:instrText>
      </w:r>
      <w:r>
        <w:fldChar w:fldCharType="separate"/>
      </w:r>
      <w:r>
        <w:t>5</w:t>
      </w:r>
      <w:r>
        <w:fldChar w:fldCharType="end"/>
      </w:r>
    </w:p>
    <w:p w:rsidR="004574C7" w:rsidRDefault="004574C7">
      <w:pPr>
        <w:pStyle w:val="TOC2"/>
        <w:rPr>
          <w:rFonts w:asciiTheme="minorHAnsi" w:eastAsiaTheme="minorEastAsia" w:hAnsiTheme="minorHAnsi" w:cstheme="minorBidi"/>
          <w:color w:val="auto"/>
          <w:sz w:val="22"/>
          <w:szCs w:val="22"/>
          <w:lang w:eastAsia="en-AU"/>
        </w:rPr>
      </w:pPr>
      <w:r>
        <w:t>Framework and definitions</w:t>
      </w:r>
      <w:r>
        <w:tab/>
      </w:r>
      <w:r>
        <w:fldChar w:fldCharType="begin"/>
      </w:r>
      <w:r>
        <w:instrText xml:space="preserve"> PAGEREF _Toc498936341 \h </w:instrText>
      </w:r>
      <w:r>
        <w:fldChar w:fldCharType="separate"/>
      </w:r>
      <w:r>
        <w:t>6</w:t>
      </w:r>
      <w:r>
        <w:fldChar w:fldCharType="end"/>
      </w:r>
    </w:p>
    <w:p w:rsidR="004574C7" w:rsidRDefault="004574C7">
      <w:pPr>
        <w:pStyle w:val="TOC2"/>
        <w:rPr>
          <w:rFonts w:asciiTheme="minorHAnsi" w:eastAsiaTheme="minorEastAsia" w:hAnsiTheme="minorHAnsi" w:cstheme="minorBidi"/>
          <w:color w:val="auto"/>
          <w:sz w:val="22"/>
          <w:szCs w:val="22"/>
          <w:lang w:eastAsia="en-AU"/>
        </w:rPr>
      </w:pPr>
      <w:r>
        <w:t>Regional framework</w:t>
      </w:r>
      <w:r>
        <w:tab/>
      </w:r>
      <w:r>
        <w:fldChar w:fldCharType="begin"/>
      </w:r>
      <w:r>
        <w:instrText xml:space="preserve"> PAGEREF _Toc498936342 \h </w:instrText>
      </w:r>
      <w:r>
        <w:fldChar w:fldCharType="separate"/>
      </w:r>
      <w:r>
        <w:t>7</w:t>
      </w:r>
      <w:r>
        <w:fldChar w:fldCharType="end"/>
      </w:r>
    </w:p>
    <w:p w:rsidR="004574C7" w:rsidRDefault="004574C7">
      <w:pPr>
        <w:pStyle w:val="TOC1"/>
        <w:rPr>
          <w:rFonts w:asciiTheme="minorHAnsi" w:eastAsiaTheme="minorEastAsia" w:hAnsiTheme="minorHAnsi" w:cstheme="minorBidi"/>
          <w:color w:val="auto"/>
          <w:sz w:val="22"/>
          <w:szCs w:val="22"/>
          <w:lang w:eastAsia="en-AU"/>
        </w:rPr>
      </w:pPr>
      <w:r>
        <w:t>Regional VET participation rates</w:t>
      </w:r>
      <w:r>
        <w:tab/>
      </w:r>
      <w:r>
        <w:fldChar w:fldCharType="begin"/>
      </w:r>
      <w:r>
        <w:instrText xml:space="preserve"> PAGEREF _Toc498936343 \h </w:instrText>
      </w:r>
      <w:r>
        <w:fldChar w:fldCharType="separate"/>
      </w:r>
      <w:r>
        <w:t>9</w:t>
      </w:r>
      <w:r>
        <w:fldChar w:fldCharType="end"/>
      </w:r>
    </w:p>
    <w:p w:rsidR="004574C7" w:rsidRDefault="004574C7">
      <w:pPr>
        <w:pStyle w:val="TOC2"/>
        <w:rPr>
          <w:rFonts w:asciiTheme="minorHAnsi" w:eastAsiaTheme="minorEastAsia" w:hAnsiTheme="minorHAnsi" w:cstheme="minorBidi"/>
          <w:color w:val="auto"/>
          <w:sz w:val="22"/>
          <w:szCs w:val="22"/>
          <w:lang w:eastAsia="en-AU"/>
        </w:rPr>
      </w:pPr>
      <w:r>
        <w:t>Deriving VET student counts</w:t>
      </w:r>
      <w:r>
        <w:tab/>
      </w:r>
      <w:r>
        <w:fldChar w:fldCharType="begin"/>
      </w:r>
      <w:r>
        <w:instrText xml:space="preserve"> PAGEREF _Toc498936344 \h </w:instrText>
      </w:r>
      <w:r>
        <w:fldChar w:fldCharType="separate"/>
      </w:r>
      <w:r>
        <w:t>9</w:t>
      </w:r>
      <w:r>
        <w:fldChar w:fldCharType="end"/>
      </w:r>
    </w:p>
    <w:p w:rsidR="004574C7" w:rsidRDefault="004574C7">
      <w:pPr>
        <w:pStyle w:val="TOC2"/>
        <w:rPr>
          <w:rFonts w:asciiTheme="minorHAnsi" w:eastAsiaTheme="minorEastAsia" w:hAnsiTheme="minorHAnsi" w:cstheme="minorBidi"/>
          <w:color w:val="auto"/>
          <w:sz w:val="22"/>
          <w:szCs w:val="22"/>
          <w:lang w:eastAsia="en-AU"/>
        </w:rPr>
      </w:pPr>
      <w:r>
        <w:t>Deriving population counts</w:t>
      </w:r>
      <w:r>
        <w:tab/>
      </w:r>
      <w:r>
        <w:fldChar w:fldCharType="begin"/>
      </w:r>
      <w:r>
        <w:instrText xml:space="preserve"> PAGEREF _Toc498936345 \h </w:instrText>
      </w:r>
      <w:r>
        <w:fldChar w:fldCharType="separate"/>
      </w:r>
      <w:r>
        <w:t>10</w:t>
      </w:r>
      <w:r>
        <w:fldChar w:fldCharType="end"/>
      </w:r>
    </w:p>
    <w:p w:rsidR="004574C7" w:rsidRDefault="004574C7">
      <w:pPr>
        <w:pStyle w:val="TOC2"/>
        <w:rPr>
          <w:rFonts w:asciiTheme="minorHAnsi" w:eastAsiaTheme="minorEastAsia" w:hAnsiTheme="minorHAnsi" w:cstheme="minorBidi"/>
          <w:color w:val="auto"/>
          <w:sz w:val="22"/>
          <w:szCs w:val="22"/>
          <w:lang w:eastAsia="en-AU"/>
        </w:rPr>
      </w:pPr>
      <w:r>
        <w:t>Variations in regional VET participation</w:t>
      </w:r>
      <w:r>
        <w:tab/>
      </w:r>
      <w:r>
        <w:fldChar w:fldCharType="begin"/>
      </w:r>
      <w:r>
        <w:instrText xml:space="preserve"> PAGEREF _Toc498936346 \h </w:instrText>
      </w:r>
      <w:r>
        <w:fldChar w:fldCharType="separate"/>
      </w:r>
      <w:r>
        <w:t>11</w:t>
      </w:r>
      <w:r>
        <w:fldChar w:fldCharType="end"/>
      </w:r>
    </w:p>
    <w:p w:rsidR="004574C7" w:rsidRDefault="004574C7">
      <w:pPr>
        <w:pStyle w:val="TOC2"/>
        <w:rPr>
          <w:rFonts w:asciiTheme="minorHAnsi" w:eastAsiaTheme="minorEastAsia" w:hAnsiTheme="minorHAnsi" w:cstheme="minorBidi"/>
          <w:color w:val="auto"/>
          <w:sz w:val="22"/>
          <w:szCs w:val="22"/>
          <w:lang w:eastAsia="en-AU"/>
        </w:rPr>
      </w:pPr>
      <w:r>
        <w:t>Regional VET participation and provision</w:t>
      </w:r>
      <w:r>
        <w:tab/>
      </w:r>
      <w:r>
        <w:fldChar w:fldCharType="begin"/>
      </w:r>
      <w:r>
        <w:instrText xml:space="preserve"> PAGEREF _Toc498936347 \h </w:instrText>
      </w:r>
      <w:r>
        <w:fldChar w:fldCharType="separate"/>
      </w:r>
      <w:r>
        <w:t>13</w:t>
      </w:r>
      <w:r>
        <w:fldChar w:fldCharType="end"/>
      </w:r>
    </w:p>
    <w:p w:rsidR="004574C7" w:rsidRDefault="004574C7">
      <w:pPr>
        <w:pStyle w:val="TOC2"/>
        <w:rPr>
          <w:rFonts w:asciiTheme="minorHAnsi" w:eastAsiaTheme="minorEastAsia" w:hAnsiTheme="minorHAnsi" w:cstheme="minorBidi"/>
          <w:color w:val="auto"/>
          <w:sz w:val="22"/>
          <w:szCs w:val="22"/>
          <w:lang w:eastAsia="en-AU"/>
        </w:rPr>
      </w:pPr>
      <w:r>
        <w:t>Regional VET participation and student experiences and outcomes</w:t>
      </w:r>
      <w:r>
        <w:tab/>
      </w:r>
      <w:r>
        <w:fldChar w:fldCharType="begin"/>
      </w:r>
      <w:r>
        <w:instrText xml:space="preserve"> PAGEREF _Toc498936348 \h </w:instrText>
      </w:r>
      <w:r>
        <w:fldChar w:fldCharType="separate"/>
      </w:r>
      <w:r>
        <w:t>15</w:t>
      </w:r>
      <w:r>
        <w:fldChar w:fldCharType="end"/>
      </w:r>
    </w:p>
    <w:p w:rsidR="004574C7" w:rsidRDefault="004574C7">
      <w:pPr>
        <w:pStyle w:val="TOC1"/>
        <w:rPr>
          <w:rFonts w:asciiTheme="minorHAnsi" w:eastAsiaTheme="minorEastAsia" w:hAnsiTheme="minorHAnsi" w:cstheme="minorBidi"/>
          <w:color w:val="auto"/>
          <w:sz w:val="22"/>
          <w:szCs w:val="22"/>
          <w:lang w:eastAsia="en-AU"/>
        </w:rPr>
      </w:pPr>
      <w:r>
        <w:t>Regional VET completion rates</w:t>
      </w:r>
      <w:r>
        <w:tab/>
      </w:r>
      <w:r>
        <w:fldChar w:fldCharType="begin"/>
      </w:r>
      <w:r>
        <w:instrText xml:space="preserve"> PAGEREF _Toc498936349 \h </w:instrText>
      </w:r>
      <w:r>
        <w:fldChar w:fldCharType="separate"/>
      </w:r>
      <w:r>
        <w:t>18</w:t>
      </w:r>
      <w:r>
        <w:fldChar w:fldCharType="end"/>
      </w:r>
    </w:p>
    <w:p w:rsidR="004574C7" w:rsidRDefault="004574C7">
      <w:pPr>
        <w:pStyle w:val="TOC2"/>
        <w:rPr>
          <w:rFonts w:asciiTheme="minorHAnsi" w:eastAsiaTheme="minorEastAsia" w:hAnsiTheme="minorHAnsi" w:cstheme="minorBidi"/>
          <w:color w:val="auto"/>
          <w:sz w:val="22"/>
          <w:szCs w:val="22"/>
          <w:lang w:eastAsia="en-AU"/>
        </w:rPr>
      </w:pPr>
      <w:r>
        <w:t>Calculating completion rates</w:t>
      </w:r>
      <w:r>
        <w:tab/>
      </w:r>
      <w:r>
        <w:fldChar w:fldCharType="begin"/>
      </w:r>
      <w:r>
        <w:instrText xml:space="preserve"> PAGEREF _Toc498936350 \h </w:instrText>
      </w:r>
      <w:r>
        <w:fldChar w:fldCharType="separate"/>
      </w:r>
      <w:r>
        <w:t>18</w:t>
      </w:r>
      <w:r>
        <w:fldChar w:fldCharType="end"/>
      </w:r>
    </w:p>
    <w:p w:rsidR="004574C7" w:rsidRDefault="004574C7">
      <w:pPr>
        <w:pStyle w:val="TOC2"/>
        <w:rPr>
          <w:rFonts w:asciiTheme="minorHAnsi" w:eastAsiaTheme="minorEastAsia" w:hAnsiTheme="minorHAnsi" w:cstheme="minorBidi"/>
          <w:color w:val="auto"/>
          <w:sz w:val="22"/>
          <w:szCs w:val="22"/>
          <w:lang w:eastAsia="en-AU"/>
        </w:rPr>
      </w:pPr>
      <w:r>
        <w:t>Variations in regional VET completion</w:t>
      </w:r>
      <w:r>
        <w:tab/>
      </w:r>
      <w:r>
        <w:fldChar w:fldCharType="begin"/>
      </w:r>
      <w:r>
        <w:instrText xml:space="preserve"> PAGEREF _Toc498936351 \h </w:instrText>
      </w:r>
      <w:r>
        <w:fldChar w:fldCharType="separate"/>
      </w:r>
      <w:r>
        <w:t>18</w:t>
      </w:r>
      <w:r>
        <w:fldChar w:fldCharType="end"/>
      </w:r>
    </w:p>
    <w:p w:rsidR="004574C7" w:rsidRDefault="004574C7">
      <w:pPr>
        <w:pStyle w:val="TOC2"/>
        <w:rPr>
          <w:rFonts w:asciiTheme="minorHAnsi" w:eastAsiaTheme="minorEastAsia" w:hAnsiTheme="minorHAnsi" w:cstheme="minorBidi"/>
          <w:color w:val="auto"/>
          <w:sz w:val="22"/>
          <w:szCs w:val="22"/>
          <w:lang w:eastAsia="en-AU"/>
        </w:rPr>
      </w:pPr>
      <w:r>
        <w:t>Relationship between the measures of completion at a regional level</w:t>
      </w:r>
      <w:r>
        <w:tab/>
      </w:r>
      <w:r>
        <w:fldChar w:fldCharType="begin"/>
      </w:r>
      <w:r>
        <w:instrText xml:space="preserve"> PAGEREF _Toc498936352 \h </w:instrText>
      </w:r>
      <w:r>
        <w:fldChar w:fldCharType="separate"/>
      </w:r>
      <w:r>
        <w:t>20</w:t>
      </w:r>
      <w:r>
        <w:fldChar w:fldCharType="end"/>
      </w:r>
    </w:p>
    <w:p w:rsidR="004574C7" w:rsidRDefault="004574C7">
      <w:pPr>
        <w:pStyle w:val="TOC1"/>
        <w:rPr>
          <w:rFonts w:asciiTheme="minorHAnsi" w:eastAsiaTheme="minorEastAsia" w:hAnsiTheme="minorHAnsi" w:cstheme="minorBidi"/>
          <w:color w:val="auto"/>
          <w:sz w:val="22"/>
          <w:szCs w:val="22"/>
          <w:lang w:eastAsia="en-AU"/>
        </w:rPr>
      </w:pPr>
      <w:r>
        <w:t>Identifying regional drivers of VET participation</w:t>
      </w:r>
      <w:r>
        <w:tab/>
      </w:r>
      <w:r>
        <w:fldChar w:fldCharType="begin"/>
      </w:r>
      <w:r>
        <w:instrText xml:space="preserve"> PAGEREF _Toc498936353 \h </w:instrText>
      </w:r>
      <w:r>
        <w:fldChar w:fldCharType="separate"/>
      </w:r>
      <w:r>
        <w:t>22</w:t>
      </w:r>
      <w:r>
        <w:fldChar w:fldCharType="end"/>
      </w:r>
    </w:p>
    <w:p w:rsidR="004574C7" w:rsidRDefault="004574C7">
      <w:pPr>
        <w:pStyle w:val="TOC2"/>
        <w:rPr>
          <w:rFonts w:asciiTheme="minorHAnsi" w:eastAsiaTheme="minorEastAsia" w:hAnsiTheme="minorHAnsi" w:cstheme="minorBidi"/>
          <w:color w:val="auto"/>
          <w:sz w:val="22"/>
          <w:szCs w:val="22"/>
          <w:lang w:eastAsia="en-AU"/>
        </w:rPr>
      </w:pPr>
      <w:r>
        <w:t>Model predicting regional VET participation</w:t>
      </w:r>
      <w:r>
        <w:tab/>
      </w:r>
      <w:r>
        <w:fldChar w:fldCharType="begin"/>
      </w:r>
      <w:r>
        <w:instrText xml:space="preserve"> PAGEREF _Toc498936354 \h </w:instrText>
      </w:r>
      <w:r>
        <w:fldChar w:fldCharType="separate"/>
      </w:r>
      <w:r>
        <w:t>22</w:t>
      </w:r>
      <w:r>
        <w:fldChar w:fldCharType="end"/>
      </w:r>
    </w:p>
    <w:p w:rsidR="004574C7" w:rsidRDefault="004574C7">
      <w:pPr>
        <w:pStyle w:val="TOC2"/>
        <w:rPr>
          <w:rFonts w:asciiTheme="minorHAnsi" w:eastAsiaTheme="minorEastAsia" w:hAnsiTheme="minorHAnsi" w:cstheme="minorBidi"/>
          <w:color w:val="auto"/>
          <w:sz w:val="22"/>
          <w:szCs w:val="22"/>
          <w:lang w:eastAsia="en-AU"/>
        </w:rPr>
      </w:pPr>
      <w:r>
        <w:t>Variance analysis</w:t>
      </w:r>
      <w:r>
        <w:tab/>
      </w:r>
      <w:r>
        <w:fldChar w:fldCharType="begin"/>
      </w:r>
      <w:r>
        <w:instrText xml:space="preserve"> PAGEREF _Toc498936355 \h </w:instrText>
      </w:r>
      <w:r>
        <w:fldChar w:fldCharType="separate"/>
      </w:r>
      <w:r>
        <w:t>23</w:t>
      </w:r>
      <w:r>
        <w:fldChar w:fldCharType="end"/>
      </w:r>
    </w:p>
    <w:p w:rsidR="004574C7" w:rsidRDefault="004574C7">
      <w:pPr>
        <w:pStyle w:val="TOC1"/>
        <w:rPr>
          <w:rFonts w:asciiTheme="minorHAnsi" w:eastAsiaTheme="minorEastAsia" w:hAnsiTheme="minorHAnsi" w:cstheme="minorBidi"/>
          <w:color w:val="auto"/>
          <w:sz w:val="22"/>
          <w:szCs w:val="22"/>
          <w:lang w:eastAsia="en-AU"/>
        </w:rPr>
      </w:pPr>
      <w:r>
        <w:t>Conclusion: identifying high performing regions for case studies</w:t>
      </w:r>
      <w:r>
        <w:tab/>
      </w:r>
      <w:r>
        <w:fldChar w:fldCharType="begin"/>
      </w:r>
      <w:r>
        <w:instrText xml:space="preserve"> PAGEREF _Toc498936356 \h </w:instrText>
      </w:r>
      <w:r>
        <w:fldChar w:fldCharType="separate"/>
      </w:r>
      <w:r>
        <w:t>26</w:t>
      </w:r>
      <w:r>
        <w:fldChar w:fldCharType="end"/>
      </w:r>
    </w:p>
    <w:p w:rsidR="004574C7" w:rsidRDefault="004574C7">
      <w:pPr>
        <w:pStyle w:val="TOC1"/>
        <w:rPr>
          <w:rFonts w:asciiTheme="minorHAnsi" w:eastAsiaTheme="minorEastAsia" w:hAnsiTheme="minorHAnsi" w:cstheme="minorBidi"/>
          <w:color w:val="auto"/>
          <w:sz w:val="22"/>
          <w:szCs w:val="22"/>
          <w:lang w:eastAsia="en-AU"/>
        </w:rPr>
      </w:pPr>
      <w:r>
        <w:t>References</w:t>
      </w:r>
      <w:r>
        <w:tab/>
      </w:r>
      <w:r>
        <w:fldChar w:fldCharType="begin"/>
      </w:r>
      <w:r>
        <w:instrText xml:space="preserve"> PAGEREF _Toc498936357 \h </w:instrText>
      </w:r>
      <w:r>
        <w:fldChar w:fldCharType="separate"/>
      </w:r>
      <w:r>
        <w:t>29</w:t>
      </w:r>
      <w:r>
        <w:fldChar w:fldCharType="end"/>
      </w:r>
    </w:p>
    <w:p w:rsidR="004574C7" w:rsidRDefault="004574C7">
      <w:pPr>
        <w:pStyle w:val="TOC1"/>
        <w:rPr>
          <w:rFonts w:asciiTheme="minorHAnsi" w:eastAsiaTheme="minorEastAsia" w:hAnsiTheme="minorHAnsi" w:cstheme="minorBidi"/>
          <w:color w:val="auto"/>
          <w:sz w:val="22"/>
          <w:szCs w:val="22"/>
          <w:lang w:eastAsia="en-AU"/>
        </w:rPr>
      </w:pPr>
      <w:r>
        <w:t>Appendix 1 Regional standardised residual scores</w:t>
      </w:r>
      <w:r>
        <w:tab/>
      </w:r>
      <w:r>
        <w:fldChar w:fldCharType="begin"/>
      </w:r>
      <w:r>
        <w:instrText xml:space="preserve"> PAGEREF _Toc498936358 \h </w:instrText>
      </w:r>
      <w:r>
        <w:fldChar w:fldCharType="separate"/>
      </w:r>
      <w:r>
        <w:t>30</w:t>
      </w:r>
      <w:r>
        <w:fldChar w:fldCharType="end"/>
      </w:r>
    </w:p>
    <w:p w:rsidR="004E7227" w:rsidRDefault="00E110EA"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4E7227" w:rsidRDefault="004E7227" w:rsidP="004E7227">
      <w:pPr>
        <w:pStyle w:val="Heading1"/>
      </w:pPr>
      <w:bookmarkStart w:id="9" w:name="_Toc498936336"/>
      <w:r>
        <w:lastRenderedPageBreak/>
        <w:t>Tables and figures</w:t>
      </w:r>
      <w:bookmarkEnd w:id="9"/>
    </w:p>
    <w:p w:rsidR="004E7227" w:rsidRDefault="004E7227" w:rsidP="004E7227">
      <w:pPr>
        <w:pStyle w:val="Heading2"/>
      </w:pPr>
      <w:bookmarkStart w:id="10" w:name="_Toc296497516"/>
      <w:bookmarkStart w:id="11" w:name="_Toc298162801"/>
      <w:bookmarkStart w:id="12" w:name="_Toc498936337"/>
      <w:r>
        <w:t>Tables</w:t>
      </w:r>
      <w:bookmarkEnd w:id="10"/>
      <w:bookmarkEnd w:id="11"/>
      <w:bookmarkEnd w:id="12"/>
    </w:p>
    <w:p w:rsidR="004574C7" w:rsidRDefault="00E110EA">
      <w:pPr>
        <w:pStyle w:val="TableofFigures"/>
        <w:tabs>
          <w:tab w:val="left" w:pos="880"/>
        </w:tabs>
        <w:rPr>
          <w:rFonts w:asciiTheme="minorHAnsi" w:eastAsiaTheme="minorEastAsia" w:hAnsiTheme="minorHAnsi" w:cstheme="minorBidi"/>
          <w:color w:val="auto"/>
          <w:sz w:val="22"/>
          <w:szCs w:val="22"/>
          <w:lang w:eastAsia="en-AU"/>
        </w:rPr>
      </w:pPr>
      <w:r>
        <w:fldChar w:fldCharType="begin"/>
      </w:r>
      <w:r w:rsidR="004E7227">
        <w:instrText xml:space="preserve"> TOC \f F \t "tabletitle" \c </w:instrText>
      </w:r>
      <w:r>
        <w:fldChar w:fldCharType="separate"/>
      </w:r>
      <w:r w:rsidR="004574C7">
        <w:t>1</w:t>
      </w:r>
      <w:r w:rsidR="004574C7">
        <w:rPr>
          <w:rFonts w:asciiTheme="minorHAnsi" w:eastAsiaTheme="minorEastAsia" w:hAnsiTheme="minorHAnsi" w:cstheme="minorBidi"/>
          <w:color w:val="auto"/>
          <w:sz w:val="22"/>
          <w:szCs w:val="22"/>
          <w:lang w:eastAsia="en-AU"/>
        </w:rPr>
        <w:tab/>
      </w:r>
      <w:r w:rsidR="004574C7">
        <w:t>Number of SA3 regions by state and territory and metropolitan status</w:t>
      </w:r>
      <w:r w:rsidR="004574C7">
        <w:tab/>
      </w:r>
      <w:r w:rsidR="004574C7">
        <w:fldChar w:fldCharType="begin"/>
      </w:r>
      <w:r w:rsidR="004574C7">
        <w:instrText xml:space="preserve"> PAGEREF _Toc498936229 \h </w:instrText>
      </w:r>
      <w:r w:rsidR="004574C7">
        <w:fldChar w:fldCharType="separate"/>
      </w:r>
      <w:r w:rsidR="004574C7">
        <w:t>8</w:t>
      </w:r>
      <w:r w:rsidR="004574C7">
        <w:fldChar w:fldCharType="end"/>
      </w:r>
    </w:p>
    <w:p w:rsidR="004574C7" w:rsidRDefault="004574C7" w:rsidP="00C93B05">
      <w:pPr>
        <w:pStyle w:val="TableofFigures"/>
        <w:tabs>
          <w:tab w:val="left" w:pos="880"/>
        </w:tabs>
        <w:ind w:left="284" w:hanging="284"/>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Mean regional VET participation rates, for all students and target groups, by metropolitan status, 2014 (%)</w:t>
      </w:r>
      <w:r>
        <w:tab/>
      </w:r>
      <w:r>
        <w:fldChar w:fldCharType="begin"/>
      </w:r>
      <w:r>
        <w:instrText xml:space="preserve"> PAGEREF _Toc498936230 \h </w:instrText>
      </w:r>
      <w:r>
        <w:fldChar w:fldCharType="separate"/>
      </w:r>
      <w:r>
        <w:t>11</w:t>
      </w:r>
      <w:r>
        <w:fldChar w:fldCharType="end"/>
      </w:r>
    </w:p>
    <w:p w:rsidR="004574C7" w:rsidRDefault="004574C7" w:rsidP="00C93B05">
      <w:pPr>
        <w:pStyle w:val="TableofFigures"/>
        <w:tabs>
          <w:tab w:val="left" w:pos="880"/>
        </w:tabs>
        <w:ind w:left="284" w:hanging="284"/>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 xml:space="preserve">Correlations between regional VET participation rates for different </w:t>
      </w:r>
      <w:r w:rsidR="00C93B05">
        <w:br/>
      </w:r>
      <w:r>
        <w:t xml:space="preserve">groups of students and regional VET course and provider </w:t>
      </w:r>
      <w:r w:rsidR="00C93B05">
        <w:br/>
      </w:r>
      <w:r>
        <w:t>characteristics, 2014</w:t>
      </w:r>
      <w:r>
        <w:tab/>
      </w:r>
      <w:r>
        <w:fldChar w:fldCharType="begin"/>
      </w:r>
      <w:r>
        <w:instrText xml:space="preserve"> PAGEREF _Toc498936231 \h </w:instrText>
      </w:r>
      <w:r>
        <w:fldChar w:fldCharType="separate"/>
      </w:r>
      <w:r>
        <w:t>14</w:t>
      </w:r>
      <w:r>
        <w:fldChar w:fldCharType="end"/>
      </w:r>
    </w:p>
    <w:p w:rsidR="004574C7" w:rsidRDefault="004574C7" w:rsidP="00C93B05">
      <w:pPr>
        <w:pStyle w:val="TableofFigures"/>
        <w:tabs>
          <w:tab w:val="left" w:pos="880"/>
        </w:tabs>
        <w:ind w:left="284" w:hanging="284"/>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 xml:space="preserve">Correlations between VET regional participation and regional </w:t>
      </w:r>
      <w:r w:rsidR="00C93B05">
        <w:tab/>
      </w:r>
      <w:r w:rsidR="00C93B05">
        <w:br/>
      </w:r>
      <w:r>
        <w:t xml:space="preserve">post-training views of quality of graduates’ experiences and </w:t>
      </w:r>
      <w:r w:rsidR="00C93B05">
        <w:br/>
      </w:r>
      <w:r>
        <w:t>post-training transition</w:t>
      </w:r>
      <w:r>
        <w:tab/>
      </w:r>
      <w:r>
        <w:fldChar w:fldCharType="begin"/>
      </w:r>
      <w:r>
        <w:instrText xml:space="preserve"> PAGEREF _Toc498936232 \h </w:instrText>
      </w:r>
      <w:r>
        <w:fldChar w:fldCharType="separate"/>
      </w:r>
      <w:r>
        <w:t>16</w:t>
      </w:r>
      <w:r>
        <w:fldChar w:fldCharType="end"/>
      </w:r>
    </w:p>
    <w:p w:rsidR="004574C7" w:rsidRDefault="004574C7" w:rsidP="00C93B05">
      <w:pPr>
        <w:pStyle w:val="TableofFigures"/>
        <w:tabs>
          <w:tab w:val="left" w:pos="1100"/>
        </w:tabs>
        <w:ind w:left="284" w:hanging="284"/>
        <w:rPr>
          <w:rFonts w:asciiTheme="minorHAnsi" w:eastAsiaTheme="minorEastAsia" w:hAnsiTheme="minorHAnsi" w:cstheme="minorBidi"/>
          <w:color w:val="auto"/>
          <w:sz w:val="22"/>
          <w:szCs w:val="22"/>
          <w:lang w:eastAsia="en-AU"/>
        </w:rPr>
      </w:pPr>
      <w:r>
        <w:t xml:space="preserve">5 </w:t>
      </w:r>
      <w:r>
        <w:rPr>
          <w:rFonts w:asciiTheme="minorHAnsi" w:eastAsiaTheme="minorEastAsia" w:hAnsiTheme="minorHAnsi" w:cstheme="minorBidi"/>
          <w:color w:val="auto"/>
          <w:sz w:val="22"/>
          <w:szCs w:val="22"/>
          <w:lang w:eastAsia="en-AU"/>
        </w:rPr>
        <w:tab/>
      </w:r>
      <w:r>
        <w:t xml:space="preserve">Correlations between regional VET profiles and regional post-training </w:t>
      </w:r>
      <w:r w:rsidR="00C93B05">
        <w:br/>
      </w:r>
      <w:r>
        <w:t>views of quality of graduates’ experiences and post-training transition</w:t>
      </w:r>
      <w:r>
        <w:tab/>
      </w:r>
      <w:r>
        <w:fldChar w:fldCharType="begin"/>
      </w:r>
      <w:r>
        <w:instrText xml:space="preserve"> PAGEREF _Toc498936233 \h </w:instrText>
      </w:r>
      <w:r>
        <w:fldChar w:fldCharType="separate"/>
      </w:r>
      <w:r>
        <w:t>17</w:t>
      </w:r>
      <w:r>
        <w:fldChar w:fldCharType="end"/>
      </w:r>
    </w:p>
    <w:p w:rsidR="004574C7" w:rsidRDefault="004574C7">
      <w:pPr>
        <w:pStyle w:val="TableofFigures"/>
        <w:tabs>
          <w:tab w:val="left" w:pos="880"/>
        </w:tabs>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t>Variance analysis of factors influencing regional VET participation</w:t>
      </w:r>
      <w:r>
        <w:tab/>
      </w:r>
      <w:r>
        <w:fldChar w:fldCharType="begin"/>
      </w:r>
      <w:r>
        <w:instrText xml:space="preserve"> PAGEREF _Toc498936234 \h </w:instrText>
      </w:r>
      <w:r>
        <w:fldChar w:fldCharType="separate"/>
      </w:r>
      <w:r>
        <w:t>23</w:t>
      </w:r>
      <w:r>
        <w:fldChar w:fldCharType="end"/>
      </w:r>
    </w:p>
    <w:p w:rsidR="004574C7" w:rsidRDefault="004574C7">
      <w:pPr>
        <w:pStyle w:val="TableofFigures"/>
        <w:tabs>
          <w:tab w:val="left" w:pos="880"/>
        </w:tabs>
        <w:rPr>
          <w:rFonts w:asciiTheme="minorHAnsi" w:eastAsiaTheme="minorEastAsia" w:hAnsiTheme="minorHAnsi" w:cstheme="minorBidi"/>
          <w:color w:val="auto"/>
          <w:sz w:val="22"/>
          <w:szCs w:val="22"/>
          <w:lang w:eastAsia="en-AU"/>
        </w:rPr>
      </w:pPr>
      <w:r>
        <w:t>7</w:t>
      </w:r>
      <w:r>
        <w:rPr>
          <w:rFonts w:asciiTheme="minorHAnsi" w:eastAsiaTheme="minorEastAsia" w:hAnsiTheme="minorHAnsi" w:cstheme="minorBidi"/>
          <w:color w:val="auto"/>
          <w:sz w:val="22"/>
          <w:szCs w:val="22"/>
          <w:lang w:eastAsia="en-AU"/>
        </w:rPr>
        <w:tab/>
      </w:r>
      <w:r>
        <w:t>Regional drivers of VET participation, 2014</w:t>
      </w:r>
      <w:r>
        <w:tab/>
      </w:r>
      <w:r>
        <w:fldChar w:fldCharType="begin"/>
      </w:r>
      <w:r>
        <w:instrText xml:space="preserve"> PAGEREF _Toc498936235 \h </w:instrText>
      </w:r>
      <w:r>
        <w:fldChar w:fldCharType="separate"/>
      </w:r>
      <w:r>
        <w:t>25</w:t>
      </w:r>
      <w:r>
        <w:fldChar w:fldCharType="end"/>
      </w:r>
    </w:p>
    <w:p w:rsidR="004574C7" w:rsidRDefault="004574C7">
      <w:pPr>
        <w:pStyle w:val="TableofFigures"/>
        <w:tabs>
          <w:tab w:val="left" w:pos="880"/>
        </w:tabs>
        <w:rPr>
          <w:rFonts w:asciiTheme="minorHAnsi" w:eastAsiaTheme="minorEastAsia" w:hAnsiTheme="minorHAnsi" w:cstheme="minorBidi"/>
          <w:color w:val="auto"/>
          <w:sz w:val="22"/>
          <w:szCs w:val="22"/>
          <w:lang w:eastAsia="en-AU"/>
        </w:rPr>
      </w:pPr>
      <w:r>
        <w:t>8</w:t>
      </w:r>
      <w:r>
        <w:rPr>
          <w:rFonts w:asciiTheme="minorHAnsi" w:eastAsiaTheme="minorEastAsia" w:hAnsiTheme="minorHAnsi" w:cstheme="minorBidi"/>
          <w:color w:val="auto"/>
          <w:sz w:val="22"/>
          <w:szCs w:val="22"/>
          <w:lang w:eastAsia="en-AU"/>
        </w:rPr>
        <w:tab/>
      </w:r>
      <w:r>
        <w:t>Correlations between Aggregate Standardised Residual Scores</w:t>
      </w:r>
      <w:r>
        <w:tab/>
      </w:r>
      <w:r>
        <w:fldChar w:fldCharType="begin"/>
      </w:r>
      <w:r>
        <w:instrText xml:space="preserve"> PAGEREF _Toc498936236 \h </w:instrText>
      </w:r>
      <w:r>
        <w:fldChar w:fldCharType="separate"/>
      </w:r>
      <w:r>
        <w:t>26</w:t>
      </w:r>
      <w:r>
        <w:fldChar w:fldCharType="end"/>
      </w:r>
    </w:p>
    <w:p w:rsidR="004574C7" w:rsidRDefault="004574C7" w:rsidP="00C93B05">
      <w:pPr>
        <w:pStyle w:val="TableofFigures"/>
        <w:tabs>
          <w:tab w:val="left" w:pos="880"/>
        </w:tabs>
        <w:ind w:left="284" w:hanging="284"/>
        <w:rPr>
          <w:rFonts w:asciiTheme="minorHAnsi" w:eastAsiaTheme="minorEastAsia" w:hAnsiTheme="minorHAnsi" w:cstheme="minorBidi"/>
          <w:color w:val="auto"/>
          <w:sz w:val="22"/>
          <w:szCs w:val="22"/>
          <w:lang w:eastAsia="en-AU"/>
        </w:rPr>
      </w:pPr>
      <w:r>
        <w:t>9</w:t>
      </w:r>
      <w:r>
        <w:rPr>
          <w:rFonts w:asciiTheme="minorHAnsi" w:eastAsiaTheme="minorEastAsia" w:hAnsiTheme="minorHAnsi" w:cstheme="minorBidi"/>
          <w:color w:val="auto"/>
          <w:sz w:val="22"/>
          <w:szCs w:val="22"/>
          <w:lang w:eastAsia="en-AU"/>
        </w:rPr>
        <w:tab/>
      </w:r>
      <w:r>
        <w:t xml:space="preserve">Characteristics of VET activity in all regions  and high performing </w:t>
      </w:r>
      <w:r w:rsidR="00C93B05">
        <w:br/>
      </w:r>
      <w:r>
        <w:t>regions (regional means), 2014</w:t>
      </w:r>
      <w:r>
        <w:tab/>
      </w:r>
      <w:r>
        <w:fldChar w:fldCharType="begin"/>
      </w:r>
      <w:r>
        <w:instrText xml:space="preserve"> PAGEREF _Toc498936237 \h </w:instrText>
      </w:r>
      <w:r>
        <w:fldChar w:fldCharType="separate"/>
      </w:r>
      <w:r>
        <w:t>28</w:t>
      </w:r>
      <w:r>
        <w:fldChar w:fldCharType="end"/>
      </w:r>
    </w:p>
    <w:p w:rsidR="004574C7" w:rsidRDefault="00E110EA" w:rsidP="00944887">
      <w:pPr>
        <w:pStyle w:val="Heading2"/>
        <w:tabs>
          <w:tab w:val="right" w:pos="6521"/>
        </w:tabs>
        <w:ind w:right="3118"/>
        <w:rPr>
          <w:noProof/>
        </w:rPr>
      </w:pPr>
      <w:r>
        <w:fldChar w:fldCharType="end"/>
      </w:r>
      <w:bookmarkStart w:id="13" w:name="_Toc296497517"/>
      <w:bookmarkStart w:id="14" w:name="_Toc298162802"/>
      <w:bookmarkStart w:id="15" w:name="_Toc498936338"/>
      <w:r w:rsidR="004E7227">
        <w:t>Figures</w:t>
      </w:r>
      <w:bookmarkEnd w:id="13"/>
      <w:bookmarkEnd w:id="14"/>
      <w:bookmarkEnd w:id="15"/>
      <w:r>
        <w:rPr>
          <w:rFonts w:ascii="Garamond" w:hAnsi="Garamond"/>
          <w:sz w:val="22"/>
        </w:rPr>
        <w:fldChar w:fldCharType="begin"/>
      </w:r>
      <w:r w:rsidR="004E7227">
        <w:instrText xml:space="preserve"> TOC \t "Figuretitle" \c </w:instrText>
      </w:r>
      <w:r>
        <w:rPr>
          <w:rFonts w:ascii="Garamond" w:hAnsi="Garamond"/>
          <w:sz w:val="22"/>
        </w:rPr>
        <w:fldChar w:fldCharType="separate"/>
      </w:r>
    </w:p>
    <w:p w:rsidR="004574C7" w:rsidRDefault="004574C7" w:rsidP="00C93B05">
      <w:pPr>
        <w:pStyle w:val="TableofFigures"/>
        <w:tabs>
          <w:tab w:val="left" w:pos="1100"/>
        </w:tabs>
        <w:ind w:left="284" w:hanging="284"/>
        <w:rPr>
          <w:rFonts w:asciiTheme="minorHAnsi" w:eastAsiaTheme="minorEastAsia" w:hAnsiTheme="minorHAnsi" w:cstheme="minorBidi"/>
          <w:color w:val="auto"/>
          <w:sz w:val="22"/>
          <w:szCs w:val="22"/>
          <w:lang w:eastAsia="en-AU"/>
        </w:rPr>
      </w:pPr>
      <w:r>
        <w:t>1</w:t>
      </w:r>
      <w:r>
        <w:rPr>
          <w:rFonts w:asciiTheme="minorHAnsi" w:eastAsiaTheme="minorEastAsia" w:hAnsiTheme="minorHAnsi" w:cstheme="minorBidi"/>
          <w:color w:val="auto"/>
          <w:sz w:val="22"/>
          <w:szCs w:val="22"/>
          <w:lang w:eastAsia="en-AU"/>
        </w:rPr>
        <w:tab/>
      </w:r>
      <w:r>
        <w:t>Distributions of regional VET participation rates, all students, key target groups, 2014</w:t>
      </w:r>
      <w:r>
        <w:tab/>
      </w:r>
      <w:r>
        <w:fldChar w:fldCharType="begin"/>
      </w:r>
      <w:r>
        <w:instrText xml:space="preserve"> PAGEREF _Toc498936238 \h </w:instrText>
      </w:r>
      <w:r>
        <w:fldChar w:fldCharType="separate"/>
      </w:r>
      <w:r>
        <w:t>12</w:t>
      </w:r>
      <w:r>
        <w:fldChar w:fldCharType="end"/>
      </w:r>
    </w:p>
    <w:p w:rsidR="004574C7" w:rsidRDefault="004574C7" w:rsidP="00C93B05">
      <w:pPr>
        <w:pStyle w:val="TableofFigures"/>
        <w:tabs>
          <w:tab w:val="left" w:pos="1100"/>
        </w:tabs>
        <w:ind w:left="284" w:hanging="284"/>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Views on training of government-funded graduates by Indigenous status, disability status and LBOTE status, 2015 (%)</w:t>
      </w:r>
      <w:r>
        <w:tab/>
      </w:r>
      <w:r>
        <w:fldChar w:fldCharType="begin"/>
      </w:r>
      <w:r>
        <w:instrText xml:space="preserve"> PAGEREF _Toc498936239 \h </w:instrText>
      </w:r>
      <w:r>
        <w:fldChar w:fldCharType="separate"/>
      </w:r>
      <w:r>
        <w:t>15</w:t>
      </w:r>
      <w:r>
        <w:fldChar w:fldCharType="end"/>
      </w:r>
    </w:p>
    <w:p w:rsidR="004574C7" w:rsidRDefault="004574C7" w:rsidP="00C93B05">
      <w:pPr>
        <w:pStyle w:val="TableofFigures"/>
        <w:ind w:left="284" w:hanging="284"/>
        <w:rPr>
          <w:rFonts w:asciiTheme="minorHAnsi" w:eastAsiaTheme="minorEastAsia" w:hAnsiTheme="minorHAnsi" w:cstheme="minorBidi"/>
          <w:color w:val="auto"/>
          <w:sz w:val="22"/>
          <w:szCs w:val="22"/>
          <w:lang w:eastAsia="en-AU"/>
        </w:rPr>
      </w:pPr>
      <w:r>
        <w:t>3 Regional distribution of award completion rates and subject completion rates, SA3s, 2014</w:t>
      </w:r>
      <w:r>
        <w:tab/>
      </w:r>
      <w:r>
        <w:fldChar w:fldCharType="begin"/>
      </w:r>
      <w:r>
        <w:instrText xml:space="preserve"> PAGEREF _Toc498936241 \h </w:instrText>
      </w:r>
      <w:r>
        <w:fldChar w:fldCharType="separate"/>
      </w:r>
      <w:r>
        <w:t>19</w:t>
      </w:r>
      <w:r>
        <w:fldChar w:fldCharType="end"/>
      </w:r>
    </w:p>
    <w:p w:rsidR="00C93B05" w:rsidRDefault="004574C7">
      <w:pPr>
        <w:pStyle w:val="TableofFigures"/>
        <w:tabs>
          <w:tab w:val="left" w:pos="1100"/>
        </w:tabs>
      </w:pPr>
      <w:r>
        <w:t>4</w:t>
      </w:r>
      <w:r>
        <w:rPr>
          <w:rFonts w:asciiTheme="minorHAnsi" w:eastAsiaTheme="minorEastAsia" w:hAnsiTheme="minorHAnsi" w:cstheme="minorBidi"/>
          <w:color w:val="auto"/>
          <w:sz w:val="22"/>
          <w:szCs w:val="22"/>
          <w:lang w:eastAsia="en-AU"/>
        </w:rPr>
        <w:tab/>
      </w:r>
      <w:r>
        <w:t xml:space="preserve">Mean regional completion rates for all students and key target groups, </w:t>
      </w:r>
    </w:p>
    <w:p w:rsidR="004574C7" w:rsidRDefault="00C93B05">
      <w:pPr>
        <w:pStyle w:val="TableofFigures"/>
        <w:tabs>
          <w:tab w:val="left" w:pos="1100"/>
        </w:tabs>
        <w:rPr>
          <w:rFonts w:asciiTheme="minorHAnsi" w:eastAsiaTheme="minorEastAsia" w:hAnsiTheme="minorHAnsi" w:cstheme="minorBidi"/>
          <w:color w:val="auto"/>
          <w:sz w:val="22"/>
          <w:szCs w:val="22"/>
          <w:lang w:eastAsia="en-AU"/>
        </w:rPr>
      </w:pPr>
      <w:r>
        <w:tab/>
      </w:r>
      <w:r w:rsidR="004574C7">
        <w:t>2014</w:t>
      </w:r>
      <w:r w:rsidR="004574C7">
        <w:tab/>
      </w:r>
      <w:r>
        <w:tab/>
      </w:r>
      <w:r w:rsidR="004574C7">
        <w:fldChar w:fldCharType="begin"/>
      </w:r>
      <w:r w:rsidR="004574C7">
        <w:instrText xml:space="preserve"> PAGEREF _Toc498936242 \h </w:instrText>
      </w:r>
      <w:r w:rsidR="004574C7">
        <w:fldChar w:fldCharType="separate"/>
      </w:r>
      <w:r w:rsidR="004574C7">
        <w:t>20</w:t>
      </w:r>
      <w:r w:rsidR="004574C7">
        <w:fldChar w:fldCharType="end"/>
      </w:r>
    </w:p>
    <w:p w:rsidR="00C93B05" w:rsidRDefault="004574C7">
      <w:pPr>
        <w:pStyle w:val="TableofFigures"/>
        <w:tabs>
          <w:tab w:val="left" w:pos="1100"/>
        </w:tabs>
      </w:pPr>
      <w:r>
        <w:t>5</w:t>
      </w:r>
      <w:r>
        <w:rPr>
          <w:rFonts w:asciiTheme="minorHAnsi" w:eastAsiaTheme="minorEastAsia" w:hAnsiTheme="minorHAnsi" w:cstheme="minorBidi"/>
          <w:color w:val="auto"/>
          <w:sz w:val="22"/>
          <w:szCs w:val="22"/>
          <w:lang w:eastAsia="en-AU"/>
        </w:rPr>
        <w:tab/>
      </w:r>
      <w:r>
        <w:t>Award completer rate and subject completion rate, compared, regions</w:t>
      </w:r>
    </w:p>
    <w:p w:rsidR="004574C7" w:rsidRDefault="004574C7">
      <w:pPr>
        <w:pStyle w:val="TableofFigures"/>
        <w:tabs>
          <w:tab w:val="left" w:pos="1100"/>
        </w:tabs>
        <w:rPr>
          <w:rFonts w:asciiTheme="minorHAnsi" w:eastAsiaTheme="minorEastAsia" w:hAnsiTheme="minorHAnsi" w:cstheme="minorBidi"/>
          <w:color w:val="auto"/>
          <w:sz w:val="22"/>
          <w:szCs w:val="22"/>
          <w:lang w:eastAsia="en-AU"/>
        </w:rPr>
      </w:pPr>
      <w:r>
        <w:t xml:space="preserve"> </w:t>
      </w:r>
      <w:r w:rsidR="00C93B05">
        <w:tab/>
      </w:r>
      <w:r>
        <w:t>2014</w:t>
      </w:r>
      <w:r>
        <w:tab/>
      </w:r>
      <w:r w:rsidR="00C93B05">
        <w:tab/>
      </w:r>
      <w:r>
        <w:fldChar w:fldCharType="begin"/>
      </w:r>
      <w:r>
        <w:instrText xml:space="preserve"> PAGEREF _Toc498936243 \h </w:instrText>
      </w:r>
      <w:r>
        <w:fldChar w:fldCharType="separate"/>
      </w:r>
      <w:r>
        <w:t>20</w:t>
      </w:r>
      <w:r>
        <w:fldChar w:fldCharType="end"/>
      </w:r>
    </w:p>
    <w:p w:rsidR="004574C7" w:rsidRDefault="004574C7" w:rsidP="00C93B05">
      <w:pPr>
        <w:pStyle w:val="TableofFigures"/>
        <w:tabs>
          <w:tab w:val="left" w:pos="1100"/>
        </w:tabs>
        <w:ind w:left="284" w:hanging="284"/>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t>Aggregate Standardised Residual Scores for participation and award completion for target groups, regions, 2014</w:t>
      </w:r>
      <w:r>
        <w:tab/>
      </w:r>
      <w:r>
        <w:fldChar w:fldCharType="begin"/>
      </w:r>
      <w:r>
        <w:instrText xml:space="preserve"> PAGEREF _Toc498936244 \h </w:instrText>
      </w:r>
      <w:r>
        <w:fldChar w:fldCharType="separate"/>
      </w:r>
      <w:r>
        <w:t>27</w:t>
      </w:r>
      <w:r>
        <w:fldChar w:fldCharType="end"/>
      </w:r>
    </w:p>
    <w:p w:rsidR="004574C7" w:rsidRDefault="004574C7" w:rsidP="00C93B05">
      <w:pPr>
        <w:pStyle w:val="TableofFigures"/>
        <w:tabs>
          <w:tab w:val="left" w:pos="1100"/>
        </w:tabs>
        <w:ind w:left="284" w:hanging="284"/>
        <w:rPr>
          <w:rFonts w:asciiTheme="minorHAnsi" w:eastAsiaTheme="minorEastAsia" w:hAnsiTheme="minorHAnsi" w:cstheme="minorBidi"/>
          <w:color w:val="auto"/>
          <w:sz w:val="22"/>
          <w:szCs w:val="22"/>
          <w:lang w:eastAsia="en-AU"/>
        </w:rPr>
      </w:pPr>
      <w:r>
        <w:t>7</w:t>
      </w:r>
      <w:r>
        <w:rPr>
          <w:rFonts w:asciiTheme="minorHAnsi" w:eastAsiaTheme="minorEastAsia" w:hAnsiTheme="minorHAnsi" w:cstheme="minorBidi"/>
          <w:color w:val="auto"/>
          <w:sz w:val="22"/>
          <w:szCs w:val="22"/>
          <w:lang w:eastAsia="en-AU"/>
        </w:rPr>
        <w:tab/>
      </w:r>
      <w:r>
        <w:t xml:space="preserve">Characteristics of VET activity in high performing regions </w:t>
      </w:r>
      <w:r w:rsidR="00C93B05">
        <w:br/>
      </w:r>
      <w:r>
        <w:t>(deviation from regional mean), 2014 (%)</w:t>
      </w:r>
      <w:r>
        <w:tab/>
      </w:r>
      <w:r>
        <w:fldChar w:fldCharType="begin"/>
      </w:r>
      <w:r>
        <w:instrText xml:space="preserve"> PAGEREF _Toc498936245 \h </w:instrText>
      </w:r>
      <w:r>
        <w:fldChar w:fldCharType="separate"/>
      </w:r>
      <w:r>
        <w:t>28</w:t>
      </w:r>
      <w:r>
        <w:fldChar w:fldCharType="end"/>
      </w:r>
    </w:p>
    <w:p w:rsidR="00A93867" w:rsidRPr="00A93867" w:rsidRDefault="00E110EA" w:rsidP="00944887">
      <w:pPr>
        <w:pStyle w:val="TableofFigures"/>
        <w:tabs>
          <w:tab w:val="clear" w:pos="6804"/>
          <w:tab w:val="right" w:pos="6521"/>
        </w:tabs>
        <w:ind w:right="3118"/>
        <w:rPr>
          <w:rFonts w:ascii="Tahoma" w:hAnsi="Tahoma" w:cs="Tahoma"/>
          <w:b/>
          <w:kern w:val="28"/>
          <w:sz w:val="56"/>
          <w:szCs w:val="56"/>
        </w:rPr>
      </w:pPr>
      <w:r>
        <w:fldChar w:fldCharType="end"/>
      </w:r>
      <w:bookmarkStart w:id="16" w:name="_Toc298162803"/>
      <w:r w:rsidR="00A93867" w:rsidRPr="00A93867">
        <w:rPr>
          <w:b/>
        </w:rPr>
        <w:br w:type="page"/>
      </w:r>
    </w:p>
    <w:p w:rsidR="00B966E9" w:rsidRDefault="00B966E9" w:rsidP="00B966E9">
      <w:pPr>
        <w:pStyle w:val="Heading1"/>
      </w:pPr>
      <w:bookmarkStart w:id="17" w:name="_Toc498936339"/>
      <w:bookmarkEnd w:id="16"/>
      <w:r>
        <w:lastRenderedPageBreak/>
        <w:t>Introduction</w:t>
      </w:r>
      <w:bookmarkEnd w:id="17"/>
    </w:p>
    <w:p w:rsidR="00B966E9" w:rsidRDefault="00B966E9" w:rsidP="00B966E9">
      <w:pPr>
        <w:pStyle w:val="Text"/>
      </w:pPr>
      <w:r>
        <w:t xml:space="preserve">The VET sector in Australia enrols students from a wide variety of backgrounds in a diverse range of settings, fields of study and program levels, yet levels of student participation and success is uneven.  Previous studies have shown that there are large regional variations in the take-up of VET across Australia, and that regional frameworks provide a useful mechanism for identifying and reporting effective provider practice (Lamb et al. 2011, Walstab &amp; Lamb 2008).  Identifying regions of similar demographic and economic characteristics that have greater success in engaging learners in VET, </w:t>
      </w:r>
      <w:r w:rsidR="00E81A36">
        <w:t>retaining them and helping them complete their award</w:t>
      </w:r>
      <w:r>
        <w:t xml:space="preserve"> is important within the context of a national policy agenda which aims to increase the levels of educational attainment of the population (COAG 2009).  Understanding and identifying which </w:t>
      </w:r>
      <w:r w:rsidR="00E81A36">
        <w:t xml:space="preserve">practices </w:t>
      </w:r>
      <w:r>
        <w:t>and activities work best to engage students and promote student success is important to assist providers in improving the quality of their VET delivery</w:t>
      </w:r>
      <w:r w:rsidR="00E81A36">
        <w:t xml:space="preserve">. It is also important for system authorities to assist them in </w:t>
      </w:r>
      <w:r>
        <w:t xml:space="preserve">targeting support for providers to raise levels of performance in student retention and completion.  </w:t>
      </w:r>
    </w:p>
    <w:p w:rsidR="00B966E9" w:rsidRDefault="00B966E9" w:rsidP="00E81A36">
      <w:pPr>
        <w:pStyle w:val="Heading2"/>
      </w:pPr>
      <w:bookmarkStart w:id="18" w:name="_Toc498936340"/>
      <w:r>
        <w:t>Aims and approach</w:t>
      </w:r>
      <w:bookmarkEnd w:id="18"/>
    </w:p>
    <w:p w:rsidR="00B966E9" w:rsidRDefault="00E81A36" w:rsidP="00B966E9">
      <w:pPr>
        <w:pStyle w:val="Text"/>
      </w:pPr>
      <w:r>
        <w:t xml:space="preserve">This </w:t>
      </w:r>
      <w:r w:rsidR="00760FC1">
        <w:t>report</w:t>
      </w:r>
      <w:r w:rsidR="00B966E9">
        <w:t xml:space="preserve"> forms part of a broader research project commissioned by NCVER and undertaken by the Centre for International Research on Education Systems at Victoria University.  The wider project draws on large administrative datasets, provider-based survey data and targeted case studies to identify VET provider policies and practices that are most effective in improving student progress and outcomes, particularly for the most disadvantaged, including Australians with low attainment, unemployed people, Indigenous students, students from a non-English speaking background, and those with disabilities.  </w:t>
      </w:r>
    </w:p>
    <w:p w:rsidR="00280E4F" w:rsidRDefault="00E81A36" w:rsidP="00B966E9">
      <w:pPr>
        <w:pStyle w:val="Text"/>
      </w:pPr>
      <w:r>
        <w:t>This report</w:t>
      </w:r>
      <w:r w:rsidR="00B966E9">
        <w:t xml:space="preserve"> presents the findings from a regional analysis of VET participation and completion across Australia designed to identify communities </w:t>
      </w:r>
      <w:r w:rsidR="00280E4F">
        <w:t>achieving</w:t>
      </w:r>
      <w:r w:rsidR="00B966E9">
        <w:t xml:space="preserve"> high levels of engagement and success with </w:t>
      </w:r>
      <w:r w:rsidR="00280E4F">
        <w:t>leaners</w:t>
      </w:r>
      <w:r w:rsidR="00B966E9">
        <w:t xml:space="preserve"> from </w:t>
      </w:r>
      <w:r w:rsidR="00280E4F">
        <w:t>disadvantaged backgrounds</w:t>
      </w:r>
      <w:r w:rsidR="00B966E9">
        <w:t xml:space="preserve">.  </w:t>
      </w:r>
      <w:r w:rsidR="00280E4F">
        <w:t xml:space="preserve">It will identify </w:t>
      </w:r>
      <w:r w:rsidR="00B966E9">
        <w:t>regions</w:t>
      </w:r>
      <w:r w:rsidR="00280E4F">
        <w:t>,</w:t>
      </w:r>
      <w:r w:rsidR="00B966E9">
        <w:t xml:space="preserve"> performing at higher than expected levels given the demographic and economic profile of their community, </w:t>
      </w:r>
      <w:r w:rsidR="00280E4F">
        <w:t>which can then be examined more closely through</w:t>
      </w:r>
      <w:r w:rsidR="00B966E9">
        <w:t xml:space="preserve"> </w:t>
      </w:r>
      <w:r w:rsidR="00280E4F">
        <w:t xml:space="preserve">case studies </w:t>
      </w:r>
      <w:r w:rsidR="00B966E9">
        <w:t xml:space="preserve">undertaken as part of the wider research project.  These high performing regions are identified through a series of analyses, the findings of which are presented </w:t>
      </w:r>
      <w:r>
        <w:t>in the following sections of this report</w:t>
      </w:r>
      <w:r w:rsidR="00B966E9">
        <w:t>.</w:t>
      </w:r>
      <w:r w:rsidR="00280E4F">
        <w:t xml:space="preserve"> </w:t>
      </w:r>
    </w:p>
    <w:p w:rsidR="00B966E9" w:rsidRDefault="00280E4F" w:rsidP="00B966E9">
      <w:pPr>
        <w:pStyle w:val="Text"/>
      </w:pPr>
      <w:r>
        <w:t>Four phases of analysis are reported.</w:t>
      </w:r>
    </w:p>
    <w:p w:rsidR="00B966E9" w:rsidRDefault="00B966E9" w:rsidP="00B966E9">
      <w:pPr>
        <w:pStyle w:val="Text"/>
      </w:pPr>
      <w:r>
        <w:t xml:space="preserve">The first phase of analysis examines the participation of the Australian population in vocational programs at a regional level, to assess the current levels of engagement in VET </w:t>
      </w:r>
      <w:r w:rsidR="00280E4F">
        <w:t>of disadvantaged groups of Australians</w:t>
      </w:r>
      <w:r>
        <w:t>.  This includ</w:t>
      </w:r>
      <w:r w:rsidR="00280E4F">
        <w:t>es exploratory work to identify the best method for measuring</w:t>
      </w:r>
      <w:r>
        <w:t xml:space="preserve"> the VET population for inclusion in the calculation of regional participation rates</w:t>
      </w:r>
      <w:r w:rsidR="00280E4F">
        <w:t>. It also explores ways to measure</w:t>
      </w:r>
      <w:r>
        <w:t xml:space="preserve"> other </w:t>
      </w:r>
      <w:r w:rsidR="00280E4F">
        <w:t xml:space="preserve">important </w:t>
      </w:r>
      <w:r>
        <w:t xml:space="preserve">indicators of success including course and subject completion.  </w:t>
      </w:r>
    </w:p>
    <w:p w:rsidR="00B966E9" w:rsidRDefault="00B966E9" w:rsidP="00B966E9">
      <w:pPr>
        <w:pStyle w:val="Text"/>
      </w:pPr>
      <w:r>
        <w:t xml:space="preserve">The second phase of analysis explores the relationships between VET performance and </w:t>
      </w:r>
      <w:r w:rsidR="00280E4F">
        <w:t xml:space="preserve">VET </w:t>
      </w:r>
      <w:r>
        <w:t xml:space="preserve">provision at </w:t>
      </w:r>
      <w:r w:rsidR="00280E4F">
        <w:t>a</w:t>
      </w:r>
      <w:r>
        <w:t xml:space="preserve"> regional level.  This correlation analysis examines links between regional rates of VET participation for </w:t>
      </w:r>
      <w:r w:rsidR="00280E4F">
        <w:t>disadvantaged learners</w:t>
      </w:r>
      <w:r>
        <w:t xml:space="preserve"> and regional VET course and provider characteristics, such as provider type, course </w:t>
      </w:r>
      <w:r w:rsidR="00F72EBE">
        <w:t>Australian Qualifications Framework (</w:t>
      </w:r>
      <w:r>
        <w:t>AQF</w:t>
      </w:r>
      <w:r w:rsidR="00F72EBE">
        <w:t>)</w:t>
      </w:r>
      <w:r>
        <w:t xml:space="preserve"> level, delivery mode, and the number of delivery sites.  Correlations between regional levels of VET participation and measures of student experience, such as views on the quality of teaching, assessment, and overall quality of </w:t>
      </w:r>
      <w:r>
        <w:lastRenderedPageBreak/>
        <w:t xml:space="preserve">training, are also examined, along with measures of student transition, such as improved employment status and participation in further education and training.  </w:t>
      </w:r>
    </w:p>
    <w:p w:rsidR="00B966E9" w:rsidRDefault="00B966E9" w:rsidP="00B966E9">
      <w:pPr>
        <w:pStyle w:val="Text"/>
      </w:pPr>
      <w:r>
        <w:t xml:space="preserve">The third phase of analysis involves using regional data capturing population demographics and labour market profiles, in conjunction with the region-level VET participation and completion rates already calculated, to determine the relative impact of these community-based drivers of VET performance.  Linear regression techniques are used to better understand the economic, demographic and policy factors influencing participation and achievement at a regional level.  </w:t>
      </w:r>
    </w:p>
    <w:p w:rsidR="00B966E9" w:rsidRDefault="00B966E9" w:rsidP="00B966E9">
      <w:pPr>
        <w:pStyle w:val="Text"/>
      </w:pPr>
      <w:r>
        <w:t xml:space="preserve">The final phase of analysis returns to the results of the linear regression analyses and uses the standardised residuals </w:t>
      </w:r>
      <w:r w:rsidR="00DC58AB">
        <w:t xml:space="preserve">(unexplained variance taken to represent regional performance) </w:t>
      </w:r>
      <w:r>
        <w:t xml:space="preserve">to identify areas with particularly high levels of participation and achievement among key groups, after controlling for regional differences in community profiles and labour markets.  </w:t>
      </w:r>
    </w:p>
    <w:p w:rsidR="00B966E9" w:rsidRDefault="00B966E9" w:rsidP="00B966E9">
      <w:pPr>
        <w:pStyle w:val="Text"/>
      </w:pPr>
      <w:r>
        <w:t>The analysis draws on the following four datasets:</w:t>
      </w:r>
    </w:p>
    <w:p w:rsidR="00B966E9" w:rsidRDefault="00DC58AB" w:rsidP="00DC58AB">
      <w:pPr>
        <w:pStyle w:val="NumberedListContinuing"/>
        <w:ind w:left="284" w:hanging="284"/>
      </w:pPr>
      <w:r w:rsidRPr="00DC58AB">
        <w:t xml:space="preserve">The </w:t>
      </w:r>
      <w:r w:rsidR="00B966E9" w:rsidRPr="00DC58AB">
        <w:rPr>
          <w:i/>
        </w:rPr>
        <w:t xml:space="preserve">Total VET </w:t>
      </w:r>
      <w:r>
        <w:rPr>
          <w:i/>
        </w:rPr>
        <w:t>A</w:t>
      </w:r>
      <w:r w:rsidR="00B966E9" w:rsidRPr="00DC58AB">
        <w:rPr>
          <w:i/>
        </w:rPr>
        <w:t>ctivity</w:t>
      </w:r>
      <w:r w:rsidR="00B966E9">
        <w:t xml:space="preserve"> </w:t>
      </w:r>
      <w:proofErr w:type="spellStart"/>
      <w:r w:rsidR="00B966E9">
        <w:t>Confidentialised</w:t>
      </w:r>
      <w:proofErr w:type="spellEnd"/>
      <w:r w:rsidR="00B966E9">
        <w:t xml:space="preserve"> Unit Record File (CURF) for 2014, supplied by NCVER.  This subject-level enrolment file represents total VET activity in Australia, as reported in the calendar year of 2014 to the Australian Vocational Education and Training Management Information Statistical Standard (AVETMISS).  Program completions were provided in a separate file, linked to the CURF through a common identifier.</w:t>
      </w:r>
    </w:p>
    <w:p w:rsidR="00B966E9" w:rsidRDefault="00B966E9" w:rsidP="00DC58AB">
      <w:pPr>
        <w:pStyle w:val="NumberedListContinuing"/>
        <w:ind w:left="284" w:hanging="284"/>
      </w:pPr>
      <w:r>
        <w:t xml:space="preserve">2015 Government-funded </w:t>
      </w:r>
      <w:r w:rsidRPr="00DC58AB">
        <w:rPr>
          <w:i/>
        </w:rPr>
        <w:t>Student Outcomes Survey</w:t>
      </w:r>
      <w:r>
        <w:t xml:space="preserve"> CURF, supplied by NCVER.  This respondent-level file of 2014 VET graduates and subject completers contains results from the </w:t>
      </w:r>
      <w:r w:rsidR="00DC58AB">
        <w:t xml:space="preserve">student outcomes </w:t>
      </w:r>
      <w:r>
        <w:t>survey undertaken in 2015.</w:t>
      </w:r>
    </w:p>
    <w:p w:rsidR="00B966E9" w:rsidRDefault="00B966E9" w:rsidP="00DC58AB">
      <w:pPr>
        <w:pStyle w:val="NumberedListContinuing"/>
        <w:ind w:left="284" w:hanging="284"/>
      </w:pPr>
      <w:r>
        <w:t xml:space="preserve">2014 </w:t>
      </w:r>
      <w:r w:rsidRPr="00DC58AB">
        <w:rPr>
          <w:i/>
        </w:rPr>
        <w:t>Estimated Residential Population</w:t>
      </w:r>
      <w:r>
        <w:t>, accessed from the Australian Bureau of Statistics (ABS 2015).  Regional residential population estima</w:t>
      </w:r>
      <w:r w:rsidR="00DC58AB">
        <w:t>tes by age and gender for 2014 we</w:t>
      </w:r>
      <w:r>
        <w:t xml:space="preserve">re accessible online through the ABS website.  </w:t>
      </w:r>
    </w:p>
    <w:p w:rsidR="00B966E9" w:rsidRDefault="00B966E9" w:rsidP="00DC58AB">
      <w:pPr>
        <w:pStyle w:val="NumberedListContinuing"/>
        <w:ind w:left="284" w:hanging="284"/>
      </w:pPr>
      <w:r>
        <w:t xml:space="preserve">2011 </w:t>
      </w:r>
      <w:r w:rsidRPr="00DC58AB">
        <w:rPr>
          <w:i/>
        </w:rPr>
        <w:t>Census of Population and Housing Data</w:t>
      </w:r>
      <w:r>
        <w:t>, accessed from the ABS.  Demographic and economic characteristics of aggregate regional</w:t>
      </w:r>
      <w:r w:rsidR="00DC58AB">
        <w:t xml:space="preserve"> populations based on</w:t>
      </w:r>
      <w:r>
        <w:t xml:space="preserve"> </w:t>
      </w:r>
      <w:r w:rsidR="00DC58AB">
        <w:t xml:space="preserve">individual </w:t>
      </w:r>
      <w:r>
        <w:t xml:space="preserve">home address were downloaded using the </w:t>
      </w:r>
      <w:proofErr w:type="spellStart"/>
      <w:r>
        <w:t>TableBuilder</w:t>
      </w:r>
      <w:proofErr w:type="spellEnd"/>
      <w:r>
        <w:t xml:space="preserve"> facility on the ABS website.  </w:t>
      </w:r>
    </w:p>
    <w:p w:rsidR="006E59CD" w:rsidRDefault="006E59CD" w:rsidP="00E81A36">
      <w:pPr>
        <w:pStyle w:val="Heading2"/>
      </w:pPr>
      <w:bookmarkStart w:id="19" w:name="_Toc498936341"/>
      <w:r>
        <w:t>Framework and definitions</w:t>
      </w:r>
      <w:bookmarkEnd w:id="19"/>
    </w:p>
    <w:p w:rsidR="006E59CD" w:rsidRDefault="00DC58AB" w:rsidP="006E59CD">
      <w:pPr>
        <w:pStyle w:val="Text"/>
      </w:pPr>
      <w:r>
        <w:t>T</w:t>
      </w:r>
      <w:r w:rsidR="006E59CD">
        <w:t xml:space="preserve">he main purpose of the analysis is to identify regions across Australia that </w:t>
      </w:r>
      <w:proofErr w:type="gramStart"/>
      <w:r w:rsidR="006E59CD">
        <w:t>are</w:t>
      </w:r>
      <w:proofErr w:type="gramEnd"/>
      <w:r w:rsidR="006E59CD">
        <w:t xml:space="preserve"> </w:t>
      </w:r>
      <w:r>
        <w:t>achieving high participation and completion rates for</w:t>
      </w:r>
      <w:r w:rsidR="006E59CD">
        <w:t xml:space="preserve"> their disadvantaged populations.  </w:t>
      </w:r>
      <w:r>
        <w:t>T</w:t>
      </w:r>
      <w:r w:rsidR="006E59CD">
        <w:t xml:space="preserve">he analysis is informed by a three-dimensional framework which maps </w:t>
      </w:r>
      <w:r>
        <w:t>learner populations</w:t>
      </w:r>
      <w:r w:rsidR="006E59CD">
        <w:t xml:space="preserve"> against VET performance at a regional level.  </w:t>
      </w:r>
    </w:p>
    <w:p w:rsidR="006E59CD" w:rsidRDefault="006E59CD" w:rsidP="00E81A36">
      <w:pPr>
        <w:pStyle w:val="Heading3"/>
      </w:pPr>
      <w:r>
        <w:t xml:space="preserve">Defining </w:t>
      </w:r>
      <w:r w:rsidR="00DC58AB">
        <w:t>disadvantaged learners</w:t>
      </w:r>
    </w:p>
    <w:p w:rsidR="006E59CD" w:rsidRDefault="006E59CD" w:rsidP="006E59CD">
      <w:pPr>
        <w:pStyle w:val="Text"/>
      </w:pPr>
      <w:r>
        <w:t>Student demographic characteristics, self-reported on enrolment in a VE</w:t>
      </w:r>
      <w:r w:rsidR="00DC58AB">
        <w:t>T course, are used to define five</w:t>
      </w:r>
      <w:r>
        <w:t xml:space="preserve"> key </w:t>
      </w:r>
      <w:r w:rsidR="00DC58AB">
        <w:t>populations</w:t>
      </w:r>
      <w:r>
        <w:t>:</w:t>
      </w:r>
    </w:p>
    <w:p w:rsidR="006E59CD" w:rsidRDefault="006E59CD" w:rsidP="003107B3">
      <w:pPr>
        <w:pStyle w:val="NumberedListContinuing"/>
        <w:numPr>
          <w:ilvl w:val="0"/>
          <w:numId w:val="37"/>
        </w:numPr>
      </w:pPr>
      <w:r>
        <w:t>Indigenous students</w:t>
      </w:r>
    </w:p>
    <w:p w:rsidR="006E59CD" w:rsidRDefault="006E59CD" w:rsidP="003107B3">
      <w:pPr>
        <w:pStyle w:val="NumberedListContinuing"/>
        <w:numPr>
          <w:ilvl w:val="0"/>
          <w:numId w:val="37"/>
        </w:numPr>
      </w:pPr>
      <w:r>
        <w:t>Students with a disability</w:t>
      </w:r>
    </w:p>
    <w:p w:rsidR="006E59CD" w:rsidRDefault="006E59CD" w:rsidP="003107B3">
      <w:pPr>
        <w:pStyle w:val="NumberedListContinuing"/>
        <w:numPr>
          <w:ilvl w:val="0"/>
          <w:numId w:val="37"/>
        </w:numPr>
      </w:pPr>
      <w:r>
        <w:t>Students with a language background other than English (LBOTE)</w:t>
      </w:r>
    </w:p>
    <w:p w:rsidR="006E59CD" w:rsidRDefault="006E59CD" w:rsidP="003107B3">
      <w:pPr>
        <w:pStyle w:val="NumberedListContinuing"/>
        <w:numPr>
          <w:ilvl w:val="0"/>
          <w:numId w:val="37"/>
        </w:numPr>
      </w:pPr>
      <w:r>
        <w:t>Unemployed students</w:t>
      </w:r>
    </w:p>
    <w:p w:rsidR="006E59CD" w:rsidRDefault="006E59CD" w:rsidP="003107B3">
      <w:pPr>
        <w:pStyle w:val="NumberedListContinuing"/>
        <w:numPr>
          <w:ilvl w:val="0"/>
          <w:numId w:val="37"/>
        </w:numPr>
      </w:pPr>
      <w:r>
        <w:lastRenderedPageBreak/>
        <w:t>Students with low levels of prior educational attainment, defined here as having not completed Year 12</w:t>
      </w:r>
      <w:r w:rsidR="00F72EBE">
        <w:t xml:space="preserve"> </w:t>
      </w:r>
      <w:proofErr w:type="gramStart"/>
      <w:r w:rsidR="00F72EBE">
        <w:t>nor</w:t>
      </w:r>
      <w:proofErr w:type="gramEnd"/>
      <w:r w:rsidR="00F72EBE">
        <w:t xml:space="preserve"> a Certificate III or above</w:t>
      </w:r>
      <w:r>
        <w:t xml:space="preserve">.  </w:t>
      </w:r>
    </w:p>
    <w:p w:rsidR="006E59CD" w:rsidRDefault="006E59CD" w:rsidP="00E81A36">
      <w:pPr>
        <w:pStyle w:val="Heading3"/>
      </w:pPr>
      <w:r>
        <w:t>Measuring VET performance</w:t>
      </w:r>
    </w:p>
    <w:p w:rsidR="006E59CD" w:rsidRDefault="00DC58AB" w:rsidP="006E59CD">
      <w:pPr>
        <w:pStyle w:val="Text"/>
      </w:pPr>
      <w:r>
        <w:t>Assessments of VET performance are</w:t>
      </w:r>
      <w:r w:rsidR="006E59CD">
        <w:t xml:space="preserve"> achieved through measures of </w:t>
      </w:r>
      <w:r w:rsidR="007F2185">
        <w:t>participation,</w:t>
      </w:r>
      <w:r w:rsidR="006E59CD">
        <w:t xml:space="preserve"> </w:t>
      </w:r>
      <w:r w:rsidR="007F2185">
        <w:t xml:space="preserve">completion </w:t>
      </w:r>
      <w:r w:rsidR="006E59CD">
        <w:t xml:space="preserve">and </w:t>
      </w:r>
      <w:r w:rsidR="007F2185">
        <w:t>experience</w:t>
      </w:r>
      <w:r w:rsidR="006E59CD">
        <w:t xml:space="preserve">, which are summarised </w:t>
      </w:r>
      <w:r w:rsidR="007F2185">
        <w:t>below</w:t>
      </w:r>
      <w:r w:rsidR="006E59CD">
        <w:t xml:space="preserve">.  </w:t>
      </w:r>
    </w:p>
    <w:p w:rsidR="006E59CD" w:rsidRPr="003107B3" w:rsidRDefault="00DC58AB" w:rsidP="003107B3">
      <w:pPr>
        <w:pStyle w:val="Dotpoint1"/>
      </w:pPr>
      <w:r w:rsidRPr="003107B3">
        <w:t>P</w:t>
      </w:r>
      <w:r w:rsidR="006E59CD" w:rsidRPr="003107B3">
        <w:t>articipation is defined by enrolment in a VET program</w:t>
      </w:r>
      <w:r w:rsidR="007F2185" w:rsidRPr="003107B3">
        <w:t xml:space="preserve"> and calculated by dividing the student counts by the corresponding population and then multiplying by 100. A full description is provided in the next section. </w:t>
      </w:r>
    </w:p>
    <w:p w:rsidR="006E59CD" w:rsidRPr="003107B3" w:rsidRDefault="006E59CD" w:rsidP="003107B3">
      <w:pPr>
        <w:pStyle w:val="Dotpoint1"/>
      </w:pPr>
      <w:r w:rsidRPr="003107B3">
        <w:t xml:space="preserve">Student completion is measured in the following two ways:  </w:t>
      </w:r>
    </w:p>
    <w:p w:rsidR="006E59CD" w:rsidRDefault="006E59CD" w:rsidP="006E59CD">
      <w:pPr>
        <w:pStyle w:val="Dotpoint2"/>
      </w:pPr>
      <w:r>
        <w:t xml:space="preserve">A subject completion rate represents the ratio of the number of reported hours for subjects where competencies were achieved or passed to the reported hours for subjects where competencies were achieved or passed, not achieved or failed, or withdrawn or discontinued.  The rate is derived for the calendar year.  </w:t>
      </w:r>
    </w:p>
    <w:p w:rsidR="006E59CD" w:rsidRDefault="006E59CD" w:rsidP="006E59CD">
      <w:pPr>
        <w:pStyle w:val="Dotpoint2"/>
      </w:pPr>
      <w:r>
        <w:t>A</w:t>
      </w:r>
      <w:r w:rsidR="007F2185">
        <w:t>n</w:t>
      </w:r>
      <w:r>
        <w:t xml:space="preserve"> award comple</w:t>
      </w:r>
      <w:r w:rsidR="00C426E2">
        <w:t>t</w:t>
      </w:r>
      <w:r w:rsidR="007F2185">
        <w:t>ion</w:t>
      </w:r>
      <w:r>
        <w:t xml:space="preserve"> rate, calculated by dividing the number of students having completed any VET program in 2014 by the total number of students enrolled across the year (including students for whom the qualification has been issued as well as those yet to have their qualification issued).  </w:t>
      </w:r>
    </w:p>
    <w:p w:rsidR="006E59CD" w:rsidRDefault="006E59CD" w:rsidP="00E81970">
      <w:pPr>
        <w:pStyle w:val="Dotpoint1"/>
      </w:pPr>
      <w:r>
        <w:t xml:space="preserve">Student views on </w:t>
      </w:r>
      <w:r w:rsidR="007F2185">
        <w:t>course</w:t>
      </w:r>
      <w:r>
        <w:t xml:space="preserve"> experience are captured through the following indicators:</w:t>
      </w:r>
    </w:p>
    <w:p w:rsidR="006E59CD" w:rsidRDefault="006E59CD" w:rsidP="00E81970">
      <w:pPr>
        <w:pStyle w:val="Dotpoint2"/>
      </w:pPr>
      <w:r>
        <w:t>Proportion of graduates strongly agreeing that they were satisfied with the quality of the training overall.</w:t>
      </w:r>
    </w:p>
    <w:p w:rsidR="006E59CD" w:rsidRDefault="006E59CD" w:rsidP="00E81970">
      <w:pPr>
        <w:pStyle w:val="Dotpoint2"/>
      </w:pPr>
      <w:r>
        <w:t>Proportion of graduates satisfied with assessment.</w:t>
      </w:r>
    </w:p>
    <w:p w:rsidR="006E59CD" w:rsidRDefault="006E59CD" w:rsidP="00E81970">
      <w:pPr>
        <w:pStyle w:val="Dotpoint2"/>
      </w:pPr>
      <w:r>
        <w:t>Proportion of graduates satisfied with their obtained generic skills and learning experiences.</w:t>
      </w:r>
    </w:p>
    <w:p w:rsidR="006E59CD" w:rsidRDefault="006E59CD" w:rsidP="00E81970">
      <w:pPr>
        <w:pStyle w:val="Dotpoint2"/>
      </w:pPr>
      <w:r>
        <w:t>Proportion of graduates satisfied with the teaching.</w:t>
      </w:r>
    </w:p>
    <w:p w:rsidR="006E59CD" w:rsidRDefault="006E59CD" w:rsidP="00E81970">
      <w:pPr>
        <w:pStyle w:val="Dotpoint2"/>
      </w:pPr>
      <w:r>
        <w:t>Proportion of graduates stating they achieved or partially achieved their main reason for training.</w:t>
      </w:r>
    </w:p>
    <w:p w:rsidR="006E59CD" w:rsidRDefault="006E59CD" w:rsidP="00E81970">
      <w:pPr>
        <w:pStyle w:val="Dotpoint2"/>
      </w:pPr>
      <w:r>
        <w:t>Student transition to further study, training or work is represented by:</w:t>
      </w:r>
    </w:p>
    <w:p w:rsidR="006E59CD" w:rsidRDefault="006E59CD" w:rsidP="00E81970">
      <w:pPr>
        <w:pStyle w:val="Dotpoint2"/>
      </w:pPr>
      <w:r>
        <w:t>The proportion of graduates and completers reporting improved employment circumstances following training.</w:t>
      </w:r>
    </w:p>
    <w:p w:rsidR="006E59CD" w:rsidRDefault="006E59CD" w:rsidP="00E81970">
      <w:pPr>
        <w:pStyle w:val="Dotpoint2"/>
      </w:pPr>
      <w:r>
        <w:t>The proportion of graduates and completers employed or in further study after training.</w:t>
      </w:r>
    </w:p>
    <w:p w:rsidR="006E59CD" w:rsidRPr="00E81970" w:rsidRDefault="006E59CD" w:rsidP="00E81970">
      <w:pPr>
        <w:pStyle w:val="Text"/>
      </w:pPr>
      <w:r w:rsidRPr="00E81970">
        <w:t xml:space="preserve">Further details of specific elements are </w:t>
      </w:r>
      <w:r w:rsidR="007F2185">
        <w:t>provided</w:t>
      </w:r>
      <w:r w:rsidRPr="00E81970">
        <w:t xml:space="preserve"> where </w:t>
      </w:r>
      <w:r w:rsidR="007F2185">
        <w:t>results are presented in the report</w:t>
      </w:r>
      <w:r w:rsidRPr="00E81970">
        <w:t>.</w:t>
      </w:r>
    </w:p>
    <w:p w:rsidR="00E81970" w:rsidRDefault="00E81970" w:rsidP="00E81970">
      <w:pPr>
        <w:pStyle w:val="Heading2"/>
      </w:pPr>
      <w:bookmarkStart w:id="20" w:name="_Toc498936342"/>
      <w:r>
        <w:t>Regional framework</w:t>
      </w:r>
      <w:bookmarkEnd w:id="20"/>
    </w:p>
    <w:p w:rsidR="00E81970" w:rsidRDefault="00E81970" w:rsidP="00E81970">
      <w:pPr>
        <w:pStyle w:val="Text"/>
      </w:pPr>
      <w:r>
        <w:t xml:space="preserve">This matrix of equity and VET performance is overlaid by a regional framework, allowing for regions to become the base unit of analysis.  The regions are defined by ABS Statistical Area Level 3 (SA3) boundaries.  SA3 regions are designed to have populations between 30,000 and 130,000 inhabitants, to reflect regional identity, and to have geographic and socio-economic similarities (ABS 2011).  There are 328 SA3 areas </w:t>
      </w:r>
      <w:r w:rsidR="003934BF">
        <w:t xml:space="preserve">across Australia </w:t>
      </w:r>
      <w:r>
        <w:t xml:space="preserve">used </w:t>
      </w:r>
      <w:r w:rsidR="003934BF">
        <w:t xml:space="preserve">in </w:t>
      </w:r>
      <w:r>
        <w:t xml:space="preserve">the analyses, with migratory, off-shore and shipping regions excluded.  These 328 regions cover the whole of Australia without gaps or overlaps.  The number of SA3 areas across Australian </w:t>
      </w:r>
      <w:r w:rsidR="003934BF">
        <w:t>states and territories</w:t>
      </w:r>
      <w:r>
        <w:t xml:space="preserve"> is given in Table 1.  </w:t>
      </w:r>
    </w:p>
    <w:p w:rsidR="00E81970" w:rsidRPr="00E81970" w:rsidRDefault="00E81970" w:rsidP="00E81970">
      <w:pPr>
        <w:pStyle w:val="tabletitle"/>
      </w:pPr>
      <w:bookmarkStart w:id="21" w:name="_Toc454947012"/>
      <w:bookmarkStart w:id="22" w:name="_Toc498936229"/>
      <w:r>
        <w:lastRenderedPageBreak/>
        <w:t xml:space="preserve">Table </w:t>
      </w:r>
      <w:r>
        <w:fldChar w:fldCharType="begin"/>
      </w:r>
      <w:r>
        <w:instrText xml:space="preserve"> SEQ Table \* ARABIC </w:instrText>
      </w:r>
      <w:r>
        <w:fldChar w:fldCharType="separate"/>
      </w:r>
      <w:r w:rsidR="00BF3209">
        <w:rPr>
          <w:noProof/>
        </w:rPr>
        <w:t>1</w:t>
      </w:r>
      <w:r>
        <w:fldChar w:fldCharType="end"/>
      </w:r>
      <w:r>
        <w:tab/>
      </w:r>
      <w:r w:rsidRPr="00E81970">
        <w:t>Number of SA3 regions by state and territory and metropolitan status</w:t>
      </w:r>
      <w:bookmarkEnd w:id="21"/>
      <w:bookmarkEnd w:id="22"/>
    </w:p>
    <w:tbl>
      <w:tblPr>
        <w:tblW w:w="5000" w:type="pct"/>
        <w:tblLook w:val="0600" w:firstRow="0" w:lastRow="0" w:firstColumn="0" w:lastColumn="0" w:noHBand="1" w:noVBand="1"/>
      </w:tblPr>
      <w:tblGrid>
        <w:gridCol w:w="1643"/>
        <w:gridCol w:w="817"/>
        <w:gridCol w:w="818"/>
        <w:gridCol w:w="818"/>
        <w:gridCol w:w="818"/>
        <w:gridCol w:w="818"/>
        <w:gridCol w:w="818"/>
        <w:gridCol w:w="818"/>
        <w:gridCol w:w="818"/>
        <w:gridCol w:w="818"/>
      </w:tblGrid>
      <w:tr w:rsidR="00E81970" w:rsidRPr="00E81970" w:rsidTr="00F72EBE">
        <w:trPr>
          <w:trHeight w:val="300"/>
        </w:trPr>
        <w:tc>
          <w:tcPr>
            <w:tcW w:w="913" w:type="pct"/>
            <w:tcBorders>
              <w:top w:val="single" w:sz="4" w:space="0" w:color="auto"/>
              <w:left w:val="nil"/>
              <w:bottom w:val="single" w:sz="4" w:space="0" w:color="auto"/>
              <w:right w:val="nil"/>
            </w:tcBorders>
            <w:shd w:val="clear" w:color="auto" w:fill="auto"/>
            <w:noWrap/>
            <w:vAlign w:val="bottom"/>
            <w:hideMark/>
          </w:tcPr>
          <w:p w:rsidR="00E81970" w:rsidRPr="00E81970" w:rsidRDefault="00E81970" w:rsidP="00E81970">
            <w:pPr>
              <w:pStyle w:val="Tablehead1"/>
            </w:pPr>
          </w:p>
        </w:tc>
        <w:tc>
          <w:tcPr>
            <w:tcW w:w="454" w:type="pct"/>
            <w:tcBorders>
              <w:top w:val="single" w:sz="4" w:space="0" w:color="auto"/>
              <w:left w:val="nil"/>
              <w:bottom w:val="single" w:sz="4" w:space="0" w:color="auto"/>
              <w:right w:val="nil"/>
            </w:tcBorders>
            <w:shd w:val="clear" w:color="auto" w:fill="auto"/>
            <w:noWrap/>
            <w:vAlign w:val="bottom"/>
            <w:hideMark/>
          </w:tcPr>
          <w:p w:rsidR="00E81970" w:rsidRPr="00E81970" w:rsidRDefault="00E81970" w:rsidP="00E81970">
            <w:pPr>
              <w:pStyle w:val="Tablehead1"/>
            </w:pPr>
            <w:r w:rsidRPr="00E81970">
              <w:t>NSW</w:t>
            </w:r>
          </w:p>
        </w:tc>
        <w:tc>
          <w:tcPr>
            <w:tcW w:w="454" w:type="pct"/>
            <w:tcBorders>
              <w:top w:val="single" w:sz="4" w:space="0" w:color="auto"/>
              <w:left w:val="nil"/>
              <w:bottom w:val="single" w:sz="4" w:space="0" w:color="auto"/>
              <w:right w:val="nil"/>
            </w:tcBorders>
            <w:shd w:val="clear" w:color="auto" w:fill="auto"/>
            <w:noWrap/>
            <w:vAlign w:val="bottom"/>
            <w:hideMark/>
          </w:tcPr>
          <w:p w:rsidR="00E81970" w:rsidRPr="00E81970" w:rsidRDefault="00E81970" w:rsidP="00E81970">
            <w:pPr>
              <w:pStyle w:val="Tablehead1"/>
            </w:pPr>
            <w:r w:rsidRPr="00E81970">
              <w:t>VIC</w:t>
            </w:r>
          </w:p>
        </w:tc>
        <w:tc>
          <w:tcPr>
            <w:tcW w:w="454" w:type="pct"/>
            <w:tcBorders>
              <w:top w:val="single" w:sz="4" w:space="0" w:color="auto"/>
              <w:left w:val="nil"/>
              <w:bottom w:val="single" w:sz="4" w:space="0" w:color="auto"/>
              <w:right w:val="nil"/>
            </w:tcBorders>
            <w:shd w:val="clear" w:color="auto" w:fill="auto"/>
            <w:noWrap/>
            <w:vAlign w:val="bottom"/>
            <w:hideMark/>
          </w:tcPr>
          <w:p w:rsidR="00E81970" w:rsidRPr="00E81970" w:rsidRDefault="00E81970" w:rsidP="00E81970">
            <w:pPr>
              <w:pStyle w:val="Tablehead1"/>
            </w:pPr>
            <w:r w:rsidRPr="00E81970">
              <w:t>QLD</w:t>
            </w:r>
          </w:p>
        </w:tc>
        <w:tc>
          <w:tcPr>
            <w:tcW w:w="454" w:type="pct"/>
            <w:tcBorders>
              <w:top w:val="single" w:sz="4" w:space="0" w:color="auto"/>
              <w:left w:val="nil"/>
              <w:bottom w:val="single" w:sz="4" w:space="0" w:color="auto"/>
              <w:right w:val="nil"/>
            </w:tcBorders>
            <w:shd w:val="clear" w:color="auto" w:fill="auto"/>
            <w:noWrap/>
            <w:vAlign w:val="bottom"/>
            <w:hideMark/>
          </w:tcPr>
          <w:p w:rsidR="00E81970" w:rsidRPr="00E81970" w:rsidRDefault="00E81970" w:rsidP="00E81970">
            <w:pPr>
              <w:pStyle w:val="Tablehead1"/>
            </w:pPr>
            <w:r w:rsidRPr="00E81970">
              <w:t>SA</w:t>
            </w:r>
          </w:p>
        </w:tc>
        <w:tc>
          <w:tcPr>
            <w:tcW w:w="454" w:type="pct"/>
            <w:tcBorders>
              <w:top w:val="single" w:sz="4" w:space="0" w:color="auto"/>
              <w:left w:val="nil"/>
              <w:bottom w:val="single" w:sz="4" w:space="0" w:color="auto"/>
              <w:right w:val="nil"/>
            </w:tcBorders>
            <w:shd w:val="clear" w:color="auto" w:fill="auto"/>
            <w:noWrap/>
            <w:vAlign w:val="bottom"/>
            <w:hideMark/>
          </w:tcPr>
          <w:p w:rsidR="00E81970" w:rsidRPr="00E81970" w:rsidRDefault="00E81970" w:rsidP="00E81970">
            <w:pPr>
              <w:pStyle w:val="Tablehead1"/>
            </w:pPr>
            <w:r w:rsidRPr="00E81970">
              <w:t>WA</w:t>
            </w:r>
          </w:p>
        </w:tc>
        <w:tc>
          <w:tcPr>
            <w:tcW w:w="454" w:type="pct"/>
            <w:tcBorders>
              <w:top w:val="single" w:sz="4" w:space="0" w:color="auto"/>
              <w:left w:val="nil"/>
              <w:bottom w:val="single" w:sz="4" w:space="0" w:color="auto"/>
              <w:right w:val="nil"/>
            </w:tcBorders>
            <w:shd w:val="clear" w:color="auto" w:fill="auto"/>
            <w:noWrap/>
            <w:vAlign w:val="bottom"/>
            <w:hideMark/>
          </w:tcPr>
          <w:p w:rsidR="00E81970" w:rsidRPr="00E81970" w:rsidRDefault="00E81970" w:rsidP="00E81970">
            <w:pPr>
              <w:pStyle w:val="Tablehead1"/>
            </w:pPr>
            <w:r w:rsidRPr="00E81970">
              <w:t>TAS</w:t>
            </w:r>
          </w:p>
        </w:tc>
        <w:tc>
          <w:tcPr>
            <w:tcW w:w="454" w:type="pct"/>
            <w:tcBorders>
              <w:top w:val="single" w:sz="4" w:space="0" w:color="auto"/>
              <w:left w:val="nil"/>
              <w:bottom w:val="single" w:sz="4" w:space="0" w:color="auto"/>
              <w:right w:val="nil"/>
            </w:tcBorders>
            <w:shd w:val="clear" w:color="auto" w:fill="auto"/>
            <w:noWrap/>
            <w:vAlign w:val="bottom"/>
            <w:hideMark/>
          </w:tcPr>
          <w:p w:rsidR="00E81970" w:rsidRPr="00E81970" w:rsidRDefault="00E81970" w:rsidP="00E81970">
            <w:pPr>
              <w:pStyle w:val="Tablehead1"/>
            </w:pPr>
            <w:r w:rsidRPr="00E81970">
              <w:t>NT</w:t>
            </w:r>
          </w:p>
        </w:tc>
        <w:tc>
          <w:tcPr>
            <w:tcW w:w="454" w:type="pct"/>
            <w:tcBorders>
              <w:top w:val="single" w:sz="4" w:space="0" w:color="auto"/>
              <w:left w:val="nil"/>
              <w:bottom w:val="single" w:sz="4" w:space="0" w:color="auto"/>
              <w:right w:val="nil"/>
            </w:tcBorders>
            <w:shd w:val="clear" w:color="auto" w:fill="auto"/>
            <w:noWrap/>
            <w:vAlign w:val="bottom"/>
            <w:hideMark/>
          </w:tcPr>
          <w:p w:rsidR="00E81970" w:rsidRPr="00E81970" w:rsidRDefault="00E81970" w:rsidP="00E81970">
            <w:pPr>
              <w:pStyle w:val="Tablehead1"/>
            </w:pPr>
            <w:r w:rsidRPr="00E81970">
              <w:t>ACT</w:t>
            </w:r>
          </w:p>
        </w:tc>
        <w:tc>
          <w:tcPr>
            <w:tcW w:w="454" w:type="pct"/>
            <w:tcBorders>
              <w:top w:val="single" w:sz="4" w:space="0" w:color="auto"/>
              <w:left w:val="nil"/>
              <w:bottom w:val="single" w:sz="4" w:space="0" w:color="auto"/>
              <w:right w:val="nil"/>
            </w:tcBorders>
            <w:shd w:val="clear" w:color="auto" w:fill="auto"/>
            <w:noWrap/>
            <w:vAlign w:val="bottom"/>
            <w:hideMark/>
          </w:tcPr>
          <w:p w:rsidR="00E81970" w:rsidRPr="00E81970" w:rsidRDefault="00E81970" w:rsidP="00E81970">
            <w:pPr>
              <w:pStyle w:val="Tablehead1"/>
            </w:pPr>
            <w:r w:rsidRPr="00E81970">
              <w:t>AUS</w:t>
            </w:r>
          </w:p>
        </w:tc>
      </w:tr>
      <w:tr w:rsidR="00E81970" w:rsidRPr="00E81970" w:rsidTr="0021592C">
        <w:trPr>
          <w:trHeight w:val="300"/>
        </w:trPr>
        <w:tc>
          <w:tcPr>
            <w:tcW w:w="913" w:type="pct"/>
            <w:tcBorders>
              <w:top w:val="single" w:sz="4" w:space="0" w:color="auto"/>
              <w:left w:val="nil"/>
              <w:bottom w:val="nil"/>
              <w:right w:val="nil"/>
            </w:tcBorders>
            <w:shd w:val="clear" w:color="auto" w:fill="auto"/>
            <w:noWrap/>
            <w:vAlign w:val="bottom"/>
            <w:hideMark/>
          </w:tcPr>
          <w:p w:rsidR="00E81970" w:rsidRPr="00E81970" w:rsidRDefault="00E81970" w:rsidP="00E81970">
            <w:pPr>
              <w:pStyle w:val="Tabletext"/>
            </w:pPr>
            <w:r w:rsidRPr="00E81970">
              <w:t>Metropolitan</w:t>
            </w:r>
          </w:p>
        </w:tc>
        <w:tc>
          <w:tcPr>
            <w:tcW w:w="454" w:type="pct"/>
            <w:tcBorders>
              <w:top w:val="single" w:sz="4" w:space="0" w:color="auto"/>
              <w:left w:val="nil"/>
              <w:bottom w:val="nil"/>
              <w:right w:val="nil"/>
            </w:tcBorders>
            <w:shd w:val="clear" w:color="auto" w:fill="auto"/>
            <w:noWrap/>
            <w:vAlign w:val="bottom"/>
            <w:hideMark/>
          </w:tcPr>
          <w:p w:rsidR="00E81970" w:rsidRPr="00E81970" w:rsidRDefault="00E81970" w:rsidP="00E81970">
            <w:pPr>
              <w:pStyle w:val="Tabletext"/>
            </w:pPr>
            <w:r w:rsidRPr="00E81970">
              <w:t>46</w:t>
            </w:r>
          </w:p>
        </w:tc>
        <w:tc>
          <w:tcPr>
            <w:tcW w:w="454" w:type="pct"/>
            <w:tcBorders>
              <w:top w:val="single" w:sz="4" w:space="0" w:color="auto"/>
              <w:left w:val="nil"/>
              <w:bottom w:val="nil"/>
              <w:right w:val="nil"/>
            </w:tcBorders>
            <w:shd w:val="clear" w:color="auto" w:fill="auto"/>
            <w:noWrap/>
            <w:vAlign w:val="bottom"/>
            <w:hideMark/>
          </w:tcPr>
          <w:p w:rsidR="00E81970" w:rsidRPr="00E81970" w:rsidRDefault="00E81970" w:rsidP="00E81970">
            <w:pPr>
              <w:pStyle w:val="Tabletext"/>
            </w:pPr>
            <w:r w:rsidRPr="00E81970">
              <w:t>40</w:t>
            </w:r>
          </w:p>
        </w:tc>
        <w:tc>
          <w:tcPr>
            <w:tcW w:w="454" w:type="pct"/>
            <w:tcBorders>
              <w:top w:val="single" w:sz="4" w:space="0" w:color="auto"/>
              <w:left w:val="nil"/>
              <w:bottom w:val="nil"/>
              <w:right w:val="nil"/>
            </w:tcBorders>
            <w:shd w:val="clear" w:color="auto" w:fill="auto"/>
            <w:noWrap/>
            <w:vAlign w:val="bottom"/>
            <w:hideMark/>
          </w:tcPr>
          <w:p w:rsidR="00E81970" w:rsidRPr="00E81970" w:rsidRDefault="00E81970" w:rsidP="00E81970">
            <w:pPr>
              <w:pStyle w:val="Tabletext"/>
            </w:pPr>
            <w:r w:rsidRPr="00E81970">
              <w:t>39</w:t>
            </w:r>
          </w:p>
        </w:tc>
        <w:tc>
          <w:tcPr>
            <w:tcW w:w="454" w:type="pct"/>
            <w:tcBorders>
              <w:top w:val="single" w:sz="4" w:space="0" w:color="auto"/>
              <w:left w:val="nil"/>
              <w:bottom w:val="nil"/>
              <w:right w:val="nil"/>
            </w:tcBorders>
            <w:shd w:val="clear" w:color="auto" w:fill="auto"/>
            <w:noWrap/>
            <w:vAlign w:val="bottom"/>
            <w:hideMark/>
          </w:tcPr>
          <w:p w:rsidR="00E81970" w:rsidRPr="00E81970" w:rsidRDefault="00E81970" w:rsidP="00E81970">
            <w:pPr>
              <w:pStyle w:val="Tabletext"/>
            </w:pPr>
            <w:r w:rsidRPr="00E81970">
              <w:t>19</w:t>
            </w:r>
          </w:p>
        </w:tc>
        <w:tc>
          <w:tcPr>
            <w:tcW w:w="454" w:type="pct"/>
            <w:tcBorders>
              <w:top w:val="single" w:sz="4" w:space="0" w:color="auto"/>
              <w:left w:val="nil"/>
              <w:bottom w:val="nil"/>
              <w:right w:val="nil"/>
            </w:tcBorders>
            <w:shd w:val="clear" w:color="auto" w:fill="auto"/>
            <w:noWrap/>
            <w:vAlign w:val="bottom"/>
            <w:hideMark/>
          </w:tcPr>
          <w:p w:rsidR="00E81970" w:rsidRPr="00E81970" w:rsidRDefault="00E81970" w:rsidP="00E81970">
            <w:pPr>
              <w:pStyle w:val="Tabletext"/>
            </w:pPr>
            <w:r w:rsidRPr="00E81970">
              <w:t>21</w:t>
            </w:r>
          </w:p>
        </w:tc>
        <w:tc>
          <w:tcPr>
            <w:tcW w:w="454" w:type="pct"/>
            <w:tcBorders>
              <w:top w:val="single" w:sz="4" w:space="0" w:color="auto"/>
              <w:left w:val="nil"/>
              <w:bottom w:val="nil"/>
              <w:right w:val="nil"/>
            </w:tcBorders>
            <w:shd w:val="clear" w:color="auto" w:fill="auto"/>
            <w:noWrap/>
            <w:vAlign w:val="bottom"/>
            <w:hideMark/>
          </w:tcPr>
          <w:p w:rsidR="00E81970" w:rsidRPr="00E81970" w:rsidRDefault="00E81970" w:rsidP="00E81970">
            <w:pPr>
              <w:pStyle w:val="Tabletext"/>
            </w:pPr>
            <w:r w:rsidRPr="00E81970">
              <w:t>6</w:t>
            </w:r>
          </w:p>
        </w:tc>
        <w:tc>
          <w:tcPr>
            <w:tcW w:w="454" w:type="pct"/>
            <w:tcBorders>
              <w:top w:val="single" w:sz="4" w:space="0" w:color="auto"/>
              <w:left w:val="nil"/>
              <w:bottom w:val="nil"/>
              <w:right w:val="nil"/>
            </w:tcBorders>
            <w:shd w:val="clear" w:color="auto" w:fill="auto"/>
            <w:noWrap/>
            <w:vAlign w:val="bottom"/>
            <w:hideMark/>
          </w:tcPr>
          <w:p w:rsidR="00E81970" w:rsidRPr="00E81970" w:rsidRDefault="00E81970" w:rsidP="00E81970">
            <w:pPr>
              <w:pStyle w:val="Tabletext"/>
            </w:pPr>
            <w:r w:rsidRPr="00E81970">
              <w:t>4</w:t>
            </w:r>
          </w:p>
        </w:tc>
        <w:tc>
          <w:tcPr>
            <w:tcW w:w="454" w:type="pct"/>
            <w:tcBorders>
              <w:top w:val="single" w:sz="4" w:space="0" w:color="auto"/>
              <w:left w:val="nil"/>
              <w:bottom w:val="nil"/>
              <w:right w:val="nil"/>
            </w:tcBorders>
            <w:shd w:val="clear" w:color="auto" w:fill="auto"/>
            <w:noWrap/>
            <w:vAlign w:val="bottom"/>
            <w:hideMark/>
          </w:tcPr>
          <w:p w:rsidR="00E81970" w:rsidRPr="00E81970" w:rsidRDefault="00E81970" w:rsidP="00E81970">
            <w:pPr>
              <w:pStyle w:val="Tabletext"/>
            </w:pPr>
            <w:r w:rsidRPr="00E81970">
              <w:t>9</w:t>
            </w:r>
          </w:p>
        </w:tc>
        <w:tc>
          <w:tcPr>
            <w:tcW w:w="454" w:type="pct"/>
            <w:tcBorders>
              <w:top w:val="single" w:sz="4" w:space="0" w:color="auto"/>
              <w:left w:val="nil"/>
              <w:bottom w:val="nil"/>
              <w:right w:val="nil"/>
            </w:tcBorders>
            <w:shd w:val="clear" w:color="auto" w:fill="auto"/>
            <w:noWrap/>
            <w:vAlign w:val="bottom"/>
            <w:hideMark/>
          </w:tcPr>
          <w:p w:rsidR="00E81970" w:rsidRPr="00E81970" w:rsidRDefault="00E81970" w:rsidP="00E81970">
            <w:pPr>
              <w:pStyle w:val="Tabletext"/>
            </w:pPr>
            <w:r w:rsidRPr="00E81970">
              <w:t>184</w:t>
            </w:r>
          </w:p>
        </w:tc>
      </w:tr>
      <w:tr w:rsidR="00E81970" w:rsidRPr="00E81970" w:rsidTr="0021592C">
        <w:trPr>
          <w:trHeight w:val="300"/>
        </w:trPr>
        <w:tc>
          <w:tcPr>
            <w:tcW w:w="913" w:type="pct"/>
            <w:tcBorders>
              <w:top w:val="nil"/>
              <w:left w:val="nil"/>
              <w:bottom w:val="single" w:sz="4" w:space="0" w:color="auto"/>
              <w:right w:val="nil"/>
            </w:tcBorders>
            <w:shd w:val="clear" w:color="auto" w:fill="auto"/>
            <w:noWrap/>
            <w:vAlign w:val="bottom"/>
            <w:hideMark/>
          </w:tcPr>
          <w:p w:rsidR="00E81970" w:rsidRPr="00E81970" w:rsidRDefault="00E81970" w:rsidP="00E81970">
            <w:pPr>
              <w:pStyle w:val="Tabletext"/>
            </w:pPr>
            <w:r w:rsidRPr="00E81970">
              <w:t>Non-metropolitan</w:t>
            </w:r>
          </w:p>
        </w:tc>
        <w:tc>
          <w:tcPr>
            <w:tcW w:w="454" w:type="pct"/>
            <w:tcBorders>
              <w:top w:val="nil"/>
              <w:left w:val="nil"/>
              <w:bottom w:val="single" w:sz="4" w:space="0" w:color="auto"/>
              <w:right w:val="nil"/>
            </w:tcBorders>
            <w:shd w:val="clear" w:color="auto" w:fill="auto"/>
            <w:noWrap/>
            <w:vAlign w:val="bottom"/>
            <w:hideMark/>
          </w:tcPr>
          <w:p w:rsidR="00E81970" w:rsidRPr="00E81970" w:rsidRDefault="00E81970" w:rsidP="00E81970">
            <w:pPr>
              <w:pStyle w:val="Tabletext"/>
            </w:pPr>
            <w:r w:rsidRPr="00E81970">
              <w:t>43</w:t>
            </w:r>
          </w:p>
        </w:tc>
        <w:tc>
          <w:tcPr>
            <w:tcW w:w="454" w:type="pct"/>
            <w:tcBorders>
              <w:top w:val="nil"/>
              <w:left w:val="nil"/>
              <w:bottom w:val="single" w:sz="4" w:space="0" w:color="auto"/>
              <w:right w:val="nil"/>
            </w:tcBorders>
            <w:shd w:val="clear" w:color="auto" w:fill="auto"/>
            <w:noWrap/>
            <w:vAlign w:val="bottom"/>
            <w:hideMark/>
          </w:tcPr>
          <w:p w:rsidR="00E81970" w:rsidRPr="00E81970" w:rsidRDefault="00E81970" w:rsidP="00E81970">
            <w:pPr>
              <w:pStyle w:val="Tabletext"/>
            </w:pPr>
            <w:r w:rsidRPr="00E81970">
              <w:t>25</w:t>
            </w:r>
          </w:p>
        </w:tc>
        <w:tc>
          <w:tcPr>
            <w:tcW w:w="454" w:type="pct"/>
            <w:tcBorders>
              <w:top w:val="nil"/>
              <w:left w:val="nil"/>
              <w:bottom w:val="single" w:sz="4" w:space="0" w:color="auto"/>
              <w:right w:val="nil"/>
            </w:tcBorders>
            <w:shd w:val="clear" w:color="auto" w:fill="auto"/>
            <w:noWrap/>
            <w:vAlign w:val="bottom"/>
            <w:hideMark/>
          </w:tcPr>
          <w:p w:rsidR="00E81970" w:rsidRPr="00E81970" w:rsidRDefault="00E81970" w:rsidP="00E81970">
            <w:pPr>
              <w:pStyle w:val="Tabletext"/>
            </w:pPr>
            <w:r w:rsidRPr="00E81970">
              <w:t>41</w:t>
            </w:r>
          </w:p>
        </w:tc>
        <w:tc>
          <w:tcPr>
            <w:tcW w:w="454" w:type="pct"/>
            <w:tcBorders>
              <w:top w:val="nil"/>
              <w:left w:val="nil"/>
              <w:bottom w:val="single" w:sz="4" w:space="0" w:color="auto"/>
              <w:right w:val="nil"/>
            </w:tcBorders>
            <w:shd w:val="clear" w:color="auto" w:fill="auto"/>
            <w:noWrap/>
            <w:vAlign w:val="bottom"/>
            <w:hideMark/>
          </w:tcPr>
          <w:p w:rsidR="00E81970" w:rsidRPr="00E81970" w:rsidRDefault="00E81970" w:rsidP="00E81970">
            <w:pPr>
              <w:pStyle w:val="Tabletext"/>
            </w:pPr>
            <w:r w:rsidRPr="00E81970">
              <w:t>9</w:t>
            </w:r>
          </w:p>
        </w:tc>
        <w:tc>
          <w:tcPr>
            <w:tcW w:w="454" w:type="pct"/>
            <w:tcBorders>
              <w:top w:val="nil"/>
              <w:left w:val="nil"/>
              <w:bottom w:val="single" w:sz="4" w:space="0" w:color="auto"/>
              <w:right w:val="nil"/>
            </w:tcBorders>
            <w:shd w:val="clear" w:color="auto" w:fill="auto"/>
            <w:noWrap/>
            <w:vAlign w:val="bottom"/>
            <w:hideMark/>
          </w:tcPr>
          <w:p w:rsidR="00E81970" w:rsidRPr="00E81970" w:rsidRDefault="00E81970" w:rsidP="00E81970">
            <w:pPr>
              <w:pStyle w:val="Tabletext"/>
            </w:pPr>
            <w:r w:rsidRPr="00E81970">
              <w:t>12</w:t>
            </w:r>
          </w:p>
        </w:tc>
        <w:tc>
          <w:tcPr>
            <w:tcW w:w="454" w:type="pct"/>
            <w:tcBorders>
              <w:top w:val="nil"/>
              <w:left w:val="nil"/>
              <w:bottom w:val="single" w:sz="4" w:space="0" w:color="auto"/>
              <w:right w:val="nil"/>
            </w:tcBorders>
            <w:shd w:val="clear" w:color="auto" w:fill="auto"/>
            <w:noWrap/>
            <w:vAlign w:val="bottom"/>
            <w:hideMark/>
          </w:tcPr>
          <w:p w:rsidR="00E81970" w:rsidRPr="00E81970" w:rsidRDefault="00E81970" w:rsidP="00E81970">
            <w:pPr>
              <w:pStyle w:val="Tabletext"/>
            </w:pPr>
            <w:r w:rsidRPr="00E81970">
              <w:t>9</w:t>
            </w:r>
          </w:p>
        </w:tc>
        <w:tc>
          <w:tcPr>
            <w:tcW w:w="454" w:type="pct"/>
            <w:tcBorders>
              <w:top w:val="nil"/>
              <w:left w:val="nil"/>
              <w:bottom w:val="single" w:sz="4" w:space="0" w:color="auto"/>
              <w:right w:val="nil"/>
            </w:tcBorders>
            <w:shd w:val="clear" w:color="auto" w:fill="auto"/>
            <w:noWrap/>
            <w:vAlign w:val="bottom"/>
            <w:hideMark/>
          </w:tcPr>
          <w:p w:rsidR="00E81970" w:rsidRPr="00E81970" w:rsidRDefault="00E81970" w:rsidP="00E81970">
            <w:pPr>
              <w:pStyle w:val="Tabletext"/>
            </w:pPr>
            <w:r w:rsidRPr="00E81970">
              <w:t>5</w:t>
            </w:r>
          </w:p>
        </w:tc>
        <w:tc>
          <w:tcPr>
            <w:tcW w:w="454" w:type="pct"/>
            <w:tcBorders>
              <w:top w:val="nil"/>
              <w:left w:val="nil"/>
              <w:bottom w:val="single" w:sz="4" w:space="0" w:color="auto"/>
              <w:right w:val="nil"/>
            </w:tcBorders>
            <w:shd w:val="clear" w:color="auto" w:fill="auto"/>
            <w:noWrap/>
            <w:vAlign w:val="bottom"/>
            <w:hideMark/>
          </w:tcPr>
          <w:p w:rsidR="00E81970" w:rsidRPr="00E81970" w:rsidRDefault="00E81970" w:rsidP="00E81970">
            <w:pPr>
              <w:pStyle w:val="Tabletext"/>
            </w:pPr>
            <w:r w:rsidRPr="00E81970">
              <w:t>0</w:t>
            </w:r>
          </w:p>
        </w:tc>
        <w:tc>
          <w:tcPr>
            <w:tcW w:w="454" w:type="pct"/>
            <w:tcBorders>
              <w:top w:val="nil"/>
              <w:left w:val="nil"/>
              <w:bottom w:val="single" w:sz="4" w:space="0" w:color="auto"/>
              <w:right w:val="nil"/>
            </w:tcBorders>
            <w:shd w:val="clear" w:color="auto" w:fill="auto"/>
            <w:noWrap/>
            <w:vAlign w:val="bottom"/>
            <w:hideMark/>
          </w:tcPr>
          <w:p w:rsidR="00E81970" w:rsidRPr="00E81970" w:rsidRDefault="00E81970" w:rsidP="00E81970">
            <w:pPr>
              <w:pStyle w:val="Tabletext"/>
            </w:pPr>
            <w:r w:rsidRPr="00E81970">
              <w:t>144</w:t>
            </w:r>
          </w:p>
        </w:tc>
      </w:tr>
      <w:tr w:rsidR="00E81970" w:rsidRPr="00E81970" w:rsidTr="0021592C">
        <w:trPr>
          <w:trHeight w:val="300"/>
        </w:trPr>
        <w:tc>
          <w:tcPr>
            <w:tcW w:w="913" w:type="pct"/>
            <w:tcBorders>
              <w:top w:val="single" w:sz="4" w:space="0" w:color="auto"/>
              <w:left w:val="nil"/>
              <w:bottom w:val="single" w:sz="4" w:space="0" w:color="auto"/>
              <w:right w:val="nil"/>
            </w:tcBorders>
            <w:shd w:val="clear" w:color="auto" w:fill="auto"/>
            <w:noWrap/>
            <w:vAlign w:val="bottom"/>
            <w:hideMark/>
          </w:tcPr>
          <w:p w:rsidR="00E81970" w:rsidRPr="00E81970" w:rsidRDefault="00E81970" w:rsidP="00E81970">
            <w:pPr>
              <w:pStyle w:val="Tabletext"/>
            </w:pPr>
            <w:r w:rsidRPr="00E81970">
              <w:t>Total</w:t>
            </w:r>
          </w:p>
        </w:tc>
        <w:tc>
          <w:tcPr>
            <w:tcW w:w="454" w:type="pct"/>
            <w:tcBorders>
              <w:top w:val="single" w:sz="4" w:space="0" w:color="auto"/>
              <w:left w:val="nil"/>
              <w:bottom w:val="single" w:sz="4" w:space="0" w:color="auto"/>
              <w:right w:val="nil"/>
            </w:tcBorders>
            <w:shd w:val="clear" w:color="auto" w:fill="auto"/>
            <w:noWrap/>
            <w:vAlign w:val="bottom"/>
            <w:hideMark/>
          </w:tcPr>
          <w:p w:rsidR="00E81970" w:rsidRPr="00E81970" w:rsidRDefault="00E81970" w:rsidP="00E81970">
            <w:pPr>
              <w:pStyle w:val="Tabletext"/>
            </w:pPr>
            <w:r w:rsidRPr="00E81970">
              <w:t>89</w:t>
            </w:r>
          </w:p>
        </w:tc>
        <w:tc>
          <w:tcPr>
            <w:tcW w:w="454" w:type="pct"/>
            <w:tcBorders>
              <w:top w:val="single" w:sz="4" w:space="0" w:color="auto"/>
              <w:left w:val="nil"/>
              <w:bottom w:val="single" w:sz="4" w:space="0" w:color="auto"/>
              <w:right w:val="nil"/>
            </w:tcBorders>
            <w:shd w:val="clear" w:color="auto" w:fill="auto"/>
            <w:noWrap/>
            <w:vAlign w:val="bottom"/>
            <w:hideMark/>
          </w:tcPr>
          <w:p w:rsidR="00E81970" w:rsidRPr="00E81970" w:rsidRDefault="00E81970" w:rsidP="00E81970">
            <w:pPr>
              <w:pStyle w:val="Tabletext"/>
            </w:pPr>
            <w:r w:rsidRPr="00E81970">
              <w:t>65</w:t>
            </w:r>
          </w:p>
        </w:tc>
        <w:tc>
          <w:tcPr>
            <w:tcW w:w="454" w:type="pct"/>
            <w:tcBorders>
              <w:top w:val="single" w:sz="4" w:space="0" w:color="auto"/>
              <w:left w:val="nil"/>
              <w:bottom w:val="single" w:sz="4" w:space="0" w:color="auto"/>
              <w:right w:val="nil"/>
            </w:tcBorders>
            <w:shd w:val="clear" w:color="auto" w:fill="auto"/>
            <w:noWrap/>
            <w:vAlign w:val="bottom"/>
            <w:hideMark/>
          </w:tcPr>
          <w:p w:rsidR="00E81970" w:rsidRPr="00E81970" w:rsidRDefault="00E81970" w:rsidP="00E81970">
            <w:pPr>
              <w:pStyle w:val="Tabletext"/>
            </w:pPr>
            <w:r w:rsidRPr="00E81970">
              <w:t>80</w:t>
            </w:r>
          </w:p>
        </w:tc>
        <w:tc>
          <w:tcPr>
            <w:tcW w:w="454" w:type="pct"/>
            <w:tcBorders>
              <w:top w:val="single" w:sz="4" w:space="0" w:color="auto"/>
              <w:left w:val="nil"/>
              <w:bottom w:val="single" w:sz="4" w:space="0" w:color="auto"/>
              <w:right w:val="nil"/>
            </w:tcBorders>
            <w:shd w:val="clear" w:color="auto" w:fill="auto"/>
            <w:noWrap/>
            <w:vAlign w:val="bottom"/>
            <w:hideMark/>
          </w:tcPr>
          <w:p w:rsidR="00E81970" w:rsidRPr="00E81970" w:rsidRDefault="00E81970" w:rsidP="00E81970">
            <w:pPr>
              <w:pStyle w:val="Tabletext"/>
            </w:pPr>
            <w:r w:rsidRPr="00E81970">
              <w:t>28</w:t>
            </w:r>
          </w:p>
        </w:tc>
        <w:tc>
          <w:tcPr>
            <w:tcW w:w="454" w:type="pct"/>
            <w:tcBorders>
              <w:top w:val="single" w:sz="4" w:space="0" w:color="auto"/>
              <w:left w:val="nil"/>
              <w:bottom w:val="single" w:sz="4" w:space="0" w:color="auto"/>
              <w:right w:val="nil"/>
            </w:tcBorders>
            <w:shd w:val="clear" w:color="auto" w:fill="auto"/>
            <w:noWrap/>
            <w:vAlign w:val="bottom"/>
            <w:hideMark/>
          </w:tcPr>
          <w:p w:rsidR="00E81970" w:rsidRPr="00E81970" w:rsidRDefault="00E81970" w:rsidP="00E81970">
            <w:pPr>
              <w:pStyle w:val="Tabletext"/>
            </w:pPr>
            <w:r w:rsidRPr="00E81970">
              <w:t>33</w:t>
            </w:r>
          </w:p>
        </w:tc>
        <w:tc>
          <w:tcPr>
            <w:tcW w:w="454" w:type="pct"/>
            <w:tcBorders>
              <w:top w:val="single" w:sz="4" w:space="0" w:color="auto"/>
              <w:left w:val="nil"/>
              <w:bottom w:val="single" w:sz="4" w:space="0" w:color="auto"/>
              <w:right w:val="nil"/>
            </w:tcBorders>
            <w:shd w:val="clear" w:color="auto" w:fill="auto"/>
            <w:noWrap/>
            <w:vAlign w:val="bottom"/>
            <w:hideMark/>
          </w:tcPr>
          <w:p w:rsidR="00E81970" w:rsidRPr="00E81970" w:rsidRDefault="00E81970" w:rsidP="00E81970">
            <w:pPr>
              <w:pStyle w:val="Tabletext"/>
            </w:pPr>
            <w:r w:rsidRPr="00E81970">
              <w:t>15</w:t>
            </w:r>
          </w:p>
        </w:tc>
        <w:tc>
          <w:tcPr>
            <w:tcW w:w="454" w:type="pct"/>
            <w:tcBorders>
              <w:top w:val="single" w:sz="4" w:space="0" w:color="auto"/>
              <w:left w:val="nil"/>
              <w:bottom w:val="single" w:sz="4" w:space="0" w:color="auto"/>
              <w:right w:val="nil"/>
            </w:tcBorders>
            <w:shd w:val="clear" w:color="auto" w:fill="auto"/>
            <w:noWrap/>
            <w:vAlign w:val="bottom"/>
            <w:hideMark/>
          </w:tcPr>
          <w:p w:rsidR="00E81970" w:rsidRPr="00E81970" w:rsidRDefault="00E81970" w:rsidP="00E81970">
            <w:pPr>
              <w:pStyle w:val="Tabletext"/>
            </w:pPr>
            <w:r w:rsidRPr="00E81970">
              <w:t>9</w:t>
            </w:r>
          </w:p>
        </w:tc>
        <w:tc>
          <w:tcPr>
            <w:tcW w:w="454" w:type="pct"/>
            <w:tcBorders>
              <w:top w:val="single" w:sz="4" w:space="0" w:color="auto"/>
              <w:left w:val="nil"/>
              <w:bottom w:val="single" w:sz="4" w:space="0" w:color="auto"/>
              <w:right w:val="nil"/>
            </w:tcBorders>
            <w:shd w:val="clear" w:color="auto" w:fill="auto"/>
            <w:noWrap/>
            <w:vAlign w:val="bottom"/>
            <w:hideMark/>
          </w:tcPr>
          <w:p w:rsidR="00E81970" w:rsidRPr="00E81970" w:rsidRDefault="00E81970" w:rsidP="00E81970">
            <w:pPr>
              <w:pStyle w:val="Tabletext"/>
            </w:pPr>
            <w:r w:rsidRPr="00E81970">
              <w:t>9</w:t>
            </w:r>
          </w:p>
        </w:tc>
        <w:tc>
          <w:tcPr>
            <w:tcW w:w="454" w:type="pct"/>
            <w:tcBorders>
              <w:top w:val="single" w:sz="4" w:space="0" w:color="auto"/>
              <w:left w:val="nil"/>
              <w:bottom w:val="single" w:sz="4" w:space="0" w:color="auto"/>
              <w:right w:val="nil"/>
            </w:tcBorders>
            <w:shd w:val="clear" w:color="auto" w:fill="auto"/>
            <w:noWrap/>
            <w:vAlign w:val="bottom"/>
            <w:hideMark/>
          </w:tcPr>
          <w:p w:rsidR="00E81970" w:rsidRPr="00E81970" w:rsidRDefault="00E81970" w:rsidP="00E81970">
            <w:pPr>
              <w:pStyle w:val="Tabletext"/>
            </w:pPr>
            <w:r w:rsidRPr="00E81970">
              <w:t>328</w:t>
            </w:r>
          </w:p>
        </w:tc>
      </w:tr>
    </w:tbl>
    <w:p w:rsidR="00E81970" w:rsidRPr="00E81970" w:rsidRDefault="00E81970" w:rsidP="00E81970">
      <w:pPr>
        <w:pStyle w:val="Source"/>
      </w:pPr>
      <w:r w:rsidRPr="00E81970">
        <w:t>Note:</w:t>
      </w:r>
      <w:r w:rsidRPr="00E81970">
        <w:tab/>
        <w:t>excludes Migratory – Offshore, Shipping and No Usual Address</w:t>
      </w:r>
    </w:p>
    <w:p w:rsidR="00E81970" w:rsidRPr="00E81970" w:rsidRDefault="00E81970" w:rsidP="00E81970">
      <w:pPr>
        <w:pStyle w:val="Source"/>
      </w:pPr>
      <w:r w:rsidRPr="00E81970">
        <w:t>Source:</w:t>
      </w:r>
      <w:r w:rsidRPr="00E81970">
        <w:tab/>
        <w:t>Australian Bureau of Statistics</w:t>
      </w:r>
    </w:p>
    <w:p w:rsidR="00E81970" w:rsidRDefault="00E81970" w:rsidP="00E81970">
      <w:pPr>
        <w:pStyle w:val="Text"/>
      </w:pPr>
      <w:bookmarkStart w:id="23" w:name="Data_sources"/>
      <w:bookmarkEnd w:id="23"/>
    </w:p>
    <w:p w:rsidR="00E81970" w:rsidRDefault="00E81970" w:rsidP="00E81970">
      <w:pPr>
        <w:pStyle w:val="Text"/>
      </w:pPr>
    </w:p>
    <w:p w:rsidR="00E81A36" w:rsidRDefault="00E81A36">
      <w:pPr>
        <w:spacing w:before="0" w:line="240" w:lineRule="auto"/>
        <w:rPr>
          <w:rFonts w:ascii="Arial" w:hAnsi="Arial" w:cs="Tahoma"/>
          <w:color w:val="000000"/>
          <w:kern w:val="28"/>
          <w:sz w:val="56"/>
          <w:szCs w:val="56"/>
        </w:rPr>
      </w:pPr>
      <w:r>
        <w:br w:type="page"/>
      </w:r>
    </w:p>
    <w:p w:rsidR="00E81970" w:rsidRDefault="00F72EBE" w:rsidP="00E81970">
      <w:pPr>
        <w:pStyle w:val="Heading1"/>
      </w:pPr>
      <w:bookmarkStart w:id="24" w:name="_Toc498936343"/>
      <w:r>
        <w:lastRenderedPageBreak/>
        <w:t>Regional VET participation r</w:t>
      </w:r>
      <w:r w:rsidR="00E81970">
        <w:t>ates</w:t>
      </w:r>
      <w:bookmarkEnd w:id="24"/>
    </w:p>
    <w:p w:rsidR="00E81970" w:rsidRDefault="00E81970" w:rsidP="00E81970">
      <w:pPr>
        <w:pStyle w:val="Heading2"/>
      </w:pPr>
      <w:bookmarkStart w:id="25" w:name="_Toc498936344"/>
      <w:r>
        <w:t>Deriving VET student counts</w:t>
      </w:r>
      <w:bookmarkEnd w:id="25"/>
    </w:p>
    <w:p w:rsidR="00E81970" w:rsidRDefault="00E81970" w:rsidP="00E81970">
      <w:pPr>
        <w:pStyle w:val="Text"/>
      </w:pPr>
      <w:r>
        <w:t xml:space="preserve">The extent to which disadvantaged populations are engaging in VET across Australia can be measured by examining the level of student participation or enrolment in VET courses or programs.  The National VET Provider Collection, managed by NCVER, is an administrative database containing enrolment data for all VET providers across Australia.  A subject-level total VET activity (TVA) CURF for the 2014 calendar year was supplied to the project by NCVER.  This annual collection adheres to the Australian Vocational Education and Training Management Information Statistical Standard (AVETMISS) to ensure consistency across all data fields and contains information regarding VET students, their programs or courses, providers and program outcomes (Anlezark &amp; Foley 2016).  </w:t>
      </w:r>
    </w:p>
    <w:p w:rsidR="00E81970" w:rsidRDefault="00E81970" w:rsidP="00E81970">
      <w:pPr>
        <w:pStyle w:val="Text"/>
      </w:pPr>
      <w:r>
        <w:t>The TVA dataset was used in conjunction with ABS population data to calculate VET participation rates at the regional level for all student</w:t>
      </w:r>
      <w:r w:rsidR="003934BF">
        <w:t>s and students from the five target populations of disadvantaged Australians</w:t>
      </w:r>
      <w:r>
        <w:t xml:space="preserve">.  A number of restrictions were imposed on the TVA dataset to better align the data with the scope of the study.  </w:t>
      </w:r>
    </w:p>
    <w:p w:rsidR="00E81970" w:rsidRDefault="00E81970" w:rsidP="00E81970">
      <w:pPr>
        <w:pStyle w:val="Text"/>
      </w:pPr>
      <w:r>
        <w:t xml:space="preserve">The VET population was restricted to students aged 15 to 64 years to best reflect the working-age population of Australia.  Since the focus of the project is on post-school VET, any activity flagged as VET in Schools has been excluded.  Similarly, ‘subject-only’ enrolments were removed from consideration as these are module enrolments not associated with a corresponding program or course.  </w:t>
      </w:r>
    </w:p>
    <w:p w:rsidR="00E81970" w:rsidRDefault="00E81970" w:rsidP="00E81970">
      <w:pPr>
        <w:pStyle w:val="Text"/>
      </w:pPr>
      <w:r>
        <w:t xml:space="preserve">The dataset was further restricted to include selected provider types, that is, TAFE institutes, universities, community providers and private providers, as these will form the focus of the case studies in the wider study.  In addition, the data was limited to government-funded VET activity only.  Government-funded VET activity has higher rates of participation by students from disadvantaged backgrounds than for total VET activity overall (Anlezark &amp; Foley 2016).  Moreover, in an analysis of the 2014 TVA data, NCVER noted that the proportion of data where student characteristics are unknown or missing is higher for the total VET activity, and therefore it is “difficult to be conclusive about where students live and their disability or Indigenous status” (Anlezark &amp; Foley 2016, </w:t>
      </w:r>
      <w:r w:rsidR="00F72EBE">
        <w:t>p.</w:t>
      </w:r>
      <w:r>
        <w:t xml:space="preserve">21).  The government-funded component of the TVA has relatively small proportions of missing data with respect to student background characteristics.  </w:t>
      </w:r>
    </w:p>
    <w:p w:rsidR="00E81970" w:rsidRDefault="00E81970" w:rsidP="00E81970">
      <w:pPr>
        <w:pStyle w:val="Text"/>
      </w:pPr>
      <w:r>
        <w:t xml:space="preserve">VET enrolments where the student’s home address location is missing were also excluded from the analysis.  Students are allocated to an SA3 region according to the location of their home address, rather than the location of delivery of their VET course.  This is done using the supplied Statistical Level 2 variable, which in some jurisdictions is geocoded from students’ street addresses, and in others is derived from an ABS correspondence of home postcode and suburb.  </w:t>
      </w:r>
    </w:p>
    <w:p w:rsidR="00E81970" w:rsidRDefault="00E81970" w:rsidP="00E81970">
      <w:pPr>
        <w:pStyle w:val="Text"/>
      </w:pPr>
      <w:r>
        <w:t>A final adjustment was made in relation to VET delivered with</w:t>
      </w:r>
      <w:r w:rsidR="00F72EBE">
        <w:t xml:space="preserve">in correctional facilities.  A </w:t>
      </w:r>
      <w:r>
        <w:t xml:space="preserve">small number of instances of VET activity in prisons could be identified via VET delivery location, and this has been removed from the dataset.  The separate funding code used in some state collections to report VET delivered in correctional facilities does not form part of AVETMISS, so some of this activity may remain.  Examining the provision of VET in corrections facilities is an important </w:t>
      </w:r>
      <w:proofErr w:type="gramStart"/>
      <w:r>
        <w:t>exercise,</w:t>
      </w:r>
      <w:proofErr w:type="gramEnd"/>
      <w:r>
        <w:t xml:space="preserve"> however, it does not fit within the purview of this project and leads to anomalies in regional participation rates.  </w:t>
      </w:r>
    </w:p>
    <w:p w:rsidR="00E81970" w:rsidRDefault="00E81970" w:rsidP="00E81970">
      <w:pPr>
        <w:pStyle w:val="Text"/>
      </w:pPr>
      <w:r>
        <w:lastRenderedPageBreak/>
        <w:t>In summary, as a result of the restrictions applied to the TVA CURF, VET participation in the analyses presented here always re</w:t>
      </w:r>
      <w:r w:rsidR="00F72EBE">
        <w:t>fers to an enrolment in a TAFE institute, u</w:t>
      </w:r>
      <w:r>
        <w:t xml:space="preserve">niversity, community or private provider, in a government-funded VET course or program that is not part of a VET in Schools program, by students aged between 15 and 64, having supplied a home address on enrolment, and where delivery has not taken place in a correctional facility.  </w:t>
      </w:r>
    </w:p>
    <w:p w:rsidR="00E81970" w:rsidRDefault="00E81970" w:rsidP="00E81970">
      <w:pPr>
        <w:pStyle w:val="Text"/>
      </w:pPr>
      <w:r>
        <w:t xml:space="preserve">The regional framework was applied at subject-level to the remaining CURF, with students allocated to the appropriate SA3 based on their home location.  Aggregate student counts were generated within each region or SA3.  This approach allows for students who live in more than one SA3 across the calendar year to be included in the student count for each of those regions.  The sum of students across the regions is 1 085 027.  SA3 regions where the number of VET students was small (fewer than 200 students) were excluded from the analyses.  This resulted in the exclusion of two regions from the ACT and one region from NSW.  </w:t>
      </w:r>
    </w:p>
    <w:p w:rsidR="00E81970" w:rsidRDefault="00E81970" w:rsidP="00E81970">
      <w:pPr>
        <w:pStyle w:val="Text"/>
      </w:pPr>
      <w:r>
        <w:t xml:space="preserve">The number of VET students across different </w:t>
      </w:r>
      <w:r w:rsidR="003934BF">
        <w:t>target</w:t>
      </w:r>
      <w:r>
        <w:t xml:space="preserve"> groups in each region has been calculated in a similar way.  The subjects associated with each sub-population of VET students, identified through supplied background characteristics self-reported by students on enrolment, were selected before aggregating student counts within regions.  This method was used to establish the number of VET students living in each SA3 from Indigenous backgrounds, students with a disability, LBOTE students and students with low levels of prior educational attainment.  </w:t>
      </w:r>
    </w:p>
    <w:p w:rsidR="00E81970" w:rsidRDefault="00E81970" w:rsidP="00E81970">
      <w:pPr>
        <w:pStyle w:val="Text"/>
      </w:pPr>
      <w:r>
        <w:t xml:space="preserve">A different approach was undertaken in identifying the number of unemployed students in each region.  The National VET Provider Collection, which holds the VET activity across the entire calendar year, effectively offers a rolling count of unemployed students, as labour force status is reported by students on enrolment, which can occur at any time during the year.  A count of unemployed individuals as provided in the TVA CURF will be higher than any point-in-time capture of unemployment, such as those offered by surveys such as the ABS Survey of Education and Work and the Census of Population and Housing.  For this reason, counts of unemployed students were restricted to VET activity across one month.  Students who were enrolled in August (the month corresponding to the Census) and who had indicated that they were unemployed were included in the aggregate student count at the regional level.  </w:t>
      </w:r>
    </w:p>
    <w:p w:rsidR="00E81970" w:rsidRDefault="00E81970" w:rsidP="00E81970">
      <w:pPr>
        <w:pStyle w:val="Text"/>
      </w:pPr>
      <w:r>
        <w:t xml:space="preserve">Selection of students from these </w:t>
      </w:r>
      <w:r w:rsidR="003934BF">
        <w:t>target</w:t>
      </w:r>
      <w:r>
        <w:t xml:space="preserve"> groups from the in-scope VET activity revealed 5.3 per cent of students overall identified as Indigenous, 8.6 per cent indicated they had a disability, 19.9 per cent came from a language background other than English, 12.6 per cent were unemployed and 34.2 per cent have low levels of prior educational attainment, that is they have not completed Year 12 nor a Certificate III or above.  </w:t>
      </w:r>
    </w:p>
    <w:p w:rsidR="00E81970" w:rsidRDefault="00E81970" w:rsidP="00E81970">
      <w:pPr>
        <w:pStyle w:val="Heading2"/>
      </w:pPr>
      <w:bookmarkStart w:id="26" w:name="_Toc498936345"/>
      <w:r>
        <w:t>Deriving population counts</w:t>
      </w:r>
      <w:bookmarkEnd w:id="26"/>
    </w:p>
    <w:p w:rsidR="00E81970" w:rsidRDefault="00E81970" w:rsidP="00E81970">
      <w:pPr>
        <w:pStyle w:val="Text"/>
      </w:pPr>
      <w:r>
        <w:t xml:space="preserve">Participation rates are calculated by dividing the regional student counts by the corresponding population of the SA3, or sub-population for </w:t>
      </w:r>
      <w:r w:rsidR="003934BF">
        <w:t>target</w:t>
      </w:r>
      <w:r>
        <w:t xml:space="preserve"> groups, and then multiplying by 100.  The data sources for these regional population figures varied according to availability.  For all students, regional residential population estimates for different age-groups for 2014 were available from the ABS and were used to derive population figures for 15 to 64 year-olds at SA3 level.  </w:t>
      </w:r>
    </w:p>
    <w:p w:rsidR="00E81970" w:rsidRDefault="00E81970" w:rsidP="00E81970">
      <w:pPr>
        <w:pStyle w:val="Text"/>
      </w:pPr>
      <w:r>
        <w:t xml:space="preserve">Regional estimates for Indigenous, LBOTE, unemployed and low educational attainment populations for the appropriate age group were derived from 2011 ABS Census of Population and Housing data.  These 2011 figures were adjusted to reflect the magnitude of the 2014 SA3 population to create regional estimates for each sub-population for 2014.  Six SA3s with very small Indigenous populations </w:t>
      </w:r>
      <w:r>
        <w:lastRenderedPageBreak/>
        <w:t xml:space="preserve">were excluded from analyses of Indigenous populations, that is, where the adjusted population was fewer than 75 (three of these regions were already excluded due to small VET student numbers, see above).  </w:t>
      </w:r>
    </w:p>
    <w:p w:rsidR="00E81970" w:rsidRDefault="00E81970" w:rsidP="00E81970">
      <w:pPr>
        <w:pStyle w:val="Text"/>
      </w:pPr>
      <w:r>
        <w:t xml:space="preserve">Reliable regional population estimates for people with a disability were unavailable.  Where there were estimates, the scope of disabilities included did not correspond to the AVETMISS categories in the TVA CURF.  For these reasons, when calculating regional VET participation rates for students with a disability, the total 2014 population for 15 to 64 year-olds in each SA3 was used.  Thus this participation rate is conceptually different to the others explored here, as it is not linked to the SA3 population of the </w:t>
      </w:r>
      <w:r w:rsidR="003934BF">
        <w:t>target</w:t>
      </w:r>
      <w:r>
        <w:t xml:space="preserve"> group, but rather the broader population of the region.  </w:t>
      </w:r>
    </w:p>
    <w:p w:rsidR="00E81970" w:rsidRDefault="00E81970" w:rsidP="00E81970">
      <w:pPr>
        <w:pStyle w:val="Heading2"/>
      </w:pPr>
      <w:bookmarkStart w:id="27" w:name="_Toc498936346"/>
      <w:r>
        <w:t>Variations in regional VET participation</w:t>
      </w:r>
      <w:bookmarkEnd w:id="27"/>
    </w:p>
    <w:p w:rsidR="00E81970" w:rsidRDefault="00E81970" w:rsidP="00E81970">
      <w:pPr>
        <w:pStyle w:val="Text"/>
      </w:pPr>
      <w:r>
        <w:t xml:space="preserve">An examination of regional VET participation rates, derived using the approach described above, reveals that participation in vocational training varies markedly across different areas of Australia.  Table 2 shows the mean regional rates of participation in the VET activity in-scope for this analysis, across all SA3s and for metropolitan and non-metropolitan regions separately, for all students and for key </w:t>
      </w:r>
      <w:r w:rsidR="003934BF">
        <w:t>target</w:t>
      </w:r>
      <w:r>
        <w:t xml:space="preserve"> groups.  Metropolitan regions are based on the ABS Greater Capital Cities Statistical Areas (GCCSA) and accordingly some non-metropolitan regions will incorporate provincial towns.  </w:t>
      </w:r>
    </w:p>
    <w:p w:rsidR="00E81970" w:rsidRDefault="00E81970" w:rsidP="00E81970">
      <w:pPr>
        <w:pStyle w:val="Text"/>
      </w:pPr>
      <w:r>
        <w:t xml:space="preserve">The overall mean regional participation rate in the VET activity in scope for this </w:t>
      </w:r>
      <w:r w:rsidR="00760FC1">
        <w:t>report</w:t>
      </w:r>
      <w:r>
        <w:t xml:space="preserve"> is 7%.  The results show that, on average, 15.1% of the Indigenous population within a region is enrolled in VET.  Furthermore, the mean rate of participation in VET across all regions is 6.6% for the LBOTE population, 19.4% for the unemployed and 7.5% for those with low levels of educational attainment.  Expressed as a proportion of the total population in the SA3, the mean regional participation rate for students with a disability is 0.6%.  </w:t>
      </w:r>
    </w:p>
    <w:p w:rsidR="00E81970" w:rsidRDefault="00E81970" w:rsidP="00E81970">
      <w:pPr>
        <w:pStyle w:val="Text"/>
      </w:pPr>
      <w:r>
        <w:t xml:space="preserve">Overall participation is higher across non-metropolitan regions at 7.9% of the population compared to 6.2% in capital city areas.  As Table 2 demonstrates, this pattern is mirrored across the different </w:t>
      </w:r>
      <w:r w:rsidR="003934BF">
        <w:t>target</w:t>
      </w:r>
      <w:r>
        <w:t xml:space="preserve"> groups, with regional means higher outside capital city areas across all groups.</w:t>
      </w:r>
    </w:p>
    <w:p w:rsidR="001E6BE6" w:rsidRPr="001E6BE6" w:rsidRDefault="001E6BE6" w:rsidP="001E6BE6">
      <w:pPr>
        <w:pStyle w:val="tabletitle"/>
      </w:pPr>
      <w:bookmarkStart w:id="28" w:name="_Toc454947013"/>
      <w:bookmarkStart w:id="29" w:name="_Toc498936230"/>
      <w:r>
        <w:t xml:space="preserve">Table </w:t>
      </w:r>
      <w:r>
        <w:fldChar w:fldCharType="begin"/>
      </w:r>
      <w:r>
        <w:instrText xml:space="preserve"> SEQ Table \* ARABIC </w:instrText>
      </w:r>
      <w:r>
        <w:fldChar w:fldCharType="separate"/>
      </w:r>
      <w:r w:rsidR="00BF3209">
        <w:rPr>
          <w:noProof/>
        </w:rPr>
        <w:t>2</w:t>
      </w:r>
      <w:r>
        <w:fldChar w:fldCharType="end"/>
      </w:r>
      <w:r>
        <w:tab/>
      </w:r>
      <w:r w:rsidRPr="001E6BE6">
        <w:t xml:space="preserve">Mean regional VET participation rates, for all students and </w:t>
      </w:r>
      <w:r w:rsidR="00F60948">
        <w:t>target</w:t>
      </w:r>
      <w:r w:rsidRPr="001E6BE6">
        <w:t xml:space="preserve"> groups, by metropolitan status, 2014</w:t>
      </w:r>
      <w:bookmarkEnd w:id="28"/>
      <w:r w:rsidRPr="001E6BE6">
        <w:t xml:space="preserve"> (%)</w:t>
      </w:r>
      <w:bookmarkEnd w:id="29"/>
    </w:p>
    <w:tbl>
      <w:tblPr>
        <w:tblW w:w="5238" w:type="pct"/>
        <w:tblLayout w:type="fixed"/>
        <w:tblLook w:val="04A0" w:firstRow="1" w:lastRow="0" w:firstColumn="1" w:lastColumn="0" w:noHBand="0" w:noVBand="1"/>
      </w:tblPr>
      <w:tblGrid>
        <w:gridCol w:w="1938"/>
        <w:gridCol w:w="2354"/>
        <w:gridCol w:w="2354"/>
        <w:gridCol w:w="2787"/>
      </w:tblGrid>
      <w:tr w:rsidR="006709E1" w:rsidRPr="00215737" w:rsidTr="006709E1">
        <w:trPr>
          <w:trHeight w:val="283"/>
        </w:trPr>
        <w:tc>
          <w:tcPr>
            <w:tcW w:w="1027" w:type="pct"/>
            <w:tcBorders>
              <w:top w:val="single" w:sz="4" w:space="0" w:color="auto"/>
            </w:tcBorders>
            <w:shd w:val="clear" w:color="auto" w:fill="auto"/>
            <w:noWrap/>
            <w:vAlign w:val="bottom"/>
          </w:tcPr>
          <w:p w:rsidR="006709E1" w:rsidRPr="00215737" w:rsidRDefault="006709E1" w:rsidP="006709E1">
            <w:pPr>
              <w:pStyle w:val="Tablehead1"/>
              <w:rPr>
                <w:lang w:eastAsia="en-AU"/>
              </w:rPr>
            </w:pPr>
          </w:p>
        </w:tc>
        <w:tc>
          <w:tcPr>
            <w:tcW w:w="3973" w:type="pct"/>
            <w:gridSpan w:val="3"/>
            <w:tcBorders>
              <w:top w:val="single" w:sz="4" w:space="0" w:color="auto"/>
            </w:tcBorders>
            <w:vAlign w:val="bottom"/>
          </w:tcPr>
          <w:p w:rsidR="006709E1" w:rsidRPr="00215737" w:rsidRDefault="006709E1" w:rsidP="004064A4">
            <w:pPr>
              <w:pStyle w:val="Tablehead1"/>
              <w:jc w:val="center"/>
              <w:rPr>
                <w:lang w:eastAsia="en-AU"/>
              </w:rPr>
            </w:pPr>
            <w:r w:rsidRPr="00215737">
              <w:rPr>
                <w:lang w:eastAsia="en-AU"/>
              </w:rPr>
              <w:t>Mean regional VET participation rates</w:t>
            </w:r>
          </w:p>
        </w:tc>
      </w:tr>
      <w:tr w:rsidR="006709E1" w:rsidRPr="00215737" w:rsidTr="006709E1">
        <w:trPr>
          <w:trHeight w:val="283"/>
        </w:trPr>
        <w:tc>
          <w:tcPr>
            <w:tcW w:w="1027" w:type="pct"/>
            <w:tcBorders>
              <w:bottom w:val="single" w:sz="4" w:space="0" w:color="auto"/>
            </w:tcBorders>
            <w:shd w:val="clear" w:color="auto" w:fill="auto"/>
            <w:noWrap/>
            <w:vAlign w:val="bottom"/>
          </w:tcPr>
          <w:p w:rsidR="006709E1" w:rsidRPr="00215737" w:rsidRDefault="006709E1" w:rsidP="006709E1">
            <w:pPr>
              <w:pStyle w:val="Tablehead2"/>
              <w:rPr>
                <w:lang w:eastAsia="en-AU"/>
              </w:rPr>
            </w:pPr>
          </w:p>
        </w:tc>
        <w:tc>
          <w:tcPr>
            <w:tcW w:w="1248" w:type="pct"/>
            <w:tcBorders>
              <w:bottom w:val="single" w:sz="4" w:space="0" w:color="auto"/>
            </w:tcBorders>
            <w:vAlign w:val="center"/>
          </w:tcPr>
          <w:p w:rsidR="006709E1" w:rsidRPr="00215737" w:rsidRDefault="006709E1" w:rsidP="004064A4">
            <w:pPr>
              <w:pStyle w:val="Tablehead2"/>
              <w:jc w:val="center"/>
              <w:rPr>
                <w:lang w:eastAsia="en-AU"/>
              </w:rPr>
            </w:pPr>
            <w:r w:rsidRPr="00215737">
              <w:rPr>
                <w:lang w:eastAsia="en-AU"/>
              </w:rPr>
              <w:t>All regions</w:t>
            </w:r>
          </w:p>
        </w:tc>
        <w:tc>
          <w:tcPr>
            <w:tcW w:w="1248" w:type="pct"/>
            <w:tcBorders>
              <w:bottom w:val="single" w:sz="4" w:space="0" w:color="auto"/>
            </w:tcBorders>
            <w:shd w:val="clear" w:color="auto" w:fill="auto"/>
            <w:noWrap/>
            <w:vAlign w:val="center"/>
          </w:tcPr>
          <w:p w:rsidR="006709E1" w:rsidRPr="00215737" w:rsidRDefault="006709E1" w:rsidP="004064A4">
            <w:pPr>
              <w:pStyle w:val="Tablehead2"/>
              <w:jc w:val="center"/>
              <w:rPr>
                <w:lang w:eastAsia="en-AU"/>
              </w:rPr>
            </w:pPr>
            <w:r w:rsidRPr="00215737">
              <w:rPr>
                <w:lang w:eastAsia="en-AU"/>
              </w:rPr>
              <w:t>Metropolitan regions</w:t>
            </w:r>
          </w:p>
        </w:tc>
        <w:tc>
          <w:tcPr>
            <w:tcW w:w="1477" w:type="pct"/>
            <w:tcBorders>
              <w:bottom w:val="single" w:sz="4" w:space="0" w:color="auto"/>
            </w:tcBorders>
            <w:shd w:val="clear" w:color="auto" w:fill="auto"/>
            <w:noWrap/>
            <w:vAlign w:val="center"/>
          </w:tcPr>
          <w:p w:rsidR="006709E1" w:rsidRPr="00215737" w:rsidRDefault="006709E1" w:rsidP="004064A4">
            <w:pPr>
              <w:pStyle w:val="Tablehead2"/>
              <w:jc w:val="center"/>
              <w:rPr>
                <w:lang w:eastAsia="en-AU"/>
              </w:rPr>
            </w:pPr>
            <w:r w:rsidRPr="00215737">
              <w:rPr>
                <w:lang w:eastAsia="en-AU"/>
              </w:rPr>
              <w:t>Non-metropolitan regions</w:t>
            </w:r>
          </w:p>
        </w:tc>
      </w:tr>
      <w:tr w:rsidR="006709E1" w:rsidRPr="00215737" w:rsidTr="006709E1">
        <w:trPr>
          <w:trHeight w:val="283"/>
        </w:trPr>
        <w:tc>
          <w:tcPr>
            <w:tcW w:w="1027" w:type="pct"/>
            <w:tcBorders>
              <w:top w:val="single" w:sz="4" w:space="0" w:color="auto"/>
            </w:tcBorders>
            <w:shd w:val="clear" w:color="auto" w:fill="auto"/>
            <w:noWrap/>
            <w:vAlign w:val="bottom"/>
            <w:hideMark/>
          </w:tcPr>
          <w:p w:rsidR="006709E1" w:rsidRPr="00215737" w:rsidRDefault="006709E1" w:rsidP="001E6BE6">
            <w:pPr>
              <w:pStyle w:val="Tabletext"/>
              <w:rPr>
                <w:lang w:eastAsia="en-AU"/>
              </w:rPr>
            </w:pPr>
            <w:r w:rsidRPr="00215737">
              <w:rPr>
                <w:lang w:eastAsia="en-AU"/>
              </w:rPr>
              <w:t>All students</w:t>
            </w:r>
          </w:p>
        </w:tc>
        <w:tc>
          <w:tcPr>
            <w:tcW w:w="1248" w:type="pct"/>
            <w:tcBorders>
              <w:top w:val="single" w:sz="4" w:space="0" w:color="auto"/>
            </w:tcBorders>
            <w:vAlign w:val="bottom"/>
          </w:tcPr>
          <w:p w:rsidR="006709E1" w:rsidRPr="006709E1" w:rsidRDefault="006709E1" w:rsidP="00535373">
            <w:pPr>
              <w:pStyle w:val="Tabletext"/>
              <w:tabs>
                <w:tab w:val="decimal" w:pos="1125"/>
              </w:tabs>
            </w:pPr>
            <w:r w:rsidRPr="006709E1">
              <w:t>7.0</w:t>
            </w:r>
          </w:p>
        </w:tc>
        <w:tc>
          <w:tcPr>
            <w:tcW w:w="1248" w:type="pct"/>
            <w:tcBorders>
              <w:top w:val="single" w:sz="4" w:space="0" w:color="auto"/>
            </w:tcBorders>
            <w:shd w:val="clear" w:color="auto" w:fill="auto"/>
            <w:noWrap/>
            <w:vAlign w:val="bottom"/>
            <w:hideMark/>
          </w:tcPr>
          <w:p w:rsidR="006709E1" w:rsidRPr="006709E1" w:rsidRDefault="006709E1" w:rsidP="00535373">
            <w:pPr>
              <w:pStyle w:val="Tabletext"/>
              <w:tabs>
                <w:tab w:val="decimal" w:pos="1005"/>
              </w:tabs>
            </w:pPr>
            <w:r w:rsidRPr="006709E1">
              <w:t>6.2</w:t>
            </w:r>
          </w:p>
        </w:tc>
        <w:tc>
          <w:tcPr>
            <w:tcW w:w="1477" w:type="pct"/>
            <w:tcBorders>
              <w:top w:val="single" w:sz="4" w:space="0" w:color="auto"/>
            </w:tcBorders>
            <w:shd w:val="clear" w:color="auto" w:fill="auto"/>
            <w:noWrap/>
            <w:vAlign w:val="bottom"/>
            <w:hideMark/>
          </w:tcPr>
          <w:p w:rsidR="006709E1" w:rsidRPr="006709E1" w:rsidRDefault="006709E1" w:rsidP="00535373">
            <w:pPr>
              <w:pStyle w:val="Tabletext"/>
              <w:tabs>
                <w:tab w:val="decimal" w:pos="1200"/>
              </w:tabs>
            </w:pPr>
            <w:r w:rsidRPr="006709E1">
              <w:t>7.9</w:t>
            </w:r>
          </w:p>
        </w:tc>
      </w:tr>
      <w:tr w:rsidR="006709E1" w:rsidRPr="00215737" w:rsidTr="006709E1">
        <w:trPr>
          <w:trHeight w:val="283"/>
        </w:trPr>
        <w:tc>
          <w:tcPr>
            <w:tcW w:w="1027" w:type="pct"/>
            <w:shd w:val="clear" w:color="auto" w:fill="auto"/>
            <w:noWrap/>
            <w:vAlign w:val="bottom"/>
            <w:hideMark/>
          </w:tcPr>
          <w:p w:rsidR="006709E1" w:rsidRPr="00215737" w:rsidRDefault="006709E1" w:rsidP="001E6BE6">
            <w:pPr>
              <w:pStyle w:val="Tabletext"/>
              <w:rPr>
                <w:lang w:eastAsia="en-AU"/>
              </w:rPr>
            </w:pPr>
            <w:r w:rsidRPr="00215737">
              <w:rPr>
                <w:lang w:eastAsia="en-AU"/>
              </w:rPr>
              <w:t>Indigenous</w:t>
            </w:r>
          </w:p>
        </w:tc>
        <w:tc>
          <w:tcPr>
            <w:tcW w:w="1248" w:type="pct"/>
            <w:vAlign w:val="bottom"/>
          </w:tcPr>
          <w:p w:rsidR="006709E1" w:rsidRPr="006709E1" w:rsidRDefault="006709E1" w:rsidP="00535373">
            <w:pPr>
              <w:pStyle w:val="Tabletext"/>
              <w:tabs>
                <w:tab w:val="decimal" w:pos="1125"/>
              </w:tabs>
            </w:pPr>
            <w:r w:rsidRPr="006709E1">
              <w:t>15.1</w:t>
            </w:r>
          </w:p>
        </w:tc>
        <w:tc>
          <w:tcPr>
            <w:tcW w:w="1248" w:type="pct"/>
            <w:shd w:val="clear" w:color="auto" w:fill="auto"/>
            <w:noWrap/>
            <w:vAlign w:val="bottom"/>
            <w:hideMark/>
          </w:tcPr>
          <w:p w:rsidR="006709E1" w:rsidRPr="006709E1" w:rsidRDefault="006709E1" w:rsidP="00535373">
            <w:pPr>
              <w:pStyle w:val="Tabletext"/>
              <w:tabs>
                <w:tab w:val="decimal" w:pos="1005"/>
              </w:tabs>
            </w:pPr>
            <w:r w:rsidRPr="006709E1">
              <w:t>14.1</w:t>
            </w:r>
          </w:p>
        </w:tc>
        <w:tc>
          <w:tcPr>
            <w:tcW w:w="1477" w:type="pct"/>
            <w:shd w:val="clear" w:color="auto" w:fill="auto"/>
            <w:noWrap/>
            <w:vAlign w:val="bottom"/>
            <w:hideMark/>
          </w:tcPr>
          <w:p w:rsidR="006709E1" w:rsidRPr="006709E1" w:rsidRDefault="006709E1" w:rsidP="00535373">
            <w:pPr>
              <w:pStyle w:val="Tabletext"/>
              <w:tabs>
                <w:tab w:val="decimal" w:pos="1200"/>
              </w:tabs>
            </w:pPr>
            <w:r w:rsidRPr="006709E1">
              <w:t>16.3</w:t>
            </w:r>
          </w:p>
        </w:tc>
      </w:tr>
      <w:tr w:rsidR="006709E1" w:rsidRPr="00215737" w:rsidTr="006709E1">
        <w:trPr>
          <w:trHeight w:val="283"/>
        </w:trPr>
        <w:tc>
          <w:tcPr>
            <w:tcW w:w="1027" w:type="pct"/>
            <w:shd w:val="clear" w:color="auto" w:fill="auto"/>
            <w:noWrap/>
            <w:vAlign w:val="bottom"/>
            <w:hideMark/>
          </w:tcPr>
          <w:p w:rsidR="006709E1" w:rsidRPr="00215737" w:rsidRDefault="006709E1" w:rsidP="001E6BE6">
            <w:pPr>
              <w:pStyle w:val="Tabletext"/>
              <w:rPr>
                <w:lang w:eastAsia="en-AU"/>
              </w:rPr>
            </w:pPr>
            <w:r w:rsidRPr="00215737">
              <w:rPr>
                <w:lang w:eastAsia="en-AU"/>
              </w:rPr>
              <w:t>Disability</w:t>
            </w:r>
          </w:p>
        </w:tc>
        <w:tc>
          <w:tcPr>
            <w:tcW w:w="1248" w:type="pct"/>
            <w:vAlign w:val="bottom"/>
          </w:tcPr>
          <w:p w:rsidR="006709E1" w:rsidRPr="006709E1" w:rsidRDefault="006709E1" w:rsidP="00535373">
            <w:pPr>
              <w:pStyle w:val="Tabletext"/>
              <w:tabs>
                <w:tab w:val="decimal" w:pos="1125"/>
              </w:tabs>
            </w:pPr>
            <w:r w:rsidRPr="006709E1">
              <w:t>0.6</w:t>
            </w:r>
          </w:p>
        </w:tc>
        <w:tc>
          <w:tcPr>
            <w:tcW w:w="1248" w:type="pct"/>
            <w:shd w:val="clear" w:color="auto" w:fill="auto"/>
            <w:noWrap/>
            <w:vAlign w:val="bottom"/>
            <w:hideMark/>
          </w:tcPr>
          <w:p w:rsidR="006709E1" w:rsidRPr="006709E1" w:rsidRDefault="006709E1" w:rsidP="00535373">
            <w:pPr>
              <w:pStyle w:val="Tabletext"/>
              <w:tabs>
                <w:tab w:val="decimal" w:pos="1005"/>
              </w:tabs>
            </w:pPr>
            <w:r w:rsidRPr="006709E1">
              <w:t>0.5</w:t>
            </w:r>
          </w:p>
        </w:tc>
        <w:tc>
          <w:tcPr>
            <w:tcW w:w="1477" w:type="pct"/>
            <w:shd w:val="clear" w:color="auto" w:fill="auto"/>
            <w:noWrap/>
            <w:vAlign w:val="bottom"/>
            <w:hideMark/>
          </w:tcPr>
          <w:p w:rsidR="006709E1" w:rsidRPr="006709E1" w:rsidRDefault="006709E1" w:rsidP="00535373">
            <w:pPr>
              <w:pStyle w:val="Tabletext"/>
              <w:tabs>
                <w:tab w:val="decimal" w:pos="1200"/>
              </w:tabs>
            </w:pPr>
            <w:r w:rsidRPr="006709E1">
              <w:t>0.8</w:t>
            </w:r>
          </w:p>
        </w:tc>
      </w:tr>
      <w:tr w:rsidR="006709E1" w:rsidRPr="00215737" w:rsidTr="006709E1">
        <w:trPr>
          <w:trHeight w:val="283"/>
        </w:trPr>
        <w:tc>
          <w:tcPr>
            <w:tcW w:w="1027" w:type="pct"/>
            <w:shd w:val="clear" w:color="auto" w:fill="auto"/>
            <w:noWrap/>
            <w:vAlign w:val="bottom"/>
            <w:hideMark/>
          </w:tcPr>
          <w:p w:rsidR="006709E1" w:rsidRPr="00215737" w:rsidRDefault="006709E1" w:rsidP="001E6BE6">
            <w:pPr>
              <w:pStyle w:val="Tabletext"/>
              <w:rPr>
                <w:lang w:eastAsia="en-AU"/>
              </w:rPr>
            </w:pPr>
            <w:r w:rsidRPr="00215737">
              <w:rPr>
                <w:lang w:eastAsia="en-AU"/>
              </w:rPr>
              <w:t>LBOTE</w:t>
            </w:r>
          </w:p>
        </w:tc>
        <w:tc>
          <w:tcPr>
            <w:tcW w:w="1248" w:type="pct"/>
            <w:vAlign w:val="bottom"/>
          </w:tcPr>
          <w:p w:rsidR="006709E1" w:rsidRPr="00215737" w:rsidRDefault="006709E1" w:rsidP="00535373">
            <w:pPr>
              <w:pStyle w:val="Tabletext"/>
              <w:tabs>
                <w:tab w:val="decimal" w:pos="1125"/>
              </w:tabs>
              <w:rPr>
                <w:lang w:eastAsia="en-AU"/>
              </w:rPr>
            </w:pPr>
            <w:r w:rsidRPr="00215737">
              <w:rPr>
                <w:lang w:eastAsia="en-AU"/>
              </w:rPr>
              <w:t>6.6</w:t>
            </w:r>
          </w:p>
        </w:tc>
        <w:tc>
          <w:tcPr>
            <w:tcW w:w="1248" w:type="pct"/>
            <w:shd w:val="clear" w:color="auto" w:fill="auto"/>
            <w:noWrap/>
            <w:vAlign w:val="bottom"/>
            <w:hideMark/>
          </w:tcPr>
          <w:p w:rsidR="006709E1" w:rsidRPr="00215737" w:rsidRDefault="006709E1" w:rsidP="00535373">
            <w:pPr>
              <w:pStyle w:val="Tabletext"/>
              <w:tabs>
                <w:tab w:val="decimal" w:pos="1005"/>
              </w:tabs>
              <w:rPr>
                <w:lang w:eastAsia="en-AU"/>
              </w:rPr>
            </w:pPr>
            <w:r w:rsidRPr="00215737">
              <w:rPr>
                <w:lang w:eastAsia="en-AU"/>
              </w:rPr>
              <w:t>6.0</w:t>
            </w:r>
          </w:p>
        </w:tc>
        <w:tc>
          <w:tcPr>
            <w:tcW w:w="1477" w:type="pct"/>
            <w:shd w:val="clear" w:color="auto" w:fill="auto"/>
            <w:noWrap/>
            <w:vAlign w:val="bottom"/>
            <w:hideMark/>
          </w:tcPr>
          <w:p w:rsidR="006709E1" w:rsidRPr="00215737" w:rsidRDefault="006709E1" w:rsidP="00535373">
            <w:pPr>
              <w:pStyle w:val="Tabletext"/>
              <w:tabs>
                <w:tab w:val="decimal" w:pos="1200"/>
              </w:tabs>
              <w:rPr>
                <w:lang w:eastAsia="en-AU"/>
              </w:rPr>
            </w:pPr>
            <w:r w:rsidRPr="00215737">
              <w:rPr>
                <w:lang w:eastAsia="en-AU"/>
              </w:rPr>
              <w:t>7.4</w:t>
            </w:r>
          </w:p>
        </w:tc>
      </w:tr>
      <w:tr w:rsidR="006709E1" w:rsidRPr="00215737" w:rsidTr="006709E1">
        <w:trPr>
          <w:trHeight w:val="283"/>
        </w:trPr>
        <w:tc>
          <w:tcPr>
            <w:tcW w:w="1027" w:type="pct"/>
            <w:shd w:val="clear" w:color="auto" w:fill="auto"/>
            <w:noWrap/>
            <w:vAlign w:val="bottom"/>
            <w:hideMark/>
          </w:tcPr>
          <w:p w:rsidR="006709E1" w:rsidRPr="00215737" w:rsidRDefault="006709E1" w:rsidP="001E6BE6">
            <w:pPr>
              <w:pStyle w:val="Tabletext"/>
              <w:rPr>
                <w:lang w:eastAsia="en-AU"/>
              </w:rPr>
            </w:pPr>
            <w:r w:rsidRPr="00215737">
              <w:rPr>
                <w:lang w:eastAsia="en-AU"/>
              </w:rPr>
              <w:t>Unemployed</w:t>
            </w:r>
          </w:p>
        </w:tc>
        <w:tc>
          <w:tcPr>
            <w:tcW w:w="1248" w:type="pct"/>
            <w:vAlign w:val="bottom"/>
          </w:tcPr>
          <w:p w:rsidR="006709E1" w:rsidRPr="00215737" w:rsidRDefault="006709E1" w:rsidP="00535373">
            <w:pPr>
              <w:pStyle w:val="Tabletext"/>
              <w:tabs>
                <w:tab w:val="decimal" w:pos="1125"/>
              </w:tabs>
              <w:rPr>
                <w:lang w:eastAsia="en-AU"/>
              </w:rPr>
            </w:pPr>
            <w:r w:rsidRPr="00215737">
              <w:rPr>
                <w:lang w:eastAsia="en-AU"/>
              </w:rPr>
              <w:t>19.4</w:t>
            </w:r>
          </w:p>
        </w:tc>
        <w:tc>
          <w:tcPr>
            <w:tcW w:w="1248" w:type="pct"/>
            <w:shd w:val="clear" w:color="auto" w:fill="auto"/>
            <w:noWrap/>
            <w:vAlign w:val="bottom"/>
            <w:hideMark/>
          </w:tcPr>
          <w:p w:rsidR="006709E1" w:rsidRPr="00215737" w:rsidRDefault="006709E1" w:rsidP="00535373">
            <w:pPr>
              <w:pStyle w:val="Tabletext"/>
              <w:tabs>
                <w:tab w:val="decimal" w:pos="1005"/>
              </w:tabs>
              <w:rPr>
                <w:lang w:eastAsia="en-AU"/>
              </w:rPr>
            </w:pPr>
            <w:r w:rsidRPr="00215737">
              <w:rPr>
                <w:lang w:eastAsia="en-AU"/>
              </w:rPr>
              <w:t>18</w:t>
            </w:r>
            <w:r w:rsidR="00535373">
              <w:rPr>
                <w:lang w:eastAsia="en-AU"/>
              </w:rPr>
              <w:t>.0</w:t>
            </w:r>
          </w:p>
        </w:tc>
        <w:tc>
          <w:tcPr>
            <w:tcW w:w="1477" w:type="pct"/>
            <w:shd w:val="clear" w:color="auto" w:fill="auto"/>
            <w:noWrap/>
            <w:vAlign w:val="bottom"/>
            <w:hideMark/>
          </w:tcPr>
          <w:p w:rsidR="006709E1" w:rsidRPr="00215737" w:rsidRDefault="006709E1" w:rsidP="00535373">
            <w:pPr>
              <w:pStyle w:val="Tabletext"/>
              <w:tabs>
                <w:tab w:val="decimal" w:pos="1200"/>
              </w:tabs>
              <w:rPr>
                <w:lang w:eastAsia="en-AU"/>
              </w:rPr>
            </w:pPr>
            <w:r w:rsidRPr="00215737">
              <w:rPr>
                <w:lang w:eastAsia="en-AU"/>
              </w:rPr>
              <w:t>21.2</w:t>
            </w:r>
          </w:p>
        </w:tc>
      </w:tr>
      <w:tr w:rsidR="006709E1" w:rsidRPr="00215737" w:rsidTr="006709E1">
        <w:trPr>
          <w:trHeight w:val="283"/>
        </w:trPr>
        <w:tc>
          <w:tcPr>
            <w:tcW w:w="1027" w:type="pct"/>
            <w:tcBorders>
              <w:bottom w:val="single" w:sz="4" w:space="0" w:color="auto"/>
            </w:tcBorders>
            <w:shd w:val="clear" w:color="auto" w:fill="auto"/>
            <w:noWrap/>
            <w:vAlign w:val="bottom"/>
            <w:hideMark/>
          </w:tcPr>
          <w:p w:rsidR="006709E1" w:rsidRPr="00215737" w:rsidRDefault="006709E1" w:rsidP="001E6BE6">
            <w:pPr>
              <w:pStyle w:val="Tabletext"/>
              <w:rPr>
                <w:lang w:eastAsia="en-AU"/>
              </w:rPr>
            </w:pPr>
            <w:r w:rsidRPr="00215737">
              <w:rPr>
                <w:lang w:eastAsia="en-AU"/>
              </w:rPr>
              <w:t>Low attainment</w:t>
            </w:r>
          </w:p>
        </w:tc>
        <w:tc>
          <w:tcPr>
            <w:tcW w:w="1248" w:type="pct"/>
            <w:tcBorders>
              <w:bottom w:val="single" w:sz="4" w:space="0" w:color="auto"/>
            </w:tcBorders>
            <w:vAlign w:val="bottom"/>
          </w:tcPr>
          <w:p w:rsidR="006709E1" w:rsidRPr="00215737" w:rsidRDefault="006709E1" w:rsidP="00535373">
            <w:pPr>
              <w:pStyle w:val="Tabletext"/>
              <w:tabs>
                <w:tab w:val="decimal" w:pos="1125"/>
              </w:tabs>
              <w:rPr>
                <w:lang w:eastAsia="en-AU"/>
              </w:rPr>
            </w:pPr>
            <w:r w:rsidRPr="00215737">
              <w:rPr>
                <w:lang w:eastAsia="en-AU"/>
              </w:rPr>
              <w:t>7.5</w:t>
            </w:r>
          </w:p>
        </w:tc>
        <w:tc>
          <w:tcPr>
            <w:tcW w:w="1248" w:type="pct"/>
            <w:tcBorders>
              <w:bottom w:val="single" w:sz="4" w:space="0" w:color="auto"/>
            </w:tcBorders>
            <w:shd w:val="clear" w:color="auto" w:fill="auto"/>
            <w:noWrap/>
            <w:vAlign w:val="bottom"/>
            <w:hideMark/>
          </w:tcPr>
          <w:p w:rsidR="006709E1" w:rsidRPr="00215737" w:rsidRDefault="006709E1" w:rsidP="00535373">
            <w:pPr>
              <w:pStyle w:val="Tabletext"/>
              <w:tabs>
                <w:tab w:val="decimal" w:pos="1005"/>
              </w:tabs>
              <w:rPr>
                <w:lang w:eastAsia="en-AU"/>
              </w:rPr>
            </w:pPr>
            <w:r w:rsidRPr="00215737">
              <w:rPr>
                <w:lang w:eastAsia="en-AU"/>
              </w:rPr>
              <w:t>6.9</w:t>
            </w:r>
          </w:p>
        </w:tc>
        <w:tc>
          <w:tcPr>
            <w:tcW w:w="1477" w:type="pct"/>
            <w:tcBorders>
              <w:bottom w:val="single" w:sz="4" w:space="0" w:color="auto"/>
            </w:tcBorders>
            <w:shd w:val="clear" w:color="auto" w:fill="auto"/>
            <w:noWrap/>
            <w:vAlign w:val="bottom"/>
            <w:hideMark/>
          </w:tcPr>
          <w:p w:rsidR="006709E1" w:rsidRPr="00215737" w:rsidRDefault="006709E1" w:rsidP="00535373">
            <w:pPr>
              <w:pStyle w:val="Tabletext"/>
              <w:tabs>
                <w:tab w:val="decimal" w:pos="1200"/>
              </w:tabs>
              <w:rPr>
                <w:lang w:eastAsia="en-AU"/>
              </w:rPr>
            </w:pPr>
            <w:r w:rsidRPr="00215737">
              <w:rPr>
                <w:lang w:eastAsia="en-AU"/>
              </w:rPr>
              <w:t>8.3</w:t>
            </w:r>
          </w:p>
        </w:tc>
      </w:tr>
    </w:tbl>
    <w:p w:rsidR="001E6BE6" w:rsidRPr="00215737" w:rsidRDefault="006709E1" w:rsidP="006709E1">
      <w:pPr>
        <w:pStyle w:val="Source"/>
      </w:pPr>
      <w:r>
        <w:t>Source:</w:t>
      </w:r>
      <w:r>
        <w:tab/>
      </w:r>
      <w:r w:rsidR="001E6BE6" w:rsidRPr="00215737">
        <w:t>Authors’ calculations from the VET Provider Collection, 2014</w:t>
      </w:r>
    </w:p>
    <w:p w:rsidR="00E81970" w:rsidRDefault="00030AF9" w:rsidP="00E81970">
      <w:pPr>
        <w:pStyle w:val="Text"/>
      </w:pPr>
      <w:r w:rsidRPr="00030AF9">
        <w:t>The full extent of the variati</w:t>
      </w:r>
      <w:r w:rsidR="003934BF">
        <w:t>on is shown in Figure 1, which display</w:t>
      </w:r>
      <w:r w:rsidRPr="00030AF9">
        <w:t xml:space="preserve">s the distributions of regional VET participation rates for all students and for </w:t>
      </w:r>
      <w:r w:rsidR="00F60948">
        <w:t xml:space="preserve">the </w:t>
      </w:r>
      <w:r w:rsidRPr="00030AF9">
        <w:t xml:space="preserve">key </w:t>
      </w:r>
      <w:r w:rsidR="00F60948">
        <w:t>target</w:t>
      </w:r>
      <w:r w:rsidRPr="00030AF9">
        <w:t xml:space="preserve"> groups.  </w:t>
      </w:r>
    </w:p>
    <w:p w:rsidR="006E59CD" w:rsidRDefault="006E59CD" w:rsidP="00E81970">
      <w:pPr>
        <w:pStyle w:val="Text"/>
      </w:pPr>
    </w:p>
    <w:p w:rsidR="00E81970" w:rsidRDefault="00E81970" w:rsidP="00E81970">
      <w:pPr>
        <w:pStyle w:val="Text"/>
      </w:pPr>
    </w:p>
    <w:p w:rsidR="00030AF9" w:rsidRDefault="00030AF9">
      <w:pPr>
        <w:spacing w:before="0" w:line="240" w:lineRule="auto"/>
      </w:pPr>
      <w:r>
        <w:br w:type="page"/>
      </w:r>
    </w:p>
    <w:p w:rsidR="00E81970" w:rsidRDefault="00030AF9" w:rsidP="00030AF9">
      <w:pPr>
        <w:pStyle w:val="Figuretitle"/>
      </w:pPr>
      <w:bookmarkStart w:id="30" w:name="_Toc498936238"/>
      <w:r>
        <w:lastRenderedPageBreak/>
        <w:t xml:space="preserve">Figure </w:t>
      </w:r>
      <w:r>
        <w:fldChar w:fldCharType="begin"/>
      </w:r>
      <w:r>
        <w:instrText xml:space="preserve"> SEQ Figure \* ARABIC </w:instrText>
      </w:r>
      <w:r>
        <w:fldChar w:fldCharType="separate"/>
      </w:r>
      <w:r w:rsidR="00BF3209">
        <w:rPr>
          <w:noProof/>
        </w:rPr>
        <w:t>1</w:t>
      </w:r>
      <w:r>
        <w:fldChar w:fldCharType="end"/>
      </w:r>
      <w:r>
        <w:tab/>
      </w:r>
      <w:r w:rsidRPr="00030AF9">
        <w:t xml:space="preserve">Distributions of regional VET participation rates, all students, key </w:t>
      </w:r>
      <w:r w:rsidR="00F60948">
        <w:t>target</w:t>
      </w:r>
      <w:r w:rsidRPr="00030AF9">
        <w:t xml:space="preserve"> groups, 2014</w:t>
      </w:r>
      <w:bookmarkEnd w:id="30"/>
    </w:p>
    <w:p w:rsidR="00030AF9" w:rsidRDefault="009564F9" w:rsidP="00E81970">
      <w:pPr>
        <w:pStyle w:val="Text"/>
      </w:pPr>
      <w:r>
        <w:rPr>
          <w:noProof/>
          <w:lang w:eastAsia="en-AU"/>
        </w:rPr>
        <mc:AlternateContent>
          <mc:Choice Requires="wpg">
            <w:drawing>
              <wp:anchor distT="0" distB="0" distL="114300" distR="114300" simplePos="0" relativeHeight="251667456" behindDoc="0" locked="0" layoutInCell="1" allowOverlap="1" wp14:anchorId="4FAE896D" wp14:editId="75DAFD93">
                <wp:simplePos x="0" y="0"/>
                <wp:positionH relativeFrom="column">
                  <wp:posOffset>-553390</wp:posOffset>
                </wp:positionH>
                <wp:positionV relativeFrom="paragraph">
                  <wp:posOffset>102235</wp:posOffset>
                </wp:positionV>
                <wp:extent cx="6773875" cy="8119872"/>
                <wp:effectExtent l="0" t="0" r="8255" b="0"/>
                <wp:wrapNone/>
                <wp:docPr id="14" name="Group 14"/>
                <wp:cNvGraphicFramePr/>
                <a:graphic xmlns:a="http://schemas.openxmlformats.org/drawingml/2006/main">
                  <a:graphicData uri="http://schemas.microsoft.com/office/word/2010/wordprocessingGroup">
                    <wpg:wgp>
                      <wpg:cNvGrpSpPr/>
                      <wpg:grpSpPr>
                        <a:xfrm>
                          <a:off x="0" y="0"/>
                          <a:ext cx="6773875" cy="8119872"/>
                          <a:chOff x="0" y="0"/>
                          <a:chExt cx="6773875" cy="8119872"/>
                        </a:xfrm>
                      </wpg:grpSpPr>
                      <pic:pic xmlns:pic="http://schemas.openxmlformats.org/drawingml/2006/picture">
                        <pic:nvPicPr>
                          <pic:cNvPr id="8" name="Picture 8"/>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3343047" y="0"/>
                            <a:ext cx="3423513" cy="2735884"/>
                          </a:xfrm>
                          <a:prstGeom prst="rect">
                            <a:avLst/>
                          </a:prstGeom>
                          <a:noFill/>
                          <a:ln>
                            <a:noFill/>
                          </a:ln>
                        </pic:spPr>
                      </pic:pic>
                      <pic:pic xmlns:pic="http://schemas.openxmlformats.org/drawingml/2006/picture">
                        <pic:nvPicPr>
                          <pic:cNvPr id="9" name="Picture 9"/>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3350362" y="5383987"/>
                            <a:ext cx="3423513" cy="2735885"/>
                          </a:xfrm>
                          <a:prstGeom prst="rect">
                            <a:avLst/>
                          </a:prstGeom>
                          <a:noFill/>
                          <a:ln>
                            <a:noFill/>
                          </a:ln>
                        </pic:spPr>
                      </pic:pic>
                      <pic:pic xmlns:pic="http://schemas.openxmlformats.org/drawingml/2006/picture">
                        <pic:nvPicPr>
                          <pic:cNvPr id="10" name="Picture 10"/>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3343047" y="2670048"/>
                            <a:ext cx="3423513" cy="2735884"/>
                          </a:xfrm>
                          <a:prstGeom prst="rect">
                            <a:avLst/>
                          </a:prstGeom>
                          <a:noFill/>
                          <a:ln>
                            <a:noFill/>
                          </a:ln>
                        </pic:spPr>
                      </pic:pic>
                      <pic:pic xmlns:pic="http://schemas.openxmlformats.org/drawingml/2006/picture">
                        <pic:nvPicPr>
                          <pic:cNvPr id="11" name="Picture 11"/>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3514" cy="2735884"/>
                          </a:xfrm>
                          <a:prstGeom prst="rect">
                            <a:avLst/>
                          </a:prstGeom>
                          <a:noFill/>
                          <a:ln>
                            <a:noFill/>
                          </a:ln>
                        </pic:spPr>
                      </pic:pic>
                      <pic:pic xmlns:pic="http://schemas.openxmlformats.org/drawingml/2006/picture">
                        <pic:nvPicPr>
                          <pic:cNvPr id="12" name="Picture 12"/>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2670048"/>
                            <a:ext cx="3423514" cy="2735884"/>
                          </a:xfrm>
                          <a:prstGeom prst="rect">
                            <a:avLst/>
                          </a:prstGeom>
                          <a:noFill/>
                          <a:ln>
                            <a:noFill/>
                          </a:ln>
                        </pic:spPr>
                      </pic:pic>
                      <pic:pic xmlns:pic="http://schemas.openxmlformats.org/drawingml/2006/picture">
                        <pic:nvPicPr>
                          <pic:cNvPr id="13" name="Picture 13"/>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7315" y="5383987"/>
                            <a:ext cx="3423514" cy="2735885"/>
                          </a:xfrm>
                          <a:prstGeom prst="rect">
                            <a:avLst/>
                          </a:prstGeom>
                          <a:noFill/>
                          <a:ln>
                            <a:noFill/>
                          </a:ln>
                        </pic:spPr>
                      </pic:pic>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55B6C455" id="Group 14" o:spid="_x0000_s1026" style="position:absolute;margin-left:-43.55pt;margin-top:8.05pt;width:533.4pt;height:639.35pt;z-index:251667456" coordsize="67738,81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33430;width:34235;height:27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">
                  <v:imagedata r:id="rId27" o:title=""/>
                  <v:path arrowok="t"/>
                </v:shape>
                <v:shape id="Picture 9" o:spid="_x0000_s1028" type="#_x0000_t75" style="position:absolute;left:33503;top:53839;width:34235;height:27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">
                  <v:imagedata r:id="rId28" o:title=""/>
                  <v:path arrowok="t"/>
                </v:shape>
                <v:shape id="Picture 10" o:spid="_x0000_s1029" type="#_x0000_t75" style="position:absolute;left:33430;top:26700;width:34235;height:27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">
                  <v:imagedata r:id="rId29" o:title=""/>
                  <v:path arrowok="t"/>
                </v:shape>
                <v:shape id="Picture 11" o:spid="_x0000_s1030" type="#_x0000_t75" style="position:absolute;width:34235;height:27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">
                  <v:imagedata r:id="rId30" o:title=""/>
                  <v:path arrowok="t"/>
                </v:shape>
                <v:shape id="Picture 12" o:spid="_x0000_s1031" type="#_x0000_t75" style="position:absolute;top:26700;width:34235;height:27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">
                  <v:imagedata r:id="rId31" o:title=""/>
                  <v:path arrowok="t"/>
                </v:shape>
                <v:shape id="Picture 13" o:spid="_x0000_s1032" type="#_x0000_t75" style="position:absolute;left:73;top:53839;width:34235;height:27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">
                  <v:imagedata r:id="rId32" o:title=""/>
                  <v:path arrowok="t"/>
                </v:shape>
              </v:group>
            </w:pict>
          </mc:Fallback>
        </mc:AlternateContent>
      </w:r>
    </w:p>
    <w:p w:rsidR="009564F9" w:rsidRDefault="009564F9" w:rsidP="00E81970">
      <w:pPr>
        <w:pStyle w:val="Text"/>
      </w:pPr>
    </w:p>
    <w:p w:rsidR="009564F9" w:rsidRDefault="009564F9" w:rsidP="00E81970">
      <w:pPr>
        <w:pStyle w:val="Text"/>
      </w:pPr>
    </w:p>
    <w:p w:rsidR="009564F9" w:rsidRDefault="009564F9" w:rsidP="00E81970">
      <w:pPr>
        <w:pStyle w:val="Text"/>
      </w:pPr>
    </w:p>
    <w:p w:rsidR="009564F9" w:rsidRDefault="009564F9" w:rsidP="00E81970">
      <w:pPr>
        <w:pStyle w:val="Text"/>
      </w:pPr>
    </w:p>
    <w:p w:rsidR="009564F9" w:rsidRDefault="009564F9" w:rsidP="00E81970">
      <w:pPr>
        <w:pStyle w:val="Text"/>
      </w:pPr>
    </w:p>
    <w:p w:rsidR="009564F9" w:rsidRDefault="009564F9" w:rsidP="00E81970">
      <w:pPr>
        <w:pStyle w:val="Text"/>
      </w:pPr>
    </w:p>
    <w:p w:rsidR="009564F9" w:rsidRDefault="009564F9" w:rsidP="00E81970">
      <w:pPr>
        <w:pStyle w:val="Text"/>
      </w:pPr>
    </w:p>
    <w:p w:rsidR="009564F9" w:rsidRDefault="009564F9" w:rsidP="00E81970">
      <w:pPr>
        <w:pStyle w:val="Text"/>
      </w:pPr>
    </w:p>
    <w:p w:rsidR="009564F9" w:rsidRDefault="009564F9" w:rsidP="00E81970">
      <w:pPr>
        <w:pStyle w:val="Text"/>
      </w:pPr>
    </w:p>
    <w:p w:rsidR="009564F9" w:rsidRDefault="009564F9" w:rsidP="00E81970">
      <w:pPr>
        <w:pStyle w:val="Text"/>
      </w:pPr>
    </w:p>
    <w:p w:rsidR="009564F9" w:rsidRDefault="009564F9" w:rsidP="00E81970">
      <w:pPr>
        <w:pStyle w:val="Text"/>
      </w:pPr>
    </w:p>
    <w:p w:rsidR="009564F9" w:rsidRDefault="009564F9" w:rsidP="00E81970">
      <w:pPr>
        <w:pStyle w:val="Text"/>
      </w:pPr>
    </w:p>
    <w:p w:rsidR="009564F9" w:rsidRDefault="009564F9" w:rsidP="00E81970">
      <w:pPr>
        <w:pStyle w:val="Text"/>
      </w:pPr>
    </w:p>
    <w:p w:rsidR="009564F9" w:rsidRDefault="009564F9" w:rsidP="00E81970">
      <w:pPr>
        <w:pStyle w:val="Text"/>
      </w:pPr>
    </w:p>
    <w:p w:rsidR="009564F9" w:rsidRDefault="009564F9" w:rsidP="00E81970">
      <w:pPr>
        <w:pStyle w:val="Text"/>
      </w:pPr>
    </w:p>
    <w:p w:rsidR="009564F9" w:rsidRDefault="009564F9" w:rsidP="00E81970">
      <w:pPr>
        <w:pStyle w:val="Text"/>
      </w:pPr>
    </w:p>
    <w:p w:rsidR="009564F9" w:rsidRDefault="009564F9" w:rsidP="00E81970">
      <w:pPr>
        <w:pStyle w:val="Text"/>
      </w:pPr>
    </w:p>
    <w:p w:rsidR="009564F9" w:rsidRDefault="009564F9" w:rsidP="00E81970">
      <w:pPr>
        <w:pStyle w:val="Text"/>
      </w:pPr>
    </w:p>
    <w:p w:rsidR="009564F9" w:rsidRDefault="009564F9" w:rsidP="00E81970">
      <w:pPr>
        <w:pStyle w:val="Text"/>
      </w:pPr>
    </w:p>
    <w:p w:rsidR="009564F9" w:rsidRDefault="009564F9" w:rsidP="00E81970">
      <w:pPr>
        <w:pStyle w:val="Text"/>
      </w:pPr>
    </w:p>
    <w:p w:rsidR="009564F9" w:rsidRDefault="009564F9" w:rsidP="00E81970">
      <w:pPr>
        <w:pStyle w:val="Text"/>
      </w:pPr>
    </w:p>
    <w:p w:rsidR="009564F9" w:rsidRDefault="009564F9" w:rsidP="00E81970">
      <w:pPr>
        <w:pStyle w:val="Text"/>
      </w:pPr>
    </w:p>
    <w:p w:rsidR="009564F9" w:rsidRDefault="009564F9" w:rsidP="00E81970">
      <w:pPr>
        <w:pStyle w:val="Text"/>
      </w:pPr>
    </w:p>
    <w:p w:rsidR="009564F9" w:rsidRDefault="009564F9" w:rsidP="00E81970">
      <w:pPr>
        <w:pStyle w:val="Text"/>
      </w:pPr>
    </w:p>
    <w:p w:rsidR="009564F9" w:rsidRDefault="009564F9" w:rsidP="00E81970">
      <w:pPr>
        <w:pStyle w:val="Text"/>
      </w:pPr>
    </w:p>
    <w:p w:rsidR="009564F9" w:rsidRDefault="009564F9" w:rsidP="00E81970">
      <w:pPr>
        <w:pStyle w:val="Text"/>
      </w:pPr>
    </w:p>
    <w:p w:rsidR="009564F9" w:rsidRDefault="009564F9" w:rsidP="00E81970">
      <w:pPr>
        <w:pStyle w:val="Text"/>
      </w:pPr>
    </w:p>
    <w:p w:rsidR="009564F9" w:rsidRDefault="009564F9" w:rsidP="009564F9">
      <w:pPr>
        <w:pStyle w:val="Source"/>
      </w:pPr>
    </w:p>
    <w:p w:rsidR="002D5A50" w:rsidRDefault="002D5A50" w:rsidP="009564F9">
      <w:pPr>
        <w:pStyle w:val="Source"/>
      </w:pPr>
    </w:p>
    <w:p w:rsidR="009564F9" w:rsidRDefault="009564F9" w:rsidP="009564F9">
      <w:pPr>
        <w:pStyle w:val="Source"/>
      </w:pPr>
      <w:r>
        <w:t>Source:</w:t>
      </w:r>
      <w:r>
        <w:tab/>
      </w:r>
      <w:r w:rsidRPr="009564F9">
        <w:t>Authors’ calculations from the VET Provider Collection, 2014</w:t>
      </w:r>
    </w:p>
    <w:p w:rsidR="002D5A50" w:rsidRDefault="002D5A50">
      <w:pPr>
        <w:spacing w:before="0" w:line="240" w:lineRule="auto"/>
      </w:pPr>
      <w:r>
        <w:br w:type="page"/>
      </w:r>
    </w:p>
    <w:p w:rsidR="002D5A50" w:rsidRDefault="002D5A50" w:rsidP="002D5A50">
      <w:pPr>
        <w:pStyle w:val="Heading2"/>
      </w:pPr>
      <w:bookmarkStart w:id="31" w:name="_Toc498936347"/>
      <w:r>
        <w:lastRenderedPageBreak/>
        <w:t>Regional VET participation and provision</w:t>
      </w:r>
      <w:bookmarkEnd w:id="31"/>
    </w:p>
    <w:p w:rsidR="002D5A50" w:rsidRDefault="002D5A50" w:rsidP="002D5A50">
      <w:pPr>
        <w:pStyle w:val="Text"/>
      </w:pPr>
      <w:r>
        <w:t xml:space="preserve">The use of VET differs across regions and population groups, as does the composition of the regions themselves, characterised as they are by their demographic and economic attributes as well as their capacity for VET provision.  Further work is undertaken below to identify the main economic and demographic regional drivers of VET participation (supply-side) and ascertain their relative importance, while the question of provision (demand-side) is examined more closely first.  </w:t>
      </w:r>
    </w:p>
    <w:p w:rsidR="002D5A50" w:rsidRDefault="002D5A50" w:rsidP="002D5A50">
      <w:pPr>
        <w:pStyle w:val="Text"/>
      </w:pPr>
      <w:r>
        <w:t xml:space="preserve">The relationship between participation and provision is considered through a series of correlation analyses which examine associations between regional rates of VET participation for students across </w:t>
      </w:r>
      <w:r w:rsidR="0093036B">
        <w:t xml:space="preserve">the </w:t>
      </w:r>
      <w:r>
        <w:t xml:space="preserve">different </w:t>
      </w:r>
      <w:r w:rsidR="0093036B">
        <w:t>target</w:t>
      </w:r>
      <w:r>
        <w:t xml:space="preserve"> groups, and regional VET course and provider characteristics.  These regional provision factors are drawn from the in-scope TVA CURF, and include the proportion of students in a region, as follows:</w:t>
      </w:r>
    </w:p>
    <w:p w:rsidR="002D5A50" w:rsidRDefault="002D5A50" w:rsidP="002D5A50">
      <w:pPr>
        <w:pStyle w:val="Dotpoint1"/>
      </w:pPr>
      <w:r>
        <w:t xml:space="preserve">Course characteristics </w:t>
      </w:r>
    </w:p>
    <w:p w:rsidR="002D5A50" w:rsidRPr="00F72EBE" w:rsidRDefault="002D5A50" w:rsidP="00F72EBE">
      <w:pPr>
        <w:pStyle w:val="Dotpoint2"/>
      </w:pPr>
      <w:r w:rsidRPr="00F72EBE">
        <w:t>AQF level, regional share of students enrolled in:</w:t>
      </w:r>
    </w:p>
    <w:p w:rsidR="002D5A50" w:rsidRPr="00F72EBE" w:rsidRDefault="002D5A50" w:rsidP="00F72EBE">
      <w:pPr>
        <w:pStyle w:val="Dotpoint2"/>
      </w:pPr>
      <w:r w:rsidRPr="00F72EBE">
        <w:t>Basic VET courses, defined as certificates I &amp; II</w:t>
      </w:r>
    </w:p>
    <w:p w:rsidR="002D5A50" w:rsidRPr="00F72EBE" w:rsidRDefault="002D5A50" w:rsidP="00F72EBE">
      <w:pPr>
        <w:pStyle w:val="Dotpoint2"/>
      </w:pPr>
      <w:r w:rsidRPr="00F72EBE">
        <w:t>Middle VET courses: defined as certificates III &amp; IV</w:t>
      </w:r>
    </w:p>
    <w:p w:rsidR="002D5A50" w:rsidRPr="00F72EBE" w:rsidRDefault="002D5A50" w:rsidP="00F72EBE">
      <w:pPr>
        <w:pStyle w:val="Dotpoint2"/>
      </w:pPr>
      <w:r w:rsidRPr="00F72EBE">
        <w:t>Advanced VET courses: defined as diploma and above</w:t>
      </w:r>
    </w:p>
    <w:p w:rsidR="002D5A50" w:rsidRDefault="002D5A50" w:rsidP="002D5A50">
      <w:pPr>
        <w:pStyle w:val="Dotpoint1"/>
      </w:pPr>
      <w:r>
        <w:t>Delivery mode, regional share of students enrolled in:</w:t>
      </w:r>
    </w:p>
    <w:p w:rsidR="002D5A50" w:rsidRPr="00F72EBE" w:rsidRDefault="002D5A50" w:rsidP="00F72EBE">
      <w:pPr>
        <w:pStyle w:val="Dotpoint2"/>
      </w:pPr>
      <w:r w:rsidRPr="00F72EBE">
        <w:t>Campus-based VET</w:t>
      </w:r>
    </w:p>
    <w:p w:rsidR="002D5A50" w:rsidRPr="00F72EBE" w:rsidRDefault="002D5A50" w:rsidP="00F72EBE">
      <w:pPr>
        <w:pStyle w:val="Dotpoint2"/>
      </w:pPr>
      <w:r w:rsidRPr="00F72EBE">
        <w:t>Online VET</w:t>
      </w:r>
    </w:p>
    <w:p w:rsidR="002D5A50" w:rsidRPr="00F72EBE" w:rsidRDefault="002D5A50" w:rsidP="00F72EBE">
      <w:pPr>
        <w:pStyle w:val="Dotpoint2"/>
      </w:pPr>
      <w:r w:rsidRPr="00F72EBE">
        <w:t>Employment-based VET</w:t>
      </w:r>
    </w:p>
    <w:p w:rsidR="006408F1" w:rsidRDefault="006408F1" w:rsidP="006408F1">
      <w:pPr>
        <w:pStyle w:val="Dotpoint1"/>
      </w:pPr>
      <w:r>
        <w:t>Provider characteristics</w:t>
      </w:r>
    </w:p>
    <w:p w:rsidR="006408F1" w:rsidRPr="00F72EBE" w:rsidRDefault="006408F1" w:rsidP="00F72EBE">
      <w:pPr>
        <w:pStyle w:val="Dotpoint2"/>
      </w:pPr>
      <w:r w:rsidRPr="00F72EBE">
        <w:t xml:space="preserve">Provider type, regional share of students enrolled in </w:t>
      </w:r>
    </w:p>
    <w:p w:rsidR="006408F1" w:rsidRPr="00F72EBE" w:rsidRDefault="006408F1" w:rsidP="00F72EBE">
      <w:pPr>
        <w:pStyle w:val="Dotpoint2"/>
      </w:pPr>
      <w:r w:rsidRPr="00F72EBE">
        <w:t>TAFEs or Universities</w:t>
      </w:r>
    </w:p>
    <w:p w:rsidR="006408F1" w:rsidRPr="00F72EBE" w:rsidRDefault="006408F1" w:rsidP="00F72EBE">
      <w:pPr>
        <w:pStyle w:val="Dotpoint2"/>
      </w:pPr>
      <w:r w:rsidRPr="00F72EBE">
        <w:t>Community providers</w:t>
      </w:r>
    </w:p>
    <w:p w:rsidR="006408F1" w:rsidRPr="00F72EBE" w:rsidRDefault="006408F1" w:rsidP="00F72EBE">
      <w:pPr>
        <w:pStyle w:val="Dotpoint2"/>
      </w:pPr>
      <w:r w:rsidRPr="00F72EBE">
        <w:t>Private RTOs</w:t>
      </w:r>
    </w:p>
    <w:p w:rsidR="006408F1" w:rsidRDefault="006408F1" w:rsidP="006408F1">
      <w:pPr>
        <w:pStyle w:val="Dotpoint1"/>
      </w:pPr>
      <w:r>
        <w:t>Number of delivery locations</w:t>
      </w:r>
    </w:p>
    <w:p w:rsidR="006408F1" w:rsidRPr="00F72EBE" w:rsidRDefault="006408F1" w:rsidP="00F72EBE">
      <w:pPr>
        <w:pStyle w:val="Dotpoint2"/>
      </w:pPr>
      <w:r w:rsidRPr="00F72EBE">
        <w:t>Number of TAFE/University delivery sites</w:t>
      </w:r>
    </w:p>
    <w:p w:rsidR="006408F1" w:rsidRPr="00F72EBE" w:rsidRDefault="006408F1" w:rsidP="00F72EBE">
      <w:pPr>
        <w:pStyle w:val="Dotpoint2"/>
      </w:pPr>
      <w:r w:rsidRPr="00F72EBE">
        <w:t>Number of community provider delivery sites</w:t>
      </w:r>
    </w:p>
    <w:p w:rsidR="006408F1" w:rsidRPr="00F72EBE" w:rsidRDefault="006408F1" w:rsidP="00F72EBE">
      <w:pPr>
        <w:pStyle w:val="Dotpoint2"/>
      </w:pPr>
      <w:r w:rsidRPr="00F72EBE">
        <w:t>Number of private provider delivery sites</w:t>
      </w:r>
    </w:p>
    <w:p w:rsidR="00B01C99" w:rsidRPr="00B01C99" w:rsidRDefault="00B01C99" w:rsidP="00B01C99">
      <w:pPr>
        <w:pStyle w:val="Text"/>
      </w:pPr>
      <w:r w:rsidRPr="00B01C99">
        <w:t xml:space="preserve">Table 3 shows the correlations between regional rates of participation in VET for students from different </w:t>
      </w:r>
      <w:r w:rsidR="009F6ABD">
        <w:t>backgrounds</w:t>
      </w:r>
      <w:r w:rsidRPr="00B01C99">
        <w:t xml:space="preserve"> and </w:t>
      </w:r>
      <w:r w:rsidR="009F6ABD">
        <w:t>profile</w:t>
      </w:r>
      <w:r w:rsidR="00F72EBE">
        <w:t>s</w:t>
      </w:r>
      <w:r w:rsidR="009F6ABD">
        <w:t xml:space="preserve"> of </w:t>
      </w:r>
      <w:r w:rsidRPr="00B01C99">
        <w:t>region</w:t>
      </w:r>
      <w:r w:rsidR="009F6ABD">
        <w:t>al</w:t>
      </w:r>
      <w:r w:rsidRPr="00B01C99">
        <w:t xml:space="preserve"> VET provision.  The strength of the association can be identified by the </w:t>
      </w:r>
      <w:r w:rsidR="009F6ABD" w:rsidRPr="00B01C99">
        <w:t xml:space="preserve">size of the correlation coefficient </w:t>
      </w:r>
      <w:r w:rsidR="009F6ABD">
        <w:t xml:space="preserve">and </w:t>
      </w:r>
      <w:r w:rsidRPr="00B01C99">
        <w:t xml:space="preserve">level of statistical significance.  Regions with relatively high concentrations of students in TAFE institutes or universities, for example, correspond to higher rates of participation in VET by Indigenous students (significant to 0.01 with positive correlation coefficients of 0.155).  Conversely regions with higher proportions of students enrolled at private providers are associated with lower engagement of Indigenous students, students with a disability, LBOTE and unemployed students (significant to 0.01 with correlation coefficients of -0.265, -0.193, -0.144, -0.195 respectively).  The reverse relationship exists for students with low levels of </w:t>
      </w:r>
      <w:r w:rsidRPr="00B01C99">
        <w:lastRenderedPageBreak/>
        <w:t>educational attainment; there is a positive association with more private provider activity and negative with TAFE and university activity (coefficients of</w:t>
      </w:r>
      <w:r w:rsidR="00F72EBE">
        <w:t xml:space="preserve"> 0.141 significant to 0.05, </w:t>
      </w:r>
      <w:proofErr w:type="gramStart"/>
      <w:r w:rsidR="00F72EBE">
        <w:t>and</w:t>
      </w:r>
      <w:r w:rsidRPr="00B01C99">
        <w:t xml:space="preserve">  -</w:t>
      </w:r>
      <w:proofErr w:type="gramEnd"/>
      <w:r w:rsidRPr="00B01C99">
        <w:t xml:space="preserve">0.273 significant to 0.01 respectively).  </w:t>
      </w:r>
    </w:p>
    <w:p w:rsidR="00B01C99" w:rsidRPr="00B01C99" w:rsidRDefault="00B01C99" w:rsidP="00B01C99">
      <w:pPr>
        <w:pStyle w:val="Text"/>
      </w:pPr>
      <w:r w:rsidRPr="00B01C99">
        <w:t xml:space="preserve">These associations, however, are eclipsed by the significant and large positive correlations found between regional participation in community providers and higher rates of </w:t>
      </w:r>
      <w:r w:rsidR="00F60948">
        <w:t xml:space="preserve">participation across all </w:t>
      </w:r>
      <w:r w:rsidRPr="00B01C99">
        <w:t xml:space="preserve">groups.  Highlighting the role community providers play in serving some of our most disadvantaged populations, the associations are strongest for students with a disability, unemployed students and students with low prior educational attainment (all significant to 0.01, coefficients 0.620, 0.544, 0.453 respectively).  This is mirrored by the significance of the number of community provider sites delivering VET in a region, to rates of participation by students from different </w:t>
      </w:r>
      <w:r w:rsidR="00F60948">
        <w:t>backgrounds</w:t>
      </w:r>
      <w:r w:rsidRPr="00B01C99">
        <w:t xml:space="preserve">.  </w:t>
      </w:r>
    </w:p>
    <w:p w:rsidR="00B01C99" w:rsidRPr="00B01C99" w:rsidRDefault="00B01C99" w:rsidP="00B01C99">
      <w:pPr>
        <w:pStyle w:val="Text"/>
      </w:pPr>
      <w:r w:rsidRPr="00B01C99">
        <w:t>Other interesting findings in the correlation table concern the results for regions with higher proportions of students undertaking basic-level VET cour</w:t>
      </w:r>
      <w:r w:rsidR="00F72EBE">
        <w:t>ses (certificate I or c</w:t>
      </w:r>
      <w:r w:rsidRPr="00B01C99">
        <w:t xml:space="preserve">ertificate II).  Across all </w:t>
      </w:r>
      <w:r w:rsidR="00F60948">
        <w:t>target</w:t>
      </w:r>
      <w:r w:rsidRPr="00B01C99">
        <w:t xml:space="preserve"> groups, there is a significant positive association between the amount of basic VET activity occurring in a region and VET participation rates.  Other </w:t>
      </w:r>
      <w:r w:rsidR="00F72EBE" w:rsidRPr="00B01C99">
        <w:t>levels of VET (advanced, middle) see</w:t>
      </w:r>
      <w:r w:rsidRPr="00B01C99">
        <w:t xml:space="preserve"> a negative relationship with participation by students from disadvantaged groups.  </w:t>
      </w:r>
    </w:p>
    <w:p w:rsidR="002D5A50" w:rsidRDefault="00B01C99" w:rsidP="00B01C99">
      <w:pPr>
        <w:pStyle w:val="Text"/>
      </w:pPr>
      <w:r w:rsidRPr="00B01C99">
        <w:t xml:space="preserve">There are some differences too across mode of delivery.  Regions where there are relatively higher concentrations of students undertaking classroom-based learning correspond to higher rates of participation by students with low attainment, unemployed, and LBOTE students (significant to 0.01, correlation coefficients of 0.396, 0.232, 0.185, respectively).  This carries through to Indigenous students (significant to 0.05, coefficient 0.118) but is not seen for students with a disability.  Employment and online based courses see a significant negative correlation with students with low levels of prior educational attainment, and other groups.  </w:t>
      </w:r>
    </w:p>
    <w:p w:rsidR="00B01C99" w:rsidRPr="00215737" w:rsidRDefault="00B01C99" w:rsidP="00B01C99">
      <w:pPr>
        <w:pStyle w:val="tabletitle"/>
      </w:pPr>
      <w:bookmarkStart w:id="32" w:name="_Toc454947015"/>
      <w:bookmarkStart w:id="33" w:name="_Toc498936231"/>
      <w:r>
        <w:t xml:space="preserve">Table </w:t>
      </w:r>
      <w:r>
        <w:fldChar w:fldCharType="begin"/>
      </w:r>
      <w:r>
        <w:instrText xml:space="preserve"> SEQ Table \* ARABIC </w:instrText>
      </w:r>
      <w:r>
        <w:fldChar w:fldCharType="separate"/>
      </w:r>
      <w:r w:rsidR="00BF3209">
        <w:rPr>
          <w:noProof/>
        </w:rPr>
        <w:t>3</w:t>
      </w:r>
      <w:r>
        <w:fldChar w:fldCharType="end"/>
      </w:r>
      <w:r>
        <w:tab/>
      </w:r>
      <w:r w:rsidRPr="00215737">
        <w:t xml:space="preserve">Correlations between regional </w:t>
      </w:r>
      <w:r>
        <w:t xml:space="preserve">VET </w:t>
      </w:r>
      <w:r w:rsidRPr="00215737">
        <w:t xml:space="preserve">participation </w:t>
      </w:r>
      <w:r>
        <w:t xml:space="preserve">rates for different groups of students </w:t>
      </w:r>
      <w:r w:rsidRPr="00215737">
        <w:t>and regional VET course and provider characteristics</w:t>
      </w:r>
      <w:bookmarkEnd w:id="32"/>
      <w:r>
        <w:t>, 2014</w:t>
      </w:r>
      <w:bookmarkEnd w:id="33"/>
    </w:p>
    <w:tbl>
      <w:tblPr>
        <w:tblW w:w="9072" w:type="dxa"/>
        <w:tblLayout w:type="fixed"/>
        <w:tblLook w:val="04A0" w:firstRow="1" w:lastRow="0" w:firstColumn="1" w:lastColumn="0" w:noHBand="0" w:noVBand="1"/>
      </w:tblPr>
      <w:tblGrid>
        <w:gridCol w:w="1494"/>
        <w:gridCol w:w="332"/>
        <w:gridCol w:w="1684"/>
        <w:gridCol w:w="533"/>
        <w:gridCol w:w="539"/>
        <w:gridCol w:w="1070"/>
        <w:gridCol w:w="1070"/>
        <w:gridCol w:w="1214"/>
        <w:gridCol w:w="1076"/>
        <w:gridCol w:w="60"/>
      </w:tblGrid>
      <w:tr w:rsidR="00B01C99" w:rsidRPr="00B01C99" w:rsidTr="003107B3">
        <w:trPr>
          <w:trHeight w:val="300"/>
        </w:trPr>
        <w:tc>
          <w:tcPr>
            <w:tcW w:w="1006" w:type="pct"/>
            <w:gridSpan w:val="2"/>
            <w:tcBorders>
              <w:top w:val="single" w:sz="4" w:space="0" w:color="auto"/>
              <w:left w:val="nil"/>
              <w:bottom w:val="single" w:sz="4" w:space="0" w:color="auto"/>
              <w:right w:val="nil"/>
            </w:tcBorders>
            <w:shd w:val="clear" w:color="auto" w:fill="auto"/>
            <w:noWrap/>
            <w:vAlign w:val="bottom"/>
          </w:tcPr>
          <w:p w:rsidR="00B01C99" w:rsidRPr="00B01C99" w:rsidRDefault="00B01C99" w:rsidP="00B01C99">
            <w:pPr>
              <w:pStyle w:val="Tablehead1"/>
            </w:pPr>
          </w:p>
        </w:tc>
        <w:tc>
          <w:tcPr>
            <w:tcW w:w="1222" w:type="pct"/>
            <w:gridSpan w:val="2"/>
            <w:tcBorders>
              <w:top w:val="single" w:sz="4" w:space="0" w:color="auto"/>
              <w:left w:val="nil"/>
              <w:bottom w:val="single" w:sz="4" w:space="0" w:color="auto"/>
              <w:right w:val="nil"/>
            </w:tcBorders>
            <w:shd w:val="clear" w:color="auto" w:fill="auto"/>
            <w:noWrap/>
            <w:vAlign w:val="bottom"/>
          </w:tcPr>
          <w:p w:rsidR="00B01C99" w:rsidRPr="00B01C99" w:rsidRDefault="00B01C99" w:rsidP="00B01C99">
            <w:pPr>
              <w:pStyle w:val="Tablehead1"/>
            </w:pPr>
          </w:p>
        </w:tc>
        <w:tc>
          <w:tcPr>
            <w:tcW w:w="2772" w:type="pct"/>
            <w:gridSpan w:val="6"/>
            <w:tcBorders>
              <w:top w:val="single" w:sz="4" w:space="0" w:color="auto"/>
              <w:left w:val="nil"/>
              <w:bottom w:val="single" w:sz="4" w:space="0" w:color="auto"/>
              <w:right w:val="nil"/>
            </w:tcBorders>
            <w:shd w:val="clear" w:color="auto" w:fill="auto"/>
            <w:noWrap/>
            <w:vAlign w:val="bottom"/>
          </w:tcPr>
          <w:p w:rsidR="00B01C99" w:rsidRPr="00B01C99" w:rsidRDefault="00B01C99" w:rsidP="00F60948">
            <w:pPr>
              <w:pStyle w:val="Tablehead1"/>
            </w:pPr>
            <w:r w:rsidRPr="00B01C99">
              <w:t>Regional VET Participation Rates (</w:t>
            </w:r>
            <w:r w:rsidR="00F60948">
              <w:t>Target</w:t>
            </w:r>
            <w:r w:rsidRPr="00B01C99">
              <w:t xml:space="preserve"> groups)</w:t>
            </w:r>
          </w:p>
        </w:tc>
      </w:tr>
      <w:tr w:rsidR="00F60948" w:rsidRPr="00215737" w:rsidTr="003107B3">
        <w:trPr>
          <w:gridAfter w:val="1"/>
          <w:wAfter w:w="33" w:type="pct"/>
          <w:trHeight w:val="300"/>
        </w:trPr>
        <w:tc>
          <w:tcPr>
            <w:tcW w:w="823" w:type="pct"/>
            <w:tcBorders>
              <w:top w:val="single" w:sz="4" w:space="0" w:color="auto"/>
              <w:left w:val="nil"/>
              <w:bottom w:val="single" w:sz="4" w:space="0" w:color="auto"/>
              <w:right w:val="nil"/>
            </w:tcBorders>
            <w:shd w:val="clear" w:color="auto" w:fill="auto"/>
            <w:noWrap/>
            <w:vAlign w:val="bottom"/>
            <w:hideMark/>
          </w:tcPr>
          <w:p w:rsidR="00B01C99" w:rsidRPr="00215737" w:rsidRDefault="00B01C99" w:rsidP="00B01C99">
            <w:pPr>
              <w:pStyle w:val="Tablehead2"/>
            </w:pPr>
          </w:p>
        </w:tc>
        <w:tc>
          <w:tcPr>
            <w:tcW w:w="1111" w:type="pct"/>
            <w:gridSpan w:val="2"/>
            <w:tcBorders>
              <w:top w:val="single" w:sz="4" w:space="0" w:color="auto"/>
              <w:left w:val="nil"/>
              <w:bottom w:val="single" w:sz="4" w:space="0" w:color="auto"/>
              <w:right w:val="nil"/>
            </w:tcBorders>
            <w:shd w:val="clear" w:color="auto" w:fill="auto"/>
            <w:noWrap/>
            <w:vAlign w:val="bottom"/>
            <w:hideMark/>
          </w:tcPr>
          <w:p w:rsidR="00B01C99" w:rsidRPr="00215737" w:rsidRDefault="00B01C99" w:rsidP="00B01C99">
            <w:pPr>
              <w:pStyle w:val="Tablehead2"/>
            </w:pPr>
          </w:p>
        </w:tc>
        <w:tc>
          <w:tcPr>
            <w:tcW w:w="591" w:type="pct"/>
            <w:gridSpan w:val="2"/>
            <w:tcBorders>
              <w:top w:val="single" w:sz="4" w:space="0" w:color="auto"/>
              <w:left w:val="nil"/>
              <w:bottom w:val="single" w:sz="4" w:space="0" w:color="auto"/>
              <w:right w:val="nil"/>
            </w:tcBorders>
            <w:shd w:val="clear" w:color="auto" w:fill="auto"/>
            <w:noWrap/>
            <w:vAlign w:val="bottom"/>
            <w:hideMark/>
          </w:tcPr>
          <w:p w:rsidR="00B01C99" w:rsidRPr="00215737" w:rsidRDefault="00B01C99" w:rsidP="00535373">
            <w:pPr>
              <w:pStyle w:val="Tablehead2"/>
              <w:tabs>
                <w:tab w:val="clear" w:pos="992"/>
              </w:tabs>
              <w:jc w:val="center"/>
              <w:rPr>
                <w:rFonts w:cs="Arial"/>
                <w:color w:val="000000"/>
                <w:szCs w:val="18"/>
              </w:rPr>
            </w:pPr>
            <w:r w:rsidRPr="00215737">
              <w:rPr>
                <w:rFonts w:cs="Arial"/>
                <w:color w:val="000000"/>
                <w:szCs w:val="18"/>
              </w:rPr>
              <w:t>Indigenous</w:t>
            </w:r>
          </w:p>
        </w:tc>
        <w:tc>
          <w:tcPr>
            <w:tcW w:w="590" w:type="pct"/>
            <w:tcBorders>
              <w:top w:val="single" w:sz="4" w:space="0" w:color="auto"/>
              <w:left w:val="nil"/>
              <w:bottom w:val="single" w:sz="4" w:space="0" w:color="auto"/>
              <w:right w:val="nil"/>
            </w:tcBorders>
            <w:shd w:val="clear" w:color="auto" w:fill="auto"/>
            <w:noWrap/>
            <w:vAlign w:val="bottom"/>
            <w:hideMark/>
          </w:tcPr>
          <w:p w:rsidR="00B01C99" w:rsidRPr="00215737" w:rsidRDefault="00B01C99" w:rsidP="00535373">
            <w:pPr>
              <w:pStyle w:val="Tablehead2"/>
              <w:tabs>
                <w:tab w:val="clear" w:pos="992"/>
              </w:tabs>
              <w:jc w:val="center"/>
              <w:rPr>
                <w:rFonts w:cs="Arial"/>
                <w:color w:val="000000"/>
                <w:szCs w:val="18"/>
              </w:rPr>
            </w:pPr>
            <w:r w:rsidRPr="00215737">
              <w:rPr>
                <w:rFonts w:cs="Arial"/>
                <w:color w:val="000000"/>
                <w:szCs w:val="18"/>
              </w:rPr>
              <w:t>Disability</w:t>
            </w:r>
          </w:p>
        </w:tc>
        <w:tc>
          <w:tcPr>
            <w:tcW w:w="590" w:type="pct"/>
            <w:tcBorders>
              <w:top w:val="single" w:sz="4" w:space="0" w:color="auto"/>
              <w:left w:val="nil"/>
              <w:bottom w:val="single" w:sz="4" w:space="0" w:color="auto"/>
              <w:right w:val="nil"/>
            </w:tcBorders>
            <w:shd w:val="clear" w:color="auto" w:fill="auto"/>
            <w:noWrap/>
            <w:vAlign w:val="bottom"/>
            <w:hideMark/>
          </w:tcPr>
          <w:p w:rsidR="00B01C99" w:rsidRPr="00215737" w:rsidRDefault="00B01C99" w:rsidP="00535373">
            <w:pPr>
              <w:pStyle w:val="Tablehead2"/>
              <w:tabs>
                <w:tab w:val="clear" w:pos="992"/>
              </w:tabs>
              <w:jc w:val="center"/>
              <w:rPr>
                <w:rFonts w:cs="Arial"/>
                <w:color w:val="000000"/>
                <w:szCs w:val="18"/>
              </w:rPr>
            </w:pPr>
            <w:r w:rsidRPr="00215737">
              <w:rPr>
                <w:rFonts w:cs="Arial"/>
                <w:color w:val="000000"/>
                <w:szCs w:val="18"/>
              </w:rPr>
              <w:t>LBOTE</w:t>
            </w:r>
          </w:p>
        </w:tc>
        <w:tc>
          <w:tcPr>
            <w:tcW w:w="669" w:type="pct"/>
            <w:tcBorders>
              <w:top w:val="single" w:sz="4" w:space="0" w:color="auto"/>
              <w:left w:val="nil"/>
              <w:bottom w:val="single" w:sz="4" w:space="0" w:color="auto"/>
              <w:right w:val="nil"/>
            </w:tcBorders>
            <w:shd w:val="clear" w:color="auto" w:fill="auto"/>
            <w:noWrap/>
            <w:vAlign w:val="bottom"/>
            <w:hideMark/>
          </w:tcPr>
          <w:p w:rsidR="00B01C99" w:rsidRPr="00215737" w:rsidRDefault="00B01C99" w:rsidP="00535373">
            <w:pPr>
              <w:pStyle w:val="Tablehead2"/>
              <w:tabs>
                <w:tab w:val="clear" w:pos="992"/>
              </w:tabs>
              <w:jc w:val="center"/>
              <w:rPr>
                <w:rFonts w:cs="Arial"/>
                <w:color w:val="000000"/>
                <w:szCs w:val="18"/>
              </w:rPr>
            </w:pPr>
            <w:r w:rsidRPr="00215737">
              <w:rPr>
                <w:rFonts w:cs="Arial"/>
                <w:color w:val="000000"/>
                <w:szCs w:val="18"/>
              </w:rPr>
              <w:t>Unemployed</w:t>
            </w:r>
          </w:p>
        </w:tc>
        <w:tc>
          <w:tcPr>
            <w:tcW w:w="593" w:type="pct"/>
            <w:tcBorders>
              <w:top w:val="single" w:sz="4" w:space="0" w:color="auto"/>
              <w:left w:val="nil"/>
              <w:bottom w:val="single" w:sz="4" w:space="0" w:color="auto"/>
              <w:right w:val="nil"/>
            </w:tcBorders>
            <w:shd w:val="clear" w:color="auto" w:fill="auto"/>
            <w:noWrap/>
            <w:vAlign w:val="bottom"/>
            <w:hideMark/>
          </w:tcPr>
          <w:p w:rsidR="00B01C99" w:rsidRPr="00215737" w:rsidRDefault="00B01C99" w:rsidP="00535373">
            <w:pPr>
              <w:pStyle w:val="Tablehead2"/>
              <w:tabs>
                <w:tab w:val="clear" w:pos="992"/>
              </w:tabs>
              <w:jc w:val="center"/>
              <w:rPr>
                <w:rFonts w:cs="Arial"/>
                <w:color w:val="000000"/>
                <w:szCs w:val="18"/>
              </w:rPr>
            </w:pPr>
            <w:r w:rsidRPr="00215737">
              <w:rPr>
                <w:rFonts w:cs="Arial"/>
                <w:color w:val="000000"/>
                <w:szCs w:val="18"/>
              </w:rPr>
              <w:t>Low attainment</w:t>
            </w:r>
          </w:p>
        </w:tc>
      </w:tr>
      <w:tr w:rsidR="00F60948" w:rsidRPr="00215737" w:rsidTr="00F60948">
        <w:trPr>
          <w:gridAfter w:val="1"/>
          <w:wAfter w:w="33" w:type="pct"/>
          <w:trHeight w:val="300"/>
        </w:trPr>
        <w:tc>
          <w:tcPr>
            <w:tcW w:w="823" w:type="pct"/>
            <w:tcBorders>
              <w:top w:val="single" w:sz="4" w:space="0" w:color="auto"/>
              <w:left w:val="nil"/>
              <w:bottom w:val="nil"/>
              <w:right w:val="nil"/>
            </w:tcBorders>
            <w:shd w:val="clear" w:color="auto" w:fill="auto"/>
            <w:noWrap/>
            <w:vAlign w:val="center"/>
            <w:hideMark/>
          </w:tcPr>
          <w:p w:rsidR="00B01C99" w:rsidRPr="00215737" w:rsidRDefault="00B01C99" w:rsidP="00B01C99">
            <w:pPr>
              <w:pStyle w:val="Tabletext"/>
            </w:pPr>
            <w:r w:rsidRPr="00215737">
              <w:t>Provider type</w:t>
            </w:r>
          </w:p>
        </w:tc>
        <w:tc>
          <w:tcPr>
            <w:tcW w:w="1111" w:type="pct"/>
            <w:gridSpan w:val="2"/>
            <w:tcBorders>
              <w:top w:val="single" w:sz="4" w:space="0" w:color="auto"/>
              <w:left w:val="nil"/>
              <w:bottom w:val="nil"/>
              <w:right w:val="nil"/>
            </w:tcBorders>
            <w:shd w:val="clear" w:color="auto" w:fill="auto"/>
            <w:noWrap/>
            <w:vAlign w:val="center"/>
            <w:hideMark/>
          </w:tcPr>
          <w:p w:rsidR="00B01C99" w:rsidRPr="00215737" w:rsidRDefault="00B01C99" w:rsidP="00B01C99">
            <w:pPr>
              <w:pStyle w:val="Tabletext"/>
              <w:rPr>
                <w:rFonts w:cs="Arial"/>
                <w:szCs w:val="18"/>
              </w:rPr>
            </w:pPr>
            <w:r w:rsidRPr="00215737">
              <w:rPr>
                <w:rFonts w:cs="Arial"/>
                <w:szCs w:val="18"/>
              </w:rPr>
              <w:t>% TAFE/University</w:t>
            </w:r>
          </w:p>
        </w:tc>
        <w:tc>
          <w:tcPr>
            <w:tcW w:w="591" w:type="pct"/>
            <w:gridSpan w:val="2"/>
            <w:tcBorders>
              <w:top w:val="single" w:sz="4" w:space="0" w:color="auto"/>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.155</w:t>
            </w:r>
            <w:r w:rsidRPr="00215737">
              <w:rPr>
                <w:rFonts w:cs="Arial"/>
                <w:szCs w:val="18"/>
                <w:vertAlign w:val="superscript"/>
              </w:rPr>
              <w:t>**</w:t>
            </w:r>
          </w:p>
        </w:tc>
        <w:tc>
          <w:tcPr>
            <w:tcW w:w="590" w:type="pct"/>
            <w:tcBorders>
              <w:top w:val="single" w:sz="4" w:space="0" w:color="auto"/>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.019</w:t>
            </w:r>
          </w:p>
        </w:tc>
        <w:tc>
          <w:tcPr>
            <w:tcW w:w="590" w:type="pct"/>
            <w:tcBorders>
              <w:top w:val="single" w:sz="4" w:space="0" w:color="auto"/>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.046</w:t>
            </w:r>
          </w:p>
        </w:tc>
        <w:tc>
          <w:tcPr>
            <w:tcW w:w="669" w:type="pct"/>
            <w:tcBorders>
              <w:top w:val="single" w:sz="4" w:space="0" w:color="auto"/>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.031</w:t>
            </w:r>
          </w:p>
        </w:tc>
        <w:tc>
          <w:tcPr>
            <w:tcW w:w="593" w:type="pct"/>
            <w:tcBorders>
              <w:top w:val="single" w:sz="4" w:space="0" w:color="auto"/>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-.273</w:t>
            </w:r>
            <w:r w:rsidRPr="00215737">
              <w:rPr>
                <w:rFonts w:cs="Arial"/>
                <w:szCs w:val="18"/>
                <w:vertAlign w:val="superscript"/>
              </w:rPr>
              <w:t>**</w:t>
            </w:r>
          </w:p>
        </w:tc>
      </w:tr>
      <w:tr w:rsidR="00F60948" w:rsidRPr="00215737" w:rsidTr="00F60948">
        <w:trPr>
          <w:gridAfter w:val="1"/>
          <w:wAfter w:w="33" w:type="pct"/>
          <w:trHeight w:val="300"/>
        </w:trPr>
        <w:tc>
          <w:tcPr>
            <w:tcW w:w="823" w:type="pct"/>
            <w:tcBorders>
              <w:top w:val="nil"/>
              <w:left w:val="nil"/>
              <w:bottom w:val="nil"/>
              <w:right w:val="nil"/>
            </w:tcBorders>
            <w:shd w:val="clear" w:color="auto" w:fill="auto"/>
            <w:noWrap/>
            <w:vAlign w:val="center"/>
            <w:hideMark/>
          </w:tcPr>
          <w:p w:rsidR="00B01C99" w:rsidRPr="00215737" w:rsidRDefault="00B01C99" w:rsidP="00B01C99">
            <w:pPr>
              <w:pStyle w:val="Tabletext"/>
              <w:rPr>
                <w:rFonts w:cs="Arial"/>
                <w:szCs w:val="18"/>
              </w:rPr>
            </w:pPr>
          </w:p>
        </w:tc>
        <w:tc>
          <w:tcPr>
            <w:tcW w:w="1111" w:type="pct"/>
            <w:gridSpan w:val="2"/>
            <w:tcBorders>
              <w:top w:val="nil"/>
              <w:left w:val="nil"/>
              <w:bottom w:val="nil"/>
              <w:right w:val="nil"/>
            </w:tcBorders>
            <w:shd w:val="clear" w:color="auto" w:fill="auto"/>
            <w:noWrap/>
            <w:vAlign w:val="center"/>
            <w:hideMark/>
          </w:tcPr>
          <w:p w:rsidR="00B01C99" w:rsidRPr="00215737" w:rsidRDefault="00B01C99" w:rsidP="00B01C99">
            <w:pPr>
              <w:pStyle w:val="Tabletext"/>
              <w:rPr>
                <w:rFonts w:cs="Arial"/>
                <w:szCs w:val="18"/>
              </w:rPr>
            </w:pPr>
            <w:r w:rsidRPr="00215737">
              <w:rPr>
                <w:rFonts w:cs="Arial"/>
                <w:szCs w:val="18"/>
              </w:rPr>
              <w:t>% Community providers</w:t>
            </w:r>
          </w:p>
        </w:tc>
        <w:tc>
          <w:tcPr>
            <w:tcW w:w="591" w:type="pct"/>
            <w:gridSpan w:val="2"/>
            <w:tcBorders>
              <w:top w:val="nil"/>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.372</w:t>
            </w:r>
            <w:r w:rsidRPr="00215737">
              <w:rPr>
                <w:rFonts w:cs="Arial"/>
                <w:szCs w:val="18"/>
                <w:vertAlign w:val="superscript"/>
              </w:rPr>
              <w:t>**</w:t>
            </w:r>
          </w:p>
        </w:tc>
        <w:tc>
          <w:tcPr>
            <w:tcW w:w="590" w:type="pct"/>
            <w:tcBorders>
              <w:top w:val="nil"/>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.620</w:t>
            </w:r>
            <w:r w:rsidRPr="00215737">
              <w:rPr>
                <w:rFonts w:cs="Arial"/>
                <w:szCs w:val="18"/>
                <w:vertAlign w:val="superscript"/>
              </w:rPr>
              <w:t>**</w:t>
            </w:r>
          </w:p>
        </w:tc>
        <w:tc>
          <w:tcPr>
            <w:tcW w:w="590" w:type="pct"/>
            <w:tcBorders>
              <w:top w:val="nil"/>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.311</w:t>
            </w:r>
            <w:r w:rsidRPr="00215737">
              <w:rPr>
                <w:rFonts w:cs="Arial"/>
                <w:szCs w:val="18"/>
                <w:vertAlign w:val="superscript"/>
              </w:rPr>
              <w:t>**</w:t>
            </w:r>
          </w:p>
        </w:tc>
        <w:tc>
          <w:tcPr>
            <w:tcW w:w="669" w:type="pct"/>
            <w:tcBorders>
              <w:top w:val="nil"/>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.544</w:t>
            </w:r>
            <w:r w:rsidRPr="00215737">
              <w:rPr>
                <w:rFonts w:cs="Arial"/>
                <w:szCs w:val="18"/>
                <w:vertAlign w:val="superscript"/>
              </w:rPr>
              <w:t>**</w:t>
            </w:r>
          </w:p>
        </w:tc>
        <w:tc>
          <w:tcPr>
            <w:tcW w:w="593" w:type="pct"/>
            <w:tcBorders>
              <w:top w:val="nil"/>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.453</w:t>
            </w:r>
            <w:r w:rsidRPr="00215737">
              <w:rPr>
                <w:rFonts w:cs="Arial"/>
                <w:szCs w:val="18"/>
                <w:vertAlign w:val="superscript"/>
              </w:rPr>
              <w:t>**</w:t>
            </w:r>
          </w:p>
        </w:tc>
      </w:tr>
      <w:tr w:rsidR="00F60948" w:rsidRPr="00215737" w:rsidTr="00F60948">
        <w:trPr>
          <w:gridAfter w:val="1"/>
          <w:wAfter w:w="33" w:type="pct"/>
          <w:trHeight w:val="300"/>
        </w:trPr>
        <w:tc>
          <w:tcPr>
            <w:tcW w:w="823" w:type="pct"/>
            <w:tcBorders>
              <w:top w:val="nil"/>
              <w:left w:val="nil"/>
              <w:bottom w:val="single" w:sz="4" w:space="0" w:color="auto"/>
              <w:right w:val="nil"/>
            </w:tcBorders>
            <w:shd w:val="clear" w:color="auto" w:fill="auto"/>
            <w:noWrap/>
            <w:vAlign w:val="center"/>
            <w:hideMark/>
          </w:tcPr>
          <w:p w:rsidR="00B01C99" w:rsidRPr="00215737" w:rsidRDefault="00B01C99" w:rsidP="00B01C99">
            <w:pPr>
              <w:pStyle w:val="Tabletext"/>
              <w:rPr>
                <w:rFonts w:cs="Arial"/>
                <w:szCs w:val="18"/>
              </w:rPr>
            </w:pPr>
          </w:p>
        </w:tc>
        <w:tc>
          <w:tcPr>
            <w:tcW w:w="1111" w:type="pct"/>
            <w:gridSpan w:val="2"/>
            <w:tcBorders>
              <w:top w:val="nil"/>
              <w:left w:val="nil"/>
              <w:bottom w:val="single" w:sz="4" w:space="0" w:color="auto"/>
              <w:right w:val="nil"/>
            </w:tcBorders>
            <w:shd w:val="clear" w:color="auto" w:fill="auto"/>
            <w:noWrap/>
            <w:vAlign w:val="center"/>
            <w:hideMark/>
          </w:tcPr>
          <w:p w:rsidR="00B01C99" w:rsidRPr="00215737" w:rsidRDefault="00B01C99" w:rsidP="00B01C99">
            <w:pPr>
              <w:pStyle w:val="Tabletext"/>
              <w:rPr>
                <w:rFonts w:cs="Arial"/>
                <w:szCs w:val="18"/>
              </w:rPr>
            </w:pPr>
            <w:r w:rsidRPr="00215737">
              <w:rPr>
                <w:rFonts w:cs="Arial"/>
                <w:szCs w:val="18"/>
              </w:rPr>
              <w:t>% Private providers</w:t>
            </w:r>
          </w:p>
        </w:tc>
        <w:tc>
          <w:tcPr>
            <w:tcW w:w="591" w:type="pct"/>
            <w:gridSpan w:val="2"/>
            <w:tcBorders>
              <w:top w:val="nil"/>
              <w:left w:val="nil"/>
              <w:bottom w:val="single" w:sz="4" w:space="0" w:color="auto"/>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-.265</w:t>
            </w:r>
            <w:r w:rsidRPr="00215737">
              <w:rPr>
                <w:rFonts w:cs="Arial"/>
                <w:szCs w:val="18"/>
                <w:vertAlign w:val="superscript"/>
              </w:rPr>
              <w:t>**</w:t>
            </w:r>
          </w:p>
        </w:tc>
        <w:tc>
          <w:tcPr>
            <w:tcW w:w="590" w:type="pct"/>
            <w:tcBorders>
              <w:top w:val="nil"/>
              <w:left w:val="nil"/>
              <w:bottom w:val="single" w:sz="4" w:space="0" w:color="auto"/>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-.193</w:t>
            </w:r>
            <w:r w:rsidRPr="00215737">
              <w:rPr>
                <w:rFonts w:cs="Arial"/>
                <w:szCs w:val="18"/>
                <w:vertAlign w:val="superscript"/>
              </w:rPr>
              <w:t>**</w:t>
            </w:r>
          </w:p>
        </w:tc>
        <w:tc>
          <w:tcPr>
            <w:tcW w:w="590" w:type="pct"/>
            <w:tcBorders>
              <w:top w:val="nil"/>
              <w:left w:val="nil"/>
              <w:bottom w:val="single" w:sz="4" w:space="0" w:color="auto"/>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-.144</w:t>
            </w:r>
            <w:r w:rsidRPr="00215737">
              <w:rPr>
                <w:rFonts w:cs="Arial"/>
                <w:szCs w:val="18"/>
                <w:vertAlign w:val="superscript"/>
              </w:rPr>
              <w:t>**</w:t>
            </w:r>
          </w:p>
        </w:tc>
        <w:tc>
          <w:tcPr>
            <w:tcW w:w="669" w:type="pct"/>
            <w:tcBorders>
              <w:top w:val="nil"/>
              <w:left w:val="nil"/>
              <w:bottom w:val="single" w:sz="4" w:space="0" w:color="auto"/>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-.195</w:t>
            </w:r>
            <w:r w:rsidRPr="00215737">
              <w:rPr>
                <w:rFonts w:cs="Arial"/>
                <w:szCs w:val="18"/>
                <w:vertAlign w:val="superscript"/>
              </w:rPr>
              <w:t>**</w:t>
            </w:r>
          </w:p>
        </w:tc>
        <w:tc>
          <w:tcPr>
            <w:tcW w:w="593" w:type="pct"/>
            <w:tcBorders>
              <w:top w:val="nil"/>
              <w:left w:val="nil"/>
              <w:bottom w:val="single" w:sz="4" w:space="0" w:color="auto"/>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.141</w:t>
            </w:r>
            <w:r w:rsidRPr="00215737">
              <w:rPr>
                <w:rFonts w:cs="Arial"/>
                <w:szCs w:val="18"/>
                <w:vertAlign w:val="superscript"/>
              </w:rPr>
              <w:t>*</w:t>
            </w:r>
          </w:p>
        </w:tc>
      </w:tr>
      <w:tr w:rsidR="00F60948" w:rsidRPr="00215737" w:rsidTr="00F60948">
        <w:trPr>
          <w:gridAfter w:val="1"/>
          <w:wAfter w:w="33" w:type="pct"/>
          <w:trHeight w:val="300"/>
        </w:trPr>
        <w:tc>
          <w:tcPr>
            <w:tcW w:w="823" w:type="pct"/>
            <w:tcBorders>
              <w:top w:val="single" w:sz="4" w:space="0" w:color="auto"/>
              <w:left w:val="nil"/>
              <w:bottom w:val="nil"/>
              <w:right w:val="nil"/>
            </w:tcBorders>
            <w:shd w:val="clear" w:color="auto" w:fill="auto"/>
            <w:noWrap/>
            <w:vAlign w:val="center"/>
            <w:hideMark/>
          </w:tcPr>
          <w:p w:rsidR="00B01C99" w:rsidRPr="00215737" w:rsidRDefault="00B01C99" w:rsidP="00B01C99">
            <w:pPr>
              <w:pStyle w:val="Tabletext"/>
            </w:pPr>
            <w:r w:rsidRPr="00215737">
              <w:t>AQF Level</w:t>
            </w:r>
          </w:p>
        </w:tc>
        <w:tc>
          <w:tcPr>
            <w:tcW w:w="1111" w:type="pct"/>
            <w:gridSpan w:val="2"/>
            <w:tcBorders>
              <w:top w:val="single" w:sz="4" w:space="0" w:color="auto"/>
              <w:left w:val="nil"/>
              <w:bottom w:val="nil"/>
              <w:right w:val="nil"/>
            </w:tcBorders>
            <w:shd w:val="clear" w:color="auto" w:fill="auto"/>
            <w:noWrap/>
            <w:vAlign w:val="center"/>
            <w:hideMark/>
          </w:tcPr>
          <w:p w:rsidR="00B01C99" w:rsidRPr="00215737" w:rsidRDefault="00B01C99" w:rsidP="00B01C99">
            <w:pPr>
              <w:pStyle w:val="Tabletext"/>
              <w:rPr>
                <w:rFonts w:cs="Arial"/>
                <w:szCs w:val="18"/>
              </w:rPr>
            </w:pPr>
            <w:r w:rsidRPr="00215737">
              <w:rPr>
                <w:rFonts w:cs="Arial"/>
                <w:szCs w:val="18"/>
              </w:rPr>
              <w:t>% Advanced</w:t>
            </w:r>
          </w:p>
        </w:tc>
        <w:tc>
          <w:tcPr>
            <w:tcW w:w="591" w:type="pct"/>
            <w:gridSpan w:val="2"/>
            <w:tcBorders>
              <w:top w:val="single" w:sz="4" w:space="0" w:color="auto"/>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-.215</w:t>
            </w:r>
            <w:r w:rsidRPr="00215737">
              <w:rPr>
                <w:rFonts w:cs="Arial"/>
                <w:szCs w:val="18"/>
                <w:vertAlign w:val="superscript"/>
              </w:rPr>
              <w:t>**</w:t>
            </w:r>
          </w:p>
        </w:tc>
        <w:tc>
          <w:tcPr>
            <w:tcW w:w="590" w:type="pct"/>
            <w:tcBorders>
              <w:top w:val="single" w:sz="4" w:space="0" w:color="auto"/>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-.264</w:t>
            </w:r>
            <w:r w:rsidRPr="00215737">
              <w:rPr>
                <w:rFonts w:cs="Arial"/>
                <w:szCs w:val="18"/>
                <w:vertAlign w:val="superscript"/>
              </w:rPr>
              <w:t>**</w:t>
            </w:r>
          </w:p>
        </w:tc>
        <w:tc>
          <w:tcPr>
            <w:tcW w:w="590" w:type="pct"/>
            <w:tcBorders>
              <w:top w:val="single" w:sz="4" w:space="0" w:color="auto"/>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-.297</w:t>
            </w:r>
            <w:r w:rsidRPr="00215737">
              <w:rPr>
                <w:rFonts w:cs="Arial"/>
                <w:szCs w:val="18"/>
                <w:vertAlign w:val="superscript"/>
              </w:rPr>
              <w:t>**</w:t>
            </w:r>
          </w:p>
        </w:tc>
        <w:tc>
          <w:tcPr>
            <w:tcW w:w="669" w:type="pct"/>
            <w:tcBorders>
              <w:top w:val="single" w:sz="4" w:space="0" w:color="auto"/>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-.097</w:t>
            </w:r>
          </w:p>
        </w:tc>
        <w:tc>
          <w:tcPr>
            <w:tcW w:w="593" w:type="pct"/>
            <w:tcBorders>
              <w:top w:val="single" w:sz="4" w:space="0" w:color="auto"/>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-.291</w:t>
            </w:r>
            <w:r w:rsidRPr="00215737">
              <w:rPr>
                <w:rFonts w:cs="Arial"/>
                <w:szCs w:val="18"/>
                <w:vertAlign w:val="superscript"/>
              </w:rPr>
              <w:t>**</w:t>
            </w:r>
          </w:p>
        </w:tc>
      </w:tr>
      <w:tr w:rsidR="00F60948" w:rsidRPr="00215737" w:rsidTr="00F60948">
        <w:trPr>
          <w:gridAfter w:val="1"/>
          <w:wAfter w:w="33" w:type="pct"/>
          <w:trHeight w:val="300"/>
        </w:trPr>
        <w:tc>
          <w:tcPr>
            <w:tcW w:w="823" w:type="pct"/>
            <w:tcBorders>
              <w:top w:val="nil"/>
              <w:left w:val="nil"/>
              <w:bottom w:val="nil"/>
              <w:right w:val="nil"/>
            </w:tcBorders>
            <w:shd w:val="clear" w:color="auto" w:fill="auto"/>
            <w:noWrap/>
            <w:vAlign w:val="center"/>
            <w:hideMark/>
          </w:tcPr>
          <w:p w:rsidR="00B01C99" w:rsidRPr="00215737" w:rsidRDefault="00B01C99" w:rsidP="00B01C99">
            <w:pPr>
              <w:pStyle w:val="Tabletext"/>
              <w:rPr>
                <w:rFonts w:cs="Arial"/>
                <w:szCs w:val="18"/>
              </w:rPr>
            </w:pPr>
          </w:p>
        </w:tc>
        <w:tc>
          <w:tcPr>
            <w:tcW w:w="1111" w:type="pct"/>
            <w:gridSpan w:val="2"/>
            <w:tcBorders>
              <w:top w:val="nil"/>
              <w:left w:val="nil"/>
              <w:bottom w:val="nil"/>
              <w:right w:val="nil"/>
            </w:tcBorders>
            <w:shd w:val="clear" w:color="auto" w:fill="auto"/>
            <w:noWrap/>
            <w:vAlign w:val="center"/>
            <w:hideMark/>
          </w:tcPr>
          <w:p w:rsidR="00B01C99" w:rsidRPr="00215737" w:rsidRDefault="00B01C99" w:rsidP="00B01C99">
            <w:pPr>
              <w:pStyle w:val="Tabletext"/>
              <w:rPr>
                <w:rFonts w:cs="Arial"/>
                <w:szCs w:val="18"/>
              </w:rPr>
            </w:pPr>
            <w:r w:rsidRPr="00215737">
              <w:rPr>
                <w:rFonts w:cs="Arial"/>
                <w:szCs w:val="18"/>
              </w:rPr>
              <w:t>% Middle</w:t>
            </w:r>
          </w:p>
        </w:tc>
        <w:tc>
          <w:tcPr>
            <w:tcW w:w="591" w:type="pct"/>
            <w:gridSpan w:val="2"/>
            <w:tcBorders>
              <w:top w:val="nil"/>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-.364</w:t>
            </w:r>
            <w:r w:rsidRPr="00215737">
              <w:rPr>
                <w:rFonts w:cs="Arial"/>
                <w:szCs w:val="18"/>
                <w:vertAlign w:val="superscript"/>
              </w:rPr>
              <w:t>**</w:t>
            </w:r>
          </w:p>
        </w:tc>
        <w:tc>
          <w:tcPr>
            <w:tcW w:w="590" w:type="pct"/>
            <w:tcBorders>
              <w:top w:val="nil"/>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-.392</w:t>
            </w:r>
            <w:r w:rsidRPr="00215737">
              <w:rPr>
                <w:rFonts w:cs="Arial"/>
                <w:szCs w:val="18"/>
                <w:vertAlign w:val="superscript"/>
              </w:rPr>
              <w:t>**</w:t>
            </w:r>
          </w:p>
        </w:tc>
        <w:tc>
          <w:tcPr>
            <w:tcW w:w="590" w:type="pct"/>
            <w:tcBorders>
              <w:top w:val="nil"/>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-.325</w:t>
            </w:r>
            <w:r w:rsidRPr="00215737">
              <w:rPr>
                <w:rFonts w:cs="Arial"/>
                <w:szCs w:val="18"/>
                <w:vertAlign w:val="superscript"/>
              </w:rPr>
              <w:t>**</w:t>
            </w:r>
          </w:p>
        </w:tc>
        <w:tc>
          <w:tcPr>
            <w:tcW w:w="669" w:type="pct"/>
            <w:tcBorders>
              <w:top w:val="nil"/>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-.363</w:t>
            </w:r>
            <w:r w:rsidRPr="00215737">
              <w:rPr>
                <w:rFonts w:cs="Arial"/>
                <w:szCs w:val="18"/>
                <w:vertAlign w:val="superscript"/>
              </w:rPr>
              <w:t>**</w:t>
            </w:r>
          </w:p>
        </w:tc>
        <w:tc>
          <w:tcPr>
            <w:tcW w:w="593" w:type="pct"/>
            <w:tcBorders>
              <w:top w:val="nil"/>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-.122</w:t>
            </w:r>
            <w:r w:rsidRPr="00215737">
              <w:rPr>
                <w:rFonts w:cs="Arial"/>
                <w:szCs w:val="18"/>
                <w:vertAlign w:val="superscript"/>
              </w:rPr>
              <w:t>*</w:t>
            </w:r>
          </w:p>
        </w:tc>
      </w:tr>
      <w:tr w:rsidR="00F60948" w:rsidRPr="00215737" w:rsidTr="00F60948">
        <w:trPr>
          <w:gridAfter w:val="1"/>
          <w:wAfter w:w="33" w:type="pct"/>
          <w:trHeight w:val="300"/>
        </w:trPr>
        <w:tc>
          <w:tcPr>
            <w:tcW w:w="823" w:type="pct"/>
            <w:tcBorders>
              <w:top w:val="nil"/>
              <w:left w:val="nil"/>
              <w:bottom w:val="nil"/>
              <w:right w:val="nil"/>
            </w:tcBorders>
            <w:shd w:val="clear" w:color="auto" w:fill="auto"/>
            <w:noWrap/>
            <w:vAlign w:val="center"/>
            <w:hideMark/>
          </w:tcPr>
          <w:p w:rsidR="00B01C99" w:rsidRPr="00215737" w:rsidRDefault="00B01C99" w:rsidP="00B01C99">
            <w:pPr>
              <w:pStyle w:val="Tabletext"/>
              <w:rPr>
                <w:rFonts w:cs="Arial"/>
                <w:szCs w:val="18"/>
              </w:rPr>
            </w:pPr>
          </w:p>
        </w:tc>
        <w:tc>
          <w:tcPr>
            <w:tcW w:w="1111" w:type="pct"/>
            <w:gridSpan w:val="2"/>
            <w:tcBorders>
              <w:top w:val="nil"/>
              <w:left w:val="nil"/>
              <w:bottom w:val="nil"/>
              <w:right w:val="nil"/>
            </w:tcBorders>
            <w:shd w:val="clear" w:color="auto" w:fill="auto"/>
            <w:noWrap/>
            <w:vAlign w:val="center"/>
            <w:hideMark/>
          </w:tcPr>
          <w:p w:rsidR="00B01C99" w:rsidRPr="00215737" w:rsidRDefault="00B01C99" w:rsidP="00B01C99">
            <w:pPr>
              <w:pStyle w:val="Tabletext"/>
              <w:rPr>
                <w:rFonts w:cs="Arial"/>
                <w:szCs w:val="18"/>
              </w:rPr>
            </w:pPr>
            <w:r w:rsidRPr="00215737">
              <w:rPr>
                <w:rFonts w:cs="Arial"/>
                <w:szCs w:val="18"/>
              </w:rPr>
              <w:t>% Basic</w:t>
            </w:r>
          </w:p>
        </w:tc>
        <w:tc>
          <w:tcPr>
            <w:tcW w:w="591" w:type="pct"/>
            <w:gridSpan w:val="2"/>
            <w:tcBorders>
              <w:top w:val="nil"/>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.385</w:t>
            </w:r>
            <w:r w:rsidRPr="00215737">
              <w:rPr>
                <w:rFonts w:cs="Arial"/>
                <w:szCs w:val="18"/>
                <w:vertAlign w:val="superscript"/>
              </w:rPr>
              <w:t>**</w:t>
            </w:r>
          </w:p>
        </w:tc>
        <w:tc>
          <w:tcPr>
            <w:tcW w:w="590" w:type="pct"/>
            <w:tcBorders>
              <w:top w:val="nil"/>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.453</w:t>
            </w:r>
            <w:r w:rsidRPr="00215737">
              <w:rPr>
                <w:rFonts w:cs="Arial"/>
                <w:szCs w:val="18"/>
                <w:vertAlign w:val="superscript"/>
              </w:rPr>
              <w:t>**</w:t>
            </w:r>
          </w:p>
        </w:tc>
        <w:tc>
          <w:tcPr>
            <w:tcW w:w="590" w:type="pct"/>
            <w:tcBorders>
              <w:top w:val="nil"/>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.437</w:t>
            </w:r>
            <w:r w:rsidRPr="00215737">
              <w:rPr>
                <w:rFonts w:cs="Arial"/>
                <w:szCs w:val="18"/>
                <w:vertAlign w:val="superscript"/>
              </w:rPr>
              <w:t>**</w:t>
            </w:r>
          </w:p>
        </w:tc>
        <w:tc>
          <w:tcPr>
            <w:tcW w:w="669" w:type="pct"/>
            <w:tcBorders>
              <w:top w:val="nil"/>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.319</w:t>
            </w:r>
            <w:r w:rsidRPr="00215737">
              <w:rPr>
                <w:rFonts w:cs="Arial"/>
                <w:szCs w:val="18"/>
                <w:vertAlign w:val="superscript"/>
              </w:rPr>
              <w:t>**</w:t>
            </w:r>
          </w:p>
        </w:tc>
        <w:tc>
          <w:tcPr>
            <w:tcW w:w="593" w:type="pct"/>
            <w:tcBorders>
              <w:top w:val="nil"/>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.286</w:t>
            </w:r>
            <w:r w:rsidRPr="00215737">
              <w:rPr>
                <w:rFonts w:cs="Arial"/>
                <w:szCs w:val="18"/>
                <w:vertAlign w:val="superscript"/>
              </w:rPr>
              <w:t>**</w:t>
            </w:r>
          </w:p>
        </w:tc>
      </w:tr>
      <w:tr w:rsidR="00F60948" w:rsidRPr="00215737" w:rsidTr="00F60948">
        <w:trPr>
          <w:gridAfter w:val="1"/>
          <w:wAfter w:w="33" w:type="pct"/>
          <w:trHeight w:val="300"/>
        </w:trPr>
        <w:tc>
          <w:tcPr>
            <w:tcW w:w="823" w:type="pct"/>
            <w:tcBorders>
              <w:top w:val="single" w:sz="4" w:space="0" w:color="auto"/>
              <w:left w:val="nil"/>
              <w:bottom w:val="nil"/>
              <w:right w:val="nil"/>
            </w:tcBorders>
            <w:shd w:val="clear" w:color="auto" w:fill="auto"/>
            <w:noWrap/>
            <w:vAlign w:val="center"/>
            <w:hideMark/>
          </w:tcPr>
          <w:p w:rsidR="00B01C99" w:rsidRPr="00215737" w:rsidRDefault="00B01C99" w:rsidP="00B01C99">
            <w:pPr>
              <w:pStyle w:val="Tabletext"/>
            </w:pPr>
            <w:r w:rsidRPr="00215737">
              <w:t xml:space="preserve">Delivery </w:t>
            </w:r>
            <w:r>
              <w:t>mode</w:t>
            </w:r>
          </w:p>
        </w:tc>
        <w:tc>
          <w:tcPr>
            <w:tcW w:w="1111" w:type="pct"/>
            <w:gridSpan w:val="2"/>
            <w:tcBorders>
              <w:top w:val="single" w:sz="4" w:space="0" w:color="auto"/>
              <w:left w:val="nil"/>
              <w:bottom w:val="nil"/>
              <w:right w:val="nil"/>
            </w:tcBorders>
            <w:shd w:val="clear" w:color="auto" w:fill="auto"/>
            <w:noWrap/>
            <w:vAlign w:val="center"/>
            <w:hideMark/>
          </w:tcPr>
          <w:p w:rsidR="00B01C99" w:rsidRPr="00215737" w:rsidRDefault="00B01C99" w:rsidP="00B01C99">
            <w:pPr>
              <w:pStyle w:val="Tabletext"/>
              <w:rPr>
                <w:rFonts w:cs="Arial"/>
                <w:szCs w:val="18"/>
              </w:rPr>
            </w:pPr>
            <w:r w:rsidRPr="00215737">
              <w:rPr>
                <w:rFonts w:cs="Arial"/>
                <w:szCs w:val="18"/>
              </w:rPr>
              <w:t>% Classroom</w:t>
            </w:r>
          </w:p>
        </w:tc>
        <w:tc>
          <w:tcPr>
            <w:tcW w:w="591" w:type="pct"/>
            <w:gridSpan w:val="2"/>
            <w:tcBorders>
              <w:top w:val="single" w:sz="4" w:space="0" w:color="auto"/>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.118</w:t>
            </w:r>
            <w:r w:rsidRPr="00215737">
              <w:rPr>
                <w:rFonts w:cs="Arial"/>
                <w:szCs w:val="18"/>
                <w:vertAlign w:val="superscript"/>
              </w:rPr>
              <w:t>*</w:t>
            </w:r>
          </w:p>
        </w:tc>
        <w:tc>
          <w:tcPr>
            <w:tcW w:w="590" w:type="pct"/>
            <w:tcBorders>
              <w:top w:val="single" w:sz="4" w:space="0" w:color="auto"/>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.096</w:t>
            </w:r>
          </w:p>
        </w:tc>
        <w:tc>
          <w:tcPr>
            <w:tcW w:w="590" w:type="pct"/>
            <w:tcBorders>
              <w:top w:val="single" w:sz="4" w:space="0" w:color="auto"/>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.185</w:t>
            </w:r>
            <w:r w:rsidRPr="00215737">
              <w:rPr>
                <w:rFonts w:cs="Arial"/>
                <w:szCs w:val="18"/>
                <w:vertAlign w:val="superscript"/>
              </w:rPr>
              <w:t>**</w:t>
            </w:r>
          </w:p>
        </w:tc>
        <w:tc>
          <w:tcPr>
            <w:tcW w:w="669" w:type="pct"/>
            <w:tcBorders>
              <w:top w:val="single" w:sz="4" w:space="0" w:color="auto"/>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.232</w:t>
            </w:r>
            <w:r w:rsidRPr="00215737">
              <w:rPr>
                <w:rFonts w:cs="Arial"/>
                <w:szCs w:val="18"/>
                <w:vertAlign w:val="superscript"/>
              </w:rPr>
              <w:t>**</w:t>
            </w:r>
          </w:p>
        </w:tc>
        <w:tc>
          <w:tcPr>
            <w:tcW w:w="593" w:type="pct"/>
            <w:tcBorders>
              <w:top w:val="single" w:sz="4" w:space="0" w:color="auto"/>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.396</w:t>
            </w:r>
            <w:r w:rsidRPr="00215737">
              <w:rPr>
                <w:rFonts w:cs="Arial"/>
                <w:szCs w:val="18"/>
                <w:vertAlign w:val="superscript"/>
              </w:rPr>
              <w:t>**</w:t>
            </w:r>
          </w:p>
        </w:tc>
      </w:tr>
      <w:tr w:rsidR="00F60948" w:rsidRPr="00215737" w:rsidTr="00F60948">
        <w:trPr>
          <w:gridAfter w:val="1"/>
          <w:wAfter w:w="33" w:type="pct"/>
          <w:trHeight w:val="300"/>
        </w:trPr>
        <w:tc>
          <w:tcPr>
            <w:tcW w:w="823" w:type="pct"/>
            <w:tcBorders>
              <w:top w:val="nil"/>
              <w:left w:val="nil"/>
              <w:bottom w:val="nil"/>
              <w:right w:val="nil"/>
            </w:tcBorders>
            <w:shd w:val="clear" w:color="auto" w:fill="auto"/>
            <w:noWrap/>
            <w:vAlign w:val="center"/>
            <w:hideMark/>
          </w:tcPr>
          <w:p w:rsidR="00B01C99" w:rsidRPr="00215737" w:rsidRDefault="00B01C99" w:rsidP="00B01C99">
            <w:pPr>
              <w:pStyle w:val="Tabletext"/>
              <w:rPr>
                <w:rFonts w:cs="Arial"/>
                <w:szCs w:val="18"/>
              </w:rPr>
            </w:pPr>
          </w:p>
        </w:tc>
        <w:tc>
          <w:tcPr>
            <w:tcW w:w="1111" w:type="pct"/>
            <w:gridSpan w:val="2"/>
            <w:tcBorders>
              <w:top w:val="nil"/>
              <w:left w:val="nil"/>
              <w:bottom w:val="nil"/>
              <w:right w:val="nil"/>
            </w:tcBorders>
            <w:shd w:val="clear" w:color="auto" w:fill="auto"/>
            <w:noWrap/>
            <w:vAlign w:val="center"/>
            <w:hideMark/>
          </w:tcPr>
          <w:p w:rsidR="00B01C99" w:rsidRPr="00215737" w:rsidRDefault="00B01C99" w:rsidP="00B01C99">
            <w:pPr>
              <w:pStyle w:val="Tabletext"/>
              <w:rPr>
                <w:rFonts w:cs="Arial"/>
                <w:szCs w:val="18"/>
              </w:rPr>
            </w:pPr>
            <w:r w:rsidRPr="00215737">
              <w:rPr>
                <w:rFonts w:cs="Arial"/>
                <w:szCs w:val="18"/>
              </w:rPr>
              <w:t>% Electronic</w:t>
            </w:r>
          </w:p>
        </w:tc>
        <w:tc>
          <w:tcPr>
            <w:tcW w:w="591" w:type="pct"/>
            <w:gridSpan w:val="2"/>
            <w:tcBorders>
              <w:top w:val="nil"/>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.140</w:t>
            </w:r>
            <w:r w:rsidRPr="00215737">
              <w:rPr>
                <w:rFonts w:cs="Arial"/>
                <w:szCs w:val="18"/>
                <w:vertAlign w:val="superscript"/>
              </w:rPr>
              <w:t>*</w:t>
            </w:r>
          </w:p>
        </w:tc>
        <w:tc>
          <w:tcPr>
            <w:tcW w:w="590" w:type="pct"/>
            <w:tcBorders>
              <w:top w:val="nil"/>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.024</w:t>
            </w:r>
          </w:p>
        </w:tc>
        <w:tc>
          <w:tcPr>
            <w:tcW w:w="590" w:type="pct"/>
            <w:tcBorders>
              <w:top w:val="nil"/>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-.051</w:t>
            </w:r>
          </w:p>
        </w:tc>
        <w:tc>
          <w:tcPr>
            <w:tcW w:w="669" w:type="pct"/>
            <w:tcBorders>
              <w:top w:val="nil"/>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.108</w:t>
            </w:r>
          </w:p>
        </w:tc>
        <w:tc>
          <w:tcPr>
            <w:tcW w:w="593" w:type="pct"/>
            <w:tcBorders>
              <w:top w:val="nil"/>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-.217</w:t>
            </w:r>
            <w:r w:rsidRPr="00215737">
              <w:rPr>
                <w:rFonts w:cs="Arial"/>
                <w:szCs w:val="18"/>
                <w:vertAlign w:val="superscript"/>
              </w:rPr>
              <w:t>**</w:t>
            </w:r>
          </w:p>
        </w:tc>
      </w:tr>
      <w:tr w:rsidR="00F60948" w:rsidRPr="00215737" w:rsidTr="00F60948">
        <w:trPr>
          <w:gridAfter w:val="1"/>
          <w:wAfter w:w="33" w:type="pct"/>
          <w:trHeight w:val="300"/>
        </w:trPr>
        <w:tc>
          <w:tcPr>
            <w:tcW w:w="823" w:type="pct"/>
            <w:tcBorders>
              <w:top w:val="nil"/>
              <w:left w:val="nil"/>
              <w:bottom w:val="single" w:sz="4" w:space="0" w:color="auto"/>
              <w:right w:val="nil"/>
            </w:tcBorders>
            <w:shd w:val="clear" w:color="auto" w:fill="auto"/>
            <w:noWrap/>
            <w:vAlign w:val="center"/>
            <w:hideMark/>
          </w:tcPr>
          <w:p w:rsidR="00B01C99" w:rsidRPr="00215737" w:rsidRDefault="00B01C99" w:rsidP="00B01C99">
            <w:pPr>
              <w:pStyle w:val="Tabletext"/>
              <w:rPr>
                <w:rFonts w:cs="Arial"/>
                <w:szCs w:val="18"/>
              </w:rPr>
            </w:pPr>
          </w:p>
        </w:tc>
        <w:tc>
          <w:tcPr>
            <w:tcW w:w="1111" w:type="pct"/>
            <w:gridSpan w:val="2"/>
            <w:tcBorders>
              <w:top w:val="nil"/>
              <w:left w:val="nil"/>
              <w:bottom w:val="single" w:sz="4" w:space="0" w:color="auto"/>
              <w:right w:val="nil"/>
            </w:tcBorders>
            <w:shd w:val="clear" w:color="auto" w:fill="auto"/>
            <w:noWrap/>
            <w:vAlign w:val="center"/>
            <w:hideMark/>
          </w:tcPr>
          <w:p w:rsidR="00B01C99" w:rsidRPr="00215737" w:rsidRDefault="00B01C99" w:rsidP="00B01C99">
            <w:pPr>
              <w:pStyle w:val="Tabletext"/>
              <w:rPr>
                <w:rFonts w:cs="Arial"/>
                <w:szCs w:val="18"/>
              </w:rPr>
            </w:pPr>
            <w:r w:rsidRPr="00215737">
              <w:rPr>
                <w:rFonts w:cs="Arial"/>
                <w:szCs w:val="18"/>
              </w:rPr>
              <w:t>% Employment-based</w:t>
            </w:r>
          </w:p>
        </w:tc>
        <w:tc>
          <w:tcPr>
            <w:tcW w:w="591" w:type="pct"/>
            <w:gridSpan w:val="2"/>
            <w:tcBorders>
              <w:top w:val="nil"/>
              <w:left w:val="nil"/>
              <w:bottom w:val="single" w:sz="4" w:space="0" w:color="auto"/>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.004</w:t>
            </w:r>
          </w:p>
        </w:tc>
        <w:tc>
          <w:tcPr>
            <w:tcW w:w="590" w:type="pct"/>
            <w:tcBorders>
              <w:top w:val="nil"/>
              <w:left w:val="nil"/>
              <w:bottom w:val="single" w:sz="4" w:space="0" w:color="auto"/>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-.137</w:t>
            </w:r>
            <w:r w:rsidRPr="00215737">
              <w:rPr>
                <w:rFonts w:cs="Arial"/>
                <w:szCs w:val="18"/>
                <w:vertAlign w:val="superscript"/>
              </w:rPr>
              <w:t>*</w:t>
            </w:r>
          </w:p>
        </w:tc>
        <w:tc>
          <w:tcPr>
            <w:tcW w:w="590" w:type="pct"/>
            <w:tcBorders>
              <w:top w:val="nil"/>
              <w:left w:val="nil"/>
              <w:bottom w:val="single" w:sz="4" w:space="0" w:color="auto"/>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-.134</w:t>
            </w:r>
            <w:r w:rsidRPr="00215737">
              <w:rPr>
                <w:rFonts w:cs="Arial"/>
                <w:szCs w:val="18"/>
                <w:vertAlign w:val="superscript"/>
              </w:rPr>
              <w:t>*</w:t>
            </w:r>
          </w:p>
        </w:tc>
        <w:tc>
          <w:tcPr>
            <w:tcW w:w="669" w:type="pct"/>
            <w:tcBorders>
              <w:top w:val="nil"/>
              <w:left w:val="nil"/>
              <w:bottom w:val="single" w:sz="4" w:space="0" w:color="auto"/>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-.132</w:t>
            </w:r>
            <w:r w:rsidRPr="00215737">
              <w:rPr>
                <w:rFonts w:cs="Arial"/>
                <w:szCs w:val="18"/>
                <w:vertAlign w:val="superscript"/>
              </w:rPr>
              <w:t>*</w:t>
            </w:r>
          </w:p>
        </w:tc>
        <w:tc>
          <w:tcPr>
            <w:tcW w:w="593" w:type="pct"/>
            <w:tcBorders>
              <w:top w:val="nil"/>
              <w:left w:val="nil"/>
              <w:bottom w:val="single" w:sz="4" w:space="0" w:color="auto"/>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-.231</w:t>
            </w:r>
            <w:r w:rsidRPr="00215737">
              <w:rPr>
                <w:rFonts w:cs="Arial"/>
                <w:szCs w:val="18"/>
                <w:vertAlign w:val="superscript"/>
              </w:rPr>
              <w:t>**</w:t>
            </w:r>
          </w:p>
        </w:tc>
      </w:tr>
      <w:tr w:rsidR="00F60948" w:rsidRPr="00215737" w:rsidTr="00F60948">
        <w:trPr>
          <w:gridAfter w:val="1"/>
          <w:wAfter w:w="33" w:type="pct"/>
          <w:trHeight w:val="300"/>
        </w:trPr>
        <w:tc>
          <w:tcPr>
            <w:tcW w:w="823" w:type="pct"/>
            <w:tcBorders>
              <w:top w:val="single" w:sz="4" w:space="0" w:color="auto"/>
              <w:left w:val="nil"/>
              <w:bottom w:val="nil"/>
              <w:right w:val="nil"/>
            </w:tcBorders>
            <w:shd w:val="clear" w:color="auto" w:fill="auto"/>
            <w:noWrap/>
            <w:vAlign w:val="center"/>
            <w:hideMark/>
          </w:tcPr>
          <w:p w:rsidR="00B01C99" w:rsidRPr="00215737" w:rsidRDefault="00B01C99" w:rsidP="00B01C99">
            <w:pPr>
              <w:pStyle w:val="Tabletext"/>
            </w:pPr>
            <w:r w:rsidRPr="00215737">
              <w:t xml:space="preserve">Delivery </w:t>
            </w:r>
            <w:r>
              <w:t>locations</w:t>
            </w:r>
          </w:p>
        </w:tc>
        <w:tc>
          <w:tcPr>
            <w:tcW w:w="1111" w:type="pct"/>
            <w:gridSpan w:val="2"/>
            <w:tcBorders>
              <w:top w:val="single" w:sz="4" w:space="0" w:color="auto"/>
              <w:left w:val="nil"/>
              <w:bottom w:val="nil"/>
              <w:right w:val="nil"/>
            </w:tcBorders>
            <w:shd w:val="clear" w:color="auto" w:fill="auto"/>
            <w:noWrap/>
            <w:vAlign w:val="center"/>
            <w:hideMark/>
          </w:tcPr>
          <w:p w:rsidR="00B01C99" w:rsidRPr="00215737" w:rsidRDefault="00B01C99" w:rsidP="00B01C99">
            <w:pPr>
              <w:pStyle w:val="Tabletext"/>
              <w:rPr>
                <w:rFonts w:cs="Arial"/>
                <w:szCs w:val="18"/>
              </w:rPr>
            </w:pPr>
            <w:r w:rsidRPr="00215737">
              <w:rPr>
                <w:rFonts w:cs="Arial"/>
                <w:szCs w:val="18"/>
              </w:rPr>
              <w:t>N TAFE/University sites</w:t>
            </w:r>
          </w:p>
        </w:tc>
        <w:tc>
          <w:tcPr>
            <w:tcW w:w="591" w:type="pct"/>
            <w:gridSpan w:val="2"/>
            <w:tcBorders>
              <w:top w:val="single" w:sz="4" w:space="0" w:color="auto"/>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-.013</w:t>
            </w:r>
          </w:p>
        </w:tc>
        <w:tc>
          <w:tcPr>
            <w:tcW w:w="590" w:type="pct"/>
            <w:tcBorders>
              <w:top w:val="single" w:sz="4" w:space="0" w:color="auto"/>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.013</w:t>
            </w:r>
          </w:p>
        </w:tc>
        <w:tc>
          <w:tcPr>
            <w:tcW w:w="590" w:type="pct"/>
            <w:tcBorders>
              <w:top w:val="single" w:sz="4" w:space="0" w:color="auto"/>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.028</w:t>
            </w:r>
          </w:p>
        </w:tc>
        <w:tc>
          <w:tcPr>
            <w:tcW w:w="669" w:type="pct"/>
            <w:tcBorders>
              <w:top w:val="single" w:sz="4" w:space="0" w:color="auto"/>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-.031</w:t>
            </w:r>
          </w:p>
        </w:tc>
        <w:tc>
          <w:tcPr>
            <w:tcW w:w="593" w:type="pct"/>
            <w:tcBorders>
              <w:top w:val="single" w:sz="4" w:space="0" w:color="auto"/>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.183</w:t>
            </w:r>
            <w:r w:rsidRPr="00215737">
              <w:rPr>
                <w:rFonts w:cs="Arial"/>
                <w:szCs w:val="18"/>
                <w:vertAlign w:val="superscript"/>
              </w:rPr>
              <w:t>**</w:t>
            </w:r>
          </w:p>
        </w:tc>
      </w:tr>
      <w:tr w:rsidR="00F60948" w:rsidRPr="00215737" w:rsidTr="00F60948">
        <w:trPr>
          <w:gridAfter w:val="1"/>
          <w:wAfter w:w="33" w:type="pct"/>
          <w:trHeight w:val="300"/>
        </w:trPr>
        <w:tc>
          <w:tcPr>
            <w:tcW w:w="823" w:type="pct"/>
            <w:tcBorders>
              <w:top w:val="nil"/>
              <w:left w:val="nil"/>
              <w:bottom w:val="nil"/>
              <w:right w:val="nil"/>
            </w:tcBorders>
            <w:shd w:val="clear" w:color="auto" w:fill="auto"/>
            <w:noWrap/>
            <w:vAlign w:val="center"/>
            <w:hideMark/>
          </w:tcPr>
          <w:p w:rsidR="00B01C99" w:rsidRPr="00215737" w:rsidRDefault="00B01C99" w:rsidP="00B01C99">
            <w:pPr>
              <w:pStyle w:val="Tabletext"/>
              <w:rPr>
                <w:rFonts w:cs="Arial"/>
                <w:szCs w:val="18"/>
              </w:rPr>
            </w:pPr>
          </w:p>
        </w:tc>
        <w:tc>
          <w:tcPr>
            <w:tcW w:w="1111" w:type="pct"/>
            <w:gridSpan w:val="2"/>
            <w:tcBorders>
              <w:top w:val="nil"/>
              <w:left w:val="nil"/>
              <w:bottom w:val="nil"/>
              <w:right w:val="nil"/>
            </w:tcBorders>
            <w:shd w:val="clear" w:color="auto" w:fill="auto"/>
            <w:noWrap/>
            <w:vAlign w:val="center"/>
            <w:hideMark/>
          </w:tcPr>
          <w:p w:rsidR="00B01C99" w:rsidRPr="00215737" w:rsidRDefault="00B01C99" w:rsidP="00B01C99">
            <w:pPr>
              <w:pStyle w:val="Tabletext"/>
              <w:rPr>
                <w:rFonts w:cs="Arial"/>
                <w:szCs w:val="18"/>
              </w:rPr>
            </w:pPr>
            <w:r w:rsidRPr="00215737">
              <w:rPr>
                <w:rFonts w:cs="Arial"/>
                <w:szCs w:val="18"/>
              </w:rPr>
              <w:t>N Community provider sites</w:t>
            </w:r>
          </w:p>
        </w:tc>
        <w:tc>
          <w:tcPr>
            <w:tcW w:w="591" w:type="pct"/>
            <w:gridSpan w:val="2"/>
            <w:tcBorders>
              <w:top w:val="nil"/>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.309</w:t>
            </w:r>
            <w:r w:rsidRPr="00215737">
              <w:rPr>
                <w:rFonts w:cs="Arial"/>
                <w:szCs w:val="18"/>
                <w:vertAlign w:val="superscript"/>
              </w:rPr>
              <w:t>**</w:t>
            </w:r>
          </w:p>
        </w:tc>
        <w:tc>
          <w:tcPr>
            <w:tcW w:w="590" w:type="pct"/>
            <w:tcBorders>
              <w:top w:val="nil"/>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.398</w:t>
            </w:r>
            <w:r w:rsidRPr="00215737">
              <w:rPr>
                <w:rFonts w:cs="Arial"/>
                <w:szCs w:val="18"/>
                <w:vertAlign w:val="superscript"/>
              </w:rPr>
              <w:t>**</w:t>
            </w:r>
          </w:p>
        </w:tc>
        <w:tc>
          <w:tcPr>
            <w:tcW w:w="590" w:type="pct"/>
            <w:tcBorders>
              <w:top w:val="nil"/>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.355</w:t>
            </w:r>
            <w:r w:rsidRPr="00215737">
              <w:rPr>
                <w:rFonts w:cs="Arial"/>
                <w:szCs w:val="18"/>
                <w:vertAlign w:val="superscript"/>
              </w:rPr>
              <w:t>**</w:t>
            </w:r>
          </w:p>
        </w:tc>
        <w:tc>
          <w:tcPr>
            <w:tcW w:w="669" w:type="pct"/>
            <w:tcBorders>
              <w:top w:val="nil"/>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.436</w:t>
            </w:r>
            <w:r w:rsidRPr="00215737">
              <w:rPr>
                <w:rFonts w:cs="Arial"/>
                <w:szCs w:val="18"/>
                <w:vertAlign w:val="superscript"/>
              </w:rPr>
              <w:t>**</w:t>
            </w:r>
          </w:p>
        </w:tc>
        <w:tc>
          <w:tcPr>
            <w:tcW w:w="593" w:type="pct"/>
            <w:tcBorders>
              <w:top w:val="nil"/>
              <w:left w:val="nil"/>
              <w:bottom w:val="nil"/>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.531</w:t>
            </w:r>
            <w:r w:rsidRPr="00215737">
              <w:rPr>
                <w:rFonts w:cs="Arial"/>
                <w:szCs w:val="18"/>
                <w:vertAlign w:val="superscript"/>
              </w:rPr>
              <w:t>**</w:t>
            </w:r>
          </w:p>
        </w:tc>
      </w:tr>
      <w:tr w:rsidR="00F60948" w:rsidRPr="00215737" w:rsidTr="00F60948">
        <w:trPr>
          <w:gridAfter w:val="1"/>
          <w:wAfter w:w="33" w:type="pct"/>
          <w:trHeight w:val="300"/>
        </w:trPr>
        <w:tc>
          <w:tcPr>
            <w:tcW w:w="823" w:type="pct"/>
            <w:tcBorders>
              <w:top w:val="nil"/>
              <w:left w:val="nil"/>
              <w:bottom w:val="single" w:sz="4" w:space="0" w:color="auto"/>
              <w:right w:val="nil"/>
            </w:tcBorders>
            <w:shd w:val="clear" w:color="auto" w:fill="auto"/>
            <w:noWrap/>
            <w:vAlign w:val="center"/>
            <w:hideMark/>
          </w:tcPr>
          <w:p w:rsidR="00B01C99" w:rsidRPr="00215737" w:rsidRDefault="00B01C99" w:rsidP="00B01C99">
            <w:pPr>
              <w:pStyle w:val="Tabletext"/>
              <w:rPr>
                <w:rFonts w:cs="Arial"/>
                <w:szCs w:val="18"/>
              </w:rPr>
            </w:pPr>
          </w:p>
        </w:tc>
        <w:tc>
          <w:tcPr>
            <w:tcW w:w="1111" w:type="pct"/>
            <w:gridSpan w:val="2"/>
            <w:tcBorders>
              <w:top w:val="nil"/>
              <w:left w:val="nil"/>
              <w:bottom w:val="single" w:sz="4" w:space="0" w:color="auto"/>
              <w:right w:val="nil"/>
            </w:tcBorders>
            <w:shd w:val="clear" w:color="auto" w:fill="auto"/>
            <w:noWrap/>
            <w:vAlign w:val="center"/>
            <w:hideMark/>
          </w:tcPr>
          <w:p w:rsidR="00B01C99" w:rsidRPr="00215737" w:rsidRDefault="00B01C99" w:rsidP="00B01C99">
            <w:pPr>
              <w:pStyle w:val="Tabletext"/>
              <w:rPr>
                <w:rFonts w:cs="Arial"/>
                <w:szCs w:val="18"/>
              </w:rPr>
            </w:pPr>
            <w:r w:rsidRPr="00215737">
              <w:rPr>
                <w:rFonts w:cs="Arial"/>
                <w:szCs w:val="18"/>
              </w:rPr>
              <w:t>N Private provider sites</w:t>
            </w:r>
          </w:p>
        </w:tc>
        <w:tc>
          <w:tcPr>
            <w:tcW w:w="591" w:type="pct"/>
            <w:gridSpan w:val="2"/>
            <w:tcBorders>
              <w:top w:val="nil"/>
              <w:left w:val="nil"/>
              <w:bottom w:val="single" w:sz="4" w:space="0" w:color="auto"/>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-.099</w:t>
            </w:r>
          </w:p>
        </w:tc>
        <w:tc>
          <w:tcPr>
            <w:tcW w:w="590" w:type="pct"/>
            <w:tcBorders>
              <w:top w:val="nil"/>
              <w:left w:val="nil"/>
              <w:bottom w:val="single" w:sz="4" w:space="0" w:color="auto"/>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-.185</w:t>
            </w:r>
            <w:r w:rsidRPr="00215737">
              <w:rPr>
                <w:rFonts w:cs="Arial"/>
                <w:szCs w:val="18"/>
                <w:vertAlign w:val="superscript"/>
              </w:rPr>
              <w:t>**</w:t>
            </w:r>
          </w:p>
        </w:tc>
        <w:tc>
          <w:tcPr>
            <w:tcW w:w="590" w:type="pct"/>
            <w:tcBorders>
              <w:top w:val="nil"/>
              <w:left w:val="nil"/>
              <w:bottom w:val="single" w:sz="4" w:space="0" w:color="auto"/>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-.125</w:t>
            </w:r>
            <w:r w:rsidRPr="00215737">
              <w:rPr>
                <w:rFonts w:cs="Arial"/>
                <w:szCs w:val="18"/>
                <w:vertAlign w:val="superscript"/>
              </w:rPr>
              <w:t>*</w:t>
            </w:r>
          </w:p>
        </w:tc>
        <w:tc>
          <w:tcPr>
            <w:tcW w:w="669" w:type="pct"/>
            <w:tcBorders>
              <w:top w:val="nil"/>
              <w:left w:val="nil"/>
              <w:bottom w:val="single" w:sz="4" w:space="0" w:color="auto"/>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-.190</w:t>
            </w:r>
            <w:r w:rsidRPr="00215737">
              <w:rPr>
                <w:rFonts w:cs="Arial"/>
                <w:szCs w:val="18"/>
                <w:vertAlign w:val="superscript"/>
              </w:rPr>
              <w:t>**</w:t>
            </w:r>
          </w:p>
        </w:tc>
        <w:tc>
          <w:tcPr>
            <w:tcW w:w="593" w:type="pct"/>
            <w:tcBorders>
              <w:top w:val="nil"/>
              <w:left w:val="nil"/>
              <w:bottom w:val="single" w:sz="4" w:space="0" w:color="auto"/>
              <w:right w:val="nil"/>
            </w:tcBorders>
            <w:shd w:val="clear" w:color="auto" w:fill="auto"/>
            <w:noWrap/>
            <w:vAlign w:val="center"/>
            <w:hideMark/>
          </w:tcPr>
          <w:p w:rsidR="00B01C99" w:rsidRPr="00215737" w:rsidRDefault="00B01C99" w:rsidP="00535373">
            <w:pPr>
              <w:pStyle w:val="Tabletext"/>
              <w:jc w:val="center"/>
              <w:rPr>
                <w:rFonts w:cs="Arial"/>
                <w:szCs w:val="18"/>
              </w:rPr>
            </w:pPr>
            <w:r w:rsidRPr="00215737">
              <w:rPr>
                <w:rFonts w:cs="Arial"/>
                <w:szCs w:val="18"/>
              </w:rPr>
              <w:t>.024</w:t>
            </w:r>
          </w:p>
        </w:tc>
      </w:tr>
    </w:tbl>
    <w:p w:rsidR="00B01C99" w:rsidRPr="00B01C99" w:rsidRDefault="00B01C99" w:rsidP="00B01C99">
      <w:pPr>
        <w:pStyle w:val="Source"/>
      </w:pPr>
      <w:r w:rsidRPr="00B01C99">
        <w:t>**</w:t>
      </w:r>
      <w:r w:rsidRPr="00B01C99">
        <w:tab/>
        <w:t>Correlation is significant at the 0.01 level (2-tailed)</w:t>
      </w:r>
    </w:p>
    <w:p w:rsidR="00B01C99" w:rsidRPr="00B01C99" w:rsidRDefault="00B01C99" w:rsidP="00B01C99">
      <w:pPr>
        <w:pStyle w:val="Source"/>
      </w:pPr>
      <w:r w:rsidRPr="00B01C99">
        <w:t>*</w:t>
      </w:r>
      <w:r w:rsidRPr="00B01C99">
        <w:tab/>
        <w:t>Correlation is significant at the 0.05 level (2-tailed)</w:t>
      </w:r>
    </w:p>
    <w:p w:rsidR="00B01C99" w:rsidRPr="00B01C99" w:rsidRDefault="00B01C99" w:rsidP="00B01C99">
      <w:pPr>
        <w:pStyle w:val="Source"/>
      </w:pPr>
      <w:r w:rsidRPr="00B01C99">
        <w:t xml:space="preserve">Source: </w:t>
      </w:r>
      <w:r w:rsidRPr="00B01C99">
        <w:tab/>
        <w:t>Authors’ calculations from the VET Provider Collection, 2014</w:t>
      </w:r>
    </w:p>
    <w:p w:rsidR="00EB1969" w:rsidRDefault="00EB1969" w:rsidP="00EB1969">
      <w:pPr>
        <w:pStyle w:val="Heading2"/>
      </w:pPr>
      <w:bookmarkStart w:id="34" w:name="_Toc498936348"/>
      <w:r>
        <w:lastRenderedPageBreak/>
        <w:t>Regional VET participation and student experiences and outcomes</w:t>
      </w:r>
      <w:bookmarkEnd w:id="34"/>
    </w:p>
    <w:p w:rsidR="00EB1969" w:rsidRDefault="00EB1969" w:rsidP="00EB1969">
      <w:pPr>
        <w:pStyle w:val="Text"/>
      </w:pPr>
      <w:r>
        <w:t>VET performance can also be measured through the quality of student experience and post-training education and employme</w:t>
      </w:r>
      <w:r w:rsidR="00F72EBE">
        <w:t>nt outcomes.  NCVER conducts an</w:t>
      </w:r>
      <w:r>
        <w:t xml:space="preserve"> annual survey of VET graduates and course completers in order to collect information on the views and outcomes of students who had been enrolled in government-funded VET programs, including course satisfaction and labour market transition.  Publication of the aggregate results reveal some differences across </w:t>
      </w:r>
      <w:r w:rsidR="00F60948">
        <w:t>target</w:t>
      </w:r>
      <w:r>
        <w:t xml:space="preserve"> groups, some of which are presented in Figure 2 (NCVER 2015).  The proportion of graduates employed or in further study holds the largest differential between populations.  For example, 77.7</w:t>
      </w:r>
      <w:r w:rsidR="00535373">
        <w:t xml:space="preserve"> per cent</w:t>
      </w:r>
      <w:r>
        <w:t xml:space="preserve"> of Indigenous graduates are actively engaged in the workforce or study, compared to 85.3 per cent of non-Indigenous graduates.  The gap is greater for graduates with and without a disability (71.5</w:t>
      </w:r>
      <w:r w:rsidR="00535373">
        <w:t xml:space="preserve"> per cent</w:t>
      </w:r>
      <w:r>
        <w:t xml:space="preserve"> and 86.3</w:t>
      </w:r>
      <w:r w:rsidR="00535373">
        <w:t xml:space="preserve"> per cent</w:t>
      </w:r>
      <w:r>
        <w:t>), and LBOTE graduates are less likely to be working or studying compared to their non-LBOTE counterparts (77.2</w:t>
      </w:r>
      <w:r w:rsidR="00535373">
        <w:t xml:space="preserve"> per cent</w:t>
      </w:r>
      <w:r>
        <w:t xml:space="preserve"> and 87.2</w:t>
      </w:r>
      <w:r w:rsidR="00535373">
        <w:t xml:space="preserve"> per cent</w:t>
      </w:r>
      <w:r>
        <w:t xml:space="preserve"> respectively).  </w:t>
      </w:r>
    </w:p>
    <w:p w:rsidR="00EB1969" w:rsidRDefault="00EB1969" w:rsidP="00EB1969">
      <w:pPr>
        <w:pStyle w:val="Text"/>
      </w:pPr>
      <w:r>
        <w:t xml:space="preserve">Graduate views are not uniform across the </w:t>
      </w:r>
      <w:r w:rsidR="00F60948">
        <w:t>target</w:t>
      </w:r>
      <w:r>
        <w:t xml:space="preserve"> groups, as they face different challenges when undertaking training.  For example, there is very little difference between the proportions of Indigenous and non-Indigenous graduates who report having achieved their main reason for training, and similarly for LBOTE and non-LBOTE graduates.  Graduates with a disability, however, are less likely to have found that their training met their expectations compared to graduates without a disability (71.2</w:t>
      </w:r>
      <w:r w:rsidR="00535373">
        <w:t xml:space="preserve"> per cent</w:t>
      </w:r>
      <w:r>
        <w:t xml:space="preserve"> compared to 81.4</w:t>
      </w:r>
      <w:r w:rsidR="00535373">
        <w:t xml:space="preserve"> per cent</w:t>
      </w:r>
      <w:r>
        <w:t>).  All groups of graduates express satisfaction with the overall quality of training, with Indigenous students more positive than non-Indigenous students (90.2</w:t>
      </w:r>
      <w:r w:rsidR="00535373">
        <w:t xml:space="preserve"> per cent</w:t>
      </w:r>
      <w:r>
        <w:t xml:space="preserve"> compared to 86.8</w:t>
      </w:r>
      <w:r w:rsidR="00535373">
        <w:t xml:space="preserve"> per cent</w:t>
      </w:r>
      <w:r>
        <w:t xml:space="preserve">).  </w:t>
      </w:r>
    </w:p>
    <w:p w:rsidR="006408F1" w:rsidRDefault="00EB1969" w:rsidP="00EB1969">
      <w:pPr>
        <w:pStyle w:val="Figuretitle"/>
      </w:pPr>
      <w:bookmarkStart w:id="35" w:name="_Toc498936239"/>
      <w:r>
        <w:t xml:space="preserve">Figure </w:t>
      </w:r>
      <w:r>
        <w:fldChar w:fldCharType="begin"/>
      </w:r>
      <w:r>
        <w:instrText xml:space="preserve"> SEQ Figure \* ARABIC </w:instrText>
      </w:r>
      <w:r>
        <w:fldChar w:fldCharType="separate"/>
      </w:r>
      <w:r w:rsidR="00BF3209">
        <w:rPr>
          <w:noProof/>
        </w:rPr>
        <w:t>2</w:t>
      </w:r>
      <w:r>
        <w:fldChar w:fldCharType="end"/>
      </w:r>
      <w:r w:rsidRPr="00EB1969">
        <w:tab/>
        <w:t>Views on training of government-funded graduates by Indigenous status, disability status and LBOTE status, 2015 (%)</w:t>
      </w:r>
      <w:bookmarkEnd w:id="35"/>
    </w:p>
    <w:p w:rsidR="002D5A50" w:rsidRDefault="00221911" w:rsidP="004574C7">
      <w:pPr>
        <w:pStyle w:val="Tabletext"/>
      </w:pPr>
      <w:r>
        <w:rPr>
          <w:noProof/>
          <w:lang w:eastAsia="en-AU"/>
        </w:rPr>
        <w:drawing>
          <wp:inline distT="0" distB="0" distL="0" distR="0" wp14:anchorId="55605128" wp14:editId="6B164405">
            <wp:extent cx="5580380" cy="3374183"/>
            <wp:effectExtent l="0" t="0" r="127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B1969" w:rsidRDefault="00EB1969" w:rsidP="00EB1969">
      <w:pPr>
        <w:pStyle w:val="Source"/>
        <w:ind w:left="1287"/>
      </w:pPr>
    </w:p>
    <w:p w:rsidR="00EB1969" w:rsidRDefault="00EB1969" w:rsidP="00EB1969">
      <w:pPr>
        <w:pStyle w:val="Source"/>
        <w:ind w:left="1287"/>
      </w:pPr>
      <w:r>
        <w:t>Source:</w:t>
      </w:r>
      <w:r>
        <w:tab/>
      </w:r>
      <w:r w:rsidRPr="00EB1969">
        <w:t>NCVER 2015</w:t>
      </w:r>
    </w:p>
    <w:p w:rsidR="001B0A2D" w:rsidRDefault="001B0A2D" w:rsidP="001B0A2D">
      <w:pPr>
        <w:pStyle w:val="Text"/>
      </w:pPr>
      <w:r>
        <w:t>Various measures of student experience and transition for regions were derived from the 2015 Government-funded student outcomes CURF for graduates.  Graduates were allocated to the SA3 corresponding</w:t>
      </w:r>
      <w:r w:rsidR="009B52F5">
        <w:t xml:space="preserve"> to</w:t>
      </w:r>
      <w:r>
        <w:t xml:space="preserve"> their home address and respondents’ survey responses were aggregated at the </w:t>
      </w:r>
      <w:r>
        <w:lastRenderedPageBreak/>
        <w:t>regional level.  These performance indicators measuring quality of student experiences and transition, were weighted to reflect the base population of graduates, and included:</w:t>
      </w:r>
    </w:p>
    <w:p w:rsidR="001B0A2D" w:rsidRDefault="001B0A2D" w:rsidP="00535373">
      <w:pPr>
        <w:pStyle w:val="Dotpoint1"/>
        <w:tabs>
          <w:tab w:val="clear" w:pos="284"/>
        </w:tabs>
        <w:ind w:left="284" w:right="-284" w:hanging="218"/>
      </w:pPr>
      <w:r>
        <w:t>Proportion of graduates strongly agreeing that they were satisfied with the quality of training overall.</w:t>
      </w:r>
    </w:p>
    <w:p w:rsidR="001B0A2D" w:rsidRDefault="001B0A2D" w:rsidP="00535373">
      <w:pPr>
        <w:pStyle w:val="Dotpoint1"/>
        <w:tabs>
          <w:tab w:val="clear" w:pos="284"/>
        </w:tabs>
        <w:ind w:left="284" w:hanging="218"/>
      </w:pPr>
      <w:r>
        <w:t>Proportion of graduates satisfied with assessment.</w:t>
      </w:r>
    </w:p>
    <w:p w:rsidR="001B0A2D" w:rsidRDefault="001B0A2D" w:rsidP="00535373">
      <w:pPr>
        <w:pStyle w:val="Dotpoint1"/>
        <w:tabs>
          <w:tab w:val="clear" w:pos="284"/>
        </w:tabs>
        <w:ind w:left="284" w:hanging="218"/>
      </w:pPr>
      <w:r>
        <w:t>Proportion of graduates satisfied with their obtained generic skills and learning experiences.</w:t>
      </w:r>
    </w:p>
    <w:p w:rsidR="001B0A2D" w:rsidRDefault="001B0A2D" w:rsidP="00535373">
      <w:pPr>
        <w:pStyle w:val="Dotpoint1"/>
        <w:tabs>
          <w:tab w:val="clear" w:pos="284"/>
        </w:tabs>
        <w:ind w:left="284" w:hanging="218"/>
      </w:pPr>
      <w:r>
        <w:t>Proportion of graduates satisfied with the teaching.</w:t>
      </w:r>
    </w:p>
    <w:p w:rsidR="001B0A2D" w:rsidRDefault="001B0A2D" w:rsidP="00535373">
      <w:pPr>
        <w:pStyle w:val="Dotpoint1"/>
        <w:tabs>
          <w:tab w:val="clear" w:pos="284"/>
        </w:tabs>
        <w:ind w:left="284" w:hanging="218"/>
      </w:pPr>
      <w:r>
        <w:t>Proportion of graduates stating they achieved or partially achieved their main reason for training.</w:t>
      </w:r>
    </w:p>
    <w:p w:rsidR="001B0A2D" w:rsidRDefault="001B0A2D" w:rsidP="00535373">
      <w:pPr>
        <w:pStyle w:val="Dotpoint1"/>
        <w:tabs>
          <w:tab w:val="clear" w:pos="284"/>
        </w:tabs>
        <w:ind w:left="284" w:hanging="218"/>
      </w:pPr>
      <w:r>
        <w:t>The proportion of graduates reporting improved employment circumstances following training.</w:t>
      </w:r>
    </w:p>
    <w:p w:rsidR="001B0A2D" w:rsidRDefault="001B0A2D" w:rsidP="00535373">
      <w:pPr>
        <w:pStyle w:val="Dotpoint1"/>
        <w:tabs>
          <w:tab w:val="clear" w:pos="284"/>
        </w:tabs>
        <w:ind w:left="284" w:hanging="218"/>
      </w:pPr>
      <w:r>
        <w:t>The proportion of graduates employed or in further study after training.</w:t>
      </w:r>
    </w:p>
    <w:p w:rsidR="00EB1969" w:rsidRDefault="001B0A2D" w:rsidP="001B0A2D">
      <w:pPr>
        <w:pStyle w:val="Text"/>
      </w:pPr>
      <w:r>
        <w:t xml:space="preserve">Table 4 examines the relationships between regional levels of VET participation for different groups and regional measures of graduates’ experience and transition.  Regions with relatively high rates of participation in VET by students with disabilities have positive correlations with regions where graduates were most satisfied with the overall quality of their training experience, and across different components, including assessment, generic skills and learning experiences and teaching.  Regions where graduates were more likely to report satisfaction with the skills they have gained and the quality </w:t>
      </w:r>
      <w:r w:rsidR="009B52F5">
        <w:t xml:space="preserve">of </w:t>
      </w:r>
      <w:r>
        <w:t xml:space="preserve">their learning experiences also correspond to regions with higher rates of participation by students from all the </w:t>
      </w:r>
      <w:r w:rsidR="00F60948">
        <w:t>target</w:t>
      </w:r>
      <w:r>
        <w:t xml:space="preserve"> groups, and in particular unemployed students (coefficient of 0.175, significant to 0.01).  Regions with higher rates of graduates reporting that they had achieved, or achieved in part, their main reason for training correspond to an extent with regions with higher VET participation rates by Indigenous and LBOTE students and students with a disability (significant to 0.05 and coefficients of 0.131, 0.132, 0.113 respectively).  No significant relationships exist between regions where graduates are reporting improved employment circumstances following their training and VET participation.  Transition to further study and work however is higher in regions with higher participation by Indigenous students.  </w:t>
      </w:r>
    </w:p>
    <w:p w:rsidR="00D96570" w:rsidRPr="004540E9" w:rsidRDefault="00D96570" w:rsidP="00D96570">
      <w:pPr>
        <w:pStyle w:val="tabletitle"/>
      </w:pPr>
      <w:bookmarkStart w:id="36" w:name="_Toc498936232"/>
      <w:r>
        <w:t xml:space="preserve">Table </w:t>
      </w:r>
      <w:r>
        <w:fldChar w:fldCharType="begin"/>
      </w:r>
      <w:r>
        <w:instrText xml:space="preserve"> SEQ Table \* ARABIC </w:instrText>
      </w:r>
      <w:r>
        <w:fldChar w:fldCharType="separate"/>
      </w:r>
      <w:r w:rsidR="00BF3209">
        <w:rPr>
          <w:noProof/>
        </w:rPr>
        <w:t>4</w:t>
      </w:r>
      <w:r>
        <w:fldChar w:fldCharType="end"/>
      </w:r>
      <w:r w:rsidRPr="004540E9">
        <w:tab/>
        <w:t xml:space="preserve">Correlations between VET regional participation and regional post-training views of quality of </w:t>
      </w:r>
      <w:r>
        <w:t>graduates’</w:t>
      </w:r>
      <w:r w:rsidRPr="004540E9">
        <w:t xml:space="preserve"> experience</w:t>
      </w:r>
      <w:r>
        <w:t>s</w:t>
      </w:r>
      <w:r w:rsidRPr="004540E9">
        <w:t xml:space="preserve"> and post-training transition</w:t>
      </w:r>
      <w:bookmarkEnd w:id="36"/>
    </w:p>
    <w:tbl>
      <w:tblPr>
        <w:tblW w:w="5163" w:type="pct"/>
        <w:tblLayout w:type="fixed"/>
        <w:tblLook w:val="04A0" w:firstRow="1" w:lastRow="0" w:firstColumn="1" w:lastColumn="0" w:noHBand="0" w:noVBand="1"/>
      </w:tblPr>
      <w:tblGrid>
        <w:gridCol w:w="3370"/>
        <w:gridCol w:w="993"/>
        <w:gridCol w:w="192"/>
        <w:gridCol w:w="1186"/>
        <w:gridCol w:w="1186"/>
        <w:gridCol w:w="1186"/>
        <w:gridCol w:w="1185"/>
      </w:tblGrid>
      <w:tr w:rsidR="00D96570" w:rsidRPr="00D96570" w:rsidTr="00D96570">
        <w:trPr>
          <w:trHeight w:val="315"/>
        </w:trPr>
        <w:tc>
          <w:tcPr>
            <w:tcW w:w="2346" w:type="pct"/>
            <w:gridSpan w:val="2"/>
            <w:tcBorders>
              <w:top w:val="single" w:sz="4" w:space="0" w:color="auto"/>
              <w:left w:val="nil"/>
              <w:bottom w:val="single" w:sz="8" w:space="0" w:color="auto"/>
              <w:right w:val="nil"/>
            </w:tcBorders>
            <w:shd w:val="clear" w:color="auto" w:fill="auto"/>
            <w:noWrap/>
            <w:vAlign w:val="center"/>
          </w:tcPr>
          <w:p w:rsidR="00D96570" w:rsidRPr="00D96570" w:rsidRDefault="00D96570" w:rsidP="00D96570">
            <w:pPr>
              <w:pStyle w:val="Tablehead1"/>
            </w:pPr>
          </w:p>
        </w:tc>
        <w:tc>
          <w:tcPr>
            <w:tcW w:w="2654" w:type="pct"/>
            <w:gridSpan w:val="5"/>
            <w:tcBorders>
              <w:top w:val="single" w:sz="4" w:space="0" w:color="auto"/>
              <w:left w:val="nil"/>
              <w:bottom w:val="single" w:sz="8" w:space="0" w:color="auto"/>
              <w:right w:val="nil"/>
            </w:tcBorders>
            <w:shd w:val="clear" w:color="auto" w:fill="auto"/>
            <w:noWrap/>
            <w:vAlign w:val="center"/>
          </w:tcPr>
          <w:p w:rsidR="00D96570" w:rsidRPr="00D96570" w:rsidRDefault="00D96570" w:rsidP="00D96570">
            <w:pPr>
              <w:pStyle w:val="Tablehead1"/>
            </w:pPr>
            <w:r w:rsidRPr="00D96570">
              <w:t>Regional VET Participation Rates</w:t>
            </w:r>
            <w:r>
              <w:t xml:space="preserve"> </w:t>
            </w:r>
            <w:r w:rsidRPr="00D96570">
              <w:t>(</w:t>
            </w:r>
            <w:r w:rsidR="00F60948">
              <w:t>Target</w:t>
            </w:r>
            <w:r w:rsidRPr="00D96570">
              <w:t xml:space="preserve"> groups)</w:t>
            </w:r>
          </w:p>
        </w:tc>
      </w:tr>
      <w:tr w:rsidR="00D96570" w:rsidRPr="00D96570" w:rsidTr="00D96570">
        <w:trPr>
          <w:trHeight w:val="315"/>
        </w:trPr>
        <w:tc>
          <w:tcPr>
            <w:tcW w:w="1812" w:type="pct"/>
            <w:tcBorders>
              <w:top w:val="nil"/>
              <w:left w:val="nil"/>
              <w:bottom w:val="single" w:sz="8" w:space="0" w:color="auto"/>
              <w:right w:val="nil"/>
            </w:tcBorders>
            <w:shd w:val="clear" w:color="auto" w:fill="auto"/>
            <w:noWrap/>
            <w:vAlign w:val="center"/>
            <w:hideMark/>
          </w:tcPr>
          <w:p w:rsidR="00D96570" w:rsidRPr="00D96570" w:rsidRDefault="00D96570" w:rsidP="00D96570">
            <w:pPr>
              <w:pStyle w:val="Tablehead2"/>
            </w:pPr>
            <w:r w:rsidRPr="00D96570">
              <w:t> </w:t>
            </w:r>
          </w:p>
        </w:tc>
        <w:tc>
          <w:tcPr>
            <w:tcW w:w="637" w:type="pct"/>
            <w:gridSpan w:val="2"/>
            <w:tcBorders>
              <w:top w:val="nil"/>
              <w:left w:val="nil"/>
              <w:bottom w:val="single" w:sz="8" w:space="0" w:color="auto"/>
              <w:right w:val="nil"/>
            </w:tcBorders>
            <w:shd w:val="clear" w:color="auto" w:fill="auto"/>
            <w:noWrap/>
            <w:vAlign w:val="center"/>
            <w:hideMark/>
          </w:tcPr>
          <w:p w:rsidR="00D96570" w:rsidRPr="00D96570" w:rsidRDefault="00D96570" w:rsidP="00535373">
            <w:pPr>
              <w:pStyle w:val="Tablehead2"/>
              <w:jc w:val="center"/>
            </w:pPr>
            <w:r w:rsidRPr="00D96570">
              <w:t>Indigenous</w:t>
            </w:r>
          </w:p>
        </w:tc>
        <w:tc>
          <w:tcPr>
            <w:tcW w:w="638" w:type="pct"/>
            <w:tcBorders>
              <w:top w:val="nil"/>
              <w:left w:val="nil"/>
              <w:bottom w:val="single" w:sz="8" w:space="0" w:color="auto"/>
              <w:right w:val="nil"/>
            </w:tcBorders>
            <w:shd w:val="clear" w:color="auto" w:fill="auto"/>
            <w:noWrap/>
            <w:vAlign w:val="center"/>
            <w:hideMark/>
          </w:tcPr>
          <w:p w:rsidR="00D96570" w:rsidRPr="00D96570" w:rsidRDefault="00D96570" w:rsidP="00535373">
            <w:pPr>
              <w:pStyle w:val="Tablehead2"/>
              <w:jc w:val="center"/>
            </w:pPr>
            <w:r w:rsidRPr="00D96570">
              <w:t>Disability</w:t>
            </w:r>
          </w:p>
        </w:tc>
        <w:tc>
          <w:tcPr>
            <w:tcW w:w="638" w:type="pct"/>
            <w:tcBorders>
              <w:top w:val="nil"/>
              <w:left w:val="nil"/>
              <w:bottom w:val="single" w:sz="8" w:space="0" w:color="auto"/>
              <w:right w:val="nil"/>
            </w:tcBorders>
            <w:shd w:val="clear" w:color="auto" w:fill="auto"/>
            <w:noWrap/>
            <w:vAlign w:val="center"/>
            <w:hideMark/>
          </w:tcPr>
          <w:p w:rsidR="00D96570" w:rsidRPr="00D96570" w:rsidRDefault="00D96570" w:rsidP="00535373">
            <w:pPr>
              <w:pStyle w:val="Tablehead2"/>
              <w:jc w:val="center"/>
            </w:pPr>
            <w:r w:rsidRPr="00D96570">
              <w:t>LBOTE</w:t>
            </w:r>
          </w:p>
        </w:tc>
        <w:tc>
          <w:tcPr>
            <w:tcW w:w="638" w:type="pct"/>
            <w:tcBorders>
              <w:top w:val="nil"/>
              <w:left w:val="nil"/>
              <w:bottom w:val="single" w:sz="8" w:space="0" w:color="auto"/>
              <w:right w:val="nil"/>
            </w:tcBorders>
            <w:shd w:val="clear" w:color="auto" w:fill="auto"/>
            <w:noWrap/>
            <w:vAlign w:val="center"/>
            <w:hideMark/>
          </w:tcPr>
          <w:p w:rsidR="00D96570" w:rsidRPr="00D96570" w:rsidRDefault="00D96570" w:rsidP="00535373">
            <w:pPr>
              <w:pStyle w:val="Tablehead2"/>
              <w:tabs>
                <w:tab w:val="clear" w:pos="992"/>
              </w:tabs>
              <w:ind w:right="-123"/>
              <w:jc w:val="center"/>
            </w:pPr>
            <w:r w:rsidRPr="00D96570">
              <w:t>Unemployed</w:t>
            </w:r>
          </w:p>
        </w:tc>
        <w:tc>
          <w:tcPr>
            <w:tcW w:w="638" w:type="pct"/>
            <w:tcBorders>
              <w:top w:val="nil"/>
              <w:left w:val="nil"/>
              <w:bottom w:val="single" w:sz="8" w:space="0" w:color="auto"/>
              <w:right w:val="nil"/>
            </w:tcBorders>
            <w:shd w:val="clear" w:color="auto" w:fill="auto"/>
            <w:noWrap/>
            <w:vAlign w:val="center"/>
            <w:hideMark/>
          </w:tcPr>
          <w:p w:rsidR="00D96570" w:rsidRPr="00D96570" w:rsidRDefault="00D96570" w:rsidP="00535373">
            <w:pPr>
              <w:pStyle w:val="Tablehead2"/>
              <w:jc w:val="center"/>
            </w:pPr>
            <w:r w:rsidRPr="00D96570">
              <w:t>Low attainment</w:t>
            </w:r>
          </w:p>
        </w:tc>
      </w:tr>
      <w:tr w:rsidR="00D96570" w:rsidRPr="00A23DC2" w:rsidTr="00D96570">
        <w:trPr>
          <w:trHeight w:val="300"/>
        </w:trPr>
        <w:tc>
          <w:tcPr>
            <w:tcW w:w="1812" w:type="pct"/>
            <w:tcBorders>
              <w:top w:val="nil"/>
              <w:left w:val="nil"/>
              <w:bottom w:val="nil"/>
              <w:right w:val="nil"/>
            </w:tcBorders>
            <w:shd w:val="clear" w:color="auto" w:fill="auto"/>
            <w:noWrap/>
            <w:vAlign w:val="center"/>
            <w:hideMark/>
          </w:tcPr>
          <w:p w:rsidR="00D96570" w:rsidRPr="00A23DC2" w:rsidRDefault="00D96570" w:rsidP="00535373">
            <w:pPr>
              <w:pStyle w:val="Tabletext"/>
              <w:ind w:left="179" w:hanging="179"/>
              <w:rPr>
                <w:lang w:eastAsia="en-AU"/>
              </w:rPr>
            </w:pPr>
            <w:r w:rsidRPr="00A23DC2">
              <w:rPr>
                <w:lang w:eastAsia="en-AU"/>
              </w:rPr>
              <w:t>%</w:t>
            </w:r>
            <w:r w:rsidR="00535373">
              <w:rPr>
                <w:lang w:eastAsia="en-AU"/>
              </w:rPr>
              <w:t xml:space="preserve"> </w:t>
            </w:r>
            <w:r w:rsidRPr="00A23DC2">
              <w:rPr>
                <w:lang w:eastAsia="en-AU"/>
              </w:rPr>
              <w:t>strongly agreeing that they were satisfied with the quality of the training overall.</w:t>
            </w:r>
          </w:p>
        </w:tc>
        <w:tc>
          <w:tcPr>
            <w:tcW w:w="637" w:type="pct"/>
            <w:gridSpan w:val="2"/>
            <w:tcBorders>
              <w:top w:val="nil"/>
              <w:left w:val="nil"/>
              <w:bottom w:val="nil"/>
              <w:right w:val="nil"/>
            </w:tcBorders>
            <w:shd w:val="clear" w:color="auto" w:fill="auto"/>
            <w:noWrap/>
            <w:vAlign w:val="center"/>
            <w:hideMark/>
          </w:tcPr>
          <w:p w:rsidR="00D96570" w:rsidRPr="00A23DC2" w:rsidRDefault="00D96570" w:rsidP="00535373">
            <w:pPr>
              <w:pStyle w:val="Tabletext"/>
              <w:jc w:val="center"/>
              <w:rPr>
                <w:lang w:eastAsia="en-AU"/>
              </w:rPr>
            </w:pPr>
            <w:r w:rsidRPr="00A23DC2">
              <w:rPr>
                <w:lang w:eastAsia="en-AU"/>
              </w:rPr>
              <w:t>0.102</w:t>
            </w:r>
          </w:p>
        </w:tc>
        <w:tc>
          <w:tcPr>
            <w:tcW w:w="638" w:type="pct"/>
            <w:tcBorders>
              <w:top w:val="nil"/>
              <w:left w:val="nil"/>
              <w:bottom w:val="nil"/>
              <w:right w:val="nil"/>
            </w:tcBorders>
            <w:shd w:val="clear" w:color="auto" w:fill="auto"/>
            <w:noWrap/>
            <w:vAlign w:val="center"/>
            <w:hideMark/>
          </w:tcPr>
          <w:p w:rsidR="00D96570" w:rsidRPr="00A23DC2" w:rsidRDefault="00D96570" w:rsidP="00535373">
            <w:pPr>
              <w:pStyle w:val="Tabletext"/>
              <w:jc w:val="center"/>
              <w:rPr>
                <w:lang w:eastAsia="en-AU"/>
              </w:rPr>
            </w:pPr>
            <w:r w:rsidRPr="00A23DC2">
              <w:rPr>
                <w:lang w:eastAsia="en-AU"/>
              </w:rPr>
              <w:t>.191**</w:t>
            </w:r>
          </w:p>
        </w:tc>
        <w:tc>
          <w:tcPr>
            <w:tcW w:w="638" w:type="pct"/>
            <w:tcBorders>
              <w:top w:val="nil"/>
              <w:left w:val="nil"/>
              <w:bottom w:val="nil"/>
              <w:right w:val="nil"/>
            </w:tcBorders>
            <w:shd w:val="clear" w:color="auto" w:fill="auto"/>
            <w:noWrap/>
            <w:vAlign w:val="center"/>
            <w:hideMark/>
          </w:tcPr>
          <w:p w:rsidR="00D96570" w:rsidRPr="00A23DC2" w:rsidRDefault="00D96570" w:rsidP="00535373">
            <w:pPr>
              <w:pStyle w:val="Tabletext"/>
              <w:jc w:val="center"/>
              <w:rPr>
                <w:lang w:eastAsia="en-AU"/>
              </w:rPr>
            </w:pPr>
            <w:r w:rsidRPr="00A23DC2">
              <w:rPr>
                <w:lang w:eastAsia="en-AU"/>
              </w:rPr>
              <w:t>0.107</w:t>
            </w:r>
          </w:p>
        </w:tc>
        <w:tc>
          <w:tcPr>
            <w:tcW w:w="638" w:type="pct"/>
            <w:tcBorders>
              <w:top w:val="nil"/>
              <w:left w:val="nil"/>
              <w:bottom w:val="nil"/>
              <w:right w:val="nil"/>
            </w:tcBorders>
            <w:shd w:val="clear" w:color="auto" w:fill="auto"/>
            <w:noWrap/>
            <w:vAlign w:val="center"/>
            <w:hideMark/>
          </w:tcPr>
          <w:p w:rsidR="00D96570" w:rsidRPr="00A23DC2" w:rsidRDefault="00D96570" w:rsidP="00535373">
            <w:pPr>
              <w:pStyle w:val="Tabletext"/>
              <w:jc w:val="center"/>
              <w:rPr>
                <w:lang w:eastAsia="en-AU"/>
              </w:rPr>
            </w:pPr>
            <w:r w:rsidRPr="00A23DC2">
              <w:rPr>
                <w:lang w:eastAsia="en-AU"/>
              </w:rPr>
              <w:t>0.101</w:t>
            </w:r>
          </w:p>
        </w:tc>
        <w:tc>
          <w:tcPr>
            <w:tcW w:w="638" w:type="pct"/>
            <w:tcBorders>
              <w:top w:val="nil"/>
              <w:left w:val="nil"/>
              <w:bottom w:val="nil"/>
              <w:right w:val="nil"/>
            </w:tcBorders>
            <w:shd w:val="clear" w:color="auto" w:fill="auto"/>
            <w:noWrap/>
            <w:vAlign w:val="center"/>
            <w:hideMark/>
          </w:tcPr>
          <w:p w:rsidR="00D96570" w:rsidRPr="00A23DC2" w:rsidRDefault="00D96570" w:rsidP="00535373">
            <w:pPr>
              <w:pStyle w:val="Tabletext"/>
              <w:jc w:val="center"/>
              <w:rPr>
                <w:lang w:eastAsia="en-AU"/>
              </w:rPr>
            </w:pPr>
            <w:r w:rsidRPr="00A23DC2">
              <w:rPr>
                <w:lang w:eastAsia="en-AU"/>
              </w:rPr>
              <w:t>0.087</w:t>
            </w:r>
          </w:p>
        </w:tc>
      </w:tr>
      <w:tr w:rsidR="00D96570" w:rsidRPr="002177D2" w:rsidTr="00D96570">
        <w:trPr>
          <w:trHeight w:val="300"/>
        </w:trPr>
        <w:tc>
          <w:tcPr>
            <w:tcW w:w="1812" w:type="pct"/>
            <w:tcBorders>
              <w:top w:val="nil"/>
              <w:left w:val="nil"/>
              <w:bottom w:val="nil"/>
              <w:right w:val="nil"/>
            </w:tcBorders>
            <w:shd w:val="clear" w:color="auto" w:fill="auto"/>
            <w:noWrap/>
            <w:vAlign w:val="center"/>
            <w:hideMark/>
          </w:tcPr>
          <w:p w:rsidR="00D96570" w:rsidRPr="002177D2" w:rsidRDefault="00D96570" w:rsidP="00535373">
            <w:pPr>
              <w:pStyle w:val="Tabletext"/>
              <w:ind w:left="179" w:hanging="179"/>
              <w:rPr>
                <w:color w:val="000000" w:themeColor="text1"/>
                <w:lang w:eastAsia="en-AU"/>
              </w:rPr>
            </w:pPr>
            <w:r w:rsidRPr="002177D2">
              <w:rPr>
                <w:color w:val="000000" w:themeColor="text1"/>
                <w:lang w:eastAsia="en-AU"/>
              </w:rPr>
              <w:t>% satisfied with assessment.</w:t>
            </w:r>
          </w:p>
        </w:tc>
        <w:tc>
          <w:tcPr>
            <w:tcW w:w="637" w:type="pct"/>
            <w:gridSpan w:val="2"/>
            <w:tcBorders>
              <w:top w:val="nil"/>
              <w:left w:val="nil"/>
              <w:bottom w:val="nil"/>
              <w:right w:val="nil"/>
            </w:tcBorders>
            <w:shd w:val="clear" w:color="auto" w:fill="auto"/>
            <w:noWrap/>
            <w:vAlign w:val="center"/>
            <w:hideMark/>
          </w:tcPr>
          <w:p w:rsidR="00D96570" w:rsidRPr="002177D2" w:rsidRDefault="00D96570" w:rsidP="00535373">
            <w:pPr>
              <w:pStyle w:val="Tabletext"/>
              <w:jc w:val="center"/>
              <w:rPr>
                <w:color w:val="000000" w:themeColor="text1"/>
                <w:lang w:eastAsia="en-AU"/>
              </w:rPr>
            </w:pPr>
            <w:r w:rsidRPr="002177D2">
              <w:rPr>
                <w:color w:val="000000" w:themeColor="text1"/>
                <w:lang w:eastAsia="en-AU"/>
              </w:rPr>
              <w:t>0.015</w:t>
            </w:r>
          </w:p>
        </w:tc>
        <w:tc>
          <w:tcPr>
            <w:tcW w:w="638" w:type="pct"/>
            <w:tcBorders>
              <w:top w:val="nil"/>
              <w:left w:val="nil"/>
              <w:bottom w:val="nil"/>
              <w:right w:val="nil"/>
            </w:tcBorders>
            <w:shd w:val="clear" w:color="auto" w:fill="auto"/>
            <w:noWrap/>
            <w:vAlign w:val="center"/>
            <w:hideMark/>
          </w:tcPr>
          <w:p w:rsidR="00D96570" w:rsidRPr="002177D2" w:rsidRDefault="00D96570" w:rsidP="00535373">
            <w:pPr>
              <w:pStyle w:val="Tabletext"/>
              <w:jc w:val="center"/>
              <w:rPr>
                <w:color w:val="000000" w:themeColor="text1"/>
                <w:lang w:eastAsia="en-AU"/>
              </w:rPr>
            </w:pPr>
            <w:r w:rsidRPr="002177D2">
              <w:rPr>
                <w:color w:val="000000" w:themeColor="text1"/>
                <w:lang w:eastAsia="en-AU"/>
              </w:rPr>
              <w:t>.119*</w:t>
            </w:r>
          </w:p>
        </w:tc>
        <w:tc>
          <w:tcPr>
            <w:tcW w:w="638" w:type="pct"/>
            <w:tcBorders>
              <w:top w:val="nil"/>
              <w:left w:val="nil"/>
              <w:bottom w:val="nil"/>
              <w:right w:val="nil"/>
            </w:tcBorders>
            <w:shd w:val="clear" w:color="auto" w:fill="auto"/>
            <w:noWrap/>
            <w:vAlign w:val="center"/>
            <w:hideMark/>
          </w:tcPr>
          <w:p w:rsidR="00D96570" w:rsidRPr="002177D2" w:rsidRDefault="00D96570" w:rsidP="00535373">
            <w:pPr>
              <w:pStyle w:val="Tabletext"/>
              <w:jc w:val="center"/>
              <w:rPr>
                <w:color w:val="000000" w:themeColor="text1"/>
                <w:lang w:eastAsia="en-AU"/>
              </w:rPr>
            </w:pPr>
            <w:r w:rsidRPr="002177D2">
              <w:rPr>
                <w:color w:val="000000" w:themeColor="text1"/>
                <w:lang w:eastAsia="en-AU"/>
              </w:rPr>
              <w:t>0.108</w:t>
            </w:r>
          </w:p>
        </w:tc>
        <w:tc>
          <w:tcPr>
            <w:tcW w:w="638" w:type="pct"/>
            <w:tcBorders>
              <w:top w:val="nil"/>
              <w:left w:val="nil"/>
              <w:bottom w:val="nil"/>
              <w:right w:val="nil"/>
            </w:tcBorders>
            <w:shd w:val="clear" w:color="auto" w:fill="auto"/>
            <w:noWrap/>
            <w:vAlign w:val="center"/>
            <w:hideMark/>
          </w:tcPr>
          <w:p w:rsidR="00D96570" w:rsidRPr="002177D2" w:rsidRDefault="00D96570" w:rsidP="00535373">
            <w:pPr>
              <w:pStyle w:val="Tabletext"/>
              <w:jc w:val="center"/>
              <w:rPr>
                <w:color w:val="000000" w:themeColor="text1"/>
                <w:lang w:eastAsia="en-AU"/>
              </w:rPr>
            </w:pPr>
            <w:r w:rsidRPr="002177D2">
              <w:rPr>
                <w:color w:val="000000" w:themeColor="text1"/>
                <w:lang w:eastAsia="en-AU"/>
              </w:rPr>
              <w:t>0.062</w:t>
            </w:r>
          </w:p>
        </w:tc>
        <w:tc>
          <w:tcPr>
            <w:tcW w:w="638" w:type="pct"/>
            <w:tcBorders>
              <w:top w:val="nil"/>
              <w:left w:val="nil"/>
              <w:bottom w:val="nil"/>
              <w:right w:val="nil"/>
            </w:tcBorders>
            <w:shd w:val="clear" w:color="auto" w:fill="auto"/>
            <w:noWrap/>
            <w:vAlign w:val="center"/>
            <w:hideMark/>
          </w:tcPr>
          <w:p w:rsidR="00D96570" w:rsidRPr="002177D2" w:rsidRDefault="00D96570" w:rsidP="00535373">
            <w:pPr>
              <w:pStyle w:val="Tabletext"/>
              <w:jc w:val="center"/>
              <w:rPr>
                <w:color w:val="000000" w:themeColor="text1"/>
                <w:lang w:eastAsia="en-AU"/>
              </w:rPr>
            </w:pPr>
            <w:r w:rsidRPr="002177D2">
              <w:rPr>
                <w:color w:val="000000" w:themeColor="text1"/>
                <w:lang w:eastAsia="en-AU"/>
              </w:rPr>
              <w:t>-0.017</w:t>
            </w:r>
          </w:p>
        </w:tc>
      </w:tr>
      <w:tr w:rsidR="00D96570" w:rsidRPr="002177D2" w:rsidTr="00D96570">
        <w:trPr>
          <w:trHeight w:val="300"/>
        </w:trPr>
        <w:tc>
          <w:tcPr>
            <w:tcW w:w="1812" w:type="pct"/>
            <w:tcBorders>
              <w:top w:val="nil"/>
              <w:left w:val="nil"/>
              <w:bottom w:val="nil"/>
              <w:right w:val="nil"/>
            </w:tcBorders>
            <w:shd w:val="clear" w:color="auto" w:fill="auto"/>
            <w:noWrap/>
            <w:vAlign w:val="center"/>
            <w:hideMark/>
          </w:tcPr>
          <w:p w:rsidR="00D96570" w:rsidRPr="002177D2" w:rsidRDefault="00D96570" w:rsidP="00535373">
            <w:pPr>
              <w:pStyle w:val="Tabletext"/>
              <w:ind w:left="179" w:hanging="179"/>
              <w:rPr>
                <w:color w:val="000000" w:themeColor="text1"/>
                <w:lang w:eastAsia="en-AU"/>
              </w:rPr>
            </w:pPr>
            <w:r w:rsidRPr="002177D2">
              <w:rPr>
                <w:color w:val="000000" w:themeColor="text1"/>
                <w:lang w:eastAsia="en-AU"/>
              </w:rPr>
              <w:t>% satisfied with their obtained generic skills and learning experiences.</w:t>
            </w:r>
          </w:p>
        </w:tc>
        <w:tc>
          <w:tcPr>
            <w:tcW w:w="637" w:type="pct"/>
            <w:gridSpan w:val="2"/>
            <w:tcBorders>
              <w:top w:val="nil"/>
              <w:left w:val="nil"/>
              <w:bottom w:val="nil"/>
              <w:right w:val="nil"/>
            </w:tcBorders>
            <w:shd w:val="clear" w:color="auto" w:fill="auto"/>
            <w:noWrap/>
            <w:vAlign w:val="center"/>
            <w:hideMark/>
          </w:tcPr>
          <w:p w:rsidR="00D96570" w:rsidRPr="002177D2" w:rsidRDefault="00D96570" w:rsidP="00535373">
            <w:pPr>
              <w:pStyle w:val="Tabletext"/>
              <w:jc w:val="center"/>
              <w:rPr>
                <w:color w:val="000000" w:themeColor="text1"/>
                <w:lang w:eastAsia="en-AU"/>
              </w:rPr>
            </w:pPr>
            <w:r w:rsidRPr="002177D2">
              <w:rPr>
                <w:color w:val="000000" w:themeColor="text1"/>
                <w:lang w:eastAsia="en-AU"/>
              </w:rPr>
              <w:t>.119*</w:t>
            </w:r>
          </w:p>
        </w:tc>
        <w:tc>
          <w:tcPr>
            <w:tcW w:w="638" w:type="pct"/>
            <w:tcBorders>
              <w:top w:val="nil"/>
              <w:left w:val="nil"/>
              <w:bottom w:val="nil"/>
              <w:right w:val="nil"/>
            </w:tcBorders>
            <w:shd w:val="clear" w:color="auto" w:fill="auto"/>
            <w:noWrap/>
            <w:vAlign w:val="center"/>
            <w:hideMark/>
          </w:tcPr>
          <w:p w:rsidR="00D96570" w:rsidRPr="002177D2" w:rsidRDefault="00D96570" w:rsidP="00535373">
            <w:pPr>
              <w:pStyle w:val="Tabletext"/>
              <w:jc w:val="center"/>
              <w:rPr>
                <w:color w:val="000000" w:themeColor="text1"/>
                <w:lang w:eastAsia="en-AU"/>
              </w:rPr>
            </w:pPr>
            <w:r w:rsidRPr="002177D2">
              <w:rPr>
                <w:color w:val="000000" w:themeColor="text1"/>
                <w:lang w:eastAsia="en-AU"/>
              </w:rPr>
              <w:t>.155**</w:t>
            </w:r>
          </w:p>
        </w:tc>
        <w:tc>
          <w:tcPr>
            <w:tcW w:w="638" w:type="pct"/>
            <w:tcBorders>
              <w:top w:val="nil"/>
              <w:left w:val="nil"/>
              <w:bottom w:val="nil"/>
              <w:right w:val="nil"/>
            </w:tcBorders>
            <w:shd w:val="clear" w:color="auto" w:fill="auto"/>
            <w:noWrap/>
            <w:vAlign w:val="center"/>
            <w:hideMark/>
          </w:tcPr>
          <w:p w:rsidR="00D96570" w:rsidRPr="002177D2" w:rsidRDefault="00D96570" w:rsidP="00535373">
            <w:pPr>
              <w:pStyle w:val="Tabletext"/>
              <w:jc w:val="center"/>
              <w:rPr>
                <w:color w:val="000000" w:themeColor="text1"/>
                <w:lang w:eastAsia="en-AU"/>
              </w:rPr>
            </w:pPr>
            <w:r w:rsidRPr="002177D2">
              <w:rPr>
                <w:color w:val="000000" w:themeColor="text1"/>
                <w:lang w:eastAsia="en-AU"/>
              </w:rPr>
              <w:t>.139*</w:t>
            </w:r>
          </w:p>
        </w:tc>
        <w:tc>
          <w:tcPr>
            <w:tcW w:w="638" w:type="pct"/>
            <w:tcBorders>
              <w:top w:val="nil"/>
              <w:left w:val="nil"/>
              <w:bottom w:val="nil"/>
              <w:right w:val="nil"/>
            </w:tcBorders>
            <w:shd w:val="clear" w:color="auto" w:fill="auto"/>
            <w:noWrap/>
            <w:vAlign w:val="center"/>
            <w:hideMark/>
          </w:tcPr>
          <w:p w:rsidR="00D96570" w:rsidRPr="002177D2" w:rsidRDefault="00D96570" w:rsidP="00535373">
            <w:pPr>
              <w:pStyle w:val="Tabletext"/>
              <w:jc w:val="center"/>
              <w:rPr>
                <w:color w:val="000000" w:themeColor="text1"/>
                <w:lang w:eastAsia="en-AU"/>
              </w:rPr>
            </w:pPr>
            <w:r w:rsidRPr="002177D2">
              <w:rPr>
                <w:color w:val="000000" w:themeColor="text1"/>
                <w:lang w:eastAsia="en-AU"/>
              </w:rPr>
              <w:t>.175**</w:t>
            </w:r>
          </w:p>
        </w:tc>
        <w:tc>
          <w:tcPr>
            <w:tcW w:w="638" w:type="pct"/>
            <w:tcBorders>
              <w:top w:val="nil"/>
              <w:left w:val="nil"/>
              <w:bottom w:val="nil"/>
              <w:right w:val="nil"/>
            </w:tcBorders>
            <w:shd w:val="clear" w:color="auto" w:fill="auto"/>
            <w:noWrap/>
            <w:vAlign w:val="center"/>
            <w:hideMark/>
          </w:tcPr>
          <w:p w:rsidR="00D96570" w:rsidRPr="002177D2" w:rsidRDefault="00D96570" w:rsidP="00535373">
            <w:pPr>
              <w:pStyle w:val="Tabletext"/>
              <w:jc w:val="center"/>
              <w:rPr>
                <w:color w:val="000000" w:themeColor="text1"/>
                <w:lang w:eastAsia="en-AU"/>
              </w:rPr>
            </w:pPr>
            <w:r w:rsidRPr="002177D2">
              <w:rPr>
                <w:color w:val="000000" w:themeColor="text1"/>
                <w:lang w:eastAsia="en-AU"/>
              </w:rPr>
              <w:t>.110*</w:t>
            </w:r>
          </w:p>
        </w:tc>
      </w:tr>
      <w:tr w:rsidR="00D96570" w:rsidRPr="002177D2" w:rsidTr="00D96570">
        <w:trPr>
          <w:trHeight w:val="300"/>
        </w:trPr>
        <w:tc>
          <w:tcPr>
            <w:tcW w:w="1812" w:type="pct"/>
            <w:tcBorders>
              <w:top w:val="nil"/>
              <w:left w:val="nil"/>
              <w:bottom w:val="nil"/>
              <w:right w:val="nil"/>
            </w:tcBorders>
            <w:shd w:val="clear" w:color="auto" w:fill="auto"/>
            <w:noWrap/>
            <w:vAlign w:val="center"/>
            <w:hideMark/>
          </w:tcPr>
          <w:p w:rsidR="00D96570" w:rsidRPr="002177D2" w:rsidRDefault="00D96570" w:rsidP="00535373">
            <w:pPr>
              <w:pStyle w:val="Tabletext"/>
              <w:ind w:left="179" w:hanging="179"/>
              <w:rPr>
                <w:color w:val="000000" w:themeColor="text1"/>
                <w:lang w:eastAsia="en-AU"/>
              </w:rPr>
            </w:pPr>
            <w:r w:rsidRPr="002177D2">
              <w:rPr>
                <w:color w:val="000000" w:themeColor="text1"/>
                <w:lang w:eastAsia="en-AU"/>
              </w:rPr>
              <w:t>% satisfied with the teaching.</w:t>
            </w:r>
          </w:p>
        </w:tc>
        <w:tc>
          <w:tcPr>
            <w:tcW w:w="637" w:type="pct"/>
            <w:gridSpan w:val="2"/>
            <w:tcBorders>
              <w:top w:val="nil"/>
              <w:left w:val="nil"/>
              <w:bottom w:val="nil"/>
              <w:right w:val="nil"/>
            </w:tcBorders>
            <w:shd w:val="clear" w:color="auto" w:fill="auto"/>
            <w:noWrap/>
            <w:vAlign w:val="center"/>
            <w:hideMark/>
          </w:tcPr>
          <w:p w:rsidR="00D96570" w:rsidRPr="002177D2" w:rsidRDefault="00D96570" w:rsidP="00535373">
            <w:pPr>
              <w:pStyle w:val="Tabletext"/>
              <w:jc w:val="center"/>
              <w:rPr>
                <w:color w:val="000000" w:themeColor="text1"/>
                <w:lang w:eastAsia="en-AU"/>
              </w:rPr>
            </w:pPr>
            <w:r w:rsidRPr="002177D2">
              <w:rPr>
                <w:color w:val="000000" w:themeColor="text1"/>
                <w:lang w:eastAsia="en-AU"/>
              </w:rPr>
              <w:t>0.025</w:t>
            </w:r>
          </w:p>
        </w:tc>
        <w:tc>
          <w:tcPr>
            <w:tcW w:w="638" w:type="pct"/>
            <w:tcBorders>
              <w:top w:val="nil"/>
              <w:left w:val="nil"/>
              <w:bottom w:val="nil"/>
              <w:right w:val="nil"/>
            </w:tcBorders>
            <w:shd w:val="clear" w:color="auto" w:fill="auto"/>
            <w:noWrap/>
            <w:vAlign w:val="center"/>
            <w:hideMark/>
          </w:tcPr>
          <w:p w:rsidR="00D96570" w:rsidRPr="002177D2" w:rsidRDefault="00D96570" w:rsidP="00535373">
            <w:pPr>
              <w:pStyle w:val="Tabletext"/>
              <w:jc w:val="center"/>
              <w:rPr>
                <w:color w:val="000000" w:themeColor="text1"/>
                <w:lang w:eastAsia="en-AU"/>
              </w:rPr>
            </w:pPr>
            <w:r w:rsidRPr="002177D2">
              <w:rPr>
                <w:color w:val="000000" w:themeColor="text1"/>
                <w:lang w:eastAsia="en-AU"/>
              </w:rPr>
              <w:t>.117*</w:t>
            </w:r>
          </w:p>
        </w:tc>
        <w:tc>
          <w:tcPr>
            <w:tcW w:w="638" w:type="pct"/>
            <w:tcBorders>
              <w:top w:val="nil"/>
              <w:left w:val="nil"/>
              <w:bottom w:val="nil"/>
              <w:right w:val="nil"/>
            </w:tcBorders>
            <w:shd w:val="clear" w:color="auto" w:fill="auto"/>
            <w:noWrap/>
            <w:vAlign w:val="center"/>
            <w:hideMark/>
          </w:tcPr>
          <w:p w:rsidR="00D96570" w:rsidRPr="002177D2" w:rsidRDefault="00D96570" w:rsidP="00535373">
            <w:pPr>
              <w:pStyle w:val="Tabletext"/>
              <w:jc w:val="center"/>
              <w:rPr>
                <w:color w:val="000000" w:themeColor="text1"/>
                <w:lang w:eastAsia="en-AU"/>
              </w:rPr>
            </w:pPr>
            <w:r w:rsidRPr="002177D2">
              <w:rPr>
                <w:color w:val="000000" w:themeColor="text1"/>
                <w:lang w:eastAsia="en-AU"/>
              </w:rPr>
              <w:t>0.052</w:t>
            </w:r>
          </w:p>
        </w:tc>
        <w:tc>
          <w:tcPr>
            <w:tcW w:w="638" w:type="pct"/>
            <w:tcBorders>
              <w:top w:val="nil"/>
              <w:left w:val="nil"/>
              <w:bottom w:val="nil"/>
              <w:right w:val="nil"/>
            </w:tcBorders>
            <w:shd w:val="clear" w:color="auto" w:fill="auto"/>
            <w:noWrap/>
            <w:vAlign w:val="center"/>
            <w:hideMark/>
          </w:tcPr>
          <w:p w:rsidR="00D96570" w:rsidRPr="002177D2" w:rsidRDefault="00D96570" w:rsidP="00535373">
            <w:pPr>
              <w:pStyle w:val="Tabletext"/>
              <w:jc w:val="center"/>
              <w:rPr>
                <w:color w:val="000000" w:themeColor="text1"/>
                <w:lang w:eastAsia="en-AU"/>
              </w:rPr>
            </w:pPr>
            <w:r w:rsidRPr="002177D2">
              <w:rPr>
                <w:color w:val="000000" w:themeColor="text1"/>
                <w:lang w:eastAsia="en-AU"/>
              </w:rPr>
              <w:t>0.033</w:t>
            </w:r>
          </w:p>
        </w:tc>
        <w:tc>
          <w:tcPr>
            <w:tcW w:w="638" w:type="pct"/>
            <w:tcBorders>
              <w:top w:val="nil"/>
              <w:left w:val="nil"/>
              <w:bottom w:val="nil"/>
              <w:right w:val="nil"/>
            </w:tcBorders>
            <w:shd w:val="clear" w:color="auto" w:fill="auto"/>
            <w:noWrap/>
            <w:vAlign w:val="center"/>
            <w:hideMark/>
          </w:tcPr>
          <w:p w:rsidR="00D96570" w:rsidRPr="002177D2" w:rsidRDefault="00D96570" w:rsidP="00535373">
            <w:pPr>
              <w:pStyle w:val="Tabletext"/>
              <w:jc w:val="center"/>
              <w:rPr>
                <w:color w:val="000000" w:themeColor="text1"/>
                <w:lang w:eastAsia="en-AU"/>
              </w:rPr>
            </w:pPr>
            <w:r w:rsidRPr="002177D2">
              <w:rPr>
                <w:color w:val="000000" w:themeColor="text1"/>
                <w:lang w:eastAsia="en-AU"/>
              </w:rPr>
              <w:t>-0.019</w:t>
            </w:r>
          </w:p>
        </w:tc>
      </w:tr>
      <w:tr w:rsidR="00D96570" w:rsidRPr="002177D2" w:rsidTr="00D96570">
        <w:trPr>
          <w:trHeight w:val="300"/>
        </w:trPr>
        <w:tc>
          <w:tcPr>
            <w:tcW w:w="1812" w:type="pct"/>
            <w:tcBorders>
              <w:top w:val="nil"/>
              <w:left w:val="nil"/>
              <w:bottom w:val="nil"/>
              <w:right w:val="nil"/>
            </w:tcBorders>
            <w:shd w:val="clear" w:color="auto" w:fill="auto"/>
            <w:noWrap/>
            <w:vAlign w:val="center"/>
            <w:hideMark/>
          </w:tcPr>
          <w:p w:rsidR="00D96570" w:rsidRPr="002177D2" w:rsidRDefault="00D96570" w:rsidP="00535373">
            <w:pPr>
              <w:pStyle w:val="Tabletext"/>
              <w:ind w:left="179" w:hanging="179"/>
              <w:rPr>
                <w:color w:val="000000" w:themeColor="text1"/>
                <w:lang w:eastAsia="en-AU"/>
              </w:rPr>
            </w:pPr>
            <w:r w:rsidRPr="002177D2">
              <w:rPr>
                <w:color w:val="000000" w:themeColor="text1"/>
                <w:lang w:eastAsia="en-AU"/>
              </w:rPr>
              <w:t>% stating they achieved or partially achieved their main reason for training.</w:t>
            </w:r>
          </w:p>
        </w:tc>
        <w:tc>
          <w:tcPr>
            <w:tcW w:w="637" w:type="pct"/>
            <w:gridSpan w:val="2"/>
            <w:tcBorders>
              <w:top w:val="nil"/>
              <w:left w:val="nil"/>
              <w:bottom w:val="nil"/>
              <w:right w:val="nil"/>
            </w:tcBorders>
            <w:shd w:val="clear" w:color="auto" w:fill="auto"/>
            <w:noWrap/>
            <w:vAlign w:val="center"/>
            <w:hideMark/>
          </w:tcPr>
          <w:p w:rsidR="00D96570" w:rsidRPr="002177D2" w:rsidRDefault="00D96570" w:rsidP="00535373">
            <w:pPr>
              <w:pStyle w:val="Tabletext"/>
              <w:jc w:val="center"/>
              <w:rPr>
                <w:color w:val="000000" w:themeColor="text1"/>
                <w:lang w:eastAsia="en-AU"/>
              </w:rPr>
            </w:pPr>
            <w:r w:rsidRPr="002177D2">
              <w:rPr>
                <w:color w:val="000000" w:themeColor="text1"/>
                <w:lang w:eastAsia="en-AU"/>
              </w:rPr>
              <w:t>.131*</w:t>
            </w:r>
          </w:p>
        </w:tc>
        <w:tc>
          <w:tcPr>
            <w:tcW w:w="638" w:type="pct"/>
            <w:tcBorders>
              <w:top w:val="nil"/>
              <w:left w:val="nil"/>
              <w:bottom w:val="nil"/>
              <w:right w:val="nil"/>
            </w:tcBorders>
            <w:shd w:val="clear" w:color="auto" w:fill="auto"/>
            <w:noWrap/>
            <w:vAlign w:val="center"/>
            <w:hideMark/>
          </w:tcPr>
          <w:p w:rsidR="00D96570" w:rsidRPr="002177D2" w:rsidRDefault="00D96570" w:rsidP="00535373">
            <w:pPr>
              <w:pStyle w:val="Tabletext"/>
              <w:jc w:val="center"/>
              <w:rPr>
                <w:color w:val="000000" w:themeColor="text1"/>
                <w:lang w:eastAsia="en-AU"/>
              </w:rPr>
            </w:pPr>
            <w:r w:rsidRPr="002177D2">
              <w:rPr>
                <w:color w:val="000000" w:themeColor="text1"/>
                <w:lang w:eastAsia="en-AU"/>
              </w:rPr>
              <w:t>.113*</w:t>
            </w:r>
          </w:p>
        </w:tc>
        <w:tc>
          <w:tcPr>
            <w:tcW w:w="638" w:type="pct"/>
            <w:tcBorders>
              <w:top w:val="nil"/>
              <w:left w:val="nil"/>
              <w:bottom w:val="nil"/>
              <w:right w:val="nil"/>
            </w:tcBorders>
            <w:shd w:val="clear" w:color="auto" w:fill="auto"/>
            <w:noWrap/>
            <w:vAlign w:val="center"/>
            <w:hideMark/>
          </w:tcPr>
          <w:p w:rsidR="00D96570" w:rsidRPr="002177D2" w:rsidRDefault="00D96570" w:rsidP="00535373">
            <w:pPr>
              <w:pStyle w:val="Tabletext"/>
              <w:jc w:val="center"/>
              <w:rPr>
                <w:color w:val="000000" w:themeColor="text1"/>
                <w:lang w:eastAsia="en-AU"/>
              </w:rPr>
            </w:pPr>
            <w:r w:rsidRPr="002177D2">
              <w:rPr>
                <w:color w:val="000000" w:themeColor="text1"/>
                <w:lang w:eastAsia="en-AU"/>
              </w:rPr>
              <w:t>.132*</w:t>
            </w:r>
          </w:p>
        </w:tc>
        <w:tc>
          <w:tcPr>
            <w:tcW w:w="638" w:type="pct"/>
            <w:tcBorders>
              <w:top w:val="nil"/>
              <w:left w:val="nil"/>
              <w:bottom w:val="nil"/>
              <w:right w:val="nil"/>
            </w:tcBorders>
            <w:shd w:val="clear" w:color="auto" w:fill="auto"/>
            <w:noWrap/>
            <w:vAlign w:val="center"/>
            <w:hideMark/>
          </w:tcPr>
          <w:p w:rsidR="00D96570" w:rsidRPr="002177D2" w:rsidRDefault="00D96570" w:rsidP="00535373">
            <w:pPr>
              <w:pStyle w:val="Tabletext"/>
              <w:jc w:val="center"/>
              <w:rPr>
                <w:color w:val="000000" w:themeColor="text1"/>
                <w:lang w:eastAsia="en-AU"/>
              </w:rPr>
            </w:pPr>
            <w:r w:rsidRPr="002177D2">
              <w:rPr>
                <w:color w:val="000000" w:themeColor="text1"/>
                <w:lang w:eastAsia="en-AU"/>
              </w:rPr>
              <w:t>0.088</w:t>
            </w:r>
          </w:p>
        </w:tc>
        <w:tc>
          <w:tcPr>
            <w:tcW w:w="638" w:type="pct"/>
            <w:tcBorders>
              <w:top w:val="nil"/>
              <w:left w:val="nil"/>
              <w:bottom w:val="nil"/>
              <w:right w:val="nil"/>
            </w:tcBorders>
            <w:shd w:val="clear" w:color="auto" w:fill="auto"/>
            <w:noWrap/>
            <w:vAlign w:val="center"/>
            <w:hideMark/>
          </w:tcPr>
          <w:p w:rsidR="00D96570" w:rsidRPr="002177D2" w:rsidRDefault="00D96570" w:rsidP="00535373">
            <w:pPr>
              <w:pStyle w:val="Tabletext"/>
              <w:jc w:val="center"/>
              <w:rPr>
                <w:color w:val="000000" w:themeColor="text1"/>
                <w:lang w:eastAsia="en-AU"/>
              </w:rPr>
            </w:pPr>
            <w:r w:rsidRPr="002177D2">
              <w:rPr>
                <w:color w:val="000000" w:themeColor="text1"/>
                <w:lang w:eastAsia="en-AU"/>
              </w:rPr>
              <w:t>-0.008</w:t>
            </w:r>
          </w:p>
        </w:tc>
      </w:tr>
      <w:tr w:rsidR="00D96570" w:rsidRPr="002177D2" w:rsidTr="00D96570">
        <w:trPr>
          <w:trHeight w:val="300"/>
        </w:trPr>
        <w:tc>
          <w:tcPr>
            <w:tcW w:w="1812" w:type="pct"/>
            <w:tcBorders>
              <w:top w:val="nil"/>
              <w:left w:val="nil"/>
              <w:bottom w:val="nil"/>
              <w:right w:val="nil"/>
            </w:tcBorders>
            <w:shd w:val="clear" w:color="auto" w:fill="auto"/>
            <w:noWrap/>
            <w:vAlign w:val="center"/>
            <w:hideMark/>
          </w:tcPr>
          <w:p w:rsidR="00D96570" w:rsidRPr="002177D2" w:rsidRDefault="00D96570" w:rsidP="00535373">
            <w:pPr>
              <w:pStyle w:val="Tabletext"/>
              <w:ind w:left="179" w:hanging="179"/>
              <w:rPr>
                <w:color w:val="000000" w:themeColor="text1"/>
                <w:lang w:eastAsia="en-AU"/>
              </w:rPr>
            </w:pPr>
            <w:r w:rsidRPr="002177D2">
              <w:rPr>
                <w:color w:val="000000" w:themeColor="text1"/>
                <w:lang w:eastAsia="en-AU"/>
              </w:rPr>
              <w:t>% reporting improved employment circumstances following training.</w:t>
            </w:r>
          </w:p>
        </w:tc>
        <w:tc>
          <w:tcPr>
            <w:tcW w:w="637" w:type="pct"/>
            <w:gridSpan w:val="2"/>
            <w:tcBorders>
              <w:top w:val="nil"/>
              <w:left w:val="nil"/>
              <w:bottom w:val="nil"/>
              <w:right w:val="nil"/>
            </w:tcBorders>
            <w:shd w:val="clear" w:color="auto" w:fill="auto"/>
            <w:noWrap/>
            <w:vAlign w:val="center"/>
            <w:hideMark/>
          </w:tcPr>
          <w:p w:rsidR="00D96570" w:rsidRPr="002177D2" w:rsidRDefault="00D96570" w:rsidP="00535373">
            <w:pPr>
              <w:pStyle w:val="Tabletext"/>
              <w:jc w:val="center"/>
              <w:rPr>
                <w:color w:val="000000" w:themeColor="text1"/>
                <w:lang w:eastAsia="en-AU"/>
              </w:rPr>
            </w:pPr>
            <w:r w:rsidRPr="002177D2">
              <w:rPr>
                <w:color w:val="000000" w:themeColor="text1"/>
                <w:lang w:eastAsia="en-AU"/>
              </w:rPr>
              <w:t>0.033</w:t>
            </w:r>
          </w:p>
        </w:tc>
        <w:tc>
          <w:tcPr>
            <w:tcW w:w="638" w:type="pct"/>
            <w:tcBorders>
              <w:top w:val="nil"/>
              <w:left w:val="nil"/>
              <w:bottom w:val="nil"/>
              <w:right w:val="nil"/>
            </w:tcBorders>
            <w:shd w:val="clear" w:color="auto" w:fill="auto"/>
            <w:noWrap/>
            <w:vAlign w:val="center"/>
            <w:hideMark/>
          </w:tcPr>
          <w:p w:rsidR="00D96570" w:rsidRPr="002177D2" w:rsidRDefault="00D96570" w:rsidP="00535373">
            <w:pPr>
              <w:pStyle w:val="Tabletext"/>
              <w:jc w:val="center"/>
              <w:rPr>
                <w:color w:val="000000" w:themeColor="text1"/>
                <w:lang w:eastAsia="en-AU"/>
              </w:rPr>
            </w:pPr>
            <w:r w:rsidRPr="002177D2">
              <w:rPr>
                <w:color w:val="000000" w:themeColor="text1"/>
                <w:lang w:eastAsia="en-AU"/>
              </w:rPr>
              <w:t>0.000</w:t>
            </w:r>
          </w:p>
        </w:tc>
        <w:tc>
          <w:tcPr>
            <w:tcW w:w="638" w:type="pct"/>
            <w:tcBorders>
              <w:top w:val="nil"/>
              <w:left w:val="nil"/>
              <w:bottom w:val="nil"/>
              <w:right w:val="nil"/>
            </w:tcBorders>
            <w:shd w:val="clear" w:color="auto" w:fill="auto"/>
            <w:noWrap/>
            <w:vAlign w:val="center"/>
            <w:hideMark/>
          </w:tcPr>
          <w:p w:rsidR="00D96570" w:rsidRPr="002177D2" w:rsidRDefault="00D96570" w:rsidP="00535373">
            <w:pPr>
              <w:pStyle w:val="Tabletext"/>
              <w:jc w:val="center"/>
              <w:rPr>
                <w:color w:val="000000" w:themeColor="text1"/>
                <w:lang w:eastAsia="en-AU"/>
              </w:rPr>
            </w:pPr>
            <w:r w:rsidRPr="002177D2">
              <w:rPr>
                <w:color w:val="000000" w:themeColor="text1"/>
                <w:lang w:eastAsia="en-AU"/>
              </w:rPr>
              <w:t>0.044</w:t>
            </w:r>
          </w:p>
        </w:tc>
        <w:tc>
          <w:tcPr>
            <w:tcW w:w="638" w:type="pct"/>
            <w:tcBorders>
              <w:top w:val="nil"/>
              <w:left w:val="nil"/>
              <w:bottom w:val="nil"/>
              <w:right w:val="nil"/>
            </w:tcBorders>
            <w:shd w:val="clear" w:color="auto" w:fill="auto"/>
            <w:noWrap/>
            <w:vAlign w:val="center"/>
            <w:hideMark/>
          </w:tcPr>
          <w:p w:rsidR="00D96570" w:rsidRPr="002177D2" w:rsidRDefault="00D96570" w:rsidP="00535373">
            <w:pPr>
              <w:pStyle w:val="Tabletext"/>
              <w:jc w:val="center"/>
              <w:rPr>
                <w:color w:val="000000" w:themeColor="text1"/>
                <w:lang w:eastAsia="en-AU"/>
              </w:rPr>
            </w:pPr>
            <w:r w:rsidRPr="002177D2">
              <w:rPr>
                <w:color w:val="000000" w:themeColor="text1"/>
                <w:lang w:eastAsia="en-AU"/>
              </w:rPr>
              <w:t>-0.045</w:t>
            </w:r>
          </w:p>
        </w:tc>
        <w:tc>
          <w:tcPr>
            <w:tcW w:w="638" w:type="pct"/>
            <w:tcBorders>
              <w:top w:val="nil"/>
              <w:left w:val="nil"/>
              <w:bottom w:val="nil"/>
              <w:right w:val="nil"/>
            </w:tcBorders>
            <w:shd w:val="clear" w:color="auto" w:fill="auto"/>
            <w:noWrap/>
            <w:vAlign w:val="center"/>
            <w:hideMark/>
          </w:tcPr>
          <w:p w:rsidR="00D96570" w:rsidRPr="002177D2" w:rsidRDefault="00D96570" w:rsidP="00535373">
            <w:pPr>
              <w:pStyle w:val="Tabletext"/>
              <w:jc w:val="center"/>
              <w:rPr>
                <w:color w:val="000000" w:themeColor="text1"/>
                <w:lang w:eastAsia="en-AU"/>
              </w:rPr>
            </w:pPr>
            <w:r w:rsidRPr="002177D2">
              <w:rPr>
                <w:color w:val="000000" w:themeColor="text1"/>
                <w:lang w:eastAsia="en-AU"/>
              </w:rPr>
              <w:t>-0.036</w:t>
            </w:r>
          </w:p>
        </w:tc>
      </w:tr>
      <w:tr w:rsidR="00D96570" w:rsidRPr="002177D2" w:rsidTr="00D96570">
        <w:trPr>
          <w:trHeight w:val="315"/>
        </w:trPr>
        <w:tc>
          <w:tcPr>
            <w:tcW w:w="1812" w:type="pct"/>
            <w:tcBorders>
              <w:top w:val="nil"/>
              <w:left w:val="nil"/>
              <w:bottom w:val="single" w:sz="8" w:space="0" w:color="auto"/>
              <w:right w:val="nil"/>
            </w:tcBorders>
            <w:shd w:val="clear" w:color="auto" w:fill="auto"/>
            <w:noWrap/>
            <w:vAlign w:val="center"/>
            <w:hideMark/>
          </w:tcPr>
          <w:p w:rsidR="00D96570" w:rsidRPr="002177D2" w:rsidRDefault="00D96570" w:rsidP="00535373">
            <w:pPr>
              <w:pStyle w:val="Tabletext"/>
              <w:ind w:left="179" w:hanging="179"/>
              <w:rPr>
                <w:color w:val="000000" w:themeColor="text1"/>
                <w:lang w:eastAsia="en-AU"/>
              </w:rPr>
            </w:pPr>
            <w:r w:rsidRPr="002177D2">
              <w:rPr>
                <w:color w:val="000000" w:themeColor="text1"/>
                <w:lang w:eastAsia="en-AU"/>
              </w:rPr>
              <w:t xml:space="preserve">% employed or </w:t>
            </w:r>
            <w:r>
              <w:rPr>
                <w:color w:val="000000" w:themeColor="text1"/>
                <w:lang w:eastAsia="en-AU"/>
              </w:rPr>
              <w:t>in further study after training</w:t>
            </w:r>
          </w:p>
        </w:tc>
        <w:tc>
          <w:tcPr>
            <w:tcW w:w="637" w:type="pct"/>
            <w:gridSpan w:val="2"/>
            <w:tcBorders>
              <w:top w:val="nil"/>
              <w:left w:val="nil"/>
              <w:bottom w:val="single" w:sz="8" w:space="0" w:color="auto"/>
              <w:right w:val="nil"/>
            </w:tcBorders>
            <w:shd w:val="clear" w:color="auto" w:fill="auto"/>
            <w:noWrap/>
            <w:vAlign w:val="center"/>
            <w:hideMark/>
          </w:tcPr>
          <w:p w:rsidR="00D96570" w:rsidRPr="002177D2" w:rsidRDefault="00D96570" w:rsidP="00535373">
            <w:pPr>
              <w:pStyle w:val="Tabletext"/>
              <w:jc w:val="center"/>
              <w:rPr>
                <w:color w:val="000000" w:themeColor="text1"/>
                <w:lang w:eastAsia="en-AU"/>
              </w:rPr>
            </w:pPr>
            <w:r w:rsidRPr="002177D2">
              <w:rPr>
                <w:color w:val="000000" w:themeColor="text1"/>
                <w:lang w:eastAsia="en-AU"/>
              </w:rPr>
              <w:t>.145**</w:t>
            </w:r>
          </w:p>
        </w:tc>
        <w:tc>
          <w:tcPr>
            <w:tcW w:w="638" w:type="pct"/>
            <w:tcBorders>
              <w:top w:val="nil"/>
              <w:left w:val="nil"/>
              <w:bottom w:val="single" w:sz="8" w:space="0" w:color="auto"/>
              <w:right w:val="nil"/>
            </w:tcBorders>
            <w:shd w:val="clear" w:color="auto" w:fill="auto"/>
            <w:noWrap/>
            <w:vAlign w:val="center"/>
            <w:hideMark/>
          </w:tcPr>
          <w:p w:rsidR="00D96570" w:rsidRPr="002177D2" w:rsidRDefault="00D96570" w:rsidP="00535373">
            <w:pPr>
              <w:pStyle w:val="Tabletext"/>
              <w:jc w:val="center"/>
              <w:rPr>
                <w:color w:val="000000" w:themeColor="text1"/>
                <w:lang w:eastAsia="en-AU"/>
              </w:rPr>
            </w:pPr>
            <w:r w:rsidRPr="002177D2">
              <w:rPr>
                <w:color w:val="000000" w:themeColor="text1"/>
                <w:lang w:eastAsia="en-AU"/>
              </w:rPr>
              <w:t>0.101</w:t>
            </w:r>
          </w:p>
        </w:tc>
        <w:tc>
          <w:tcPr>
            <w:tcW w:w="638" w:type="pct"/>
            <w:tcBorders>
              <w:top w:val="nil"/>
              <w:left w:val="nil"/>
              <w:bottom w:val="single" w:sz="8" w:space="0" w:color="auto"/>
              <w:right w:val="nil"/>
            </w:tcBorders>
            <w:shd w:val="clear" w:color="auto" w:fill="auto"/>
            <w:noWrap/>
            <w:vAlign w:val="center"/>
            <w:hideMark/>
          </w:tcPr>
          <w:p w:rsidR="00D96570" w:rsidRPr="002177D2" w:rsidRDefault="00D96570" w:rsidP="00535373">
            <w:pPr>
              <w:pStyle w:val="Tabletext"/>
              <w:jc w:val="center"/>
              <w:rPr>
                <w:color w:val="000000" w:themeColor="text1"/>
                <w:lang w:eastAsia="en-AU"/>
              </w:rPr>
            </w:pPr>
            <w:r w:rsidRPr="002177D2">
              <w:rPr>
                <w:color w:val="000000" w:themeColor="text1"/>
                <w:lang w:eastAsia="en-AU"/>
              </w:rPr>
              <w:t>0.106</w:t>
            </w:r>
          </w:p>
        </w:tc>
        <w:tc>
          <w:tcPr>
            <w:tcW w:w="638" w:type="pct"/>
            <w:tcBorders>
              <w:top w:val="nil"/>
              <w:left w:val="nil"/>
              <w:bottom w:val="single" w:sz="8" w:space="0" w:color="auto"/>
              <w:right w:val="nil"/>
            </w:tcBorders>
            <w:shd w:val="clear" w:color="auto" w:fill="auto"/>
            <w:noWrap/>
            <w:vAlign w:val="center"/>
            <w:hideMark/>
          </w:tcPr>
          <w:p w:rsidR="00D96570" w:rsidRPr="002177D2" w:rsidRDefault="00D96570" w:rsidP="00535373">
            <w:pPr>
              <w:pStyle w:val="Tabletext"/>
              <w:jc w:val="center"/>
              <w:rPr>
                <w:color w:val="000000" w:themeColor="text1"/>
                <w:lang w:eastAsia="en-AU"/>
              </w:rPr>
            </w:pPr>
            <w:r w:rsidRPr="002177D2">
              <w:rPr>
                <w:color w:val="000000" w:themeColor="text1"/>
                <w:lang w:eastAsia="en-AU"/>
              </w:rPr>
              <w:t>0.081</w:t>
            </w:r>
          </w:p>
        </w:tc>
        <w:tc>
          <w:tcPr>
            <w:tcW w:w="638" w:type="pct"/>
            <w:tcBorders>
              <w:top w:val="nil"/>
              <w:left w:val="nil"/>
              <w:bottom w:val="single" w:sz="8" w:space="0" w:color="auto"/>
              <w:right w:val="nil"/>
            </w:tcBorders>
            <w:shd w:val="clear" w:color="auto" w:fill="auto"/>
            <w:noWrap/>
            <w:vAlign w:val="center"/>
            <w:hideMark/>
          </w:tcPr>
          <w:p w:rsidR="00D96570" w:rsidRPr="002177D2" w:rsidRDefault="00D96570" w:rsidP="00535373">
            <w:pPr>
              <w:pStyle w:val="Tabletext"/>
              <w:jc w:val="center"/>
              <w:rPr>
                <w:color w:val="000000" w:themeColor="text1"/>
                <w:lang w:eastAsia="en-AU"/>
              </w:rPr>
            </w:pPr>
            <w:r w:rsidRPr="002177D2">
              <w:rPr>
                <w:color w:val="000000" w:themeColor="text1"/>
                <w:lang w:eastAsia="en-AU"/>
              </w:rPr>
              <w:t>-0.006</w:t>
            </w:r>
          </w:p>
        </w:tc>
      </w:tr>
    </w:tbl>
    <w:p w:rsidR="00D96570" w:rsidRPr="00D96570" w:rsidRDefault="00D96570" w:rsidP="00D96570">
      <w:pPr>
        <w:pStyle w:val="Source"/>
      </w:pPr>
      <w:r w:rsidRPr="00D96570">
        <w:t>**</w:t>
      </w:r>
      <w:r w:rsidRPr="00D96570">
        <w:tab/>
        <w:t>Correlation is significant at the 0.01 level (2-tailed)</w:t>
      </w:r>
    </w:p>
    <w:p w:rsidR="00D96570" w:rsidRPr="00D96570" w:rsidRDefault="00D96570" w:rsidP="00D96570">
      <w:pPr>
        <w:pStyle w:val="Source"/>
      </w:pPr>
      <w:r w:rsidRPr="00D96570">
        <w:t>*</w:t>
      </w:r>
      <w:r w:rsidRPr="00D96570">
        <w:tab/>
        <w:t>Correlation is significant at the 0.05 level (2-tailed)</w:t>
      </w:r>
    </w:p>
    <w:p w:rsidR="00D96570" w:rsidRPr="00D96570" w:rsidRDefault="00D96570" w:rsidP="00D96570">
      <w:pPr>
        <w:pStyle w:val="Source"/>
      </w:pPr>
      <w:r w:rsidRPr="00D96570">
        <w:t xml:space="preserve">Source: </w:t>
      </w:r>
      <w:r w:rsidRPr="00D96570">
        <w:tab/>
        <w:t>Authors’ calculations from the Government-funded Student Outcomes Survey, weighted, 2015 and VET Provider Collection 2014</w:t>
      </w:r>
    </w:p>
    <w:p w:rsidR="00EB1969" w:rsidRDefault="00D96570" w:rsidP="002D5A50">
      <w:pPr>
        <w:pStyle w:val="Text"/>
      </w:pPr>
      <w:r w:rsidRPr="00D96570">
        <w:t xml:space="preserve">It is also worth examining, at a regional level, correlations between the VET profile of a region and graduates’ reports on their training experiences and their further study and post-training labour </w:t>
      </w:r>
      <w:r w:rsidRPr="00D96570">
        <w:lastRenderedPageBreak/>
        <w:t xml:space="preserve">market outcomes.  These are given in Table 5.  These results suggest that regions with a greater share of students enrolled in TAFEs or </w:t>
      </w:r>
      <w:r w:rsidR="009B52F5">
        <w:t xml:space="preserve">universities, and to a lesser </w:t>
      </w:r>
      <w:r w:rsidRPr="00D96570">
        <w:t xml:space="preserve">extent community providers, are more likely to have graduates strongly agreeing that they were satisfied with the overall quality of their training, had achieved (in full or part) their main reason for training and following training report improved employment circumstances and in particular be more likely to be in study or work.  The converse is true for regions with higher shares of students enrolled in private providers.  Regions with higher shares of students in basic VET are more likely to report graduates achieving or partially achieving their main reason for training.  They are also positively associated with graduates reporting being in work or further education, perhaps building on their basic level VET course.  Regions with higher rates of employment-based training correspond with regions where graduates are more likely to report satisfaction with skills and learning experiences and to express greater satisfaction with teaching.  </w:t>
      </w:r>
    </w:p>
    <w:p w:rsidR="00D96570" w:rsidRDefault="00D96570" w:rsidP="00D96570">
      <w:pPr>
        <w:pStyle w:val="tabletitle"/>
      </w:pPr>
      <w:bookmarkStart w:id="37" w:name="_Toc498936233"/>
      <w:r>
        <w:t xml:space="preserve">Table </w:t>
      </w:r>
      <w:r>
        <w:fldChar w:fldCharType="begin"/>
      </w:r>
      <w:r>
        <w:instrText xml:space="preserve"> SEQ Table \* ARABIC </w:instrText>
      </w:r>
      <w:r>
        <w:fldChar w:fldCharType="separate"/>
      </w:r>
      <w:r w:rsidR="00BF3209">
        <w:rPr>
          <w:noProof/>
        </w:rPr>
        <w:t>5</w:t>
      </w:r>
      <w:r>
        <w:fldChar w:fldCharType="end"/>
      </w:r>
      <w:r w:rsidRPr="004540E9">
        <w:t xml:space="preserve"> </w:t>
      </w:r>
      <w:r w:rsidRPr="004540E9">
        <w:tab/>
        <w:t xml:space="preserve">Correlations </w:t>
      </w:r>
      <w:r>
        <w:t xml:space="preserve">between regional VET profiles and </w:t>
      </w:r>
      <w:r w:rsidRPr="004540E9">
        <w:t xml:space="preserve">regional post-training views of quality of </w:t>
      </w:r>
      <w:r>
        <w:t xml:space="preserve">graduates’ </w:t>
      </w:r>
      <w:r w:rsidRPr="004540E9">
        <w:t>experience</w:t>
      </w:r>
      <w:r>
        <w:t>s</w:t>
      </w:r>
      <w:r w:rsidRPr="004540E9">
        <w:t xml:space="preserve"> and post-training transition</w:t>
      </w:r>
      <w:bookmarkEnd w:id="37"/>
    </w:p>
    <w:tbl>
      <w:tblPr>
        <w:tblW w:w="9606" w:type="dxa"/>
        <w:tblLayout w:type="fixed"/>
        <w:tblLook w:val="04A0" w:firstRow="1" w:lastRow="0" w:firstColumn="1" w:lastColumn="0" w:noHBand="0" w:noVBand="1"/>
      </w:tblPr>
      <w:tblGrid>
        <w:gridCol w:w="1843"/>
        <w:gridCol w:w="1134"/>
        <w:gridCol w:w="1242"/>
        <w:gridCol w:w="1134"/>
        <w:gridCol w:w="992"/>
        <w:gridCol w:w="993"/>
        <w:gridCol w:w="1275"/>
        <w:gridCol w:w="993"/>
      </w:tblGrid>
      <w:tr w:rsidR="00B91E46" w:rsidRPr="00535373" w:rsidTr="004574C7">
        <w:trPr>
          <w:trHeight w:val="300"/>
        </w:trPr>
        <w:tc>
          <w:tcPr>
            <w:tcW w:w="1843" w:type="dxa"/>
            <w:tcBorders>
              <w:top w:val="single" w:sz="4" w:space="0" w:color="auto"/>
              <w:left w:val="nil"/>
              <w:right w:val="nil"/>
            </w:tcBorders>
            <w:shd w:val="clear" w:color="auto" w:fill="auto"/>
            <w:noWrap/>
            <w:vAlign w:val="bottom"/>
          </w:tcPr>
          <w:p w:rsidR="00B91E46" w:rsidRPr="00535373" w:rsidRDefault="00B91E46" w:rsidP="00C1499B">
            <w:pPr>
              <w:spacing w:before="0" w:line="240" w:lineRule="auto"/>
              <w:rPr>
                <w:rFonts w:ascii="Arial" w:hAnsi="Arial" w:cs="Arial"/>
                <w:sz w:val="16"/>
                <w:szCs w:val="16"/>
                <w:lang w:eastAsia="en-AU"/>
              </w:rPr>
            </w:pPr>
          </w:p>
        </w:tc>
        <w:tc>
          <w:tcPr>
            <w:tcW w:w="7763" w:type="dxa"/>
            <w:gridSpan w:val="7"/>
            <w:tcBorders>
              <w:top w:val="single" w:sz="4" w:space="0" w:color="auto"/>
              <w:left w:val="nil"/>
              <w:right w:val="nil"/>
            </w:tcBorders>
            <w:shd w:val="clear" w:color="auto" w:fill="auto"/>
            <w:noWrap/>
            <w:vAlign w:val="center"/>
          </w:tcPr>
          <w:p w:rsidR="00B91E46" w:rsidRPr="00B91E46" w:rsidRDefault="00B91E46" w:rsidP="004574C7">
            <w:pPr>
              <w:pStyle w:val="Tablehead1"/>
              <w:jc w:val="center"/>
              <w:rPr>
                <w:lang w:eastAsia="en-AU"/>
              </w:rPr>
            </w:pPr>
            <w:r w:rsidRPr="00B91E46">
              <w:rPr>
                <w:lang w:eastAsia="en-AU"/>
              </w:rPr>
              <w:t>Graduate views on course</w:t>
            </w:r>
          </w:p>
        </w:tc>
      </w:tr>
      <w:tr w:rsidR="00B91E46" w:rsidRPr="00535373" w:rsidTr="004574C7">
        <w:trPr>
          <w:trHeight w:val="300"/>
        </w:trPr>
        <w:tc>
          <w:tcPr>
            <w:tcW w:w="1843" w:type="dxa"/>
            <w:tcBorders>
              <w:left w:val="nil"/>
              <w:bottom w:val="single" w:sz="4" w:space="0" w:color="auto"/>
              <w:right w:val="nil"/>
            </w:tcBorders>
            <w:shd w:val="clear" w:color="auto" w:fill="auto"/>
            <w:noWrap/>
            <w:vAlign w:val="bottom"/>
            <w:hideMark/>
          </w:tcPr>
          <w:p w:rsidR="00B91E46" w:rsidRPr="00535373" w:rsidRDefault="00B91E46" w:rsidP="00C1499B">
            <w:pPr>
              <w:spacing w:before="0" w:line="240" w:lineRule="auto"/>
              <w:rPr>
                <w:rFonts w:ascii="Arial" w:hAnsi="Arial" w:cs="Arial"/>
                <w:sz w:val="16"/>
                <w:szCs w:val="16"/>
                <w:lang w:eastAsia="en-AU"/>
              </w:rPr>
            </w:pPr>
          </w:p>
        </w:tc>
        <w:tc>
          <w:tcPr>
            <w:tcW w:w="1134" w:type="dxa"/>
            <w:tcBorders>
              <w:left w:val="nil"/>
              <w:bottom w:val="single" w:sz="4" w:space="0" w:color="auto"/>
              <w:right w:val="nil"/>
            </w:tcBorders>
            <w:shd w:val="clear" w:color="auto" w:fill="auto"/>
            <w:noWrap/>
            <w:vAlign w:val="bottom"/>
            <w:hideMark/>
          </w:tcPr>
          <w:p w:rsidR="00B91E46" w:rsidRDefault="00B91E46" w:rsidP="004574C7">
            <w:pPr>
              <w:pStyle w:val="Tablehead2"/>
              <w:rPr>
                <w:lang w:eastAsia="en-AU"/>
              </w:rPr>
            </w:pPr>
            <w:r>
              <w:rPr>
                <w:lang w:eastAsia="en-AU"/>
              </w:rPr>
              <w:t>%</w:t>
            </w:r>
          </w:p>
          <w:p w:rsidR="00B91E46" w:rsidRPr="00535373" w:rsidRDefault="00B91E46" w:rsidP="004574C7">
            <w:pPr>
              <w:pStyle w:val="Tablehead2"/>
              <w:rPr>
                <w:lang w:eastAsia="en-AU"/>
              </w:rPr>
            </w:pPr>
            <w:r>
              <w:rPr>
                <w:lang w:eastAsia="en-AU"/>
              </w:rPr>
              <w:t>strongly agreeing</w:t>
            </w:r>
            <w:r w:rsidRPr="00535373">
              <w:rPr>
                <w:lang w:eastAsia="en-AU"/>
              </w:rPr>
              <w:t xml:space="preserve"> they were satisfied with the </w:t>
            </w:r>
            <w:r>
              <w:rPr>
                <w:lang w:eastAsia="en-AU"/>
              </w:rPr>
              <w:t>quality of the training overall</w:t>
            </w:r>
          </w:p>
        </w:tc>
        <w:tc>
          <w:tcPr>
            <w:tcW w:w="1242" w:type="dxa"/>
            <w:tcBorders>
              <w:left w:val="nil"/>
              <w:bottom w:val="single" w:sz="4" w:space="0" w:color="auto"/>
              <w:right w:val="nil"/>
            </w:tcBorders>
            <w:shd w:val="clear" w:color="auto" w:fill="auto"/>
            <w:noWrap/>
            <w:vAlign w:val="bottom"/>
            <w:hideMark/>
          </w:tcPr>
          <w:p w:rsidR="00B91E46" w:rsidRDefault="00B91E46" w:rsidP="004574C7">
            <w:pPr>
              <w:pStyle w:val="Tablehead2"/>
              <w:rPr>
                <w:lang w:eastAsia="en-AU"/>
              </w:rPr>
            </w:pPr>
            <w:r w:rsidRPr="00535373">
              <w:rPr>
                <w:lang w:eastAsia="en-AU"/>
              </w:rPr>
              <w:t>%</w:t>
            </w:r>
          </w:p>
          <w:p w:rsidR="00B91E46" w:rsidRPr="00535373" w:rsidRDefault="00B91E46" w:rsidP="004574C7">
            <w:pPr>
              <w:pStyle w:val="Tablehead2"/>
              <w:rPr>
                <w:lang w:eastAsia="en-AU"/>
              </w:rPr>
            </w:pPr>
            <w:r>
              <w:rPr>
                <w:lang w:eastAsia="en-AU"/>
              </w:rPr>
              <w:t>satisfied    with assessment</w:t>
            </w:r>
          </w:p>
        </w:tc>
        <w:tc>
          <w:tcPr>
            <w:tcW w:w="1134" w:type="dxa"/>
            <w:tcBorders>
              <w:left w:val="nil"/>
              <w:bottom w:val="single" w:sz="4" w:space="0" w:color="auto"/>
              <w:right w:val="nil"/>
            </w:tcBorders>
            <w:shd w:val="clear" w:color="auto" w:fill="auto"/>
            <w:noWrap/>
            <w:vAlign w:val="bottom"/>
            <w:hideMark/>
          </w:tcPr>
          <w:p w:rsidR="00B91E46" w:rsidRDefault="00B91E46" w:rsidP="004574C7">
            <w:pPr>
              <w:pStyle w:val="Tablehead2"/>
              <w:rPr>
                <w:lang w:eastAsia="en-AU"/>
              </w:rPr>
            </w:pPr>
            <w:r w:rsidRPr="00535373">
              <w:rPr>
                <w:lang w:eastAsia="en-AU"/>
              </w:rPr>
              <w:t>%</w:t>
            </w:r>
          </w:p>
          <w:p w:rsidR="00B91E46" w:rsidRPr="00535373" w:rsidRDefault="00B91E46" w:rsidP="004574C7">
            <w:pPr>
              <w:pStyle w:val="Tablehead2"/>
              <w:rPr>
                <w:lang w:eastAsia="en-AU"/>
              </w:rPr>
            </w:pPr>
            <w:r w:rsidRPr="00535373">
              <w:rPr>
                <w:lang w:eastAsia="en-AU"/>
              </w:rPr>
              <w:t xml:space="preserve">satisfied with their obtained generic </w:t>
            </w:r>
            <w:r>
              <w:rPr>
                <w:lang w:eastAsia="en-AU"/>
              </w:rPr>
              <w:t>skills and learning experiences</w:t>
            </w:r>
          </w:p>
        </w:tc>
        <w:tc>
          <w:tcPr>
            <w:tcW w:w="992" w:type="dxa"/>
            <w:tcBorders>
              <w:left w:val="nil"/>
              <w:bottom w:val="single" w:sz="4" w:space="0" w:color="auto"/>
              <w:right w:val="nil"/>
            </w:tcBorders>
            <w:shd w:val="clear" w:color="auto" w:fill="auto"/>
            <w:noWrap/>
            <w:vAlign w:val="bottom"/>
            <w:hideMark/>
          </w:tcPr>
          <w:p w:rsidR="00B91E46" w:rsidRPr="00535373" w:rsidRDefault="00B91E46" w:rsidP="004574C7">
            <w:pPr>
              <w:pStyle w:val="Tablehead2"/>
              <w:rPr>
                <w:lang w:eastAsia="en-AU"/>
              </w:rPr>
            </w:pPr>
            <w:r>
              <w:rPr>
                <w:lang w:eastAsia="en-AU"/>
              </w:rPr>
              <w:t>% satisfied with the teaching</w:t>
            </w:r>
          </w:p>
        </w:tc>
        <w:tc>
          <w:tcPr>
            <w:tcW w:w="993" w:type="dxa"/>
            <w:tcBorders>
              <w:left w:val="nil"/>
              <w:bottom w:val="single" w:sz="4" w:space="0" w:color="auto"/>
              <w:right w:val="nil"/>
            </w:tcBorders>
            <w:shd w:val="clear" w:color="auto" w:fill="auto"/>
            <w:noWrap/>
            <w:vAlign w:val="bottom"/>
            <w:hideMark/>
          </w:tcPr>
          <w:p w:rsidR="00B91E46" w:rsidRPr="00535373" w:rsidRDefault="00B91E46" w:rsidP="004574C7">
            <w:pPr>
              <w:pStyle w:val="Tablehead2"/>
              <w:rPr>
                <w:lang w:eastAsia="en-AU"/>
              </w:rPr>
            </w:pPr>
            <w:r>
              <w:rPr>
                <w:lang w:eastAsia="en-AU"/>
              </w:rPr>
              <w:t>%</w:t>
            </w:r>
            <w:r w:rsidRPr="00535373">
              <w:rPr>
                <w:lang w:eastAsia="en-AU"/>
              </w:rPr>
              <w:t xml:space="preserve"> achieved or partially achieved</w:t>
            </w:r>
            <w:r>
              <w:rPr>
                <w:lang w:eastAsia="en-AU"/>
              </w:rPr>
              <w:t xml:space="preserve"> their main reason for training</w:t>
            </w:r>
          </w:p>
        </w:tc>
        <w:tc>
          <w:tcPr>
            <w:tcW w:w="1275" w:type="dxa"/>
            <w:tcBorders>
              <w:left w:val="nil"/>
              <w:bottom w:val="single" w:sz="4" w:space="0" w:color="auto"/>
              <w:right w:val="nil"/>
            </w:tcBorders>
            <w:shd w:val="clear" w:color="auto" w:fill="auto"/>
            <w:noWrap/>
            <w:vAlign w:val="bottom"/>
            <w:hideMark/>
          </w:tcPr>
          <w:p w:rsidR="00B91E46" w:rsidRDefault="00B91E46" w:rsidP="004574C7">
            <w:pPr>
              <w:pStyle w:val="Tablehead2"/>
              <w:rPr>
                <w:lang w:eastAsia="en-AU"/>
              </w:rPr>
            </w:pPr>
            <w:r w:rsidRPr="00535373">
              <w:rPr>
                <w:lang w:eastAsia="en-AU"/>
              </w:rPr>
              <w:t>%</w:t>
            </w:r>
          </w:p>
          <w:p w:rsidR="00B91E46" w:rsidRPr="00535373" w:rsidRDefault="00B91E46" w:rsidP="004574C7">
            <w:pPr>
              <w:pStyle w:val="Tablehead2"/>
              <w:rPr>
                <w:lang w:eastAsia="en-AU"/>
              </w:rPr>
            </w:pPr>
            <w:r w:rsidRPr="00535373">
              <w:rPr>
                <w:lang w:eastAsia="en-AU"/>
              </w:rPr>
              <w:t>reporting improved employment c</w:t>
            </w:r>
            <w:r>
              <w:rPr>
                <w:lang w:eastAsia="en-AU"/>
              </w:rPr>
              <w:t>ircumstances following training</w:t>
            </w:r>
          </w:p>
        </w:tc>
        <w:tc>
          <w:tcPr>
            <w:tcW w:w="993" w:type="dxa"/>
            <w:tcBorders>
              <w:left w:val="nil"/>
              <w:bottom w:val="single" w:sz="4" w:space="0" w:color="auto"/>
              <w:right w:val="nil"/>
            </w:tcBorders>
            <w:shd w:val="clear" w:color="auto" w:fill="auto"/>
            <w:noWrap/>
            <w:vAlign w:val="bottom"/>
            <w:hideMark/>
          </w:tcPr>
          <w:p w:rsidR="00B91E46" w:rsidRPr="00535373" w:rsidRDefault="00B91E46" w:rsidP="004574C7">
            <w:pPr>
              <w:pStyle w:val="Tablehead2"/>
              <w:rPr>
                <w:lang w:eastAsia="en-AU"/>
              </w:rPr>
            </w:pPr>
            <w:r w:rsidRPr="00535373">
              <w:rPr>
                <w:lang w:eastAsia="en-AU"/>
              </w:rPr>
              <w:t xml:space="preserve">% employed or </w:t>
            </w:r>
            <w:r>
              <w:rPr>
                <w:lang w:eastAsia="en-AU"/>
              </w:rPr>
              <w:t>in further study after training</w:t>
            </w:r>
          </w:p>
        </w:tc>
      </w:tr>
      <w:tr w:rsidR="00B91E46" w:rsidRPr="00535373" w:rsidTr="004574C7">
        <w:trPr>
          <w:trHeight w:val="300"/>
        </w:trPr>
        <w:tc>
          <w:tcPr>
            <w:tcW w:w="1843" w:type="dxa"/>
            <w:tcBorders>
              <w:top w:val="single" w:sz="4" w:space="0" w:color="auto"/>
              <w:left w:val="nil"/>
              <w:bottom w:val="nil"/>
              <w:right w:val="nil"/>
            </w:tcBorders>
            <w:shd w:val="clear" w:color="auto" w:fill="auto"/>
            <w:noWrap/>
            <w:vAlign w:val="bottom"/>
          </w:tcPr>
          <w:p w:rsidR="00B91E46" w:rsidRPr="004574C7" w:rsidRDefault="00B91E46" w:rsidP="004574C7">
            <w:pPr>
              <w:pStyle w:val="Tabletext"/>
              <w:rPr>
                <w:b/>
                <w:lang w:eastAsia="en-AU"/>
              </w:rPr>
            </w:pPr>
            <w:r w:rsidRPr="004574C7">
              <w:rPr>
                <w:b/>
                <w:lang w:eastAsia="en-AU"/>
              </w:rPr>
              <w:t>Provider type</w:t>
            </w:r>
          </w:p>
        </w:tc>
        <w:tc>
          <w:tcPr>
            <w:tcW w:w="1134" w:type="dxa"/>
            <w:tcBorders>
              <w:top w:val="single" w:sz="4" w:space="0" w:color="auto"/>
              <w:left w:val="nil"/>
              <w:bottom w:val="nil"/>
              <w:right w:val="nil"/>
            </w:tcBorders>
            <w:shd w:val="clear" w:color="auto" w:fill="auto"/>
            <w:noWrap/>
            <w:vAlign w:val="bottom"/>
          </w:tcPr>
          <w:p w:rsidR="00B91E46" w:rsidRPr="00535373" w:rsidRDefault="00B91E46" w:rsidP="004574C7">
            <w:pPr>
              <w:pStyle w:val="Tabletext"/>
              <w:rPr>
                <w:lang w:eastAsia="en-AU"/>
              </w:rPr>
            </w:pPr>
          </w:p>
        </w:tc>
        <w:tc>
          <w:tcPr>
            <w:tcW w:w="1242" w:type="dxa"/>
            <w:tcBorders>
              <w:top w:val="single" w:sz="4" w:space="0" w:color="auto"/>
              <w:left w:val="nil"/>
              <w:bottom w:val="nil"/>
              <w:right w:val="nil"/>
            </w:tcBorders>
            <w:shd w:val="clear" w:color="auto" w:fill="auto"/>
            <w:noWrap/>
            <w:vAlign w:val="bottom"/>
          </w:tcPr>
          <w:p w:rsidR="00B91E46" w:rsidRPr="00535373" w:rsidRDefault="00B91E46" w:rsidP="004574C7">
            <w:pPr>
              <w:pStyle w:val="Tabletext"/>
              <w:rPr>
                <w:lang w:eastAsia="en-AU"/>
              </w:rPr>
            </w:pPr>
          </w:p>
        </w:tc>
        <w:tc>
          <w:tcPr>
            <w:tcW w:w="1134" w:type="dxa"/>
            <w:tcBorders>
              <w:top w:val="single" w:sz="4" w:space="0" w:color="auto"/>
              <w:left w:val="nil"/>
              <w:bottom w:val="nil"/>
              <w:right w:val="nil"/>
            </w:tcBorders>
            <w:shd w:val="clear" w:color="auto" w:fill="auto"/>
            <w:noWrap/>
            <w:vAlign w:val="bottom"/>
          </w:tcPr>
          <w:p w:rsidR="00B91E46" w:rsidRPr="00535373" w:rsidRDefault="00B91E46" w:rsidP="004574C7">
            <w:pPr>
              <w:pStyle w:val="Tabletext"/>
              <w:rPr>
                <w:lang w:eastAsia="en-AU"/>
              </w:rPr>
            </w:pPr>
          </w:p>
        </w:tc>
        <w:tc>
          <w:tcPr>
            <w:tcW w:w="992" w:type="dxa"/>
            <w:tcBorders>
              <w:top w:val="single" w:sz="4" w:space="0" w:color="auto"/>
              <w:left w:val="nil"/>
              <w:bottom w:val="nil"/>
              <w:right w:val="nil"/>
            </w:tcBorders>
            <w:shd w:val="clear" w:color="auto" w:fill="auto"/>
            <w:noWrap/>
            <w:vAlign w:val="bottom"/>
          </w:tcPr>
          <w:p w:rsidR="00B91E46" w:rsidRPr="00535373" w:rsidRDefault="00B91E46" w:rsidP="004574C7">
            <w:pPr>
              <w:pStyle w:val="Tabletext"/>
              <w:rPr>
                <w:lang w:eastAsia="en-AU"/>
              </w:rPr>
            </w:pPr>
          </w:p>
        </w:tc>
        <w:tc>
          <w:tcPr>
            <w:tcW w:w="993" w:type="dxa"/>
            <w:tcBorders>
              <w:top w:val="single" w:sz="4" w:space="0" w:color="auto"/>
              <w:left w:val="nil"/>
              <w:bottom w:val="nil"/>
              <w:right w:val="nil"/>
            </w:tcBorders>
            <w:shd w:val="clear" w:color="auto" w:fill="auto"/>
            <w:noWrap/>
            <w:vAlign w:val="bottom"/>
          </w:tcPr>
          <w:p w:rsidR="00B91E46" w:rsidRPr="00535373" w:rsidRDefault="00B91E46" w:rsidP="004574C7">
            <w:pPr>
              <w:pStyle w:val="Tabletext"/>
              <w:rPr>
                <w:lang w:eastAsia="en-AU"/>
              </w:rPr>
            </w:pPr>
          </w:p>
        </w:tc>
        <w:tc>
          <w:tcPr>
            <w:tcW w:w="1275" w:type="dxa"/>
            <w:tcBorders>
              <w:top w:val="single" w:sz="4" w:space="0" w:color="auto"/>
              <w:left w:val="nil"/>
              <w:bottom w:val="nil"/>
              <w:right w:val="nil"/>
            </w:tcBorders>
            <w:shd w:val="clear" w:color="auto" w:fill="auto"/>
            <w:noWrap/>
            <w:vAlign w:val="bottom"/>
          </w:tcPr>
          <w:p w:rsidR="00B91E46" w:rsidRPr="00535373" w:rsidRDefault="00B91E46" w:rsidP="004574C7">
            <w:pPr>
              <w:pStyle w:val="Tabletext"/>
              <w:rPr>
                <w:lang w:eastAsia="en-AU"/>
              </w:rPr>
            </w:pPr>
          </w:p>
        </w:tc>
        <w:tc>
          <w:tcPr>
            <w:tcW w:w="993" w:type="dxa"/>
            <w:tcBorders>
              <w:top w:val="single" w:sz="4" w:space="0" w:color="auto"/>
              <w:left w:val="nil"/>
              <w:bottom w:val="nil"/>
              <w:right w:val="nil"/>
            </w:tcBorders>
            <w:shd w:val="clear" w:color="auto" w:fill="auto"/>
            <w:noWrap/>
            <w:vAlign w:val="bottom"/>
          </w:tcPr>
          <w:p w:rsidR="00B91E46" w:rsidRPr="00535373" w:rsidRDefault="00B91E46" w:rsidP="004574C7">
            <w:pPr>
              <w:pStyle w:val="Tabletext"/>
              <w:rPr>
                <w:lang w:eastAsia="en-AU"/>
              </w:rPr>
            </w:pPr>
          </w:p>
        </w:tc>
      </w:tr>
      <w:tr w:rsidR="00B91E46" w:rsidRPr="00535373" w:rsidTr="004574C7">
        <w:trPr>
          <w:trHeight w:val="300"/>
        </w:trPr>
        <w:tc>
          <w:tcPr>
            <w:tcW w:w="1843"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 TAFE/University</w:t>
            </w:r>
          </w:p>
        </w:tc>
        <w:tc>
          <w:tcPr>
            <w:tcW w:w="1134"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.238**</w:t>
            </w:r>
          </w:p>
        </w:tc>
        <w:tc>
          <w:tcPr>
            <w:tcW w:w="1242"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0.046</w:t>
            </w:r>
          </w:p>
        </w:tc>
        <w:tc>
          <w:tcPr>
            <w:tcW w:w="1134"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0.085</w:t>
            </w:r>
          </w:p>
        </w:tc>
        <w:tc>
          <w:tcPr>
            <w:tcW w:w="992"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0.028</w:t>
            </w:r>
          </w:p>
        </w:tc>
        <w:tc>
          <w:tcPr>
            <w:tcW w:w="993"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.332**</w:t>
            </w:r>
          </w:p>
        </w:tc>
        <w:tc>
          <w:tcPr>
            <w:tcW w:w="1275"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.193**</w:t>
            </w:r>
          </w:p>
        </w:tc>
        <w:tc>
          <w:tcPr>
            <w:tcW w:w="993"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.303**</w:t>
            </w:r>
          </w:p>
        </w:tc>
      </w:tr>
      <w:tr w:rsidR="00B91E46" w:rsidRPr="00535373" w:rsidTr="004574C7">
        <w:trPr>
          <w:trHeight w:val="300"/>
        </w:trPr>
        <w:tc>
          <w:tcPr>
            <w:tcW w:w="1843"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 Community</w:t>
            </w:r>
          </w:p>
        </w:tc>
        <w:tc>
          <w:tcPr>
            <w:tcW w:w="1134"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.164**</w:t>
            </w:r>
          </w:p>
        </w:tc>
        <w:tc>
          <w:tcPr>
            <w:tcW w:w="1242"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0.102</w:t>
            </w:r>
          </w:p>
        </w:tc>
        <w:tc>
          <w:tcPr>
            <w:tcW w:w="1134"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.154**</w:t>
            </w:r>
          </w:p>
        </w:tc>
        <w:tc>
          <w:tcPr>
            <w:tcW w:w="992"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.113*</w:t>
            </w:r>
          </w:p>
        </w:tc>
        <w:tc>
          <w:tcPr>
            <w:tcW w:w="993"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.125*</w:t>
            </w:r>
          </w:p>
        </w:tc>
        <w:tc>
          <w:tcPr>
            <w:tcW w:w="1275"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0.004</w:t>
            </w:r>
          </w:p>
        </w:tc>
        <w:tc>
          <w:tcPr>
            <w:tcW w:w="993"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0.044</w:t>
            </w:r>
          </w:p>
        </w:tc>
      </w:tr>
      <w:tr w:rsidR="00B91E46" w:rsidRPr="00535373" w:rsidTr="004574C7">
        <w:trPr>
          <w:trHeight w:val="300"/>
        </w:trPr>
        <w:tc>
          <w:tcPr>
            <w:tcW w:w="1843"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 Private</w:t>
            </w:r>
          </w:p>
        </w:tc>
        <w:tc>
          <w:tcPr>
            <w:tcW w:w="1134"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-.264**</w:t>
            </w:r>
          </w:p>
        </w:tc>
        <w:tc>
          <w:tcPr>
            <w:tcW w:w="1242"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-0.088</w:t>
            </w:r>
          </w:p>
        </w:tc>
        <w:tc>
          <w:tcPr>
            <w:tcW w:w="1134"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-.126*</w:t>
            </w:r>
          </w:p>
        </w:tc>
        <w:tc>
          <w:tcPr>
            <w:tcW w:w="992"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-0.064</w:t>
            </w:r>
          </w:p>
        </w:tc>
        <w:tc>
          <w:tcPr>
            <w:tcW w:w="993"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-.366**</w:t>
            </w:r>
          </w:p>
        </w:tc>
        <w:tc>
          <w:tcPr>
            <w:tcW w:w="1275"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-.187**</w:t>
            </w:r>
          </w:p>
        </w:tc>
        <w:tc>
          <w:tcPr>
            <w:tcW w:w="993"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-.314**</w:t>
            </w:r>
          </w:p>
        </w:tc>
      </w:tr>
      <w:tr w:rsidR="00B91E46" w:rsidRPr="00535373" w:rsidTr="004574C7">
        <w:trPr>
          <w:trHeight w:val="300"/>
        </w:trPr>
        <w:tc>
          <w:tcPr>
            <w:tcW w:w="1843" w:type="dxa"/>
            <w:tcBorders>
              <w:top w:val="nil"/>
              <w:left w:val="nil"/>
              <w:bottom w:val="nil"/>
              <w:right w:val="nil"/>
            </w:tcBorders>
            <w:shd w:val="clear" w:color="auto" w:fill="auto"/>
            <w:noWrap/>
            <w:vAlign w:val="bottom"/>
          </w:tcPr>
          <w:p w:rsidR="00B91E46" w:rsidRPr="004574C7" w:rsidRDefault="00B91E46" w:rsidP="004574C7">
            <w:pPr>
              <w:pStyle w:val="Tabletext"/>
              <w:rPr>
                <w:b/>
                <w:lang w:eastAsia="en-AU"/>
              </w:rPr>
            </w:pPr>
            <w:r w:rsidRPr="004574C7">
              <w:rPr>
                <w:b/>
                <w:lang w:eastAsia="en-AU"/>
              </w:rPr>
              <w:t>AQF Level</w:t>
            </w:r>
          </w:p>
        </w:tc>
        <w:tc>
          <w:tcPr>
            <w:tcW w:w="1134" w:type="dxa"/>
            <w:tcBorders>
              <w:top w:val="nil"/>
              <w:left w:val="nil"/>
              <w:bottom w:val="nil"/>
              <w:right w:val="nil"/>
            </w:tcBorders>
            <w:shd w:val="clear" w:color="auto" w:fill="auto"/>
            <w:noWrap/>
            <w:vAlign w:val="bottom"/>
          </w:tcPr>
          <w:p w:rsidR="00B91E46" w:rsidRPr="00535373" w:rsidRDefault="00B91E46" w:rsidP="004574C7">
            <w:pPr>
              <w:pStyle w:val="Tabletext"/>
              <w:rPr>
                <w:lang w:eastAsia="en-AU"/>
              </w:rPr>
            </w:pPr>
          </w:p>
        </w:tc>
        <w:tc>
          <w:tcPr>
            <w:tcW w:w="1242" w:type="dxa"/>
            <w:tcBorders>
              <w:top w:val="nil"/>
              <w:left w:val="nil"/>
              <w:bottom w:val="nil"/>
              <w:right w:val="nil"/>
            </w:tcBorders>
            <w:shd w:val="clear" w:color="auto" w:fill="auto"/>
            <w:noWrap/>
            <w:vAlign w:val="bottom"/>
          </w:tcPr>
          <w:p w:rsidR="00B91E46" w:rsidRPr="00535373" w:rsidRDefault="00B91E46" w:rsidP="004574C7">
            <w:pPr>
              <w:pStyle w:val="Tabletext"/>
              <w:rPr>
                <w:lang w:eastAsia="en-AU"/>
              </w:rPr>
            </w:pPr>
          </w:p>
        </w:tc>
        <w:tc>
          <w:tcPr>
            <w:tcW w:w="1134" w:type="dxa"/>
            <w:tcBorders>
              <w:top w:val="nil"/>
              <w:left w:val="nil"/>
              <w:bottom w:val="nil"/>
              <w:right w:val="nil"/>
            </w:tcBorders>
            <w:shd w:val="clear" w:color="auto" w:fill="auto"/>
            <w:noWrap/>
            <w:vAlign w:val="bottom"/>
          </w:tcPr>
          <w:p w:rsidR="00B91E46" w:rsidRPr="00535373" w:rsidRDefault="00B91E46" w:rsidP="004574C7">
            <w:pPr>
              <w:pStyle w:val="Tabletext"/>
              <w:rPr>
                <w:lang w:eastAsia="en-AU"/>
              </w:rPr>
            </w:pPr>
          </w:p>
        </w:tc>
        <w:tc>
          <w:tcPr>
            <w:tcW w:w="992" w:type="dxa"/>
            <w:tcBorders>
              <w:top w:val="nil"/>
              <w:left w:val="nil"/>
              <w:bottom w:val="nil"/>
              <w:right w:val="nil"/>
            </w:tcBorders>
            <w:shd w:val="clear" w:color="auto" w:fill="auto"/>
            <w:noWrap/>
            <w:vAlign w:val="bottom"/>
          </w:tcPr>
          <w:p w:rsidR="00B91E46" w:rsidRPr="00535373" w:rsidRDefault="00B91E46" w:rsidP="004574C7">
            <w:pPr>
              <w:pStyle w:val="Tabletext"/>
              <w:rPr>
                <w:lang w:eastAsia="en-AU"/>
              </w:rPr>
            </w:pPr>
          </w:p>
        </w:tc>
        <w:tc>
          <w:tcPr>
            <w:tcW w:w="993" w:type="dxa"/>
            <w:tcBorders>
              <w:top w:val="nil"/>
              <w:left w:val="nil"/>
              <w:bottom w:val="nil"/>
              <w:right w:val="nil"/>
            </w:tcBorders>
            <w:shd w:val="clear" w:color="auto" w:fill="auto"/>
            <w:noWrap/>
            <w:vAlign w:val="bottom"/>
          </w:tcPr>
          <w:p w:rsidR="00B91E46" w:rsidRPr="00535373" w:rsidRDefault="00B91E46" w:rsidP="004574C7">
            <w:pPr>
              <w:pStyle w:val="Tabletext"/>
              <w:rPr>
                <w:lang w:eastAsia="en-AU"/>
              </w:rPr>
            </w:pPr>
          </w:p>
        </w:tc>
        <w:tc>
          <w:tcPr>
            <w:tcW w:w="1275" w:type="dxa"/>
            <w:tcBorders>
              <w:top w:val="nil"/>
              <w:left w:val="nil"/>
              <w:bottom w:val="nil"/>
              <w:right w:val="nil"/>
            </w:tcBorders>
            <w:shd w:val="clear" w:color="auto" w:fill="auto"/>
            <w:noWrap/>
            <w:vAlign w:val="bottom"/>
          </w:tcPr>
          <w:p w:rsidR="00B91E46" w:rsidRPr="00535373" w:rsidRDefault="00B91E46" w:rsidP="004574C7">
            <w:pPr>
              <w:pStyle w:val="Tabletext"/>
              <w:rPr>
                <w:lang w:eastAsia="en-AU"/>
              </w:rPr>
            </w:pPr>
          </w:p>
        </w:tc>
        <w:tc>
          <w:tcPr>
            <w:tcW w:w="993" w:type="dxa"/>
            <w:tcBorders>
              <w:top w:val="nil"/>
              <w:left w:val="nil"/>
              <w:bottom w:val="nil"/>
              <w:right w:val="nil"/>
            </w:tcBorders>
            <w:shd w:val="clear" w:color="auto" w:fill="auto"/>
            <w:noWrap/>
            <w:vAlign w:val="bottom"/>
          </w:tcPr>
          <w:p w:rsidR="00B91E46" w:rsidRPr="00535373" w:rsidRDefault="00B91E46" w:rsidP="004574C7">
            <w:pPr>
              <w:pStyle w:val="Tabletext"/>
              <w:rPr>
                <w:lang w:eastAsia="en-AU"/>
              </w:rPr>
            </w:pPr>
          </w:p>
        </w:tc>
      </w:tr>
      <w:tr w:rsidR="00B91E46" w:rsidRPr="00535373" w:rsidTr="004574C7">
        <w:trPr>
          <w:trHeight w:val="300"/>
        </w:trPr>
        <w:tc>
          <w:tcPr>
            <w:tcW w:w="1843"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 Advanced</w:t>
            </w:r>
          </w:p>
        </w:tc>
        <w:tc>
          <w:tcPr>
            <w:tcW w:w="1134"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-.368**</w:t>
            </w:r>
          </w:p>
        </w:tc>
        <w:tc>
          <w:tcPr>
            <w:tcW w:w="1242"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-.152**</w:t>
            </w:r>
          </w:p>
        </w:tc>
        <w:tc>
          <w:tcPr>
            <w:tcW w:w="1134"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-.201**</w:t>
            </w:r>
          </w:p>
        </w:tc>
        <w:tc>
          <w:tcPr>
            <w:tcW w:w="992"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-.161**</w:t>
            </w:r>
          </w:p>
        </w:tc>
        <w:tc>
          <w:tcPr>
            <w:tcW w:w="993"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-.193**</w:t>
            </w:r>
          </w:p>
        </w:tc>
        <w:tc>
          <w:tcPr>
            <w:tcW w:w="1275"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-.166**</w:t>
            </w:r>
          </w:p>
        </w:tc>
        <w:tc>
          <w:tcPr>
            <w:tcW w:w="993"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-0.008</w:t>
            </w:r>
          </w:p>
        </w:tc>
      </w:tr>
      <w:tr w:rsidR="00B91E46" w:rsidRPr="00535373" w:rsidTr="004574C7">
        <w:trPr>
          <w:trHeight w:val="300"/>
        </w:trPr>
        <w:tc>
          <w:tcPr>
            <w:tcW w:w="1843"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 Middle</w:t>
            </w:r>
          </w:p>
        </w:tc>
        <w:tc>
          <w:tcPr>
            <w:tcW w:w="1134"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-0.056</w:t>
            </w:r>
          </w:p>
        </w:tc>
        <w:tc>
          <w:tcPr>
            <w:tcW w:w="1242"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-0.039</w:t>
            </w:r>
          </w:p>
        </w:tc>
        <w:tc>
          <w:tcPr>
            <w:tcW w:w="1134"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-0.072</w:t>
            </w:r>
          </w:p>
        </w:tc>
        <w:tc>
          <w:tcPr>
            <w:tcW w:w="992"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0.007</w:t>
            </w:r>
          </w:p>
        </w:tc>
        <w:tc>
          <w:tcPr>
            <w:tcW w:w="993"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-.232**</w:t>
            </w:r>
          </w:p>
        </w:tc>
        <w:tc>
          <w:tcPr>
            <w:tcW w:w="1275"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-0.006</w:t>
            </w:r>
          </w:p>
        </w:tc>
        <w:tc>
          <w:tcPr>
            <w:tcW w:w="993"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-.210**</w:t>
            </w:r>
          </w:p>
        </w:tc>
      </w:tr>
      <w:tr w:rsidR="00B91E46" w:rsidRPr="00535373" w:rsidTr="004574C7">
        <w:trPr>
          <w:trHeight w:val="300"/>
        </w:trPr>
        <w:tc>
          <w:tcPr>
            <w:tcW w:w="1843"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 Basic</w:t>
            </w:r>
          </w:p>
        </w:tc>
        <w:tc>
          <w:tcPr>
            <w:tcW w:w="1134"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.118*</w:t>
            </w:r>
          </w:p>
        </w:tc>
        <w:tc>
          <w:tcPr>
            <w:tcW w:w="1242"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0.083</w:t>
            </w:r>
          </w:p>
        </w:tc>
        <w:tc>
          <w:tcPr>
            <w:tcW w:w="1134"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0.082</w:t>
            </w:r>
          </w:p>
        </w:tc>
        <w:tc>
          <w:tcPr>
            <w:tcW w:w="992"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0.043</w:t>
            </w:r>
          </w:p>
        </w:tc>
        <w:tc>
          <w:tcPr>
            <w:tcW w:w="993"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.249**</w:t>
            </w:r>
          </w:p>
        </w:tc>
        <w:tc>
          <w:tcPr>
            <w:tcW w:w="1275"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0.073</w:t>
            </w:r>
          </w:p>
        </w:tc>
        <w:tc>
          <w:tcPr>
            <w:tcW w:w="993"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.192**</w:t>
            </w:r>
          </w:p>
        </w:tc>
      </w:tr>
      <w:tr w:rsidR="00B91E46" w:rsidRPr="00535373" w:rsidTr="004574C7">
        <w:trPr>
          <w:trHeight w:val="300"/>
        </w:trPr>
        <w:tc>
          <w:tcPr>
            <w:tcW w:w="1843" w:type="dxa"/>
            <w:tcBorders>
              <w:top w:val="nil"/>
              <w:left w:val="nil"/>
              <w:bottom w:val="nil"/>
              <w:right w:val="nil"/>
            </w:tcBorders>
            <w:shd w:val="clear" w:color="auto" w:fill="auto"/>
            <w:noWrap/>
            <w:vAlign w:val="bottom"/>
          </w:tcPr>
          <w:p w:rsidR="00B91E46" w:rsidRPr="004574C7" w:rsidRDefault="00B91E46" w:rsidP="004574C7">
            <w:pPr>
              <w:pStyle w:val="Tabletext"/>
              <w:rPr>
                <w:b/>
                <w:lang w:eastAsia="en-AU"/>
              </w:rPr>
            </w:pPr>
            <w:r w:rsidRPr="004574C7">
              <w:rPr>
                <w:b/>
                <w:lang w:eastAsia="en-AU"/>
              </w:rPr>
              <w:t>Delivery Mode</w:t>
            </w:r>
          </w:p>
        </w:tc>
        <w:tc>
          <w:tcPr>
            <w:tcW w:w="1134" w:type="dxa"/>
            <w:tcBorders>
              <w:top w:val="nil"/>
              <w:left w:val="nil"/>
              <w:bottom w:val="nil"/>
              <w:right w:val="nil"/>
            </w:tcBorders>
            <w:shd w:val="clear" w:color="auto" w:fill="auto"/>
            <w:noWrap/>
            <w:vAlign w:val="bottom"/>
          </w:tcPr>
          <w:p w:rsidR="00B91E46" w:rsidRPr="00535373" w:rsidRDefault="00B91E46" w:rsidP="004574C7">
            <w:pPr>
              <w:pStyle w:val="Tabletext"/>
              <w:rPr>
                <w:lang w:eastAsia="en-AU"/>
              </w:rPr>
            </w:pPr>
          </w:p>
        </w:tc>
        <w:tc>
          <w:tcPr>
            <w:tcW w:w="1242" w:type="dxa"/>
            <w:tcBorders>
              <w:top w:val="nil"/>
              <w:left w:val="nil"/>
              <w:bottom w:val="nil"/>
              <w:right w:val="nil"/>
            </w:tcBorders>
            <w:shd w:val="clear" w:color="auto" w:fill="auto"/>
            <w:noWrap/>
            <w:vAlign w:val="bottom"/>
          </w:tcPr>
          <w:p w:rsidR="00B91E46" w:rsidRPr="00535373" w:rsidRDefault="00B91E46" w:rsidP="004574C7">
            <w:pPr>
              <w:pStyle w:val="Tabletext"/>
              <w:rPr>
                <w:lang w:eastAsia="en-AU"/>
              </w:rPr>
            </w:pPr>
          </w:p>
        </w:tc>
        <w:tc>
          <w:tcPr>
            <w:tcW w:w="1134" w:type="dxa"/>
            <w:tcBorders>
              <w:top w:val="nil"/>
              <w:left w:val="nil"/>
              <w:bottom w:val="nil"/>
              <w:right w:val="nil"/>
            </w:tcBorders>
            <w:shd w:val="clear" w:color="auto" w:fill="auto"/>
            <w:noWrap/>
            <w:vAlign w:val="bottom"/>
          </w:tcPr>
          <w:p w:rsidR="00B91E46" w:rsidRPr="00535373" w:rsidRDefault="00B91E46" w:rsidP="004574C7">
            <w:pPr>
              <w:pStyle w:val="Tabletext"/>
              <w:rPr>
                <w:lang w:eastAsia="en-AU"/>
              </w:rPr>
            </w:pPr>
          </w:p>
        </w:tc>
        <w:tc>
          <w:tcPr>
            <w:tcW w:w="992" w:type="dxa"/>
            <w:tcBorders>
              <w:top w:val="nil"/>
              <w:left w:val="nil"/>
              <w:bottom w:val="nil"/>
              <w:right w:val="nil"/>
            </w:tcBorders>
            <w:shd w:val="clear" w:color="auto" w:fill="auto"/>
            <w:noWrap/>
            <w:vAlign w:val="bottom"/>
          </w:tcPr>
          <w:p w:rsidR="00B91E46" w:rsidRPr="00535373" w:rsidRDefault="00B91E46" w:rsidP="004574C7">
            <w:pPr>
              <w:pStyle w:val="Tabletext"/>
              <w:rPr>
                <w:lang w:eastAsia="en-AU"/>
              </w:rPr>
            </w:pPr>
          </w:p>
        </w:tc>
        <w:tc>
          <w:tcPr>
            <w:tcW w:w="993" w:type="dxa"/>
            <w:tcBorders>
              <w:top w:val="nil"/>
              <w:left w:val="nil"/>
              <w:bottom w:val="nil"/>
              <w:right w:val="nil"/>
            </w:tcBorders>
            <w:shd w:val="clear" w:color="auto" w:fill="auto"/>
            <w:noWrap/>
            <w:vAlign w:val="bottom"/>
          </w:tcPr>
          <w:p w:rsidR="00B91E46" w:rsidRPr="00535373" w:rsidRDefault="00B91E46" w:rsidP="004574C7">
            <w:pPr>
              <w:pStyle w:val="Tabletext"/>
              <w:rPr>
                <w:lang w:eastAsia="en-AU"/>
              </w:rPr>
            </w:pPr>
          </w:p>
        </w:tc>
        <w:tc>
          <w:tcPr>
            <w:tcW w:w="1275" w:type="dxa"/>
            <w:tcBorders>
              <w:top w:val="nil"/>
              <w:left w:val="nil"/>
              <w:bottom w:val="nil"/>
              <w:right w:val="nil"/>
            </w:tcBorders>
            <w:shd w:val="clear" w:color="auto" w:fill="auto"/>
            <w:noWrap/>
            <w:vAlign w:val="bottom"/>
          </w:tcPr>
          <w:p w:rsidR="00B91E46" w:rsidRPr="00535373" w:rsidRDefault="00B91E46" w:rsidP="004574C7">
            <w:pPr>
              <w:pStyle w:val="Tabletext"/>
              <w:rPr>
                <w:lang w:eastAsia="en-AU"/>
              </w:rPr>
            </w:pPr>
          </w:p>
        </w:tc>
        <w:tc>
          <w:tcPr>
            <w:tcW w:w="993" w:type="dxa"/>
            <w:tcBorders>
              <w:top w:val="nil"/>
              <w:left w:val="nil"/>
              <w:bottom w:val="nil"/>
              <w:right w:val="nil"/>
            </w:tcBorders>
            <w:shd w:val="clear" w:color="auto" w:fill="auto"/>
            <w:noWrap/>
            <w:vAlign w:val="bottom"/>
          </w:tcPr>
          <w:p w:rsidR="00B91E46" w:rsidRPr="00535373" w:rsidRDefault="00B91E46" w:rsidP="004574C7">
            <w:pPr>
              <w:pStyle w:val="Tabletext"/>
              <w:rPr>
                <w:lang w:eastAsia="en-AU"/>
              </w:rPr>
            </w:pPr>
          </w:p>
        </w:tc>
      </w:tr>
      <w:tr w:rsidR="00B91E46" w:rsidRPr="00535373" w:rsidTr="004574C7">
        <w:trPr>
          <w:trHeight w:val="300"/>
        </w:trPr>
        <w:tc>
          <w:tcPr>
            <w:tcW w:w="1843"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 Classroom</w:t>
            </w:r>
          </w:p>
        </w:tc>
        <w:tc>
          <w:tcPr>
            <w:tcW w:w="1134"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-.166**</w:t>
            </w:r>
          </w:p>
        </w:tc>
        <w:tc>
          <w:tcPr>
            <w:tcW w:w="1242"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-0.083</w:t>
            </w:r>
          </w:p>
        </w:tc>
        <w:tc>
          <w:tcPr>
            <w:tcW w:w="1134"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0.034</w:t>
            </w:r>
          </w:p>
        </w:tc>
        <w:tc>
          <w:tcPr>
            <w:tcW w:w="992"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-0.055</w:t>
            </w:r>
          </w:p>
        </w:tc>
        <w:tc>
          <w:tcPr>
            <w:tcW w:w="993"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-.256**</w:t>
            </w:r>
          </w:p>
        </w:tc>
        <w:tc>
          <w:tcPr>
            <w:tcW w:w="1275"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-.256**</w:t>
            </w:r>
          </w:p>
        </w:tc>
        <w:tc>
          <w:tcPr>
            <w:tcW w:w="993" w:type="dxa"/>
            <w:tcBorders>
              <w:top w:val="nil"/>
              <w:left w:val="nil"/>
              <w:bottom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-.185**</w:t>
            </w:r>
          </w:p>
        </w:tc>
      </w:tr>
      <w:tr w:rsidR="00B91E46" w:rsidRPr="00535373" w:rsidTr="004574C7">
        <w:trPr>
          <w:trHeight w:val="300"/>
        </w:trPr>
        <w:tc>
          <w:tcPr>
            <w:tcW w:w="1843" w:type="dxa"/>
            <w:tcBorders>
              <w:top w:val="nil"/>
              <w:left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 Electronic</w:t>
            </w:r>
          </w:p>
        </w:tc>
        <w:tc>
          <w:tcPr>
            <w:tcW w:w="1134" w:type="dxa"/>
            <w:tcBorders>
              <w:top w:val="nil"/>
              <w:left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0.098</w:t>
            </w:r>
          </w:p>
        </w:tc>
        <w:tc>
          <w:tcPr>
            <w:tcW w:w="1242" w:type="dxa"/>
            <w:tcBorders>
              <w:top w:val="nil"/>
              <w:left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0.026</w:t>
            </w:r>
          </w:p>
        </w:tc>
        <w:tc>
          <w:tcPr>
            <w:tcW w:w="1134" w:type="dxa"/>
            <w:tcBorders>
              <w:top w:val="nil"/>
              <w:left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0.049</w:t>
            </w:r>
          </w:p>
        </w:tc>
        <w:tc>
          <w:tcPr>
            <w:tcW w:w="992" w:type="dxa"/>
            <w:tcBorders>
              <w:top w:val="nil"/>
              <w:left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0.016</w:t>
            </w:r>
          </w:p>
        </w:tc>
        <w:tc>
          <w:tcPr>
            <w:tcW w:w="993" w:type="dxa"/>
            <w:tcBorders>
              <w:top w:val="nil"/>
              <w:left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0.087</w:t>
            </w:r>
          </w:p>
        </w:tc>
        <w:tc>
          <w:tcPr>
            <w:tcW w:w="1275" w:type="dxa"/>
            <w:tcBorders>
              <w:top w:val="nil"/>
              <w:left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-0.032</w:t>
            </w:r>
          </w:p>
        </w:tc>
        <w:tc>
          <w:tcPr>
            <w:tcW w:w="993" w:type="dxa"/>
            <w:tcBorders>
              <w:top w:val="nil"/>
              <w:left w:val="nil"/>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0.039</w:t>
            </w:r>
          </w:p>
        </w:tc>
      </w:tr>
      <w:tr w:rsidR="00B91E46" w:rsidRPr="00535373" w:rsidTr="004574C7">
        <w:trPr>
          <w:trHeight w:val="300"/>
        </w:trPr>
        <w:tc>
          <w:tcPr>
            <w:tcW w:w="1843" w:type="dxa"/>
            <w:tcBorders>
              <w:top w:val="nil"/>
              <w:left w:val="nil"/>
              <w:bottom w:val="single" w:sz="4" w:space="0" w:color="auto"/>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 Employment based</w:t>
            </w:r>
          </w:p>
        </w:tc>
        <w:tc>
          <w:tcPr>
            <w:tcW w:w="1134" w:type="dxa"/>
            <w:tcBorders>
              <w:top w:val="nil"/>
              <w:left w:val="nil"/>
              <w:bottom w:val="single" w:sz="4" w:space="0" w:color="auto"/>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0.075</w:t>
            </w:r>
          </w:p>
        </w:tc>
        <w:tc>
          <w:tcPr>
            <w:tcW w:w="1242" w:type="dxa"/>
            <w:tcBorders>
              <w:top w:val="nil"/>
              <w:left w:val="nil"/>
              <w:bottom w:val="single" w:sz="4" w:space="0" w:color="auto"/>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0.079</w:t>
            </w:r>
          </w:p>
        </w:tc>
        <w:tc>
          <w:tcPr>
            <w:tcW w:w="1134" w:type="dxa"/>
            <w:tcBorders>
              <w:top w:val="nil"/>
              <w:left w:val="nil"/>
              <w:bottom w:val="single" w:sz="4" w:space="0" w:color="auto"/>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.131*</w:t>
            </w:r>
          </w:p>
        </w:tc>
        <w:tc>
          <w:tcPr>
            <w:tcW w:w="992" w:type="dxa"/>
            <w:tcBorders>
              <w:top w:val="nil"/>
              <w:left w:val="nil"/>
              <w:bottom w:val="single" w:sz="4" w:space="0" w:color="auto"/>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.116*</w:t>
            </w:r>
          </w:p>
        </w:tc>
        <w:tc>
          <w:tcPr>
            <w:tcW w:w="993" w:type="dxa"/>
            <w:tcBorders>
              <w:top w:val="nil"/>
              <w:left w:val="nil"/>
              <w:bottom w:val="single" w:sz="4" w:space="0" w:color="auto"/>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-0.005</w:t>
            </w:r>
          </w:p>
        </w:tc>
        <w:tc>
          <w:tcPr>
            <w:tcW w:w="1275" w:type="dxa"/>
            <w:tcBorders>
              <w:top w:val="nil"/>
              <w:left w:val="nil"/>
              <w:bottom w:val="single" w:sz="4" w:space="0" w:color="auto"/>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-0.002</w:t>
            </w:r>
          </w:p>
        </w:tc>
        <w:tc>
          <w:tcPr>
            <w:tcW w:w="993" w:type="dxa"/>
            <w:tcBorders>
              <w:top w:val="nil"/>
              <w:left w:val="nil"/>
              <w:bottom w:val="single" w:sz="4" w:space="0" w:color="auto"/>
              <w:right w:val="nil"/>
            </w:tcBorders>
            <w:shd w:val="clear" w:color="auto" w:fill="auto"/>
            <w:noWrap/>
            <w:vAlign w:val="bottom"/>
            <w:hideMark/>
          </w:tcPr>
          <w:p w:rsidR="00B91E46" w:rsidRPr="00535373" w:rsidRDefault="00B91E46" w:rsidP="004574C7">
            <w:pPr>
              <w:pStyle w:val="Tabletext"/>
              <w:rPr>
                <w:lang w:eastAsia="en-AU"/>
              </w:rPr>
            </w:pPr>
            <w:r w:rsidRPr="00535373">
              <w:rPr>
                <w:lang w:eastAsia="en-AU"/>
              </w:rPr>
              <w:t>-0.025</w:t>
            </w:r>
          </w:p>
        </w:tc>
      </w:tr>
    </w:tbl>
    <w:p w:rsidR="00D96570" w:rsidRPr="00215737" w:rsidRDefault="00D96570" w:rsidP="00D96570">
      <w:pPr>
        <w:pStyle w:val="Source"/>
      </w:pPr>
      <w:r w:rsidRPr="00215737">
        <w:t>Source</w:t>
      </w:r>
      <w:r>
        <w:t xml:space="preserve">: </w:t>
      </w:r>
      <w:r>
        <w:tab/>
        <w:t>Authors’ calculations from the Government-funded Student Outcomes Survey, weighted</w:t>
      </w:r>
      <w:r w:rsidRPr="00215737">
        <w:t>, 201</w:t>
      </w:r>
      <w:r>
        <w:t>5 and VET Provider Collection 2014</w:t>
      </w:r>
    </w:p>
    <w:p w:rsidR="00EB1969" w:rsidRDefault="00EB1969" w:rsidP="002D5A50">
      <w:pPr>
        <w:pStyle w:val="Text"/>
      </w:pPr>
    </w:p>
    <w:p w:rsidR="00535373" w:rsidRDefault="00535373" w:rsidP="002D5A50">
      <w:pPr>
        <w:pStyle w:val="Text"/>
      </w:pPr>
    </w:p>
    <w:p w:rsidR="00625E50" w:rsidRDefault="00625E50" w:rsidP="002D5A50">
      <w:pPr>
        <w:pStyle w:val="Text"/>
      </w:pPr>
    </w:p>
    <w:p w:rsidR="00625E50" w:rsidRDefault="00625E50" w:rsidP="002D5A50">
      <w:pPr>
        <w:pStyle w:val="Text"/>
      </w:pPr>
    </w:p>
    <w:p w:rsidR="00625E50" w:rsidRDefault="00625E50" w:rsidP="002D5A50">
      <w:pPr>
        <w:pStyle w:val="Text"/>
      </w:pPr>
    </w:p>
    <w:p w:rsidR="00625E50" w:rsidRDefault="009B52F5" w:rsidP="00625E50">
      <w:pPr>
        <w:pStyle w:val="Heading1"/>
      </w:pPr>
      <w:bookmarkStart w:id="38" w:name="_Toc498936349"/>
      <w:r>
        <w:lastRenderedPageBreak/>
        <w:t>Regional VET completion r</w:t>
      </w:r>
      <w:r w:rsidR="00625E50">
        <w:t>ates</w:t>
      </w:r>
      <w:bookmarkEnd w:id="38"/>
    </w:p>
    <w:p w:rsidR="00625E50" w:rsidRDefault="00625E50" w:rsidP="00625E50">
      <w:pPr>
        <w:pStyle w:val="Heading2"/>
      </w:pPr>
      <w:bookmarkStart w:id="39" w:name="_Toc498936350"/>
      <w:r>
        <w:t>Calculating completion rates</w:t>
      </w:r>
      <w:bookmarkEnd w:id="39"/>
    </w:p>
    <w:p w:rsidR="00625E50" w:rsidRDefault="00625E50" w:rsidP="00625E50">
      <w:pPr>
        <w:pStyle w:val="Text"/>
      </w:pPr>
      <w:r>
        <w:t>Measures of performance extend beyond participation in VET to the completion of VET activity.  However, defining and measuring completion and retention in VET can be complex, given the diversity of program offerings and differing student intentions (</w:t>
      </w:r>
      <w:proofErr w:type="spellStart"/>
      <w:r>
        <w:t>McVicar</w:t>
      </w:r>
      <w:proofErr w:type="spellEnd"/>
      <w:r>
        <w:t xml:space="preserve"> &amp; </w:t>
      </w:r>
      <w:proofErr w:type="spellStart"/>
      <w:r>
        <w:t>Tabasso</w:t>
      </w:r>
      <w:proofErr w:type="spellEnd"/>
      <w:r>
        <w:t xml:space="preserve"> 2016, Lamb &amp; Walstab 2010).  Some courses can be completed within months while others take several years.  The flexible nature of VET means that non-linear pathways are not unusual and many students enrol with the intention of completing a single module or subject rather than an entire qualification.  </w:t>
      </w:r>
    </w:p>
    <w:p w:rsidR="00625E50" w:rsidRDefault="00625E50" w:rsidP="00625E50">
      <w:pPr>
        <w:pStyle w:val="Text"/>
      </w:pPr>
      <w:r>
        <w:t>Some measures of course completion track commencing cohorts forward over time, while others impute rates for the current cohort based on the behaviour of previous cohorts (</w:t>
      </w:r>
      <w:proofErr w:type="spellStart"/>
      <w:r>
        <w:t>McVicar</w:t>
      </w:r>
      <w:proofErr w:type="spellEnd"/>
      <w:r>
        <w:t xml:space="preserve"> &amp; </w:t>
      </w:r>
      <w:proofErr w:type="spellStart"/>
      <w:r>
        <w:t>Tabasso</w:t>
      </w:r>
      <w:proofErr w:type="spellEnd"/>
      <w:r>
        <w:t xml:space="preserve"> 2016, </w:t>
      </w:r>
      <w:proofErr w:type="spellStart"/>
      <w:r>
        <w:t>Bednarz</w:t>
      </w:r>
      <w:proofErr w:type="spellEnd"/>
      <w:r>
        <w:t xml:space="preserve"> 2012).  In the case of this study, access to a single calendar year of VET enrolment data means a different approach is required.  A regional award completer rate was calculated by dividing the number of students who completed a VET program in 2014 living in a particular SA3 by the total number of students in the SA3.  Completing students included those who had been issued their qualification as well as those who were eligible for completion but not yet issued.  This was done by first matching the program completion information to the subject-level file and then aggregating at SA3-level to obtain student-level counts.  This way a student is seen to have achieved course completion if they are eligible for qualification issue for any VET course across the calendar year.  </w:t>
      </w:r>
    </w:p>
    <w:p w:rsidR="00625E50" w:rsidRDefault="00625E50" w:rsidP="00625E50">
      <w:pPr>
        <w:pStyle w:val="Text"/>
      </w:pPr>
      <w:r>
        <w:t xml:space="preserve">It is important to note that this regional award completer rate does not take into account the nuances associated with measuring program completion in VET.  The limitation </w:t>
      </w:r>
      <w:r w:rsidR="009B52F5">
        <w:t xml:space="preserve">of </w:t>
      </w:r>
      <w:r>
        <w:t xml:space="preserve">a single year of enrolment data means stronger measures of completion such as cohort completion rates cannot be calculated as these require tracking over different calendar years, especially for courses at mid and higher AQF levels.  This limitation, however, applies across the total dataset.  For these reasons, and because the VET activity in this project has been restricted in a particular way, completion rates presented in this </w:t>
      </w:r>
      <w:r w:rsidR="00760FC1">
        <w:t>report</w:t>
      </w:r>
      <w:r>
        <w:t xml:space="preserve"> cannot be compared to those reported elsewhere.  </w:t>
      </w:r>
    </w:p>
    <w:p w:rsidR="00625E50" w:rsidRDefault="00625E50" w:rsidP="00625E50">
      <w:pPr>
        <w:pStyle w:val="Text"/>
      </w:pPr>
      <w:r>
        <w:t>An additional measure of completion was calculated at the subject or module level.  Subjects take place and outcomes are available within the calendar year, so a single year of data is adequate for the purpose of calculating subject completion rates.  Here, subject completion rates represent the ratio of the number of reported hours for subjects where competencies were achieved or passed to the reported hours for subjects where competencies were achieved or passed, not achieved or failed, or withdrawn or discontinued, expressed as a percentage.  Since subject-level completion rates take into account the number of reported hours for a subject, they are effectively weighted for longer courses.  This is similar to the methodology used by NCVER to calculate “subject load pass rates” (</w:t>
      </w:r>
      <w:proofErr w:type="spellStart"/>
      <w:r>
        <w:t>Bednarz</w:t>
      </w:r>
      <w:proofErr w:type="spellEnd"/>
      <w:r>
        <w:t xml:space="preserve"> 2012, </w:t>
      </w:r>
      <w:r w:rsidR="009B52F5">
        <w:t>p.</w:t>
      </w:r>
      <w:r>
        <w:t xml:space="preserve">8).  </w:t>
      </w:r>
    </w:p>
    <w:p w:rsidR="00625E50" w:rsidRDefault="00625E50" w:rsidP="00625E50">
      <w:pPr>
        <w:pStyle w:val="Heading2"/>
      </w:pPr>
      <w:bookmarkStart w:id="40" w:name="_Toc498936351"/>
      <w:r>
        <w:t>Variations in regional VET completion</w:t>
      </w:r>
      <w:bookmarkEnd w:id="40"/>
    </w:p>
    <w:p w:rsidR="00625E50" w:rsidRDefault="00625E50" w:rsidP="00625E50">
      <w:pPr>
        <w:pStyle w:val="Text"/>
      </w:pPr>
      <w:r>
        <w:t>Just as VET participation rates varied across SA3s, analyses of completion rates calculated as described above also reveal considerable regional differences.  Figure 3 shows the distribution of award completer and subject completion rates across the SA3s.  Award completer rates range from 13.4</w:t>
      </w:r>
      <w:r w:rsidR="00535373">
        <w:t xml:space="preserve"> per cent</w:t>
      </w:r>
      <w:r>
        <w:t xml:space="preserve"> to 50.2</w:t>
      </w:r>
      <w:r w:rsidR="00535373">
        <w:t xml:space="preserve"> per cent</w:t>
      </w:r>
      <w:r>
        <w:t xml:space="preserve"> across the SA3s while subject completion rates vary from 58.2</w:t>
      </w:r>
      <w:r w:rsidR="00535373">
        <w:t xml:space="preserve"> per cent</w:t>
      </w:r>
      <w:r>
        <w:t xml:space="preserve"> to 94.9</w:t>
      </w:r>
      <w:r w:rsidR="00535373">
        <w:t xml:space="preserve"> per cent</w:t>
      </w:r>
      <w:r>
        <w:t xml:space="preserve"> at near full subject completion.  </w:t>
      </w:r>
    </w:p>
    <w:p w:rsidR="00625E50" w:rsidRDefault="00625E50" w:rsidP="00625E50">
      <w:pPr>
        <w:pStyle w:val="Figuretitle"/>
      </w:pPr>
      <w:bookmarkStart w:id="41" w:name="_Toc498936241"/>
      <w:r>
        <w:lastRenderedPageBreak/>
        <w:t xml:space="preserve">Figure </w:t>
      </w:r>
      <w:r>
        <w:fldChar w:fldCharType="begin"/>
      </w:r>
      <w:r>
        <w:instrText xml:space="preserve"> SEQ Figure \* ARABIC </w:instrText>
      </w:r>
      <w:r>
        <w:fldChar w:fldCharType="separate"/>
      </w:r>
      <w:proofErr w:type="gramStart"/>
      <w:r w:rsidR="00BF3209">
        <w:rPr>
          <w:noProof/>
        </w:rPr>
        <w:t>3</w:t>
      </w:r>
      <w:r>
        <w:fldChar w:fldCharType="end"/>
      </w:r>
      <w:r w:rsidR="004574C7">
        <w:t xml:space="preserve"> </w:t>
      </w:r>
      <w:r>
        <w:t>Regional distribution</w:t>
      </w:r>
      <w:proofErr w:type="gramEnd"/>
      <w:r>
        <w:t xml:space="preserve"> of award complet</w:t>
      </w:r>
      <w:r w:rsidR="00481B09">
        <w:t>ion</w:t>
      </w:r>
      <w:r>
        <w:t xml:space="preserve"> rates and subject completion rates, SA3s, 2014</w:t>
      </w:r>
      <w:bookmarkEnd w:id="41"/>
    </w:p>
    <w:p w:rsidR="001E3AEE" w:rsidRDefault="001E3AEE" w:rsidP="001E3AEE">
      <w:pPr>
        <w:autoSpaceDE w:val="0"/>
        <w:autoSpaceDN w:val="0"/>
        <w:adjustRightInd w:val="0"/>
        <w:spacing w:before="0" w:line="240" w:lineRule="auto"/>
        <w:jc w:val="center"/>
        <w:rPr>
          <w:rFonts w:ascii="Times New Roman" w:hAnsi="Times New Roman"/>
          <w:sz w:val="24"/>
          <w:szCs w:val="24"/>
        </w:rPr>
      </w:pPr>
      <w:r>
        <w:rPr>
          <w:rFonts w:ascii="Times New Roman" w:hAnsi="Times New Roman"/>
          <w:noProof/>
          <w:sz w:val="24"/>
          <w:szCs w:val="24"/>
          <w:lang w:eastAsia="en-AU"/>
        </w:rPr>
        <w:drawing>
          <wp:inline distT="0" distB="0" distL="0" distR="0">
            <wp:extent cx="3771930" cy="30194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78027" cy="3024306"/>
                    </a:xfrm>
                    <a:prstGeom prst="rect">
                      <a:avLst/>
                    </a:prstGeom>
                    <a:noFill/>
                    <a:ln>
                      <a:noFill/>
                    </a:ln>
                  </pic:spPr>
                </pic:pic>
              </a:graphicData>
            </a:graphic>
          </wp:inline>
        </w:drawing>
      </w:r>
    </w:p>
    <w:p w:rsidR="001E3AEE" w:rsidRDefault="001E3AEE" w:rsidP="001E3AEE">
      <w:pPr>
        <w:autoSpaceDE w:val="0"/>
        <w:autoSpaceDN w:val="0"/>
        <w:adjustRightInd w:val="0"/>
        <w:spacing w:before="0" w:line="240" w:lineRule="auto"/>
        <w:jc w:val="center"/>
        <w:rPr>
          <w:rFonts w:ascii="Times New Roman" w:hAnsi="Times New Roman"/>
          <w:sz w:val="24"/>
          <w:szCs w:val="24"/>
        </w:rPr>
      </w:pPr>
    </w:p>
    <w:p w:rsidR="001E3AEE" w:rsidRDefault="001E3AEE" w:rsidP="001E3AEE">
      <w:pPr>
        <w:autoSpaceDE w:val="0"/>
        <w:autoSpaceDN w:val="0"/>
        <w:adjustRightInd w:val="0"/>
        <w:spacing w:before="0" w:line="240" w:lineRule="auto"/>
        <w:jc w:val="center"/>
        <w:rPr>
          <w:rFonts w:ascii="Times New Roman" w:hAnsi="Times New Roman"/>
          <w:sz w:val="24"/>
          <w:szCs w:val="24"/>
        </w:rPr>
      </w:pPr>
      <w:r>
        <w:rPr>
          <w:rFonts w:ascii="Times New Roman" w:hAnsi="Times New Roman"/>
          <w:noProof/>
          <w:sz w:val="24"/>
          <w:szCs w:val="24"/>
          <w:lang w:eastAsia="en-AU"/>
        </w:rPr>
        <w:drawing>
          <wp:inline distT="0" distB="0" distL="0" distR="0">
            <wp:extent cx="3664841" cy="29337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67219" cy="2935604"/>
                    </a:xfrm>
                    <a:prstGeom prst="rect">
                      <a:avLst/>
                    </a:prstGeom>
                    <a:noFill/>
                    <a:ln>
                      <a:noFill/>
                    </a:ln>
                  </pic:spPr>
                </pic:pic>
              </a:graphicData>
            </a:graphic>
          </wp:inline>
        </w:drawing>
      </w:r>
    </w:p>
    <w:p w:rsidR="001E3AEE" w:rsidRDefault="001E3AEE" w:rsidP="001E3AEE">
      <w:pPr>
        <w:autoSpaceDE w:val="0"/>
        <w:autoSpaceDN w:val="0"/>
        <w:adjustRightInd w:val="0"/>
        <w:spacing w:before="0" w:line="240" w:lineRule="auto"/>
        <w:rPr>
          <w:rFonts w:ascii="Times New Roman" w:hAnsi="Times New Roman"/>
          <w:sz w:val="24"/>
          <w:szCs w:val="24"/>
        </w:rPr>
      </w:pPr>
    </w:p>
    <w:p w:rsidR="00EB1969" w:rsidRDefault="00625E50" w:rsidP="00625E50">
      <w:pPr>
        <w:pStyle w:val="Source"/>
      </w:pPr>
      <w:r w:rsidRPr="00625E50">
        <w:t>Source: Authors’ calculations from the VET Provider Collection, 2014</w:t>
      </w:r>
    </w:p>
    <w:p w:rsidR="006443E1" w:rsidRDefault="006443E1" w:rsidP="006443E1">
      <w:pPr>
        <w:pStyle w:val="Text"/>
      </w:pPr>
      <w:r>
        <w:t xml:space="preserve">Some variation also exists in levels of completion across </w:t>
      </w:r>
      <w:r w:rsidR="00F60948">
        <w:t>target</w:t>
      </w:r>
      <w:r>
        <w:t xml:space="preserve"> groups.  The regional means for all students and different groups of students are shown in Figure 4.  The mean regional award completer rate overall is 31.1</w:t>
      </w:r>
      <w:r w:rsidR="00535373">
        <w:t xml:space="preserve"> per cent</w:t>
      </w:r>
      <w:r>
        <w:t>.  The rate for LBOTE students is the same as for all students while unemployed students experience a higher rate at 36.7</w:t>
      </w:r>
      <w:r w:rsidR="00535373">
        <w:t xml:space="preserve"> per cent</w:t>
      </w:r>
      <w:r>
        <w:t>.  However the rates for students with a disability, low attainment and for Indigenous students are lower than the overall rate at 28.4</w:t>
      </w:r>
      <w:r w:rsidR="00535373">
        <w:t xml:space="preserve"> per cent</w:t>
      </w:r>
      <w:r>
        <w:t>, 28.2</w:t>
      </w:r>
      <w:r w:rsidR="00535373">
        <w:t xml:space="preserve"> per cent</w:t>
      </w:r>
      <w:r>
        <w:t>, and 26.2</w:t>
      </w:r>
      <w:r w:rsidR="00535373">
        <w:t xml:space="preserve"> per cent</w:t>
      </w:r>
      <w:r>
        <w:t xml:space="preserve"> respectively.  </w:t>
      </w:r>
    </w:p>
    <w:p w:rsidR="00EB1969" w:rsidRDefault="006443E1" w:rsidP="006443E1">
      <w:pPr>
        <w:pStyle w:val="Text"/>
      </w:pPr>
      <w:r>
        <w:t xml:space="preserve">The overall mean subject completion rate for </w:t>
      </w:r>
      <w:r w:rsidR="009B52F5">
        <w:t>all students across SA3s is 83.2</w:t>
      </w:r>
      <w:r w:rsidR="00535373">
        <w:t xml:space="preserve"> per cent</w:t>
      </w:r>
      <w:r>
        <w:t>.  Rates for unemployed students, LBOTE</w:t>
      </w:r>
      <w:r w:rsidR="009B52F5">
        <w:t xml:space="preserve"> (CALD)</w:t>
      </w:r>
      <w:r>
        <w:t xml:space="preserve"> students, and students with low levels of prior educational attainment are slightly lower at 80.3</w:t>
      </w:r>
      <w:r w:rsidR="00535373">
        <w:t xml:space="preserve"> per cent</w:t>
      </w:r>
      <w:r>
        <w:t>, 80.2</w:t>
      </w:r>
      <w:r w:rsidR="00535373">
        <w:t xml:space="preserve"> per cent</w:t>
      </w:r>
      <w:r>
        <w:t xml:space="preserve"> and 79.9</w:t>
      </w:r>
      <w:r w:rsidR="00535373">
        <w:t xml:space="preserve"> per cent</w:t>
      </w:r>
      <w:r>
        <w:t xml:space="preserve"> respectively.  Mean regional subject completion rates are lower again for Indigenous students and students with a disability, at 76</w:t>
      </w:r>
      <w:r w:rsidR="009B52F5">
        <w:t>.0</w:t>
      </w:r>
      <w:r w:rsidR="00535373">
        <w:t xml:space="preserve"> per cent</w:t>
      </w:r>
      <w:r>
        <w:t xml:space="preserve"> and 75.7</w:t>
      </w:r>
      <w:r w:rsidR="00535373">
        <w:t xml:space="preserve"> per cent</w:t>
      </w:r>
      <w:r>
        <w:t xml:space="preserve"> respectively.  </w:t>
      </w:r>
    </w:p>
    <w:p w:rsidR="00EB1969" w:rsidRDefault="006443E1" w:rsidP="006443E1">
      <w:pPr>
        <w:pStyle w:val="Figuretitle"/>
      </w:pPr>
      <w:bookmarkStart w:id="42" w:name="_Toc498936242"/>
      <w:r>
        <w:lastRenderedPageBreak/>
        <w:t xml:space="preserve">Figure </w:t>
      </w:r>
      <w:r>
        <w:fldChar w:fldCharType="begin"/>
      </w:r>
      <w:r>
        <w:instrText xml:space="preserve"> SEQ Figure \* ARABIC </w:instrText>
      </w:r>
      <w:r>
        <w:fldChar w:fldCharType="separate"/>
      </w:r>
      <w:r w:rsidR="00BF3209">
        <w:rPr>
          <w:noProof/>
        </w:rPr>
        <w:t>4</w:t>
      </w:r>
      <w:r>
        <w:fldChar w:fldCharType="end"/>
      </w:r>
      <w:r>
        <w:tab/>
      </w:r>
      <w:r w:rsidRPr="006443E1">
        <w:t xml:space="preserve">Mean regional completion rates for all students and key </w:t>
      </w:r>
      <w:r w:rsidR="00F60948">
        <w:t>target</w:t>
      </w:r>
      <w:r w:rsidRPr="006443E1">
        <w:t xml:space="preserve"> groups, 2014</w:t>
      </w:r>
      <w:bookmarkEnd w:id="42"/>
    </w:p>
    <w:p w:rsidR="009B1B47" w:rsidRDefault="009B1B47" w:rsidP="00D12FEF">
      <w:pPr>
        <w:pStyle w:val="Source"/>
        <w:jc w:val="center"/>
      </w:pPr>
      <w:r>
        <w:rPr>
          <w:noProof/>
          <w:lang w:eastAsia="en-AU"/>
        </w:rPr>
        <w:drawing>
          <wp:inline distT="0" distB="0" distL="0" distR="0">
            <wp:extent cx="5182323" cy="3172268"/>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apture_ncver_2.PNG"/>
                    <pic:cNvPicPr/>
                  </pic:nvPicPr>
                  <pic:blipFill>
                    <a:blip r:embed="rId36">
                      <a:extLst>
                        <a:ext uri="{28A0092B-C50C-407E-A947-70E740481C1C}">
                          <a14:useLocalDpi xmlns:a14="http://schemas.microsoft.com/office/drawing/2010/main" val="0"/>
                        </a:ext>
                      </a:extLst>
                    </a:blip>
                    <a:stretch>
                      <a:fillRect/>
                    </a:stretch>
                  </pic:blipFill>
                  <pic:spPr>
                    <a:xfrm>
                      <a:off x="0" y="0"/>
                      <a:ext cx="5182323" cy="3172268"/>
                    </a:xfrm>
                    <a:prstGeom prst="rect">
                      <a:avLst/>
                    </a:prstGeom>
                  </pic:spPr>
                </pic:pic>
              </a:graphicData>
            </a:graphic>
          </wp:inline>
        </w:drawing>
      </w:r>
    </w:p>
    <w:p w:rsidR="00760FC1" w:rsidRDefault="00760FC1" w:rsidP="00D12FEF">
      <w:pPr>
        <w:pStyle w:val="Source"/>
        <w:jc w:val="center"/>
      </w:pPr>
    </w:p>
    <w:p w:rsidR="006443E1" w:rsidRDefault="006443E1" w:rsidP="006443E1">
      <w:pPr>
        <w:pStyle w:val="Source"/>
      </w:pPr>
      <w:r w:rsidRPr="006443E1">
        <w:t>Source: Authors’ calculations from the VET Provider Collection, 2014</w:t>
      </w:r>
    </w:p>
    <w:p w:rsidR="00F07106" w:rsidRDefault="00F07106" w:rsidP="00F07106">
      <w:pPr>
        <w:pStyle w:val="Heading2"/>
      </w:pPr>
      <w:bookmarkStart w:id="43" w:name="_Toc498936352"/>
      <w:r>
        <w:t>Relationship between the measures of completion at a regional level</w:t>
      </w:r>
      <w:bookmarkEnd w:id="43"/>
    </w:p>
    <w:p w:rsidR="00F07106" w:rsidRDefault="00F07106" w:rsidP="00F07106">
      <w:pPr>
        <w:pStyle w:val="Text"/>
      </w:pPr>
      <w:r>
        <w:t xml:space="preserve">Some regions across Australia have relative high levels of award completer rates and some have relatively high levels of subject completion.  Is there any relationship at the regional level between the two measures of VET completion?  Figure 5 plots the award completer rate against subject completion rate for each region.  </w:t>
      </w:r>
    </w:p>
    <w:p w:rsidR="00F07106" w:rsidRDefault="00BF3209" w:rsidP="00BF3209">
      <w:pPr>
        <w:pStyle w:val="Figuretitle"/>
      </w:pPr>
      <w:bookmarkStart w:id="44" w:name="_Toc498936243"/>
      <w:r>
        <w:t xml:space="preserve">Figure </w:t>
      </w:r>
      <w:r>
        <w:fldChar w:fldCharType="begin"/>
      </w:r>
      <w:r>
        <w:instrText xml:space="preserve"> SEQ Figure \* ARABIC </w:instrText>
      </w:r>
      <w:r>
        <w:fldChar w:fldCharType="separate"/>
      </w:r>
      <w:r>
        <w:rPr>
          <w:noProof/>
        </w:rPr>
        <w:t>5</w:t>
      </w:r>
      <w:r>
        <w:fldChar w:fldCharType="end"/>
      </w:r>
      <w:r>
        <w:tab/>
      </w:r>
      <w:r w:rsidR="00F07106" w:rsidRPr="00F07106">
        <w:t>Award completer rate and subject completion rate, compared, regions 2014</w:t>
      </w:r>
      <w:bookmarkEnd w:id="44"/>
    </w:p>
    <w:p w:rsidR="005310E8" w:rsidRDefault="005310E8" w:rsidP="00BF3209">
      <w:pPr>
        <w:pStyle w:val="Figuretitle"/>
      </w:pPr>
    </w:p>
    <w:p w:rsidR="00B91E46" w:rsidRDefault="005310E8" w:rsidP="00760FC1">
      <w:pPr>
        <w:pStyle w:val="Source"/>
        <w:jc w:val="center"/>
      </w:pPr>
      <w:r>
        <w:rPr>
          <w:rFonts w:ascii="Times New Roman" w:hAnsi="Times New Roman"/>
          <w:noProof/>
          <w:sz w:val="24"/>
          <w:szCs w:val="24"/>
          <w:lang w:eastAsia="en-AU"/>
        </w:rPr>
        <w:drawing>
          <wp:inline distT="0" distB="0" distL="0" distR="0" wp14:anchorId="46A070E3" wp14:editId="14179FD7">
            <wp:extent cx="3952875" cy="316477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61115" cy="3171372"/>
                    </a:xfrm>
                    <a:prstGeom prst="rect">
                      <a:avLst/>
                    </a:prstGeom>
                    <a:noFill/>
                    <a:ln>
                      <a:noFill/>
                    </a:ln>
                  </pic:spPr>
                </pic:pic>
              </a:graphicData>
            </a:graphic>
          </wp:inline>
        </w:drawing>
      </w:r>
    </w:p>
    <w:p w:rsidR="00F07106" w:rsidRDefault="00F07106" w:rsidP="00F07106">
      <w:pPr>
        <w:pStyle w:val="Source"/>
      </w:pPr>
      <w:r>
        <w:t>Source:</w:t>
      </w:r>
      <w:r>
        <w:tab/>
      </w:r>
      <w:r w:rsidRPr="00F07106">
        <w:t>Authors’ calculations from the VET Provider Collection, 2014</w:t>
      </w:r>
    </w:p>
    <w:p w:rsidR="00760FC1" w:rsidRDefault="00760FC1" w:rsidP="00760FC1">
      <w:pPr>
        <w:pStyle w:val="Text"/>
      </w:pPr>
      <w:r>
        <w:lastRenderedPageBreak/>
        <w:t xml:space="preserve">Figure 5 shows in general a positive predictive relationship between award completion and subject completion, this is not the case for all regions.  Some regions that are experiencing very high rates of subject completion simultaneously have low rates of course completion.  On the one hand, for some regions, success in subject completion is not translating to full course completion.  On the other hand, some regions, shown here on the top right-hand side of the chart, are succeeding at course completion and subject completion with high rates across both measures.  </w:t>
      </w:r>
    </w:p>
    <w:p w:rsidR="00AE4DE7" w:rsidRDefault="00AE4DE7" w:rsidP="00F07106">
      <w:pPr>
        <w:pStyle w:val="Text"/>
      </w:pPr>
    </w:p>
    <w:p w:rsidR="00760FC1" w:rsidRDefault="00760FC1">
      <w:pPr>
        <w:spacing w:before="0" w:line="240" w:lineRule="auto"/>
        <w:rPr>
          <w:rFonts w:ascii="Arial" w:hAnsi="Arial" w:cs="Tahoma"/>
          <w:color w:val="000000"/>
          <w:kern w:val="28"/>
          <w:sz w:val="56"/>
          <w:szCs w:val="56"/>
        </w:rPr>
      </w:pPr>
      <w:r>
        <w:br w:type="page"/>
      </w:r>
    </w:p>
    <w:p w:rsidR="00F07106" w:rsidRDefault="00F07106" w:rsidP="00F07106">
      <w:pPr>
        <w:pStyle w:val="Heading1"/>
      </w:pPr>
      <w:bookmarkStart w:id="45" w:name="_Toc498936353"/>
      <w:r>
        <w:lastRenderedPageBreak/>
        <w:t>Identifying regional drivers of VET participation</w:t>
      </w:r>
      <w:bookmarkEnd w:id="45"/>
    </w:p>
    <w:p w:rsidR="00F07106" w:rsidRDefault="00F07106" w:rsidP="00F07106">
      <w:pPr>
        <w:pStyle w:val="Heading2"/>
      </w:pPr>
      <w:bookmarkStart w:id="46" w:name="_Toc498936354"/>
      <w:r>
        <w:t>Model predicting regional VET participation</w:t>
      </w:r>
      <w:bookmarkEnd w:id="46"/>
    </w:p>
    <w:p w:rsidR="00F07106" w:rsidRDefault="00F07106" w:rsidP="00F07106">
      <w:pPr>
        <w:pStyle w:val="Text"/>
      </w:pPr>
      <w:proofErr w:type="gramStart"/>
      <w:r>
        <w:t xml:space="preserve">Regional-level VET participation rates presented in this </w:t>
      </w:r>
      <w:r w:rsidR="00760FC1">
        <w:t>report</w:t>
      </w:r>
      <w:r>
        <w:t xml:space="preserve"> show significant variation across Australia for all students and across different </w:t>
      </w:r>
      <w:r w:rsidR="00F60948">
        <w:t>target</w:t>
      </w:r>
      <w:r>
        <w:t xml:space="preserve"> groups.</w:t>
      </w:r>
      <w:proofErr w:type="gramEnd"/>
      <w:r>
        <w:t xml:space="preserve">  While provision factors, as explored above, impact on the profile of VET offerings in a region and thus the capacity to engage students in training, the demographic and economic characteristics of a region will also influence regional demand for VET.  Here, linear regression techniques are used to determine the relative impact of community-based drivers of VET performance.  These analyses draw on a range of demographic, economic and policy variables to predict levels of VET participation, and to better understand the impact these factors have on participation at a regional level, for all students and across different </w:t>
      </w:r>
      <w:r w:rsidR="00F60948">
        <w:t>target</w:t>
      </w:r>
      <w:r>
        <w:t xml:space="preserve"> groups.  </w:t>
      </w:r>
    </w:p>
    <w:p w:rsidR="00F07106" w:rsidRDefault="00F07106" w:rsidP="00F07106">
      <w:pPr>
        <w:pStyle w:val="Text"/>
      </w:pPr>
      <w:r>
        <w:t xml:space="preserve">The following demographic characteristics were derived at the SA3 level from the ABS Census of Population and Housing for 2011, and were used as independent variables in the model.  </w:t>
      </w:r>
      <w:r w:rsidR="003107B3">
        <w:t xml:space="preserve">The following </w:t>
      </w:r>
      <w:r>
        <w:t>regional elements were taken into consideration:</w:t>
      </w:r>
    </w:p>
    <w:p w:rsidR="0029140F" w:rsidRDefault="0029140F" w:rsidP="0029140F">
      <w:pPr>
        <w:pStyle w:val="Dotpoint1"/>
      </w:pPr>
      <w:r>
        <w:t>Proportion of young people (15 to 24 years)</w:t>
      </w:r>
    </w:p>
    <w:p w:rsidR="0029140F" w:rsidRDefault="0029140F" w:rsidP="0029140F">
      <w:pPr>
        <w:pStyle w:val="Dotpoint1"/>
      </w:pPr>
      <w:r>
        <w:t>Proportion of Indigenous people</w:t>
      </w:r>
    </w:p>
    <w:p w:rsidR="0029140F" w:rsidRDefault="003107B3" w:rsidP="0029140F">
      <w:pPr>
        <w:pStyle w:val="Dotpoint1"/>
      </w:pPr>
      <w:r>
        <w:t>Proportion of people with a language background o</w:t>
      </w:r>
      <w:r w:rsidR="0029140F">
        <w:t>ther than English</w:t>
      </w:r>
    </w:p>
    <w:p w:rsidR="0029140F" w:rsidRDefault="0029140F" w:rsidP="0029140F">
      <w:pPr>
        <w:pStyle w:val="Dotpoint1"/>
      </w:pPr>
      <w:r>
        <w:t>Proportion of people with low educational attainment (no Year 12 and no Certificate III or above)</w:t>
      </w:r>
    </w:p>
    <w:p w:rsidR="0029140F" w:rsidRDefault="0029140F" w:rsidP="0029140F">
      <w:pPr>
        <w:pStyle w:val="Dotpoint1"/>
      </w:pPr>
      <w:r>
        <w:t>Proportion of people with low income</w:t>
      </w:r>
    </w:p>
    <w:p w:rsidR="0029140F" w:rsidRDefault="0029140F" w:rsidP="0029140F">
      <w:pPr>
        <w:pStyle w:val="Dotpoint1"/>
      </w:pPr>
      <w:r>
        <w:t>Proportion of people with a severe disability</w:t>
      </w:r>
    </w:p>
    <w:p w:rsidR="00F07106" w:rsidRDefault="0029140F" w:rsidP="0029140F">
      <w:pPr>
        <w:pStyle w:val="Dotpoint1"/>
      </w:pPr>
      <w:r>
        <w:t>Proportion of people living in remote or very remote Australia.</w:t>
      </w:r>
    </w:p>
    <w:p w:rsidR="00F07106" w:rsidRDefault="00ED7B69" w:rsidP="002D5A50">
      <w:pPr>
        <w:pStyle w:val="Text"/>
      </w:pPr>
      <w:r w:rsidRPr="00ED7B69">
        <w:t>Regional characteristics used to describe the economic profile of a region were also obtained from the 2011 ABS Census at SA3 level.  To mini</w:t>
      </w:r>
      <w:r w:rsidR="003107B3">
        <w:t xml:space="preserve">mise the number of independent </w:t>
      </w:r>
      <w:r w:rsidRPr="00ED7B69">
        <w:t>variables in the regression model, correlations were used to combine some occupation categories and industry categories.  The following are the resultant categories representing economic characteristics of the region:</w:t>
      </w:r>
    </w:p>
    <w:p w:rsidR="00ED7B69" w:rsidRDefault="00ED7B69" w:rsidP="00ED7B69">
      <w:pPr>
        <w:pStyle w:val="Dotpoint1"/>
      </w:pPr>
      <w:r>
        <w:t>Proportion of unemployed people</w:t>
      </w:r>
    </w:p>
    <w:p w:rsidR="00ED7B69" w:rsidRDefault="00ED7B69" w:rsidP="00ED7B69">
      <w:pPr>
        <w:pStyle w:val="Dotpoint1"/>
      </w:pPr>
      <w:r>
        <w:t>Proportion of people working across occupations, grouped as follows:</w:t>
      </w:r>
    </w:p>
    <w:p w:rsidR="00ED7B69" w:rsidRDefault="00ED7B69" w:rsidP="00ED7B69">
      <w:pPr>
        <w:pStyle w:val="Dotpoint2"/>
      </w:pPr>
      <w:r>
        <w:t>Professionals</w:t>
      </w:r>
    </w:p>
    <w:p w:rsidR="00ED7B69" w:rsidRDefault="00ED7B69" w:rsidP="00ED7B69">
      <w:pPr>
        <w:pStyle w:val="Dotpoint2"/>
      </w:pPr>
      <w:r>
        <w:t>Managers</w:t>
      </w:r>
    </w:p>
    <w:p w:rsidR="00ED7B69" w:rsidRDefault="00ED7B69" w:rsidP="00ED7B69">
      <w:pPr>
        <w:pStyle w:val="Dotpoint2"/>
      </w:pPr>
      <w:r>
        <w:t>Technicians and Trades Workers</w:t>
      </w:r>
    </w:p>
    <w:p w:rsidR="00ED7B69" w:rsidRDefault="00ED7B69" w:rsidP="00ED7B69">
      <w:pPr>
        <w:pStyle w:val="Dotpoint2"/>
      </w:pPr>
      <w:r>
        <w:t>Community and Personal Service Workers</w:t>
      </w:r>
    </w:p>
    <w:p w:rsidR="00ED7B69" w:rsidRDefault="00ED7B69" w:rsidP="00ED7B69">
      <w:pPr>
        <w:pStyle w:val="Dotpoint2"/>
      </w:pPr>
      <w:r>
        <w:t>Clerical, Administrative and Sales Workers</w:t>
      </w:r>
    </w:p>
    <w:p w:rsidR="00ED7B69" w:rsidRDefault="00ED7B69" w:rsidP="00ED7B69">
      <w:pPr>
        <w:pStyle w:val="Dotpoint2"/>
      </w:pPr>
      <w:r>
        <w:t>Machinery Operators, Drivers and Labourers</w:t>
      </w:r>
    </w:p>
    <w:p w:rsidR="00ED7B69" w:rsidRDefault="00ED7B69" w:rsidP="00ED7B69">
      <w:pPr>
        <w:pStyle w:val="Dotpoint1"/>
      </w:pPr>
      <w:r>
        <w:t>Proportion of people working across industries, grouped as follows:</w:t>
      </w:r>
    </w:p>
    <w:p w:rsidR="00ED7B69" w:rsidRDefault="00ED7B69" w:rsidP="00ED7B69">
      <w:pPr>
        <w:pStyle w:val="Dotpoint2"/>
      </w:pPr>
      <w:r>
        <w:lastRenderedPageBreak/>
        <w:t>Agriculture, Forestry and Fishing</w:t>
      </w:r>
    </w:p>
    <w:p w:rsidR="00ED7B69" w:rsidRDefault="00ED7B69" w:rsidP="00ED7B69">
      <w:pPr>
        <w:pStyle w:val="Dotpoint2"/>
      </w:pPr>
      <w:r>
        <w:t>Mining</w:t>
      </w:r>
    </w:p>
    <w:p w:rsidR="00ED7B69" w:rsidRDefault="00ED7B69" w:rsidP="00ED7B69">
      <w:pPr>
        <w:pStyle w:val="Dotpoint2"/>
      </w:pPr>
      <w:r>
        <w:t>Manufacturing, Transport, Postal and Warehousing</w:t>
      </w:r>
    </w:p>
    <w:p w:rsidR="00ED7B69" w:rsidRDefault="00ED7B69" w:rsidP="00ED7B69">
      <w:pPr>
        <w:pStyle w:val="Dotpoint2"/>
      </w:pPr>
      <w:r>
        <w:t>Construction, Electricity, Gas, Water and Waste Services</w:t>
      </w:r>
    </w:p>
    <w:p w:rsidR="00ED7B69" w:rsidRDefault="00ED7B69" w:rsidP="00ED7B69">
      <w:pPr>
        <w:pStyle w:val="Dotpoint2"/>
      </w:pPr>
      <w:r>
        <w:t>Wholesale, Retail and Other Services</w:t>
      </w:r>
    </w:p>
    <w:p w:rsidR="00ED7B69" w:rsidRDefault="00ED7B69" w:rsidP="00ED7B69">
      <w:pPr>
        <w:pStyle w:val="Dotpoint2"/>
      </w:pPr>
      <w:r>
        <w:t>Accommodation, Food, Rental, Hiring and Real Estate  Services</w:t>
      </w:r>
    </w:p>
    <w:p w:rsidR="00ED7B69" w:rsidRDefault="00ED7B69" w:rsidP="00ED7B69">
      <w:pPr>
        <w:pStyle w:val="Dotpoint2"/>
      </w:pPr>
      <w:r>
        <w:t>Information Media and Telecommunications, Financial and Insurance, Professional, Scientific and Technical Services</w:t>
      </w:r>
    </w:p>
    <w:p w:rsidR="00ED7B69" w:rsidRDefault="00ED7B69" w:rsidP="00ED7B69">
      <w:pPr>
        <w:pStyle w:val="Dotpoint2"/>
      </w:pPr>
      <w:r>
        <w:t>Public Administration and Safety, Arts and Recreation Services</w:t>
      </w:r>
    </w:p>
    <w:p w:rsidR="00ED7B69" w:rsidRDefault="00ED7B69" w:rsidP="00ED7B69">
      <w:pPr>
        <w:pStyle w:val="Dotpoint2"/>
      </w:pPr>
      <w:r>
        <w:t>Education and Training</w:t>
      </w:r>
    </w:p>
    <w:p w:rsidR="00ED7B69" w:rsidRDefault="00ED7B69" w:rsidP="00ED7B69">
      <w:pPr>
        <w:pStyle w:val="Dotpoint2"/>
      </w:pPr>
      <w:r>
        <w:t>Health Care and Social Assistance.</w:t>
      </w:r>
    </w:p>
    <w:p w:rsidR="0021592C" w:rsidRDefault="0021592C" w:rsidP="0021592C">
      <w:pPr>
        <w:pStyle w:val="Heading2"/>
      </w:pPr>
      <w:bookmarkStart w:id="47" w:name="_Toc498936355"/>
      <w:r>
        <w:t>Variance analysis</w:t>
      </w:r>
      <w:bookmarkEnd w:id="47"/>
    </w:p>
    <w:p w:rsidR="0021592C" w:rsidRDefault="0021592C" w:rsidP="0021592C">
      <w:pPr>
        <w:pStyle w:val="Text"/>
      </w:pPr>
      <w:r>
        <w:t>The results from the regression analyses show that the model designed to identify regional drivers of participation in VET is robust.  As shown in Table 6, overall, the model is a strong fit, explaining 74.1</w:t>
      </w:r>
      <w:r w:rsidR="00535373">
        <w:t xml:space="preserve"> per cent</w:t>
      </w:r>
      <w:r>
        <w:t xml:space="preserve"> of the variation in participation between regions, leaving about a quarter of the difference unexplained by the model.  As single blocks of factors, economic characteristics of a region are most influential explaining 44.1</w:t>
      </w:r>
      <w:r w:rsidR="00535373">
        <w:t xml:space="preserve"> per cent</w:t>
      </w:r>
      <w:r>
        <w:t xml:space="preserve"> of the variation.  Demographic factors, as a block, explain 36.2</w:t>
      </w:r>
      <w:r w:rsidR="00535373">
        <w:t xml:space="preserve"> per cent</w:t>
      </w:r>
      <w:r>
        <w:t xml:space="preserve"> of the regional variation, while policy factors (or state differences) on their own account for 27.3</w:t>
      </w:r>
      <w:r w:rsidR="00535373">
        <w:t xml:space="preserve"> per cent</w:t>
      </w:r>
      <w:r>
        <w:t xml:space="preserve"> of the variance.  It is, however, the combination of all three sets of factors which is able to most strongly predict VET participation.  </w:t>
      </w:r>
    </w:p>
    <w:p w:rsidR="0021592C" w:rsidRPr="0084062F" w:rsidRDefault="0021592C" w:rsidP="00547237">
      <w:pPr>
        <w:pStyle w:val="tabletitle"/>
      </w:pPr>
      <w:bookmarkStart w:id="48" w:name="_Toc454947014"/>
      <w:bookmarkStart w:id="49" w:name="_Toc498936234"/>
      <w:r>
        <w:t xml:space="preserve">Table </w:t>
      </w:r>
      <w:r>
        <w:fldChar w:fldCharType="begin"/>
      </w:r>
      <w:r>
        <w:instrText xml:space="preserve"> SEQ Table \* ARABIC </w:instrText>
      </w:r>
      <w:r>
        <w:fldChar w:fldCharType="separate"/>
      </w:r>
      <w:r w:rsidR="00BF3209">
        <w:rPr>
          <w:noProof/>
        </w:rPr>
        <w:t>6</w:t>
      </w:r>
      <w:r>
        <w:fldChar w:fldCharType="end"/>
      </w:r>
      <w:r>
        <w:tab/>
      </w:r>
      <w:r w:rsidRPr="0084062F">
        <w:t>Variance analysis of factors influencing</w:t>
      </w:r>
      <w:r>
        <w:t xml:space="preserve"> regional</w:t>
      </w:r>
      <w:r w:rsidRPr="0084062F">
        <w:t xml:space="preserve"> VET participation</w:t>
      </w:r>
      <w:bookmarkEnd w:id="48"/>
      <w:bookmarkEnd w:id="49"/>
    </w:p>
    <w:tbl>
      <w:tblPr>
        <w:tblW w:w="5000" w:type="pct"/>
        <w:tblLook w:val="04A0" w:firstRow="1" w:lastRow="0" w:firstColumn="1" w:lastColumn="0" w:noHBand="0" w:noVBand="1"/>
      </w:tblPr>
      <w:tblGrid>
        <w:gridCol w:w="2021"/>
        <w:gridCol w:w="1138"/>
        <w:gridCol w:w="1087"/>
        <w:gridCol w:w="1087"/>
        <w:gridCol w:w="1087"/>
        <w:gridCol w:w="1215"/>
        <w:gridCol w:w="1369"/>
      </w:tblGrid>
      <w:tr w:rsidR="0021592C" w:rsidRPr="008855F0" w:rsidTr="004574C7">
        <w:trPr>
          <w:trHeight w:val="300"/>
        </w:trPr>
        <w:tc>
          <w:tcPr>
            <w:tcW w:w="1127" w:type="pct"/>
            <w:tcBorders>
              <w:top w:val="single" w:sz="4" w:space="0" w:color="auto"/>
              <w:left w:val="nil"/>
              <w:bottom w:val="nil"/>
              <w:right w:val="nil"/>
            </w:tcBorders>
            <w:shd w:val="clear" w:color="auto" w:fill="auto"/>
            <w:noWrap/>
            <w:vAlign w:val="bottom"/>
            <w:hideMark/>
          </w:tcPr>
          <w:p w:rsidR="0021592C" w:rsidRPr="008855F0" w:rsidRDefault="0021592C" w:rsidP="004574C7">
            <w:pPr>
              <w:pStyle w:val="Tablehead1"/>
              <w:jc w:val="center"/>
              <w:rPr>
                <w:lang w:eastAsia="en-AU"/>
              </w:rPr>
            </w:pPr>
          </w:p>
        </w:tc>
        <w:tc>
          <w:tcPr>
            <w:tcW w:w="3873" w:type="pct"/>
            <w:gridSpan w:val="6"/>
            <w:tcBorders>
              <w:top w:val="single" w:sz="4" w:space="0" w:color="auto"/>
              <w:left w:val="nil"/>
              <w:bottom w:val="nil"/>
              <w:right w:val="nil"/>
            </w:tcBorders>
            <w:shd w:val="clear" w:color="auto" w:fill="auto"/>
            <w:noWrap/>
            <w:vAlign w:val="center"/>
            <w:hideMark/>
          </w:tcPr>
          <w:p w:rsidR="0021592C" w:rsidRPr="008855F0" w:rsidRDefault="0021592C" w:rsidP="004574C7">
            <w:pPr>
              <w:pStyle w:val="Tablehead1"/>
              <w:jc w:val="center"/>
              <w:rPr>
                <w:lang w:eastAsia="en-AU"/>
              </w:rPr>
            </w:pPr>
            <w:r w:rsidRPr="008855F0">
              <w:rPr>
                <w:bCs/>
                <w:sz w:val="16"/>
                <w:szCs w:val="16"/>
                <w:lang w:eastAsia="en-AU"/>
              </w:rPr>
              <w:t>Adjusted R</w:t>
            </w:r>
            <w:r w:rsidRPr="008855F0">
              <w:rPr>
                <w:bCs/>
                <w:sz w:val="16"/>
                <w:szCs w:val="16"/>
                <w:vertAlign w:val="superscript"/>
                <w:lang w:eastAsia="en-AU"/>
              </w:rPr>
              <w:t xml:space="preserve">2 </w:t>
            </w:r>
            <w:r w:rsidRPr="008855F0">
              <w:rPr>
                <w:bCs/>
                <w:sz w:val="16"/>
                <w:szCs w:val="16"/>
                <w:lang w:eastAsia="en-AU"/>
              </w:rPr>
              <w:t>(expressed as percentage)</w:t>
            </w:r>
          </w:p>
        </w:tc>
      </w:tr>
      <w:tr w:rsidR="0021592C" w:rsidRPr="00C261A7" w:rsidTr="0021592C">
        <w:trPr>
          <w:trHeight w:val="315"/>
        </w:trPr>
        <w:tc>
          <w:tcPr>
            <w:tcW w:w="1127" w:type="pct"/>
            <w:tcBorders>
              <w:top w:val="single" w:sz="4" w:space="0" w:color="auto"/>
              <w:left w:val="nil"/>
              <w:bottom w:val="single" w:sz="8" w:space="0" w:color="auto"/>
              <w:right w:val="nil"/>
            </w:tcBorders>
            <w:shd w:val="clear" w:color="auto" w:fill="auto"/>
            <w:noWrap/>
            <w:vAlign w:val="center"/>
            <w:hideMark/>
          </w:tcPr>
          <w:p w:rsidR="0021592C" w:rsidRPr="00C261A7" w:rsidRDefault="0021592C" w:rsidP="00547237">
            <w:pPr>
              <w:pStyle w:val="Tablehead2"/>
              <w:rPr>
                <w:lang w:eastAsia="en-AU"/>
              </w:rPr>
            </w:pPr>
            <w:r w:rsidRPr="00C261A7">
              <w:rPr>
                <w:lang w:eastAsia="en-AU"/>
              </w:rPr>
              <w:t>Regional characteristics</w:t>
            </w:r>
          </w:p>
        </w:tc>
        <w:tc>
          <w:tcPr>
            <w:tcW w:w="649" w:type="pct"/>
            <w:tcBorders>
              <w:top w:val="single" w:sz="4" w:space="0" w:color="auto"/>
              <w:left w:val="nil"/>
              <w:bottom w:val="single" w:sz="8" w:space="0" w:color="auto"/>
              <w:right w:val="nil"/>
            </w:tcBorders>
            <w:shd w:val="clear" w:color="auto" w:fill="auto"/>
            <w:noWrap/>
            <w:vAlign w:val="center"/>
            <w:hideMark/>
          </w:tcPr>
          <w:p w:rsidR="0021592C" w:rsidRPr="00C261A7" w:rsidRDefault="0021592C" w:rsidP="00547237">
            <w:pPr>
              <w:pStyle w:val="Tablehead2"/>
              <w:rPr>
                <w:bCs/>
                <w:lang w:eastAsia="en-AU"/>
              </w:rPr>
            </w:pPr>
            <w:r w:rsidRPr="00C261A7">
              <w:rPr>
                <w:bCs/>
                <w:lang w:eastAsia="en-AU"/>
              </w:rPr>
              <w:t>All Students</w:t>
            </w:r>
          </w:p>
        </w:tc>
        <w:tc>
          <w:tcPr>
            <w:tcW w:w="615" w:type="pct"/>
            <w:tcBorders>
              <w:top w:val="single" w:sz="4" w:space="0" w:color="auto"/>
              <w:left w:val="nil"/>
              <w:bottom w:val="single" w:sz="8" w:space="0" w:color="auto"/>
              <w:right w:val="nil"/>
            </w:tcBorders>
            <w:shd w:val="clear" w:color="auto" w:fill="auto"/>
            <w:noWrap/>
            <w:vAlign w:val="center"/>
            <w:hideMark/>
          </w:tcPr>
          <w:p w:rsidR="0021592C" w:rsidRPr="00C261A7" w:rsidRDefault="0021592C" w:rsidP="00547237">
            <w:pPr>
              <w:pStyle w:val="Tablehead2"/>
              <w:rPr>
                <w:bCs/>
                <w:lang w:eastAsia="en-AU"/>
              </w:rPr>
            </w:pPr>
            <w:r w:rsidRPr="00C261A7">
              <w:rPr>
                <w:bCs/>
                <w:lang w:eastAsia="en-AU"/>
              </w:rPr>
              <w:t>Indigenous</w:t>
            </w:r>
          </w:p>
        </w:tc>
        <w:tc>
          <w:tcPr>
            <w:tcW w:w="615" w:type="pct"/>
            <w:tcBorders>
              <w:top w:val="single" w:sz="4" w:space="0" w:color="auto"/>
              <w:left w:val="nil"/>
              <w:bottom w:val="single" w:sz="8" w:space="0" w:color="auto"/>
              <w:right w:val="nil"/>
            </w:tcBorders>
            <w:shd w:val="clear" w:color="auto" w:fill="auto"/>
            <w:noWrap/>
            <w:vAlign w:val="center"/>
            <w:hideMark/>
          </w:tcPr>
          <w:p w:rsidR="0021592C" w:rsidRPr="00C261A7" w:rsidRDefault="0021592C" w:rsidP="00547237">
            <w:pPr>
              <w:pStyle w:val="Tablehead2"/>
              <w:rPr>
                <w:bCs/>
                <w:lang w:eastAsia="en-AU"/>
              </w:rPr>
            </w:pPr>
            <w:r w:rsidRPr="00C261A7">
              <w:rPr>
                <w:bCs/>
                <w:lang w:eastAsia="en-AU"/>
              </w:rPr>
              <w:t>Disability</w:t>
            </w:r>
          </w:p>
        </w:tc>
        <w:tc>
          <w:tcPr>
            <w:tcW w:w="615" w:type="pct"/>
            <w:tcBorders>
              <w:top w:val="single" w:sz="4" w:space="0" w:color="auto"/>
              <w:left w:val="nil"/>
              <w:bottom w:val="single" w:sz="8" w:space="0" w:color="auto"/>
              <w:right w:val="nil"/>
            </w:tcBorders>
            <w:shd w:val="clear" w:color="auto" w:fill="auto"/>
            <w:noWrap/>
            <w:vAlign w:val="center"/>
            <w:hideMark/>
          </w:tcPr>
          <w:p w:rsidR="0021592C" w:rsidRPr="00C261A7" w:rsidRDefault="0021592C" w:rsidP="00547237">
            <w:pPr>
              <w:pStyle w:val="Tablehead2"/>
              <w:rPr>
                <w:bCs/>
                <w:lang w:eastAsia="en-AU"/>
              </w:rPr>
            </w:pPr>
            <w:r w:rsidRPr="00C261A7">
              <w:rPr>
                <w:bCs/>
                <w:lang w:eastAsia="en-AU"/>
              </w:rPr>
              <w:t>LBOTE</w:t>
            </w:r>
          </w:p>
        </w:tc>
        <w:tc>
          <w:tcPr>
            <w:tcW w:w="686" w:type="pct"/>
            <w:tcBorders>
              <w:top w:val="single" w:sz="4" w:space="0" w:color="auto"/>
              <w:left w:val="nil"/>
              <w:bottom w:val="single" w:sz="8" w:space="0" w:color="auto"/>
              <w:right w:val="nil"/>
            </w:tcBorders>
            <w:shd w:val="clear" w:color="auto" w:fill="auto"/>
            <w:noWrap/>
            <w:vAlign w:val="center"/>
            <w:hideMark/>
          </w:tcPr>
          <w:p w:rsidR="0021592C" w:rsidRPr="00C261A7" w:rsidRDefault="0021592C" w:rsidP="00547237">
            <w:pPr>
              <w:pStyle w:val="Tablehead2"/>
              <w:rPr>
                <w:bCs/>
                <w:lang w:eastAsia="en-AU"/>
              </w:rPr>
            </w:pPr>
            <w:r w:rsidRPr="00C261A7">
              <w:rPr>
                <w:bCs/>
                <w:lang w:eastAsia="en-AU"/>
              </w:rPr>
              <w:t>Unemployed</w:t>
            </w:r>
          </w:p>
        </w:tc>
        <w:tc>
          <w:tcPr>
            <w:tcW w:w="693" w:type="pct"/>
            <w:tcBorders>
              <w:top w:val="single" w:sz="4" w:space="0" w:color="auto"/>
              <w:left w:val="nil"/>
              <w:bottom w:val="single" w:sz="8" w:space="0" w:color="auto"/>
              <w:right w:val="nil"/>
            </w:tcBorders>
            <w:shd w:val="clear" w:color="auto" w:fill="auto"/>
            <w:noWrap/>
            <w:vAlign w:val="center"/>
            <w:hideMark/>
          </w:tcPr>
          <w:p w:rsidR="0021592C" w:rsidRPr="00C261A7" w:rsidRDefault="0021592C" w:rsidP="00547237">
            <w:pPr>
              <w:pStyle w:val="Tablehead2"/>
              <w:rPr>
                <w:bCs/>
                <w:lang w:eastAsia="en-AU"/>
              </w:rPr>
            </w:pPr>
            <w:r w:rsidRPr="00C261A7">
              <w:rPr>
                <w:bCs/>
                <w:lang w:eastAsia="en-AU"/>
              </w:rPr>
              <w:t>Low attainment</w:t>
            </w:r>
          </w:p>
        </w:tc>
      </w:tr>
      <w:tr w:rsidR="0021592C" w:rsidRPr="008855F0" w:rsidTr="0021592C">
        <w:trPr>
          <w:trHeight w:val="300"/>
        </w:trPr>
        <w:tc>
          <w:tcPr>
            <w:tcW w:w="1127" w:type="pct"/>
            <w:tcBorders>
              <w:top w:val="nil"/>
              <w:left w:val="nil"/>
              <w:bottom w:val="nil"/>
              <w:right w:val="nil"/>
            </w:tcBorders>
            <w:shd w:val="clear" w:color="auto" w:fill="auto"/>
            <w:noWrap/>
            <w:vAlign w:val="center"/>
            <w:hideMark/>
          </w:tcPr>
          <w:p w:rsidR="0021592C" w:rsidRPr="008855F0" w:rsidRDefault="0021592C" w:rsidP="00547237">
            <w:pPr>
              <w:pStyle w:val="Tabletext"/>
              <w:rPr>
                <w:lang w:eastAsia="en-AU"/>
              </w:rPr>
            </w:pPr>
            <w:r w:rsidRPr="008855F0">
              <w:rPr>
                <w:lang w:eastAsia="en-AU"/>
              </w:rPr>
              <w:t>Economic</w:t>
            </w:r>
          </w:p>
        </w:tc>
        <w:tc>
          <w:tcPr>
            <w:tcW w:w="649" w:type="pct"/>
            <w:tcBorders>
              <w:top w:val="nil"/>
              <w:left w:val="nil"/>
              <w:bottom w:val="nil"/>
              <w:right w:val="nil"/>
            </w:tcBorders>
            <w:shd w:val="clear" w:color="auto" w:fill="auto"/>
            <w:noWrap/>
            <w:vAlign w:val="center"/>
            <w:hideMark/>
          </w:tcPr>
          <w:p w:rsidR="0021592C" w:rsidRPr="008855F0" w:rsidRDefault="0021592C" w:rsidP="00547237">
            <w:pPr>
              <w:pStyle w:val="Tabletext"/>
              <w:rPr>
                <w:lang w:eastAsia="en-AU"/>
              </w:rPr>
            </w:pPr>
            <w:r w:rsidRPr="008855F0">
              <w:rPr>
                <w:lang w:eastAsia="en-AU"/>
              </w:rPr>
              <w:t>44.1</w:t>
            </w:r>
          </w:p>
        </w:tc>
        <w:tc>
          <w:tcPr>
            <w:tcW w:w="615" w:type="pct"/>
            <w:tcBorders>
              <w:top w:val="nil"/>
              <w:left w:val="nil"/>
              <w:bottom w:val="nil"/>
              <w:right w:val="nil"/>
            </w:tcBorders>
            <w:shd w:val="clear" w:color="auto" w:fill="auto"/>
            <w:noWrap/>
            <w:vAlign w:val="center"/>
            <w:hideMark/>
          </w:tcPr>
          <w:p w:rsidR="0021592C" w:rsidRPr="008855F0" w:rsidRDefault="0021592C" w:rsidP="00547237">
            <w:pPr>
              <w:pStyle w:val="Tabletext"/>
              <w:rPr>
                <w:lang w:eastAsia="en-AU"/>
              </w:rPr>
            </w:pPr>
            <w:r w:rsidRPr="008855F0">
              <w:rPr>
                <w:lang w:eastAsia="en-AU"/>
              </w:rPr>
              <w:t>9.4</w:t>
            </w:r>
          </w:p>
        </w:tc>
        <w:tc>
          <w:tcPr>
            <w:tcW w:w="615" w:type="pct"/>
            <w:tcBorders>
              <w:top w:val="nil"/>
              <w:left w:val="nil"/>
              <w:bottom w:val="nil"/>
              <w:right w:val="nil"/>
            </w:tcBorders>
            <w:shd w:val="clear" w:color="auto" w:fill="auto"/>
            <w:noWrap/>
            <w:vAlign w:val="center"/>
            <w:hideMark/>
          </w:tcPr>
          <w:p w:rsidR="0021592C" w:rsidRPr="008855F0" w:rsidRDefault="0021592C" w:rsidP="00547237">
            <w:pPr>
              <w:pStyle w:val="Tabletext"/>
              <w:rPr>
                <w:lang w:eastAsia="en-AU"/>
              </w:rPr>
            </w:pPr>
            <w:r w:rsidRPr="008855F0">
              <w:rPr>
                <w:lang w:eastAsia="en-AU"/>
              </w:rPr>
              <w:t>42.5</w:t>
            </w:r>
          </w:p>
        </w:tc>
        <w:tc>
          <w:tcPr>
            <w:tcW w:w="615" w:type="pct"/>
            <w:tcBorders>
              <w:top w:val="nil"/>
              <w:left w:val="nil"/>
              <w:bottom w:val="nil"/>
              <w:right w:val="nil"/>
            </w:tcBorders>
            <w:shd w:val="clear" w:color="auto" w:fill="auto"/>
            <w:noWrap/>
            <w:vAlign w:val="center"/>
            <w:hideMark/>
          </w:tcPr>
          <w:p w:rsidR="0021592C" w:rsidRPr="008855F0" w:rsidRDefault="0021592C" w:rsidP="00547237">
            <w:pPr>
              <w:pStyle w:val="Tabletext"/>
              <w:rPr>
                <w:lang w:eastAsia="en-AU"/>
              </w:rPr>
            </w:pPr>
            <w:r w:rsidRPr="008855F0">
              <w:rPr>
                <w:lang w:eastAsia="en-AU"/>
              </w:rPr>
              <w:t>19</w:t>
            </w:r>
            <w:r>
              <w:rPr>
                <w:lang w:eastAsia="en-AU"/>
              </w:rPr>
              <w:t>.0</w:t>
            </w:r>
          </w:p>
        </w:tc>
        <w:tc>
          <w:tcPr>
            <w:tcW w:w="686" w:type="pct"/>
            <w:tcBorders>
              <w:top w:val="nil"/>
              <w:left w:val="nil"/>
              <w:bottom w:val="nil"/>
              <w:right w:val="nil"/>
            </w:tcBorders>
            <w:shd w:val="clear" w:color="auto" w:fill="auto"/>
            <w:noWrap/>
            <w:vAlign w:val="center"/>
            <w:hideMark/>
          </w:tcPr>
          <w:p w:rsidR="0021592C" w:rsidRPr="008855F0" w:rsidRDefault="0021592C" w:rsidP="00547237">
            <w:pPr>
              <w:pStyle w:val="Tabletext"/>
              <w:rPr>
                <w:lang w:eastAsia="en-AU"/>
              </w:rPr>
            </w:pPr>
            <w:r w:rsidRPr="008855F0">
              <w:rPr>
                <w:lang w:eastAsia="en-AU"/>
              </w:rPr>
              <w:t>23.1</w:t>
            </w:r>
          </w:p>
        </w:tc>
        <w:tc>
          <w:tcPr>
            <w:tcW w:w="693" w:type="pct"/>
            <w:tcBorders>
              <w:top w:val="nil"/>
              <w:left w:val="nil"/>
              <w:bottom w:val="nil"/>
              <w:right w:val="nil"/>
            </w:tcBorders>
            <w:shd w:val="clear" w:color="auto" w:fill="auto"/>
            <w:noWrap/>
            <w:vAlign w:val="center"/>
            <w:hideMark/>
          </w:tcPr>
          <w:p w:rsidR="0021592C" w:rsidRPr="008855F0" w:rsidRDefault="0021592C" w:rsidP="00547237">
            <w:pPr>
              <w:pStyle w:val="Tabletext"/>
              <w:rPr>
                <w:lang w:eastAsia="en-AU"/>
              </w:rPr>
            </w:pPr>
            <w:r w:rsidRPr="008855F0">
              <w:rPr>
                <w:lang w:eastAsia="en-AU"/>
              </w:rPr>
              <w:t>18.3</w:t>
            </w:r>
          </w:p>
        </w:tc>
      </w:tr>
      <w:tr w:rsidR="0021592C" w:rsidRPr="008855F0" w:rsidTr="0021592C">
        <w:trPr>
          <w:trHeight w:val="300"/>
        </w:trPr>
        <w:tc>
          <w:tcPr>
            <w:tcW w:w="1127" w:type="pct"/>
            <w:tcBorders>
              <w:top w:val="nil"/>
              <w:left w:val="nil"/>
              <w:bottom w:val="nil"/>
              <w:right w:val="nil"/>
            </w:tcBorders>
            <w:shd w:val="clear" w:color="auto" w:fill="auto"/>
            <w:noWrap/>
            <w:vAlign w:val="center"/>
            <w:hideMark/>
          </w:tcPr>
          <w:p w:rsidR="0021592C" w:rsidRPr="008855F0" w:rsidRDefault="0021592C" w:rsidP="00547237">
            <w:pPr>
              <w:pStyle w:val="Tabletext"/>
              <w:rPr>
                <w:lang w:eastAsia="en-AU"/>
              </w:rPr>
            </w:pPr>
            <w:r w:rsidRPr="008855F0">
              <w:rPr>
                <w:lang w:eastAsia="en-AU"/>
              </w:rPr>
              <w:t>Demographic</w:t>
            </w:r>
          </w:p>
        </w:tc>
        <w:tc>
          <w:tcPr>
            <w:tcW w:w="649" w:type="pct"/>
            <w:tcBorders>
              <w:top w:val="nil"/>
              <w:left w:val="nil"/>
              <w:bottom w:val="nil"/>
              <w:right w:val="nil"/>
            </w:tcBorders>
            <w:shd w:val="clear" w:color="auto" w:fill="auto"/>
            <w:noWrap/>
            <w:vAlign w:val="center"/>
            <w:hideMark/>
          </w:tcPr>
          <w:p w:rsidR="0021592C" w:rsidRPr="008855F0" w:rsidRDefault="0021592C" w:rsidP="00547237">
            <w:pPr>
              <w:pStyle w:val="Tabletext"/>
              <w:rPr>
                <w:lang w:eastAsia="en-AU"/>
              </w:rPr>
            </w:pPr>
            <w:r w:rsidRPr="008855F0">
              <w:rPr>
                <w:lang w:eastAsia="en-AU"/>
              </w:rPr>
              <w:t>36.2</w:t>
            </w:r>
          </w:p>
        </w:tc>
        <w:tc>
          <w:tcPr>
            <w:tcW w:w="615" w:type="pct"/>
            <w:tcBorders>
              <w:top w:val="nil"/>
              <w:left w:val="nil"/>
              <w:bottom w:val="nil"/>
              <w:right w:val="nil"/>
            </w:tcBorders>
            <w:shd w:val="clear" w:color="auto" w:fill="auto"/>
            <w:noWrap/>
            <w:vAlign w:val="center"/>
            <w:hideMark/>
          </w:tcPr>
          <w:p w:rsidR="0021592C" w:rsidRPr="008855F0" w:rsidRDefault="0021592C" w:rsidP="00547237">
            <w:pPr>
              <w:pStyle w:val="Tabletext"/>
              <w:rPr>
                <w:lang w:eastAsia="en-AU"/>
              </w:rPr>
            </w:pPr>
            <w:r w:rsidRPr="008855F0">
              <w:rPr>
                <w:lang w:eastAsia="en-AU"/>
              </w:rPr>
              <w:t>2.5</w:t>
            </w:r>
          </w:p>
        </w:tc>
        <w:tc>
          <w:tcPr>
            <w:tcW w:w="615" w:type="pct"/>
            <w:tcBorders>
              <w:top w:val="nil"/>
              <w:left w:val="nil"/>
              <w:bottom w:val="nil"/>
              <w:right w:val="nil"/>
            </w:tcBorders>
            <w:shd w:val="clear" w:color="auto" w:fill="auto"/>
            <w:noWrap/>
            <w:vAlign w:val="center"/>
            <w:hideMark/>
          </w:tcPr>
          <w:p w:rsidR="0021592C" w:rsidRPr="008855F0" w:rsidRDefault="0021592C" w:rsidP="00547237">
            <w:pPr>
              <w:pStyle w:val="Tabletext"/>
              <w:rPr>
                <w:lang w:eastAsia="en-AU"/>
              </w:rPr>
            </w:pPr>
            <w:r w:rsidRPr="008855F0">
              <w:rPr>
                <w:lang w:eastAsia="en-AU"/>
              </w:rPr>
              <w:t>39.5</w:t>
            </w:r>
          </w:p>
        </w:tc>
        <w:tc>
          <w:tcPr>
            <w:tcW w:w="615" w:type="pct"/>
            <w:tcBorders>
              <w:top w:val="nil"/>
              <w:left w:val="nil"/>
              <w:bottom w:val="nil"/>
              <w:right w:val="nil"/>
            </w:tcBorders>
            <w:shd w:val="clear" w:color="auto" w:fill="auto"/>
            <w:noWrap/>
            <w:vAlign w:val="center"/>
            <w:hideMark/>
          </w:tcPr>
          <w:p w:rsidR="0021592C" w:rsidRPr="008855F0" w:rsidRDefault="0021592C" w:rsidP="00547237">
            <w:pPr>
              <w:pStyle w:val="Tabletext"/>
              <w:rPr>
                <w:lang w:eastAsia="en-AU"/>
              </w:rPr>
            </w:pPr>
            <w:r w:rsidRPr="008855F0">
              <w:rPr>
                <w:lang w:eastAsia="en-AU"/>
              </w:rPr>
              <w:t>13.6</w:t>
            </w:r>
          </w:p>
        </w:tc>
        <w:tc>
          <w:tcPr>
            <w:tcW w:w="686" w:type="pct"/>
            <w:tcBorders>
              <w:top w:val="nil"/>
              <w:left w:val="nil"/>
              <w:bottom w:val="nil"/>
              <w:right w:val="nil"/>
            </w:tcBorders>
            <w:shd w:val="clear" w:color="auto" w:fill="auto"/>
            <w:noWrap/>
            <w:vAlign w:val="center"/>
            <w:hideMark/>
          </w:tcPr>
          <w:p w:rsidR="0021592C" w:rsidRPr="008855F0" w:rsidRDefault="0021592C" w:rsidP="00547237">
            <w:pPr>
              <w:pStyle w:val="Tabletext"/>
              <w:rPr>
                <w:lang w:eastAsia="en-AU"/>
              </w:rPr>
            </w:pPr>
            <w:r w:rsidRPr="008855F0">
              <w:rPr>
                <w:lang w:eastAsia="en-AU"/>
              </w:rPr>
              <w:t>16.1</w:t>
            </w:r>
          </w:p>
        </w:tc>
        <w:tc>
          <w:tcPr>
            <w:tcW w:w="693" w:type="pct"/>
            <w:tcBorders>
              <w:top w:val="nil"/>
              <w:left w:val="nil"/>
              <w:bottom w:val="nil"/>
              <w:right w:val="nil"/>
            </w:tcBorders>
            <w:shd w:val="clear" w:color="auto" w:fill="auto"/>
            <w:noWrap/>
            <w:vAlign w:val="center"/>
            <w:hideMark/>
          </w:tcPr>
          <w:p w:rsidR="0021592C" w:rsidRPr="008855F0" w:rsidRDefault="0021592C" w:rsidP="00547237">
            <w:pPr>
              <w:pStyle w:val="Tabletext"/>
              <w:rPr>
                <w:lang w:eastAsia="en-AU"/>
              </w:rPr>
            </w:pPr>
            <w:r w:rsidRPr="008855F0">
              <w:rPr>
                <w:lang w:eastAsia="en-AU"/>
              </w:rPr>
              <w:t>5.5</w:t>
            </w:r>
          </w:p>
        </w:tc>
      </w:tr>
      <w:tr w:rsidR="0021592C" w:rsidRPr="008855F0" w:rsidTr="0021592C">
        <w:trPr>
          <w:trHeight w:val="315"/>
        </w:trPr>
        <w:tc>
          <w:tcPr>
            <w:tcW w:w="1127" w:type="pct"/>
            <w:tcBorders>
              <w:top w:val="nil"/>
              <w:left w:val="nil"/>
              <w:bottom w:val="single" w:sz="8" w:space="0" w:color="auto"/>
              <w:right w:val="nil"/>
            </w:tcBorders>
            <w:shd w:val="clear" w:color="auto" w:fill="auto"/>
            <w:noWrap/>
            <w:vAlign w:val="center"/>
            <w:hideMark/>
          </w:tcPr>
          <w:p w:rsidR="0021592C" w:rsidRPr="008855F0" w:rsidRDefault="0021592C" w:rsidP="00547237">
            <w:pPr>
              <w:pStyle w:val="Tabletext"/>
              <w:rPr>
                <w:lang w:eastAsia="en-AU"/>
              </w:rPr>
            </w:pPr>
            <w:r w:rsidRPr="008855F0">
              <w:rPr>
                <w:lang w:eastAsia="en-AU"/>
              </w:rPr>
              <w:t>Policy</w:t>
            </w:r>
          </w:p>
        </w:tc>
        <w:tc>
          <w:tcPr>
            <w:tcW w:w="649" w:type="pct"/>
            <w:tcBorders>
              <w:top w:val="nil"/>
              <w:left w:val="nil"/>
              <w:bottom w:val="single" w:sz="8" w:space="0" w:color="auto"/>
              <w:right w:val="nil"/>
            </w:tcBorders>
            <w:shd w:val="clear" w:color="auto" w:fill="auto"/>
            <w:noWrap/>
            <w:vAlign w:val="center"/>
            <w:hideMark/>
          </w:tcPr>
          <w:p w:rsidR="0021592C" w:rsidRPr="008855F0" w:rsidRDefault="0021592C" w:rsidP="00547237">
            <w:pPr>
              <w:pStyle w:val="Tabletext"/>
              <w:rPr>
                <w:lang w:eastAsia="en-AU"/>
              </w:rPr>
            </w:pPr>
            <w:r w:rsidRPr="008855F0">
              <w:rPr>
                <w:lang w:eastAsia="en-AU"/>
              </w:rPr>
              <w:t>27.3</w:t>
            </w:r>
          </w:p>
        </w:tc>
        <w:tc>
          <w:tcPr>
            <w:tcW w:w="615" w:type="pct"/>
            <w:tcBorders>
              <w:top w:val="nil"/>
              <w:left w:val="nil"/>
              <w:bottom w:val="single" w:sz="8" w:space="0" w:color="auto"/>
              <w:right w:val="nil"/>
            </w:tcBorders>
            <w:shd w:val="clear" w:color="auto" w:fill="auto"/>
            <w:noWrap/>
            <w:vAlign w:val="center"/>
            <w:hideMark/>
          </w:tcPr>
          <w:p w:rsidR="0021592C" w:rsidRPr="008855F0" w:rsidRDefault="0021592C" w:rsidP="00547237">
            <w:pPr>
              <w:pStyle w:val="Tabletext"/>
              <w:rPr>
                <w:lang w:eastAsia="en-AU"/>
              </w:rPr>
            </w:pPr>
            <w:r w:rsidRPr="008855F0">
              <w:rPr>
                <w:lang w:eastAsia="en-AU"/>
              </w:rPr>
              <w:t>28.3</w:t>
            </w:r>
          </w:p>
        </w:tc>
        <w:tc>
          <w:tcPr>
            <w:tcW w:w="615" w:type="pct"/>
            <w:tcBorders>
              <w:top w:val="nil"/>
              <w:left w:val="nil"/>
              <w:bottom w:val="single" w:sz="8" w:space="0" w:color="auto"/>
              <w:right w:val="nil"/>
            </w:tcBorders>
            <w:shd w:val="clear" w:color="auto" w:fill="auto"/>
            <w:noWrap/>
            <w:vAlign w:val="center"/>
            <w:hideMark/>
          </w:tcPr>
          <w:p w:rsidR="0021592C" w:rsidRPr="008855F0" w:rsidRDefault="0021592C" w:rsidP="00547237">
            <w:pPr>
              <w:pStyle w:val="Tabletext"/>
              <w:rPr>
                <w:lang w:eastAsia="en-AU"/>
              </w:rPr>
            </w:pPr>
            <w:r w:rsidRPr="008855F0">
              <w:rPr>
                <w:lang w:eastAsia="en-AU"/>
              </w:rPr>
              <w:t>35.3</w:t>
            </w:r>
          </w:p>
        </w:tc>
        <w:tc>
          <w:tcPr>
            <w:tcW w:w="615" w:type="pct"/>
            <w:tcBorders>
              <w:top w:val="nil"/>
              <w:left w:val="nil"/>
              <w:bottom w:val="single" w:sz="8" w:space="0" w:color="auto"/>
              <w:right w:val="nil"/>
            </w:tcBorders>
            <w:shd w:val="clear" w:color="auto" w:fill="auto"/>
            <w:noWrap/>
            <w:vAlign w:val="center"/>
            <w:hideMark/>
          </w:tcPr>
          <w:p w:rsidR="0021592C" w:rsidRPr="008855F0" w:rsidRDefault="0021592C" w:rsidP="00547237">
            <w:pPr>
              <w:pStyle w:val="Tabletext"/>
              <w:rPr>
                <w:lang w:eastAsia="en-AU"/>
              </w:rPr>
            </w:pPr>
            <w:r w:rsidRPr="008855F0">
              <w:rPr>
                <w:lang w:eastAsia="en-AU"/>
              </w:rPr>
              <w:t>20.9</w:t>
            </w:r>
          </w:p>
        </w:tc>
        <w:tc>
          <w:tcPr>
            <w:tcW w:w="686" w:type="pct"/>
            <w:tcBorders>
              <w:top w:val="nil"/>
              <w:left w:val="nil"/>
              <w:bottom w:val="single" w:sz="8" w:space="0" w:color="auto"/>
              <w:right w:val="nil"/>
            </w:tcBorders>
            <w:shd w:val="clear" w:color="auto" w:fill="auto"/>
            <w:noWrap/>
            <w:vAlign w:val="center"/>
            <w:hideMark/>
          </w:tcPr>
          <w:p w:rsidR="0021592C" w:rsidRPr="008855F0" w:rsidRDefault="0021592C" w:rsidP="00547237">
            <w:pPr>
              <w:pStyle w:val="Tabletext"/>
              <w:rPr>
                <w:lang w:eastAsia="en-AU"/>
              </w:rPr>
            </w:pPr>
            <w:r w:rsidRPr="008855F0">
              <w:rPr>
                <w:lang w:eastAsia="en-AU"/>
              </w:rPr>
              <w:t>57.1</w:t>
            </w:r>
          </w:p>
        </w:tc>
        <w:tc>
          <w:tcPr>
            <w:tcW w:w="693" w:type="pct"/>
            <w:tcBorders>
              <w:top w:val="nil"/>
              <w:left w:val="nil"/>
              <w:bottom w:val="single" w:sz="8" w:space="0" w:color="auto"/>
              <w:right w:val="nil"/>
            </w:tcBorders>
            <w:shd w:val="clear" w:color="auto" w:fill="auto"/>
            <w:noWrap/>
            <w:vAlign w:val="center"/>
            <w:hideMark/>
          </w:tcPr>
          <w:p w:rsidR="0021592C" w:rsidRPr="008855F0" w:rsidRDefault="0021592C" w:rsidP="00547237">
            <w:pPr>
              <w:pStyle w:val="Tabletext"/>
              <w:rPr>
                <w:lang w:eastAsia="en-AU"/>
              </w:rPr>
            </w:pPr>
            <w:r w:rsidRPr="008855F0">
              <w:rPr>
                <w:lang w:eastAsia="en-AU"/>
              </w:rPr>
              <w:t>50.3</w:t>
            </w:r>
          </w:p>
        </w:tc>
      </w:tr>
      <w:tr w:rsidR="0021592C" w:rsidRPr="008855F0" w:rsidTr="0021592C">
        <w:trPr>
          <w:trHeight w:val="315"/>
        </w:trPr>
        <w:tc>
          <w:tcPr>
            <w:tcW w:w="1127" w:type="pct"/>
            <w:tcBorders>
              <w:top w:val="nil"/>
              <w:left w:val="nil"/>
              <w:bottom w:val="single" w:sz="8" w:space="0" w:color="auto"/>
              <w:right w:val="nil"/>
            </w:tcBorders>
            <w:shd w:val="clear" w:color="auto" w:fill="auto"/>
            <w:noWrap/>
            <w:vAlign w:val="center"/>
            <w:hideMark/>
          </w:tcPr>
          <w:p w:rsidR="0021592C" w:rsidRPr="008855F0" w:rsidRDefault="0021592C" w:rsidP="00547237">
            <w:pPr>
              <w:pStyle w:val="Tabletext"/>
              <w:rPr>
                <w:lang w:eastAsia="en-AU"/>
              </w:rPr>
            </w:pPr>
            <w:r w:rsidRPr="008855F0">
              <w:rPr>
                <w:lang w:eastAsia="en-AU"/>
              </w:rPr>
              <w:t xml:space="preserve">Combined </w:t>
            </w:r>
            <w:r>
              <w:rPr>
                <w:lang w:eastAsia="en-AU"/>
              </w:rPr>
              <w:t xml:space="preserve">Adjusted </w:t>
            </w:r>
            <w:r w:rsidRPr="008855F0">
              <w:rPr>
                <w:lang w:eastAsia="en-AU"/>
              </w:rPr>
              <w:t>R</w:t>
            </w:r>
            <w:r w:rsidRPr="008855F0">
              <w:rPr>
                <w:vertAlign w:val="superscript"/>
                <w:lang w:eastAsia="en-AU"/>
              </w:rPr>
              <w:t>2</w:t>
            </w:r>
          </w:p>
        </w:tc>
        <w:tc>
          <w:tcPr>
            <w:tcW w:w="649" w:type="pct"/>
            <w:tcBorders>
              <w:top w:val="nil"/>
              <w:left w:val="nil"/>
              <w:bottom w:val="single" w:sz="8" w:space="0" w:color="auto"/>
              <w:right w:val="nil"/>
            </w:tcBorders>
            <w:shd w:val="clear" w:color="auto" w:fill="auto"/>
            <w:noWrap/>
            <w:vAlign w:val="center"/>
            <w:hideMark/>
          </w:tcPr>
          <w:p w:rsidR="0021592C" w:rsidRPr="008855F0" w:rsidRDefault="0021592C" w:rsidP="00547237">
            <w:pPr>
              <w:pStyle w:val="Tabletext"/>
              <w:rPr>
                <w:lang w:eastAsia="en-AU"/>
              </w:rPr>
            </w:pPr>
            <w:r w:rsidRPr="008855F0">
              <w:rPr>
                <w:lang w:eastAsia="en-AU"/>
              </w:rPr>
              <w:t>74.1</w:t>
            </w:r>
          </w:p>
        </w:tc>
        <w:tc>
          <w:tcPr>
            <w:tcW w:w="615" w:type="pct"/>
            <w:tcBorders>
              <w:top w:val="nil"/>
              <w:left w:val="nil"/>
              <w:bottom w:val="single" w:sz="8" w:space="0" w:color="auto"/>
              <w:right w:val="nil"/>
            </w:tcBorders>
            <w:shd w:val="clear" w:color="auto" w:fill="auto"/>
            <w:noWrap/>
            <w:vAlign w:val="center"/>
            <w:hideMark/>
          </w:tcPr>
          <w:p w:rsidR="0021592C" w:rsidRPr="008855F0" w:rsidRDefault="0021592C" w:rsidP="00547237">
            <w:pPr>
              <w:pStyle w:val="Tabletext"/>
              <w:rPr>
                <w:lang w:eastAsia="en-AU"/>
              </w:rPr>
            </w:pPr>
            <w:r w:rsidRPr="008855F0">
              <w:rPr>
                <w:lang w:eastAsia="en-AU"/>
              </w:rPr>
              <w:t>38.1</w:t>
            </w:r>
          </w:p>
        </w:tc>
        <w:tc>
          <w:tcPr>
            <w:tcW w:w="615" w:type="pct"/>
            <w:tcBorders>
              <w:top w:val="nil"/>
              <w:left w:val="nil"/>
              <w:bottom w:val="single" w:sz="8" w:space="0" w:color="auto"/>
              <w:right w:val="nil"/>
            </w:tcBorders>
            <w:shd w:val="clear" w:color="auto" w:fill="auto"/>
            <w:noWrap/>
            <w:vAlign w:val="center"/>
            <w:hideMark/>
          </w:tcPr>
          <w:p w:rsidR="0021592C" w:rsidRPr="008855F0" w:rsidRDefault="0021592C" w:rsidP="00547237">
            <w:pPr>
              <w:pStyle w:val="Tabletext"/>
              <w:rPr>
                <w:lang w:eastAsia="en-AU"/>
              </w:rPr>
            </w:pPr>
            <w:r w:rsidRPr="008855F0">
              <w:rPr>
                <w:lang w:eastAsia="en-AU"/>
              </w:rPr>
              <w:t>76.5</w:t>
            </w:r>
          </w:p>
        </w:tc>
        <w:tc>
          <w:tcPr>
            <w:tcW w:w="615" w:type="pct"/>
            <w:tcBorders>
              <w:top w:val="nil"/>
              <w:left w:val="nil"/>
              <w:bottom w:val="single" w:sz="8" w:space="0" w:color="auto"/>
              <w:right w:val="nil"/>
            </w:tcBorders>
            <w:shd w:val="clear" w:color="auto" w:fill="auto"/>
            <w:noWrap/>
            <w:vAlign w:val="center"/>
            <w:hideMark/>
          </w:tcPr>
          <w:p w:rsidR="0021592C" w:rsidRPr="008855F0" w:rsidRDefault="0021592C" w:rsidP="00547237">
            <w:pPr>
              <w:pStyle w:val="Tabletext"/>
              <w:rPr>
                <w:lang w:eastAsia="en-AU"/>
              </w:rPr>
            </w:pPr>
            <w:r w:rsidRPr="008855F0">
              <w:rPr>
                <w:lang w:eastAsia="en-AU"/>
              </w:rPr>
              <w:t>40.9</w:t>
            </w:r>
          </w:p>
        </w:tc>
        <w:tc>
          <w:tcPr>
            <w:tcW w:w="686" w:type="pct"/>
            <w:tcBorders>
              <w:top w:val="nil"/>
              <w:left w:val="nil"/>
              <w:bottom w:val="single" w:sz="8" w:space="0" w:color="auto"/>
              <w:right w:val="nil"/>
            </w:tcBorders>
            <w:shd w:val="clear" w:color="auto" w:fill="auto"/>
            <w:noWrap/>
            <w:vAlign w:val="center"/>
            <w:hideMark/>
          </w:tcPr>
          <w:p w:rsidR="0021592C" w:rsidRPr="008855F0" w:rsidRDefault="0021592C" w:rsidP="00547237">
            <w:pPr>
              <w:pStyle w:val="Tabletext"/>
              <w:rPr>
                <w:lang w:eastAsia="en-AU"/>
              </w:rPr>
            </w:pPr>
            <w:r w:rsidRPr="008855F0">
              <w:rPr>
                <w:lang w:eastAsia="en-AU"/>
              </w:rPr>
              <w:t>75.0</w:t>
            </w:r>
          </w:p>
        </w:tc>
        <w:tc>
          <w:tcPr>
            <w:tcW w:w="693" w:type="pct"/>
            <w:tcBorders>
              <w:top w:val="nil"/>
              <w:left w:val="nil"/>
              <w:bottom w:val="single" w:sz="8" w:space="0" w:color="auto"/>
              <w:right w:val="nil"/>
            </w:tcBorders>
            <w:shd w:val="clear" w:color="auto" w:fill="auto"/>
            <w:noWrap/>
            <w:vAlign w:val="center"/>
            <w:hideMark/>
          </w:tcPr>
          <w:p w:rsidR="0021592C" w:rsidRPr="008855F0" w:rsidRDefault="0021592C" w:rsidP="00547237">
            <w:pPr>
              <w:pStyle w:val="Tabletext"/>
              <w:rPr>
                <w:lang w:eastAsia="en-AU"/>
              </w:rPr>
            </w:pPr>
            <w:r w:rsidRPr="008855F0">
              <w:rPr>
                <w:lang w:eastAsia="en-AU"/>
              </w:rPr>
              <w:t>69.7</w:t>
            </w:r>
          </w:p>
        </w:tc>
      </w:tr>
    </w:tbl>
    <w:p w:rsidR="0021592C" w:rsidRPr="00215737" w:rsidRDefault="0021592C" w:rsidP="00547237">
      <w:pPr>
        <w:pStyle w:val="Source"/>
      </w:pPr>
      <w:r w:rsidRPr="00215737">
        <w:t>Source: Authors’ calculations from the VET Provider Collection, 2014</w:t>
      </w:r>
    </w:p>
    <w:p w:rsidR="00AE4DE7" w:rsidRDefault="00AE4DE7" w:rsidP="00AE4DE7">
      <w:pPr>
        <w:pStyle w:val="Text"/>
      </w:pPr>
      <w:r>
        <w:t xml:space="preserve">While the regression model has been designed to predict regional VET participation overall, it can be applied to regional participation rates across the different </w:t>
      </w:r>
      <w:r w:rsidR="00F60948">
        <w:t>target</w:t>
      </w:r>
      <w:r>
        <w:t xml:space="preserve"> groups.  Table 6 also shows the impact of each group of factors when the regression model is applied in this way.  The amount of variation explained by the model as a whole differs across the groups, ranging from 38.1</w:t>
      </w:r>
      <w:r w:rsidR="00535373">
        <w:t xml:space="preserve"> per cent</w:t>
      </w:r>
      <w:r>
        <w:t xml:space="preserve"> for Indigenous participation rates to 75</w:t>
      </w:r>
      <w:r w:rsidR="00535373">
        <w:t xml:space="preserve"> per cent</w:t>
      </w:r>
      <w:r>
        <w:t xml:space="preserve"> for participation by unemployed people.  Economic factors remain influential when explaining differences in regional participation rates for all groups, with the exception of Indigenous students.  Demographic factors are important too in influencing regional differences in participation of students with a disability.  </w:t>
      </w:r>
    </w:p>
    <w:p w:rsidR="00AE4DE7" w:rsidRDefault="00AE4DE7" w:rsidP="00AE4DE7">
      <w:pPr>
        <w:pStyle w:val="Text"/>
      </w:pPr>
      <w:r>
        <w:t xml:space="preserve">However, in terms of explaining differences across </w:t>
      </w:r>
      <w:r w:rsidR="00F60948">
        <w:t>target</w:t>
      </w:r>
      <w:r>
        <w:t xml:space="preserve"> groups, and particularly in comparison to the relative importance for all students, policy factors are highly influential.  This is especially the case for Indigenous students and students with low levels of prior educational attainment, and is also </w:t>
      </w:r>
      <w:r>
        <w:lastRenderedPageBreak/>
        <w:t xml:space="preserve">influential in terms of describing differences in regional participation rates for unemployed students.  In the model, states and territories represent jurisdictional education and training policy </w:t>
      </w:r>
      <w:proofErr w:type="gramStart"/>
      <w:r>
        <w:t>differences,</w:t>
      </w:r>
      <w:proofErr w:type="gramEnd"/>
      <w:r>
        <w:t xml:space="preserve"> however other jurisdictional differences are encompassed here. </w:t>
      </w:r>
    </w:p>
    <w:p w:rsidR="00AE4DE7" w:rsidRDefault="00AE4DE7" w:rsidP="00AE4DE7">
      <w:pPr>
        <w:pStyle w:val="Text"/>
      </w:pPr>
      <w:r>
        <w:t xml:space="preserve">Table 7 shows more fined grained results from the regression analyses, which can be used to establish the most influential regional drivers of VET participation.  The table shows the beta coefficients from the regression output, expressed as standardised estimates (multiplied by the standard deviation for the dependent variable), as percentage point gains or losses, for each factor for all students and across the </w:t>
      </w:r>
      <w:r w:rsidR="00F60948">
        <w:t>target</w:t>
      </w:r>
      <w:r>
        <w:t xml:space="preserve"> groups.  Thus the percentage point increases and decreases are relative to the mean regional participation rate shown at the top of the table.  </w:t>
      </w:r>
    </w:p>
    <w:p w:rsidR="00AE4DE7" w:rsidRDefault="00AE4DE7" w:rsidP="00AE4DE7">
      <w:pPr>
        <w:pStyle w:val="Text"/>
      </w:pPr>
      <w:r>
        <w:t>The table shows the strong influence that the industry profile of a region plays in driving differences in levels of VET participation.  For all students, for example, a one standard deviation unit increase in the proportion of workers in Manufacturing, Transport, Postal and Warehousing industries corresponds with a 1.17 percentage point increase in VET participation.  An increase in the proportion of workers in a region in Agriculture, Forestry and Fishing, and Healthcare and Social Assistance is also associated with incre</w:t>
      </w:r>
      <w:r w:rsidR="003107B3">
        <w:t>ases in VET participation (0.96</w:t>
      </w:r>
      <w:r>
        <w:t xml:space="preserve"> and 0.59 percentage point gains respectively).  Occupational factors are not influential once industry factors are included in the model.  </w:t>
      </w:r>
    </w:p>
    <w:p w:rsidR="00AE4DE7" w:rsidRDefault="00AE4DE7" w:rsidP="00AE4DE7">
      <w:pPr>
        <w:pStyle w:val="Text"/>
      </w:pPr>
      <w:r>
        <w:t xml:space="preserve">Demography has less influence over the levels of regional participation, although having controlled for all other factors, the proportion of young people living in a region aged 15 to 24 years sees an increase in VET participation (0.27).  Higher proportions of the population with low income sees a decrease in participation (-0.59), as does higher proportions of the population with a severe disability (-0.57).  </w:t>
      </w:r>
    </w:p>
    <w:p w:rsidR="00AE4DE7" w:rsidRDefault="00AE4DE7" w:rsidP="00AE4DE7">
      <w:pPr>
        <w:pStyle w:val="Text"/>
      </w:pPr>
      <w:r>
        <w:t xml:space="preserve">Policy factors influence levels of participation by all students in VET, especially in Victoria (positive effect at 1.10) and Queensland (negative effect -1.05).  </w:t>
      </w:r>
    </w:p>
    <w:p w:rsidR="00AE4DE7" w:rsidRDefault="00AE4DE7" w:rsidP="00AE4DE7">
      <w:pPr>
        <w:pStyle w:val="Text"/>
      </w:pPr>
      <w:r>
        <w:t xml:space="preserve">The importance of the industry structure of a region in driving regional VET participation rates carries through when looking at participation by students from different </w:t>
      </w:r>
      <w:r w:rsidR="00F60948">
        <w:t>backgrounds</w:t>
      </w:r>
      <w:r>
        <w:t>.  This is particularly the case when examining differences in levels of VET participation by unemployed students, where all industries are</w:t>
      </w:r>
      <w:r w:rsidR="003107B3">
        <w:t xml:space="preserve"> either a significant influence</w:t>
      </w:r>
      <w:r>
        <w:t xml:space="preserve"> or relatively high percentage point magnitude, and is also important in terms of participation by Indigenous students and students with low levels of prior educational attainment.  Industry plays less of a role for students with a disability and LBOTE students.  Occupational factors are again dominated by industry, except for participation by students with low levels of educational attainment, where higher con</w:t>
      </w:r>
      <w:r w:rsidR="003C15AA">
        <w:t>centrations of</w:t>
      </w:r>
      <w:r>
        <w:t xml:space="preserve"> Community and Personal Service workers in a region is associated with an increase in VET participation (0.52).  </w:t>
      </w:r>
    </w:p>
    <w:p w:rsidR="00AE4DE7" w:rsidRDefault="00AE4DE7" w:rsidP="00AE4DE7">
      <w:pPr>
        <w:pStyle w:val="Text"/>
      </w:pPr>
      <w:r>
        <w:t xml:space="preserve">In terms of regional demographic characteristics, the proportion of young people in a region has a positive influence on rates of participation by LBOTE students, students with low attainment and students with a disability.  The proportion of the regional population with a low income sees a corresponding decrease in VET participation rates across all </w:t>
      </w:r>
      <w:r w:rsidR="00F60948">
        <w:t>g</w:t>
      </w:r>
      <w:r>
        <w:t xml:space="preserve">roups.  </w:t>
      </w:r>
    </w:p>
    <w:p w:rsidR="00F07106" w:rsidRDefault="00AE4DE7" w:rsidP="00AE4DE7">
      <w:pPr>
        <w:pStyle w:val="Text"/>
      </w:pPr>
      <w:r>
        <w:t xml:space="preserve">Policy factors are influential in terms of explaining regional differences in VET participation, especially for unemployed students and students with low levels of educational attainment.  For Victoria, this translates to an increase in participation, whereas, on the whole, other jurisdictions are associated with a decrease in participation.  </w:t>
      </w:r>
    </w:p>
    <w:p w:rsidR="00F07106" w:rsidRDefault="00F07106" w:rsidP="002D5A50">
      <w:pPr>
        <w:pStyle w:val="Text"/>
      </w:pPr>
    </w:p>
    <w:p w:rsidR="00F07106" w:rsidRDefault="00F07106" w:rsidP="002D5A50">
      <w:pPr>
        <w:pStyle w:val="Text"/>
      </w:pPr>
    </w:p>
    <w:p w:rsidR="00F07106" w:rsidRDefault="00AE2CD4" w:rsidP="00AE2CD4">
      <w:pPr>
        <w:pStyle w:val="tabletitle"/>
      </w:pPr>
      <w:bookmarkStart w:id="50" w:name="_Toc498936235"/>
      <w:r>
        <w:lastRenderedPageBreak/>
        <w:t xml:space="preserve">Table </w:t>
      </w:r>
      <w:r>
        <w:fldChar w:fldCharType="begin"/>
      </w:r>
      <w:r>
        <w:instrText xml:space="preserve"> SEQ Table \* ARABIC </w:instrText>
      </w:r>
      <w:r>
        <w:fldChar w:fldCharType="separate"/>
      </w:r>
      <w:r w:rsidR="00BF3209">
        <w:rPr>
          <w:noProof/>
        </w:rPr>
        <w:t>7</w:t>
      </w:r>
      <w:r>
        <w:fldChar w:fldCharType="end"/>
      </w:r>
      <w:r>
        <w:tab/>
      </w:r>
      <w:r w:rsidRPr="00AE2CD4">
        <w:t>Regional drivers of VET participation, 2014</w:t>
      </w:r>
      <w:bookmarkEnd w:id="50"/>
    </w:p>
    <w:tbl>
      <w:tblPr>
        <w:tblW w:w="5098" w:type="pct"/>
        <w:tblLayout w:type="fixed"/>
        <w:tblLook w:val="04A0" w:firstRow="1" w:lastRow="0" w:firstColumn="1" w:lastColumn="0" w:noHBand="0" w:noVBand="1"/>
      </w:tblPr>
      <w:tblGrid>
        <w:gridCol w:w="3302"/>
        <w:gridCol w:w="1061"/>
        <w:gridCol w:w="804"/>
        <w:gridCol w:w="1037"/>
        <w:gridCol w:w="850"/>
        <w:gridCol w:w="912"/>
        <w:gridCol w:w="1214"/>
      </w:tblGrid>
      <w:tr w:rsidR="00AE2CD4" w:rsidRPr="00AE2CD4" w:rsidTr="003107B3">
        <w:trPr>
          <w:trHeight w:val="300"/>
        </w:trPr>
        <w:tc>
          <w:tcPr>
            <w:tcW w:w="1798" w:type="pct"/>
            <w:tcBorders>
              <w:top w:val="single" w:sz="4" w:space="0" w:color="auto"/>
              <w:left w:val="nil"/>
              <w:bottom w:val="single" w:sz="4" w:space="0" w:color="auto"/>
              <w:right w:val="nil"/>
            </w:tcBorders>
            <w:shd w:val="clear" w:color="auto" w:fill="auto"/>
            <w:noWrap/>
            <w:vAlign w:val="bottom"/>
            <w:hideMark/>
          </w:tcPr>
          <w:p w:rsidR="00AE2CD4" w:rsidRPr="00AE2CD4" w:rsidRDefault="00AE2CD4" w:rsidP="00AE2CD4">
            <w:pPr>
              <w:pStyle w:val="Tablehead1"/>
            </w:pPr>
          </w:p>
        </w:tc>
        <w:tc>
          <w:tcPr>
            <w:tcW w:w="578" w:type="pct"/>
            <w:tcBorders>
              <w:top w:val="single" w:sz="4" w:space="0" w:color="auto"/>
              <w:left w:val="nil"/>
              <w:bottom w:val="single" w:sz="4" w:space="0" w:color="auto"/>
              <w:right w:val="nil"/>
            </w:tcBorders>
            <w:shd w:val="clear" w:color="auto" w:fill="auto"/>
            <w:noWrap/>
            <w:vAlign w:val="bottom"/>
            <w:hideMark/>
          </w:tcPr>
          <w:p w:rsidR="00AE2CD4" w:rsidRPr="00AE2CD4" w:rsidRDefault="00AE2CD4" w:rsidP="00AE2CD4">
            <w:pPr>
              <w:pStyle w:val="Tablehead1"/>
            </w:pPr>
            <w:r w:rsidRPr="00AE2CD4">
              <w:t>All Students</w:t>
            </w:r>
          </w:p>
        </w:tc>
        <w:tc>
          <w:tcPr>
            <w:tcW w:w="438" w:type="pct"/>
            <w:tcBorders>
              <w:top w:val="single" w:sz="4" w:space="0" w:color="auto"/>
              <w:left w:val="nil"/>
              <w:bottom w:val="single" w:sz="4" w:space="0" w:color="auto"/>
              <w:right w:val="nil"/>
            </w:tcBorders>
            <w:shd w:val="clear" w:color="auto" w:fill="auto"/>
            <w:noWrap/>
            <w:vAlign w:val="bottom"/>
            <w:hideMark/>
          </w:tcPr>
          <w:p w:rsidR="00AE2CD4" w:rsidRPr="00AE2CD4" w:rsidRDefault="00AE2CD4" w:rsidP="00AE2CD4">
            <w:pPr>
              <w:pStyle w:val="Tablehead1"/>
            </w:pPr>
            <w:proofErr w:type="spellStart"/>
            <w:r w:rsidRPr="00AE2CD4">
              <w:t>Indige</w:t>
            </w:r>
            <w:proofErr w:type="spellEnd"/>
            <w:r w:rsidR="00C10528">
              <w:t>-</w:t>
            </w:r>
            <w:r w:rsidRPr="00AE2CD4">
              <w:t>nous</w:t>
            </w:r>
          </w:p>
        </w:tc>
        <w:tc>
          <w:tcPr>
            <w:tcW w:w="565" w:type="pct"/>
            <w:tcBorders>
              <w:top w:val="single" w:sz="4" w:space="0" w:color="auto"/>
              <w:left w:val="nil"/>
              <w:bottom w:val="single" w:sz="4" w:space="0" w:color="auto"/>
              <w:right w:val="nil"/>
            </w:tcBorders>
            <w:shd w:val="clear" w:color="auto" w:fill="auto"/>
            <w:noWrap/>
            <w:vAlign w:val="bottom"/>
            <w:hideMark/>
          </w:tcPr>
          <w:p w:rsidR="00AE2CD4" w:rsidRPr="00AE2CD4" w:rsidRDefault="00AE2CD4" w:rsidP="00AE2CD4">
            <w:pPr>
              <w:pStyle w:val="Tablehead1"/>
            </w:pPr>
            <w:r w:rsidRPr="00AE2CD4">
              <w:t>Disability</w:t>
            </w:r>
          </w:p>
        </w:tc>
        <w:tc>
          <w:tcPr>
            <w:tcW w:w="463" w:type="pct"/>
            <w:tcBorders>
              <w:top w:val="single" w:sz="4" w:space="0" w:color="auto"/>
              <w:left w:val="nil"/>
              <w:bottom w:val="single" w:sz="4" w:space="0" w:color="auto"/>
              <w:right w:val="nil"/>
            </w:tcBorders>
            <w:shd w:val="clear" w:color="auto" w:fill="auto"/>
            <w:noWrap/>
            <w:vAlign w:val="bottom"/>
            <w:hideMark/>
          </w:tcPr>
          <w:p w:rsidR="00AE2CD4" w:rsidRPr="00AE2CD4" w:rsidRDefault="00AE2CD4" w:rsidP="00AE2CD4">
            <w:pPr>
              <w:pStyle w:val="Tablehead1"/>
            </w:pPr>
            <w:r w:rsidRPr="00AE2CD4">
              <w:t>LBOTE</w:t>
            </w:r>
          </w:p>
        </w:tc>
        <w:tc>
          <w:tcPr>
            <w:tcW w:w="497" w:type="pct"/>
            <w:tcBorders>
              <w:top w:val="single" w:sz="4" w:space="0" w:color="auto"/>
              <w:left w:val="nil"/>
              <w:bottom w:val="single" w:sz="4" w:space="0" w:color="auto"/>
              <w:right w:val="nil"/>
            </w:tcBorders>
            <w:shd w:val="clear" w:color="auto" w:fill="auto"/>
            <w:noWrap/>
            <w:vAlign w:val="bottom"/>
            <w:hideMark/>
          </w:tcPr>
          <w:p w:rsidR="00AE2CD4" w:rsidRPr="00AE2CD4" w:rsidRDefault="00AE2CD4" w:rsidP="00AE2CD4">
            <w:pPr>
              <w:pStyle w:val="Tablehead1"/>
            </w:pPr>
            <w:proofErr w:type="spellStart"/>
            <w:r w:rsidRPr="00AE2CD4">
              <w:t>Unemp</w:t>
            </w:r>
            <w:r w:rsidR="00C10528">
              <w:t>-</w:t>
            </w:r>
            <w:r w:rsidRPr="00AE2CD4">
              <w:t>loyed</w:t>
            </w:r>
            <w:proofErr w:type="spellEnd"/>
          </w:p>
        </w:tc>
        <w:tc>
          <w:tcPr>
            <w:tcW w:w="661" w:type="pct"/>
            <w:tcBorders>
              <w:top w:val="single" w:sz="4" w:space="0" w:color="auto"/>
              <w:left w:val="nil"/>
              <w:bottom w:val="single" w:sz="4" w:space="0" w:color="auto"/>
              <w:right w:val="nil"/>
            </w:tcBorders>
            <w:shd w:val="clear" w:color="auto" w:fill="auto"/>
            <w:noWrap/>
            <w:vAlign w:val="bottom"/>
            <w:hideMark/>
          </w:tcPr>
          <w:p w:rsidR="00AE2CD4" w:rsidRPr="00AE2CD4" w:rsidRDefault="00AE2CD4" w:rsidP="00AE2CD4">
            <w:pPr>
              <w:pStyle w:val="Tablehead1"/>
            </w:pPr>
            <w:r w:rsidRPr="00AE2CD4">
              <w:t>Low attainment</w:t>
            </w:r>
          </w:p>
        </w:tc>
      </w:tr>
      <w:tr w:rsidR="00AE2CD4" w:rsidRPr="00AE2CD4" w:rsidTr="00C10528">
        <w:trPr>
          <w:trHeight w:val="300"/>
        </w:trPr>
        <w:tc>
          <w:tcPr>
            <w:tcW w:w="1798" w:type="pct"/>
            <w:tcBorders>
              <w:top w:val="single" w:sz="4" w:space="0" w:color="auto"/>
              <w:left w:val="nil"/>
              <w:right w:val="nil"/>
            </w:tcBorders>
            <w:shd w:val="clear" w:color="auto" w:fill="auto"/>
            <w:noWrap/>
            <w:vAlign w:val="bottom"/>
          </w:tcPr>
          <w:p w:rsidR="00AE2CD4" w:rsidRPr="00AE2CD4" w:rsidRDefault="00AE2CD4" w:rsidP="00AE2CD4">
            <w:pPr>
              <w:pStyle w:val="Tablehead2"/>
            </w:pPr>
            <w:r w:rsidRPr="00AE2CD4">
              <w:t>Mean regional VET participation rates</w:t>
            </w:r>
          </w:p>
        </w:tc>
        <w:tc>
          <w:tcPr>
            <w:tcW w:w="578" w:type="pct"/>
            <w:tcBorders>
              <w:top w:val="single" w:sz="4" w:space="0" w:color="auto"/>
              <w:left w:val="nil"/>
              <w:right w:val="nil"/>
            </w:tcBorders>
            <w:shd w:val="clear" w:color="auto" w:fill="auto"/>
            <w:noWrap/>
            <w:vAlign w:val="bottom"/>
          </w:tcPr>
          <w:p w:rsidR="00AE2CD4" w:rsidRPr="00AE2CD4" w:rsidRDefault="00AE2CD4" w:rsidP="004574C7">
            <w:pPr>
              <w:pStyle w:val="Tabletext"/>
            </w:pPr>
            <w:r w:rsidRPr="00AE2CD4">
              <w:t>7.0%</w:t>
            </w:r>
          </w:p>
        </w:tc>
        <w:tc>
          <w:tcPr>
            <w:tcW w:w="438" w:type="pct"/>
            <w:tcBorders>
              <w:top w:val="single" w:sz="4" w:space="0" w:color="auto"/>
              <w:left w:val="nil"/>
              <w:right w:val="nil"/>
            </w:tcBorders>
            <w:shd w:val="clear" w:color="auto" w:fill="auto"/>
            <w:noWrap/>
            <w:vAlign w:val="bottom"/>
          </w:tcPr>
          <w:p w:rsidR="00AE2CD4" w:rsidRPr="00AE2CD4" w:rsidRDefault="00AE2CD4" w:rsidP="004574C7">
            <w:pPr>
              <w:pStyle w:val="Tabletext"/>
            </w:pPr>
            <w:r w:rsidRPr="00AE2CD4">
              <w:t>15.1%</w:t>
            </w:r>
          </w:p>
        </w:tc>
        <w:tc>
          <w:tcPr>
            <w:tcW w:w="565" w:type="pct"/>
            <w:tcBorders>
              <w:top w:val="single" w:sz="4" w:space="0" w:color="auto"/>
              <w:left w:val="nil"/>
              <w:right w:val="nil"/>
            </w:tcBorders>
            <w:shd w:val="clear" w:color="auto" w:fill="auto"/>
            <w:noWrap/>
            <w:vAlign w:val="bottom"/>
          </w:tcPr>
          <w:p w:rsidR="00AE2CD4" w:rsidRPr="00AE2CD4" w:rsidRDefault="00AE2CD4" w:rsidP="004574C7">
            <w:pPr>
              <w:pStyle w:val="Tabletext"/>
            </w:pPr>
            <w:r w:rsidRPr="00AE2CD4">
              <w:t>0.6%</w:t>
            </w:r>
          </w:p>
        </w:tc>
        <w:tc>
          <w:tcPr>
            <w:tcW w:w="463" w:type="pct"/>
            <w:tcBorders>
              <w:top w:val="single" w:sz="4" w:space="0" w:color="auto"/>
              <w:left w:val="nil"/>
              <w:right w:val="nil"/>
            </w:tcBorders>
            <w:shd w:val="clear" w:color="auto" w:fill="auto"/>
            <w:noWrap/>
            <w:vAlign w:val="bottom"/>
          </w:tcPr>
          <w:p w:rsidR="00AE2CD4" w:rsidRPr="00AE2CD4" w:rsidRDefault="00AE2CD4" w:rsidP="004574C7">
            <w:pPr>
              <w:pStyle w:val="Tabletext"/>
            </w:pPr>
            <w:r w:rsidRPr="00AE2CD4">
              <w:t>6.6%</w:t>
            </w:r>
          </w:p>
        </w:tc>
        <w:tc>
          <w:tcPr>
            <w:tcW w:w="497" w:type="pct"/>
            <w:tcBorders>
              <w:top w:val="single" w:sz="4" w:space="0" w:color="auto"/>
              <w:left w:val="nil"/>
              <w:right w:val="nil"/>
            </w:tcBorders>
            <w:shd w:val="clear" w:color="auto" w:fill="auto"/>
            <w:noWrap/>
            <w:vAlign w:val="bottom"/>
          </w:tcPr>
          <w:p w:rsidR="00AE2CD4" w:rsidRPr="00AE2CD4" w:rsidRDefault="00AE2CD4" w:rsidP="004574C7">
            <w:pPr>
              <w:pStyle w:val="Tabletext"/>
            </w:pPr>
            <w:r w:rsidRPr="00AE2CD4">
              <w:t>19.4%</w:t>
            </w:r>
          </w:p>
        </w:tc>
        <w:tc>
          <w:tcPr>
            <w:tcW w:w="661" w:type="pct"/>
            <w:tcBorders>
              <w:top w:val="single" w:sz="4" w:space="0" w:color="auto"/>
              <w:left w:val="nil"/>
              <w:right w:val="nil"/>
            </w:tcBorders>
            <w:shd w:val="clear" w:color="auto" w:fill="auto"/>
            <w:noWrap/>
            <w:vAlign w:val="bottom"/>
          </w:tcPr>
          <w:p w:rsidR="00AE2CD4" w:rsidRPr="00AE2CD4" w:rsidRDefault="00AE2CD4" w:rsidP="004574C7">
            <w:pPr>
              <w:pStyle w:val="Tabletext"/>
            </w:pPr>
            <w:r w:rsidRPr="00AE2CD4">
              <w:t>7.5%</w:t>
            </w:r>
          </w:p>
        </w:tc>
      </w:tr>
      <w:tr w:rsidR="00AE2CD4" w:rsidRPr="00AE2CD4" w:rsidTr="00C10528">
        <w:trPr>
          <w:trHeight w:val="300"/>
        </w:trPr>
        <w:tc>
          <w:tcPr>
            <w:tcW w:w="1798" w:type="pct"/>
            <w:tcBorders>
              <w:left w:val="nil"/>
              <w:bottom w:val="single" w:sz="4" w:space="0" w:color="auto"/>
              <w:right w:val="nil"/>
            </w:tcBorders>
            <w:shd w:val="clear" w:color="auto" w:fill="auto"/>
            <w:noWrap/>
            <w:vAlign w:val="bottom"/>
          </w:tcPr>
          <w:p w:rsidR="00AE2CD4" w:rsidRPr="00AE2CD4" w:rsidRDefault="00AE2CD4" w:rsidP="00AE2CD4">
            <w:pPr>
              <w:pStyle w:val="Tablehead2"/>
            </w:pPr>
            <w:r w:rsidRPr="00AE2CD4">
              <w:t>Standard deviation</w:t>
            </w:r>
          </w:p>
        </w:tc>
        <w:tc>
          <w:tcPr>
            <w:tcW w:w="578" w:type="pct"/>
            <w:tcBorders>
              <w:left w:val="nil"/>
              <w:bottom w:val="single" w:sz="4" w:space="0" w:color="auto"/>
              <w:right w:val="nil"/>
            </w:tcBorders>
            <w:shd w:val="clear" w:color="auto" w:fill="auto"/>
            <w:noWrap/>
            <w:vAlign w:val="bottom"/>
          </w:tcPr>
          <w:p w:rsidR="00AE2CD4" w:rsidRPr="00AE2CD4" w:rsidRDefault="00AE2CD4" w:rsidP="004574C7">
            <w:pPr>
              <w:pStyle w:val="Tabletext"/>
            </w:pPr>
            <w:r w:rsidRPr="00AE2CD4">
              <w:t>2.6%</w:t>
            </w:r>
          </w:p>
        </w:tc>
        <w:tc>
          <w:tcPr>
            <w:tcW w:w="438" w:type="pct"/>
            <w:tcBorders>
              <w:left w:val="nil"/>
              <w:bottom w:val="single" w:sz="4" w:space="0" w:color="auto"/>
              <w:right w:val="nil"/>
            </w:tcBorders>
            <w:shd w:val="clear" w:color="auto" w:fill="auto"/>
            <w:noWrap/>
            <w:vAlign w:val="bottom"/>
          </w:tcPr>
          <w:p w:rsidR="00AE2CD4" w:rsidRPr="00AE2CD4" w:rsidRDefault="00AE2CD4" w:rsidP="004574C7">
            <w:pPr>
              <w:pStyle w:val="Tabletext"/>
            </w:pPr>
            <w:r w:rsidRPr="00AE2CD4">
              <w:t>7.7%</w:t>
            </w:r>
          </w:p>
        </w:tc>
        <w:tc>
          <w:tcPr>
            <w:tcW w:w="565" w:type="pct"/>
            <w:tcBorders>
              <w:left w:val="nil"/>
              <w:bottom w:val="single" w:sz="4" w:space="0" w:color="auto"/>
              <w:right w:val="nil"/>
            </w:tcBorders>
            <w:shd w:val="clear" w:color="auto" w:fill="auto"/>
            <w:noWrap/>
            <w:vAlign w:val="bottom"/>
          </w:tcPr>
          <w:p w:rsidR="00AE2CD4" w:rsidRPr="00AE2CD4" w:rsidRDefault="00AE2CD4" w:rsidP="004574C7">
            <w:pPr>
              <w:pStyle w:val="Tabletext"/>
            </w:pPr>
            <w:r w:rsidRPr="00AE2CD4">
              <w:t>0.4%</w:t>
            </w:r>
          </w:p>
        </w:tc>
        <w:tc>
          <w:tcPr>
            <w:tcW w:w="463" w:type="pct"/>
            <w:tcBorders>
              <w:left w:val="nil"/>
              <w:bottom w:val="single" w:sz="4" w:space="0" w:color="auto"/>
              <w:right w:val="nil"/>
            </w:tcBorders>
            <w:shd w:val="clear" w:color="auto" w:fill="auto"/>
            <w:noWrap/>
            <w:vAlign w:val="bottom"/>
          </w:tcPr>
          <w:p w:rsidR="00AE2CD4" w:rsidRPr="00AE2CD4" w:rsidRDefault="00AE2CD4" w:rsidP="004574C7">
            <w:pPr>
              <w:pStyle w:val="Tabletext"/>
            </w:pPr>
            <w:r w:rsidRPr="00AE2CD4">
              <w:t>4.4%</w:t>
            </w:r>
          </w:p>
        </w:tc>
        <w:tc>
          <w:tcPr>
            <w:tcW w:w="497" w:type="pct"/>
            <w:tcBorders>
              <w:left w:val="nil"/>
              <w:bottom w:val="single" w:sz="4" w:space="0" w:color="auto"/>
              <w:right w:val="nil"/>
            </w:tcBorders>
            <w:shd w:val="clear" w:color="auto" w:fill="auto"/>
            <w:noWrap/>
            <w:vAlign w:val="bottom"/>
          </w:tcPr>
          <w:p w:rsidR="00AE2CD4" w:rsidRPr="00AE2CD4" w:rsidRDefault="00AE2CD4" w:rsidP="004574C7">
            <w:pPr>
              <w:pStyle w:val="Tabletext"/>
            </w:pPr>
            <w:r w:rsidRPr="00AE2CD4">
              <w:t>10.3%</w:t>
            </w:r>
          </w:p>
        </w:tc>
        <w:tc>
          <w:tcPr>
            <w:tcW w:w="661" w:type="pct"/>
            <w:tcBorders>
              <w:left w:val="nil"/>
              <w:bottom w:val="single" w:sz="4" w:space="0" w:color="auto"/>
              <w:right w:val="nil"/>
            </w:tcBorders>
            <w:shd w:val="clear" w:color="auto" w:fill="auto"/>
            <w:noWrap/>
            <w:vAlign w:val="bottom"/>
          </w:tcPr>
          <w:p w:rsidR="00AE2CD4" w:rsidRPr="00AE2CD4" w:rsidRDefault="00AE2CD4" w:rsidP="004574C7">
            <w:pPr>
              <w:pStyle w:val="Tabletext"/>
            </w:pPr>
            <w:r w:rsidRPr="00AE2CD4">
              <w:t>3.3%</w:t>
            </w:r>
          </w:p>
        </w:tc>
      </w:tr>
      <w:tr w:rsidR="00AE2CD4" w:rsidRPr="00AE2CD4" w:rsidTr="00C10528">
        <w:trPr>
          <w:trHeight w:val="300"/>
        </w:trPr>
        <w:tc>
          <w:tcPr>
            <w:tcW w:w="5000" w:type="pct"/>
            <w:gridSpan w:val="7"/>
            <w:tcBorders>
              <w:top w:val="single" w:sz="4" w:space="0" w:color="auto"/>
              <w:left w:val="nil"/>
              <w:bottom w:val="nil"/>
              <w:right w:val="nil"/>
            </w:tcBorders>
            <w:shd w:val="clear" w:color="auto" w:fill="auto"/>
            <w:noWrap/>
            <w:vAlign w:val="bottom"/>
            <w:hideMark/>
          </w:tcPr>
          <w:p w:rsidR="00AE2CD4" w:rsidRPr="00AE2CD4" w:rsidRDefault="00AE2CD4" w:rsidP="00AE2CD4">
            <w:pPr>
              <w:pStyle w:val="Tabletext"/>
              <w:rPr>
                <w:b/>
                <w:lang w:eastAsia="en-AU"/>
              </w:rPr>
            </w:pPr>
            <w:r w:rsidRPr="00AE2CD4">
              <w:rPr>
                <w:b/>
                <w:lang w:eastAsia="en-AU"/>
              </w:rPr>
              <w:t>Regional demographic factors</w:t>
            </w:r>
          </w:p>
        </w:tc>
      </w:tr>
      <w:tr w:rsidR="00AE2CD4" w:rsidRPr="001763F5" w:rsidTr="00C10528">
        <w:trPr>
          <w:trHeight w:val="300"/>
        </w:trPr>
        <w:tc>
          <w:tcPr>
            <w:tcW w:w="179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 15 to 24 years</w:t>
            </w:r>
          </w:p>
        </w:tc>
        <w:tc>
          <w:tcPr>
            <w:tcW w:w="57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0.27**</w:t>
            </w:r>
          </w:p>
        </w:tc>
        <w:tc>
          <w:tcPr>
            <w:tcW w:w="43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0.86</w:t>
            </w:r>
          </w:p>
        </w:tc>
        <w:tc>
          <w:tcPr>
            <w:tcW w:w="565"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0.06**</w:t>
            </w:r>
          </w:p>
        </w:tc>
        <w:tc>
          <w:tcPr>
            <w:tcW w:w="463"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0.8**</w:t>
            </w:r>
          </w:p>
        </w:tc>
        <w:tc>
          <w:tcPr>
            <w:tcW w:w="497"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0.82</w:t>
            </w:r>
          </w:p>
        </w:tc>
        <w:tc>
          <w:tcPr>
            <w:tcW w:w="661"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0.45**</w:t>
            </w:r>
          </w:p>
        </w:tc>
      </w:tr>
      <w:tr w:rsidR="00AE2CD4" w:rsidRPr="001763F5" w:rsidTr="00C10528">
        <w:trPr>
          <w:trHeight w:val="300"/>
        </w:trPr>
        <w:tc>
          <w:tcPr>
            <w:tcW w:w="179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 Indigenous</w:t>
            </w:r>
          </w:p>
        </w:tc>
        <w:tc>
          <w:tcPr>
            <w:tcW w:w="57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-0.17</w:t>
            </w:r>
          </w:p>
        </w:tc>
        <w:tc>
          <w:tcPr>
            <w:tcW w:w="43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-0.53</w:t>
            </w:r>
          </w:p>
        </w:tc>
        <w:tc>
          <w:tcPr>
            <w:tcW w:w="565"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-0.05</w:t>
            </w:r>
          </w:p>
        </w:tc>
        <w:tc>
          <w:tcPr>
            <w:tcW w:w="463"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-0.91</w:t>
            </w:r>
          </w:p>
        </w:tc>
        <w:tc>
          <w:tcPr>
            <w:tcW w:w="497"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-0.24</w:t>
            </w:r>
          </w:p>
        </w:tc>
        <w:tc>
          <w:tcPr>
            <w:tcW w:w="661"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-0.48</w:t>
            </w:r>
          </w:p>
        </w:tc>
      </w:tr>
      <w:tr w:rsidR="00AE2CD4" w:rsidRPr="001763F5" w:rsidTr="00C10528">
        <w:trPr>
          <w:trHeight w:val="300"/>
        </w:trPr>
        <w:tc>
          <w:tcPr>
            <w:tcW w:w="179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 LBOTE</w:t>
            </w:r>
          </w:p>
        </w:tc>
        <w:tc>
          <w:tcPr>
            <w:tcW w:w="57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0.03</w:t>
            </w:r>
          </w:p>
        </w:tc>
        <w:tc>
          <w:tcPr>
            <w:tcW w:w="43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-0.33</w:t>
            </w:r>
          </w:p>
        </w:tc>
        <w:tc>
          <w:tcPr>
            <w:tcW w:w="565"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-0.03</w:t>
            </w:r>
          </w:p>
        </w:tc>
        <w:tc>
          <w:tcPr>
            <w:tcW w:w="463"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-0.16</w:t>
            </w:r>
          </w:p>
        </w:tc>
        <w:tc>
          <w:tcPr>
            <w:tcW w:w="497"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0.47</w:t>
            </w:r>
          </w:p>
        </w:tc>
        <w:tc>
          <w:tcPr>
            <w:tcW w:w="661"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0.03</w:t>
            </w:r>
          </w:p>
        </w:tc>
      </w:tr>
      <w:tr w:rsidR="00AE2CD4" w:rsidRPr="001763F5" w:rsidTr="00C10528">
        <w:trPr>
          <w:trHeight w:val="300"/>
        </w:trPr>
        <w:tc>
          <w:tcPr>
            <w:tcW w:w="179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 Low attainment</w:t>
            </w:r>
          </w:p>
        </w:tc>
        <w:tc>
          <w:tcPr>
            <w:tcW w:w="57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0.39</w:t>
            </w:r>
          </w:p>
        </w:tc>
        <w:tc>
          <w:tcPr>
            <w:tcW w:w="43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-2.29</w:t>
            </w:r>
          </w:p>
        </w:tc>
        <w:tc>
          <w:tcPr>
            <w:tcW w:w="565"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0.09</w:t>
            </w:r>
          </w:p>
        </w:tc>
        <w:tc>
          <w:tcPr>
            <w:tcW w:w="463"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1.69</w:t>
            </w:r>
          </w:p>
        </w:tc>
        <w:tc>
          <w:tcPr>
            <w:tcW w:w="497"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1.07</w:t>
            </w:r>
          </w:p>
        </w:tc>
        <w:tc>
          <w:tcPr>
            <w:tcW w:w="661"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-0.32</w:t>
            </w:r>
          </w:p>
        </w:tc>
      </w:tr>
      <w:tr w:rsidR="00AE2CD4" w:rsidRPr="001763F5" w:rsidTr="00C10528">
        <w:trPr>
          <w:trHeight w:val="300"/>
        </w:trPr>
        <w:tc>
          <w:tcPr>
            <w:tcW w:w="179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 Low income</w:t>
            </w:r>
          </w:p>
        </w:tc>
        <w:tc>
          <w:tcPr>
            <w:tcW w:w="57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-0.59***</w:t>
            </w:r>
          </w:p>
        </w:tc>
        <w:tc>
          <w:tcPr>
            <w:tcW w:w="43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-1.9**</w:t>
            </w:r>
          </w:p>
        </w:tc>
        <w:tc>
          <w:tcPr>
            <w:tcW w:w="565"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-0.09***</w:t>
            </w:r>
          </w:p>
        </w:tc>
        <w:tc>
          <w:tcPr>
            <w:tcW w:w="463"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-1.38***</w:t>
            </w:r>
          </w:p>
        </w:tc>
        <w:tc>
          <w:tcPr>
            <w:tcW w:w="497"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-1.79**</w:t>
            </w:r>
          </w:p>
        </w:tc>
        <w:tc>
          <w:tcPr>
            <w:tcW w:w="661"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-1.17***</w:t>
            </w:r>
          </w:p>
        </w:tc>
      </w:tr>
      <w:tr w:rsidR="00AE2CD4" w:rsidRPr="001763F5" w:rsidTr="00C10528">
        <w:trPr>
          <w:trHeight w:val="300"/>
        </w:trPr>
        <w:tc>
          <w:tcPr>
            <w:tcW w:w="179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 Severe disability</w:t>
            </w:r>
          </w:p>
        </w:tc>
        <w:tc>
          <w:tcPr>
            <w:tcW w:w="57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-0.57**</w:t>
            </w:r>
          </w:p>
        </w:tc>
        <w:tc>
          <w:tcPr>
            <w:tcW w:w="43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0.04</w:t>
            </w:r>
          </w:p>
        </w:tc>
        <w:tc>
          <w:tcPr>
            <w:tcW w:w="565"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-0.01</w:t>
            </w:r>
          </w:p>
        </w:tc>
        <w:tc>
          <w:tcPr>
            <w:tcW w:w="463"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-0.81*</w:t>
            </w:r>
          </w:p>
        </w:tc>
        <w:tc>
          <w:tcPr>
            <w:tcW w:w="497"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-0.95</w:t>
            </w:r>
          </w:p>
        </w:tc>
        <w:tc>
          <w:tcPr>
            <w:tcW w:w="661"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-0.91***</w:t>
            </w:r>
          </w:p>
        </w:tc>
      </w:tr>
      <w:tr w:rsidR="00AE2CD4" w:rsidRPr="001763F5" w:rsidTr="00C10528">
        <w:trPr>
          <w:trHeight w:val="300"/>
        </w:trPr>
        <w:tc>
          <w:tcPr>
            <w:tcW w:w="179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 Remote or very remote</w:t>
            </w:r>
          </w:p>
        </w:tc>
        <w:tc>
          <w:tcPr>
            <w:tcW w:w="57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0.25*</w:t>
            </w:r>
          </w:p>
        </w:tc>
        <w:tc>
          <w:tcPr>
            <w:tcW w:w="43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0.14</w:t>
            </w:r>
          </w:p>
        </w:tc>
        <w:tc>
          <w:tcPr>
            <w:tcW w:w="565"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w:t>
            </w:r>
          </w:p>
        </w:tc>
        <w:tc>
          <w:tcPr>
            <w:tcW w:w="463"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0.04</w:t>
            </w:r>
          </w:p>
        </w:tc>
        <w:tc>
          <w:tcPr>
            <w:tcW w:w="497"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-0.43</w:t>
            </w:r>
          </w:p>
        </w:tc>
        <w:tc>
          <w:tcPr>
            <w:tcW w:w="661"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0.36*</w:t>
            </w:r>
          </w:p>
        </w:tc>
      </w:tr>
      <w:tr w:rsidR="00AE2CD4" w:rsidRPr="00AE2CD4" w:rsidTr="00C10528">
        <w:trPr>
          <w:trHeight w:val="300"/>
        </w:trPr>
        <w:tc>
          <w:tcPr>
            <w:tcW w:w="5000" w:type="pct"/>
            <w:gridSpan w:val="7"/>
            <w:tcBorders>
              <w:top w:val="nil"/>
              <w:left w:val="nil"/>
              <w:bottom w:val="nil"/>
              <w:right w:val="nil"/>
            </w:tcBorders>
            <w:shd w:val="clear" w:color="auto" w:fill="auto"/>
            <w:noWrap/>
            <w:vAlign w:val="bottom"/>
            <w:hideMark/>
          </w:tcPr>
          <w:p w:rsidR="00AE2CD4" w:rsidRPr="00AE2CD4" w:rsidRDefault="00AE2CD4" w:rsidP="00AE2CD4">
            <w:pPr>
              <w:pStyle w:val="Tabletext"/>
              <w:rPr>
                <w:b/>
                <w:lang w:eastAsia="en-AU"/>
              </w:rPr>
            </w:pPr>
            <w:r w:rsidRPr="00AE2CD4">
              <w:rPr>
                <w:b/>
                <w:lang w:eastAsia="en-AU"/>
              </w:rPr>
              <w:t>Regional economic factors</w:t>
            </w:r>
          </w:p>
        </w:tc>
      </w:tr>
      <w:tr w:rsidR="00AE2CD4" w:rsidRPr="001763F5" w:rsidTr="00C10528">
        <w:trPr>
          <w:trHeight w:val="300"/>
        </w:trPr>
        <w:tc>
          <w:tcPr>
            <w:tcW w:w="179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%Unemployed</w:t>
            </w:r>
          </w:p>
        </w:tc>
        <w:tc>
          <w:tcPr>
            <w:tcW w:w="57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0.26</w:t>
            </w:r>
          </w:p>
        </w:tc>
        <w:tc>
          <w:tcPr>
            <w:tcW w:w="43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0.78</w:t>
            </w:r>
          </w:p>
        </w:tc>
        <w:tc>
          <w:tcPr>
            <w:tcW w:w="565"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0.04*</w:t>
            </w:r>
          </w:p>
        </w:tc>
        <w:tc>
          <w:tcPr>
            <w:tcW w:w="463"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0.41</w:t>
            </w:r>
          </w:p>
        </w:tc>
        <w:tc>
          <w:tcPr>
            <w:tcW w:w="497"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-0.59</w:t>
            </w:r>
          </w:p>
        </w:tc>
        <w:tc>
          <w:tcPr>
            <w:tcW w:w="661"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0.59**</w:t>
            </w:r>
          </w:p>
        </w:tc>
      </w:tr>
      <w:tr w:rsidR="00AE2CD4" w:rsidRPr="001763F5" w:rsidTr="00C10528">
        <w:trPr>
          <w:trHeight w:val="300"/>
        </w:trPr>
        <w:tc>
          <w:tcPr>
            <w:tcW w:w="1798" w:type="pct"/>
            <w:tcBorders>
              <w:top w:val="nil"/>
              <w:left w:val="nil"/>
              <w:bottom w:val="nil"/>
              <w:right w:val="nil"/>
            </w:tcBorders>
            <w:shd w:val="clear" w:color="auto" w:fill="auto"/>
            <w:noWrap/>
            <w:vAlign w:val="bottom"/>
            <w:hideMark/>
          </w:tcPr>
          <w:p w:rsidR="00AE2CD4" w:rsidRPr="001763F5" w:rsidRDefault="00AE2CD4" w:rsidP="00AE2CD4">
            <w:pPr>
              <w:pStyle w:val="Tabletext"/>
              <w:rPr>
                <w:i/>
                <w:iCs/>
                <w:lang w:eastAsia="en-AU"/>
              </w:rPr>
            </w:pPr>
            <w:r w:rsidRPr="001763F5">
              <w:rPr>
                <w:i/>
                <w:iCs/>
                <w:lang w:eastAsia="en-AU"/>
              </w:rPr>
              <w:t>Occupations</w:t>
            </w:r>
          </w:p>
        </w:tc>
        <w:tc>
          <w:tcPr>
            <w:tcW w:w="578" w:type="pct"/>
            <w:tcBorders>
              <w:top w:val="nil"/>
              <w:left w:val="nil"/>
              <w:bottom w:val="nil"/>
              <w:right w:val="nil"/>
            </w:tcBorders>
            <w:shd w:val="clear" w:color="auto" w:fill="auto"/>
            <w:noWrap/>
            <w:vAlign w:val="bottom"/>
            <w:hideMark/>
          </w:tcPr>
          <w:p w:rsidR="00AE2CD4" w:rsidRPr="001763F5" w:rsidRDefault="00AE2CD4" w:rsidP="00AE2CD4">
            <w:pPr>
              <w:pStyle w:val="Tabletext"/>
              <w:rPr>
                <w:i/>
                <w:iCs/>
                <w:lang w:eastAsia="en-AU"/>
              </w:rPr>
            </w:pPr>
          </w:p>
        </w:tc>
        <w:tc>
          <w:tcPr>
            <w:tcW w:w="438" w:type="pct"/>
            <w:tcBorders>
              <w:top w:val="nil"/>
              <w:left w:val="nil"/>
              <w:bottom w:val="nil"/>
              <w:right w:val="nil"/>
            </w:tcBorders>
            <w:shd w:val="clear" w:color="auto" w:fill="auto"/>
            <w:noWrap/>
            <w:vAlign w:val="bottom"/>
            <w:hideMark/>
          </w:tcPr>
          <w:p w:rsidR="00AE2CD4" w:rsidRPr="001763F5" w:rsidRDefault="00AE2CD4" w:rsidP="00AE2CD4">
            <w:pPr>
              <w:pStyle w:val="Tabletext"/>
              <w:rPr>
                <w:rFonts w:ascii="Times New Roman" w:hAnsi="Times New Roman"/>
                <w:sz w:val="20"/>
                <w:lang w:eastAsia="en-AU"/>
              </w:rPr>
            </w:pPr>
          </w:p>
        </w:tc>
        <w:tc>
          <w:tcPr>
            <w:tcW w:w="565" w:type="pct"/>
            <w:tcBorders>
              <w:top w:val="nil"/>
              <w:left w:val="nil"/>
              <w:bottom w:val="nil"/>
              <w:right w:val="nil"/>
            </w:tcBorders>
            <w:shd w:val="clear" w:color="auto" w:fill="auto"/>
            <w:noWrap/>
            <w:vAlign w:val="bottom"/>
            <w:hideMark/>
          </w:tcPr>
          <w:p w:rsidR="00AE2CD4" w:rsidRPr="001763F5" w:rsidRDefault="00AE2CD4" w:rsidP="00AE2CD4">
            <w:pPr>
              <w:pStyle w:val="Tabletext"/>
              <w:rPr>
                <w:rFonts w:ascii="Times New Roman" w:hAnsi="Times New Roman"/>
                <w:sz w:val="20"/>
                <w:lang w:eastAsia="en-AU"/>
              </w:rPr>
            </w:pPr>
          </w:p>
        </w:tc>
        <w:tc>
          <w:tcPr>
            <w:tcW w:w="463" w:type="pct"/>
            <w:tcBorders>
              <w:top w:val="nil"/>
              <w:left w:val="nil"/>
              <w:bottom w:val="nil"/>
              <w:right w:val="nil"/>
            </w:tcBorders>
            <w:shd w:val="clear" w:color="auto" w:fill="auto"/>
            <w:noWrap/>
            <w:vAlign w:val="bottom"/>
            <w:hideMark/>
          </w:tcPr>
          <w:p w:rsidR="00AE2CD4" w:rsidRPr="001763F5" w:rsidRDefault="00AE2CD4" w:rsidP="00AE2CD4">
            <w:pPr>
              <w:pStyle w:val="Tabletext"/>
              <w:rPr>
                <w:rFonts w:ascii="Times New Roman" w:hAnsi="Times New Roman"/>
                <w:sz w:val="20"/>
                <w:lang w:eastAsia="en-AU"/>
              </w:rPr>
            </w:pPr>
          </w:p>
        </w:tc>
        <w:tc>
          <w:tcPr>
            <w:tcW w:w="497" w:type="pct"/>
            <w:tcBorders>
              <w:top w:val="nil"/>
              <w:left w:val="nil"/>
              <w:bottom w:val="nil"/>
              <w:right w:val="nil"/>
            </w:tcBorders>
            <w:shd w:val="clear" w:color="auto" w:fill="auto"/>
            <w:noWrap/>
            <w:vAlign w:val="bottom"/>
            <w:hideMark/>
          </w:tcPr>
          <w:p w:rsidR="00AE2CD4" w:rsidRPr="001763F5" w:rsidRDefault="00AE2CD4" w:rsidP="00AE2CD4">
            <w:pPr>
              <w:pStyle w:val="Tabletext"/>
              <w:rPr>
                <w:rFonts w:ascii="Times New Roman" w:hAnsi="Times New Roman"/>
                <w:sz w:val="20"/>
                <w:lang w:eastAsia="en-AU"/>
              </w:rPr>
            </w:pPr>
          </w:p>
        </w:tc>
        <w:tc>
          <w:tcPr>
            <w:tcW w:w="661" w:type="pct"/>
            <w:tcBorders>
              <w:top w:val="nil"/>
              <w:left w:val="nil"/>
              <w:bottom w:val="nil"/>
              <w:right w:val="nil"/>
            </w:tcBorders>
            <w:shd w:val="clear" w:color="auto" w:fill="auto"/>
            <w:noWrap/>
            <w:vAlign w:val="bottom"/>
            <w:hideMark/>
          </w:tcPr>
          <w:p w:rsidR="00AE2CD4" w:rsidRPr="001763F5" w:rsidRDefault="00AE2CD4" w:rsidP="00AE2CD4">
            <w:pPr>
              <w:pStyle w:val="Tabletext"/>
              <w:rPr>
                <w:rFonts w:ascii="Times New Roman" w:hAnsi="Times New Roman"/>
                <w:sz w:val="20"/>
                <w:lang w:eastAsia="en-AU"/>
              </w:rPr>
            </w:pPr>
          </w:p>
        </w:tc>
      </w:tr>
      <w:tr w:rsidR="00AE2CD4" w:rsidRPr="001763F5" w:rsidTr="00C10528">
        <w:trPr>
          <w:trHeight w:val="300"/>
        </w:trPr>
        <w:tc>
          <w:tcPr>
            <w:tcW w:w="179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 Managers</w:t>
            </w:r>
          </w:p>
        </w:tc>
        <w:tc>
          <w:tcPr>
            <w:tcW w:w="57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0.06</w:t>
            </w:r>
          </w:p>
        </w:tc>
        <w:tc>
          <w:tcPr>
            <w:tcW w:w="43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1.89</w:t>
            </w:r>
          </w:p>
        </w:tc>
        <w:tc>
          <w:tcPr>
            <w:tcW w:w="565"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0.07</w:t>
            </w:r>
          </w:p>
        </w:tc>
        <w:tc>
          <w:tcPr>
            <w:tcW w:w="463"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-0.82</w:t>
            </w:r>
          </w:p>
        </w:tc>
        <w:tc>
          <w:tcPr>
            <w:tcW w:w="497"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-1.22</w:t>
            </w:r>
          </w:p>
        </w:tc>
        <w:tc>
          <w:tcPr>
            <w:tcW w:w="661"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-0.53</w:t>
            </w:r>
          </w:p>
        </w:tc>
      </w:tr>
      <w:tr w:rsidR="00AE2CD4" w:rsidRPr="001763F5" w:rsidTr="00C10528">
        <w:trPr>
          <w:trHeight w:val="300"/>
        </w:trPr>
        <w:tc>
          <w:tcPr>
            <w:tcW w:w="179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 Technicians and Trades Workers</w:t>
            </w:r>
          </w:p>
        </w:tc>
        <w:tc>
          <w:tcPr>
            <w:tcW w:w="57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-0.1</w:t>
            </w:r>
          </w:p>
        </w:tc>
        <w:tc>
          <w:tcPr>
            <w:tcW w:w="43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0.34</w:t>
            </w:r>
          </w:p>
        </w:tc>
        <w:tc>
          <w:tcPr>
            <w:tcW w:w="565"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0.02</w:t>
            </w:r>
          </w:p>
        </w:tc>
        <w:tc>
          <w:tcPr>
            <w:tcW w:w="463"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-0.31</w:t>
            </w:r>
          </w:p>
        </w:tc>
        <w:tc>
          <w:tcPr>
            <w:tcW w:w="497"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-2.13</w:t>
            </w:r>
          </w:p>
        </w:tc>
        <w:tc>
          <w:tcPr>
            <w:tcW w:w="661"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-0.27</w:t>
            </w:r>
          </w:p>
        </w:tc>
      </w:tr>
      <w:tr w:rsidR="00AE2CD4" w:rsidRPr="001763F5" w:rsidTr="00C10528">
        <w:trPr>
          <w:trHeight w:val="300"/>
        </w:trPr>
        <w:tc>
          <w:tcPr>
            <w:tcW w:w="179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 Community and Personal Service Workers</w:t>
            </w:r>
          </w:p>
        </w:tc>
        <w:tc>
          <w:tcPr>
            <w:tcW w:w="57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0.28</w:t>
            </w:r>
          </w:p>
        </w:tc>
        <w:tc>
          <w:tcPr>
            <w:tcW w:w="43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0.57</w:t>
            </w:r>
          </w:p>
        </w:tc>
        <w:tc>
          <w:tcPr>
            <w:tcW w:w="565"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0.03</w:t>
            </w:r>
          </w:p>
        </w:tc>
        <w:tc>
          <w:tcPr>
            <w:tcW w:w="463"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-0.4</w:t>
            </w:r>
          </w:p>
        </w:tc>
        <w:tc>
          <w:tcPr>
            <w:tcW w:w="497"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0.95</w:t>
            </w:r>
          </w:p>
        </w:tc>
        <w:tc>
          <w:tcPr>
            <w:tcW w:w="661"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0.52*</w:t>
            </w:r>
          </w:p>
        </w:tc>
      </w:tr>
      <w:tr w:rsidR="00AE2CD4" w:rsidRPr="001763F5" w:rsidTr="00C10528">
        <w:trPr>
          <w:trHeight w:val="300"/>
        </w:trPr>
        <w:tc>
          <w:tcPr>
            <w:tcW w:w="179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 Clerical Administrative and Sales Workers</w:t>
            </w:r>
          </w:p>
        </w:tc>
        <w:tc>
          <w:tcPr>
            <w:tcW w:w="57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0.15</w:t>
            </w:r>
          </w:p>
        </w:tc>
        <w:tc>
          <w:tcPr>
            <w:tcW w:w="43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-0.04</w:t>
            </w:r>
          </w:p>
        </w:tc>
        <w:tc>
          <w:tcPr>
            <w:tcW w:w="565"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-0.04</w:t>
            </w:r>
          </w:p>
        </w:tc>
        <w:tc>
          <w:tcPr>
            <w:tcW w:w="463"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-0.68</w:t>
            </w:r>
          </w:p>
        </w:tc>
        <w:tc>
          <w:tcPr>
            <w:tcW w:w="497"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0.8</w:t>
            </w:r>
          </w:p>
        </w:tc>
        <w:tc>
          <w:tcPr>
            <w:tcW w:w="661"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-0.56</w:t>
            </w:r>
          </w:p>
        </w:tc>
      </w:tr>
      <w:tr w:rsidR="00AE2CD4" w:rsidRPr="001763F5" w:rsidTr="00C10528">
        <w:trPr>
          <w:trHeight w:val="300"/>
        </w:trPr>
        <w:tc>
          <w:tcPr>
            <w:tcW w:w="179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 Machinery Operators Drivers and Labourers</w:t>
            </w:r>
          </w:p>
        </w:tc>
        <w:tc>
          <w:tcPr>
            <w:tcW w:w="57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0.69</w:t>
            </w:r>
          </w:p>
        </w:tc>
        <w:tc>
          <w:tcPr>
            <w:tcW w:w="43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0.06</w:t>
            </w:r>
          </w:p>
        </w:tc>
        <w:tc>
          <w:tcPr>
            <w:tcW w:w="565"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0.1</w:t>
            </w:r>
          </w:p>
        </w:tc>
        <w:tc>
          <w:tcPr>
            <w:tcW w:w="463"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0.1</w:t>
            </w:r>
          </w:p>
        </w:tc>
        <w:tc>
          <w:tcPr>
            <w:tcW w:w="497"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-0.21</w:t>
            </w:r>
          </w:p>
        </w:tc>
        <w:tc>
          <w:tcPr>
            <w:tcW w:w="661"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-0.07</w:t>
            </w:r>
          </w:p>
        </w:tc>
      </w:tr>
      <w:tr w:rsidR="00AE2CD4" w:rsidRPr="001763F5" w:rsidTr="00C10528">
        <w:trPr>
          <w:trHeight w:val="300"/>
        </w:trPr>
        <w:tc>
          <w:tcPr>
            <w:tcW w:w="1798" w:type="pct"/>
            <w:tcBorders>
              <w:top w:val="nil"/>
              <w:left w:val="nil"/>
              <w:bottom w:val="nil"/>
              <w:right w:val="nil"/>
            </w:tcBorders>
            <w:shd w:val="clear" w:color="auto" w:fill="auto"/>
            <w:noWrap/>
            <w:vAlign w:val="bottom"/>
            <w:hideMark/>
          </w:tcPr>
          <w:p w:rsidR="00AE2CD4" w:rsidRPr="001763F5" w:rsidRDefault="00AE2CD4" w:rsidP="00AE2CD4">
            <w:pPr>
              <w:pStyle w:val="Tabletext"/>
              <w:rPr>
                <w:i/>
                <w:iCs/>
                <w:lang w:eastAsia="en-AU"/>
              </w:rPr>
            </w:pPr>
            <w:r w:rsidRPr="001763F5">
              <w:rPr>
                <w:i/>
                <w:iCs/>
                <w:lang w:eastAsia="en-AU"/>
              </w:rPr>
              <w:t>Industry</w:t>
            </w:r>
          </w:p>
        </w:tc>
        <w:tc>
          <w:tcPr>
            <w:tcW w:w="578" w:type="pct"/>
            <w:tcBorders>
              <w:top w:val="nil"/>
              <w:left w:val="nil"/>
              <w:bottom w:val="nil"/>
              <w:right w:val="nil"/>
            </w:tcBorders>
            <w:shd w:val="clear" w:color="auto" w:fill="auto"/>
            <w:noWrap/>
            <w:vAlign w:val="bottom"/>
            <w:hideMark/>
          </w:tcPr>
          <w:p w:rsidR="00AE2CD4" w:rsidRPr="001763F5" w:rsidRDefault="00AE2CD4" w:rsidP="00AE2CD4">
            <w:pPr>
              <w:pStyle w:val="Tabletext"/>
              <w:rPr>
                <w:i/>
                <w:iCs/>
                <w:lang w:eastAsia="en-AU"/>
              </w:rPr>
            </w:pPr>
          </w:p>
        </w:tc>
        <w:tc>
          <w:tcPr>
            <w:tcW w:w="438" w:type="pct"/>
            <w:tcBorders>
              <w:top w:val="nil"/>
              <w:left w:val="nil"/>
              <w:bottom w:val="nil"/>
              <w:right w:val="nil"/>
            </w:tcBorders>
            <w:shd w:val="clear" w:color="auto" w:fill="auto"/>
            <w:noWrap/>
            <w:vAlign w:val="bottom"/>
            <w:hideMark/>
          </w:tcPr>
          <w:p w:rsidR="00AE2CD4" w:rsidRPr="001763F5" w:rsidRDefault="00AE2CD4" w:rsidP="00AE2CD4">
            <w:pPr>
              <w:pStyle w:val="Tabletext"/>
              <w:rPr>
                <w:rFonts w:ascii="Times New Roman" w:hAnsi="Times New Roman"/>
                <w:sz w:val="20"/>
                <w:lang w:eastAsia="en-AU"/>
              </w:rPr>
            </w:pPr>
          </w:p>
        </w:tc>
        <w:tc>
          <w:tcPr>
            <w:tcW w:w="565" w:type="pct"/>
            <w:tcBorders>
              <w:top w:val="nil"/>
              <w:left w:val="nil"/>
              <w:bottom w:val="nil"/>
              <w:right w:val="nil"/>
            </w:tcBorders>
            <w:shd w:val="clear" w:color="auto" w:fill="auto"/>
            <w:noWrap/>
            <w:vAlign w:val="bottom"/>
            <w:hideMark/>
          </w:tcPr>
          <w:p w:rsidR="00AE2CD4" w:rsidRPr="001763F5" w:rsidRDefault="00AE2CD4" w:rsidP="00AE2CD4">
            <w:pPr>
              <w:pStyle w:val="Tabletext"/>
              <w:rPr>
                <w:rFonts w:ascii="Times New Roman" w:hAnsi="Times New Roman"/>
                <w:sz w:val="20"/>
                <w:lang w:eastAsia="en-AU"/>
              </w:rPr>
            </w:pPr>
          </w:p>
        </w:tc>
        <w:tc>
          <w:tcPr>
            <w:tcW w:w="463" w:type="pct"/>
            <w:tcBorders>
              <w:top w:val="nil"/>
              <w:left w:val="nil"/>
              <w:bottom w:val="nil"/>
              <w:right w:val="nil"/>
            </w:tcBorders>
            <w:shd w:val="clear" w:color="auto" w:fill="auto"/>
            <w:noWrap/>
            <w:vAlign w:val="bottom"/>
            <w:hideMark/>
          </w:tcPr>
          <w:p w:rsidR="00AE2CD4" w:rsidRPr="001763F5" w:rsidRDefault="00AE2CD4" w:rsidP="00AE2CD4">
            <w:pPr>
              <w:pStyle w:val="Tabletext"/>
              <w:rPr>
                <w:rFonts w:ascii="Times New Roman" w:hAnsi="Times New Roman"/>
                <w:sz w:val="20"/>
                <w:lang w:eastAsia="en-AU"/>
              </w:rPr>
            </w:pPr>
          </w:p>
        </w:tc>
        <w:tc>
          <w:tcPr>
            <w:tcW w:w="497" w:type="pct"/>
            <w:tcBorders>
              <w:top w:val="nil"/>
              <w:left w:val="nil"/>
              <w:bottom w:val="nil"/>
              <w:right w:val="nil"/>
            </w:tcBorders>
            <w:shd w:val="clear" w:color="auto" w:fill="auto"/>
            <w:noWrap/>
            <w:vAlign w:val="bottom"/>
            <w:hideMark/>
          </w:tcPr>
          <w:p w:rsidR="00AE2CD4" w:rsidRPr="001763F5" w:rsidRDefault="00AE2CD4" w:rsidP="00AE2CD4">
            <w:pPr>
              <w:pStyle w:val="Tabletext"/>
              <w:rPr>
                <w:rFonts w:ascii="Times New Roman" w:hAnsi="Times New Roman"/>
                <w:sz w:val="20"/>
                <w:lang w:eastAsia="en-AU"/>
              </w:rPr>
            </w:pPr>
          </w:p>
        </w:tc>
        <w:tc>
          <w:tcPr>
            <w:tcW w:w="661" w:type="pct"/>
            <w:tcBorders>
              <w:top w:val="nil"/>
              <w:left w:val="nil"/>
              <w:bottom w:val="nil"/>
              <w:right w:val="nil"/>
            </w:tcBorders>
            <w:shd w:val="clear" w:color="auto" w:fill="auto"/>
            <w:noWrap/>
            <w:vAlign w:val="bottom"/>
            <w:hideMark/>
          </w:tcPr>
          <w:p w:rsidR="00AE2CD4" w:rsidRPr="001763F5" w:rsidRDefault="00AE2CD4" w:rsidP="00AE2CD4">
            <w:pPr>
              <w:pStyle w:val="Tabletext"/>
              <w:rPr>
                <w:rFonts w:ascii="Times New Roman" w:hAnsi="Times New Roman"/>
                <w:sz w:val="20"/>
                <w:lang w:eastAsia="en-AU"/>
              </w:rPr>
            </w:pPr>
          </w:p>
        </w:tc>
      </w:tr>
      <w:tr w:rsidR="00AE2CD4" w:rsidRPr="001763F5" w:rsidTr="00C10528">
        <w:trPr>
          <w:trHeight w:val="300"/>
        </w:trPr>
        <w:tc>
          <w:tcPr>
            <w:tcW w:w="179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 Agriculture, Forestry and Fishing</w:t>
            </w:r>
          </w:p>
        </w:tc>
        <w:tc>
          <w:tcPr>
            <w:tcW w:w="57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0.96*</w:t>
            </w:r>
          </w:p>
        </w:tc>
        <w:tc>
          <w:tcPr>
            <w:tcW w:w="43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2.66</w:t>
            </w:r>
          </w:p>
        </w:tc>
        <w:tc>
          <w:tcPr>
            <w:tcW w:w="565"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0.01</w:t>
            </w:r>
          </w:p>
        </w:tc>
        <w:tc>
          <w:tcPr>
            <w:tcW w:w="463"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0.92</w:t>
            </w:r>
          </w:p>
        </w:tc>
        <w:tc>
          <w:tcPr>
            <w:tcW w:w="497"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5.26**</w:t>
            </w:r>
          </w:p>
        </w:tc>
        <w:tc>
          <w:tcPr>
            <w:tcW w:w="661"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1.73**</w:t>
            </w:r>
          </w:p>
        </w:tc>
      </w:tr>
      <w:tr w:rsidR="00AE2CD4" w:rsidRPr="001763F5" w:rsidTr="00C10528">
        <w:trPr>
          <w:trHeight w:val="300"/>
        </w:trPr>
        <w:tc>
          <w:tcPr>
            <w:tcW w:w="179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 Mining</w:t>
            </w:r>
          </w:p>
        </w:tc>
        <w:tc>
          <w:tcPr>
            <w:tcW w:w="57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0.37</w:t>
            </w:r>
          </w:p>
        </w:tc>
        <w:tc>
          <w:tcPr>
            <w:tcW w:w="43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2.57*</w:t>
            </w:r>
          </w:p>
        </w:tc>
        <w:tc>
          <w:tcPr>
            <w:tcW w:w="565"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0.03</w:t>
            </w:r>
          </w:p>
        </w:tc>
        <w:tc>
          <w:tcPr>
            <w:tcW w:w="463"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0.17</w:t>
            </w:r>
          </w:p>
        </w:tc>
        <w:tc>
          <w:tcPr>
            <w:tcW w:w="497"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3.15**</w:t>
            </w:r>
          </w:p>
        </w:tc>
        <w:tc>
          <w:tcPr>
            <w:tcW w:w="661"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0.6</w:t>
            </w:r>
          </w:p>
        </w:tc>
      </w:tr>
      <w:tr w:rsidR="00AE2CD4" w:rsidRPr="001763F5" w:rsidTr="00C10528">
        <w:trPr>
          <w:trHeight w:val="300"/>
        </w:trPr>
        <w:tc>
          <w:tcPr>
            <w:tcW w:w="179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 Manufacturing, Transport, Postal and Warehousing</w:t>
            </w:r>
          </w:p>
        </w:tc>
        <w:tc>
          <w:tcPr>
            <w:tcW w:w="57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1.17***</w:t>
            </w:r>
          </w:p>
        </w:tc>
        <w:tc>
          <w:tcPr>
            <w:tcW w:w="43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4.15**</w:t>
            </w:r>
          </w:p>
        </w:tc>
        <w:tc>
          <w:tcPr>
            <w:tcW w:w="565"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0.07</w:t>
            </w:r>
          </w:p>
        </w:tc>
        <w:tc>
          <w:tcPr>
            <w:tcW w:w="463"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0.98</w:t>
            </w:r>
          </w:p>
        </w:tc>
        <w:tc>
          <w:tcPr>
            <w:tcW w:w="497"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5.22***</w:t>
            </w:r>
          </w:p>
        </w:tc>
        <w:tc>
          <w:tcPr>
            <w:tcW w:w="661"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1.58**</w:t>
            </w:r>
          </w:p>
        </w:tc>
      </w:tr>
      <w:tr w:rsidR="00AE2CD4" w:rsidRPr="001763F5" w:rsidTr="00C10528">
        <w:trPr>
          <w:trHeight w:val="300"/>
        </w:trPr>
        <w:tc>
          <w:tcPr>
            <w:tcW w:w="179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 Construction, Electricity, Gas, Water and Waste Services</w:t>
            </w:r>
          </w:p>
        </w:tc>
        <w:tc>
          <w:tcPr>
            <w:tcW w:w="57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0.16</w:t>
            </w:r>
          </w:p>
        </w:tc>
        <w:tc>
          <w:tcPr>
            <w:tcW w:w="43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0.17</w:t>
            </w:r>
          </w:p>
        </w:tc>
        <w:tc>
          <w:tcPr>
            <w:tcW w:w="565"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-0.01</w:t>
            </w:r>
          </w:p>
        </w:tc>
        <w:tc>
          <w:tcPr>
            <w:tcW w:w="463"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-0.52</w:t>
            </w:r>
          </w:p>
        </w:tc>
        <w:tc>
          <w:tcPr>
            <w:tcW w:w="497"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1.5*</w:t>
            </w:r>
          </w:p>
        </w:tc>
        <w:tc>
          <w:tcPr>
            <w:tcW w:w="661"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0.21</w:t>
            </w:r>
          </w:p>
        </w:tc>
      </w:tr>
      <w:tr w:rsidR="00AE2CD4" w:rsidRPr="001763F5" w:rsidTr="00C10528">
        <w:trPr>
          <w:trHeight w:val="300"/>
        </w:trPr>
        <w:tc>
          <w:tcPr>
            <w:tcW w:w="179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 Wholesale, Retail and Other Services</w:t>
            </w:r>
          </w:p>
        </w:tc>
        <w:tc>
          <w:tcPr>
            <w:tcW w:w="57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0.4</w:t>
            </w:r>
          </w:p>
        </w:tc>
        <w:tc>
          <w:tcPr>
            <w:tcW w:w="43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2.18*</w:t>
            </w:r>
          </w:p>
        </w:tc>
        <w:tc>
          <w:tcPr>
            <w:tcW w:w="565"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0.05</w:t>
            </w:r>
          </w:p>
        </w:tc>
        <w:tc>
          <w:tcPr>
            <w:tcW w:w="463"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1.07</w:t>
            </w:r>
          </w:p>
        </w:tc>
        <w:tc>
          <w:tcPr>
            <w:tcW w:w="497"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1.06</w:t>
            </w:r>
          </w:p>
        </w:tc>
        <w:tc>
          <w:tcPr>
            <w:tcW w:w="661"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0.81**</w:t>
            </w:r>
          </w:p>
        </w:tc>
      </w:tr>
      <w:tr w:rsidR="00AE2CD4" w:rsidRPr="001763F5" w:rsidTr="00C10528">
        <w:trPr>
          <w:trHeight w:val="300"/>
        </w:trPr>
        <w:tc>
          <w:tcPr>
            <w:tcW w:w="179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 Accommodation, Food, Rental, Hiring and Real Estate  Services</w:t>
            </w:r>
          </w:p>
        </w:tc>
        <w:tc>
          <w:tcPr>
            <w:tcW w:w="57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0.33*</w:t>
            </w:r>
          </w:p>
        </w:tc>
        <w:tc>
          <w:tcPr>
            <w:tcW w:w="43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1.21</w:t>
            </w:r>
          </w:p>
        </w:tc>
        <w:tc>
          <w:tcPr>
            <w:tcW w:w="565"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0.03</w:t>
            </w:r>
          </w:p>
        </w:tc>
        <w:tc>
          <w:tcPr>
            <w:tcW w:w="463"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0.38</w:t>
            </w:r>
          </w:p>
        </w:tc>
        <w:tc>
          <w:tcPr>
            <w:tcW w:w="497"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1.65**</w:t>
            </w:r>
          </w:p>
        </w:tc>
        <w:tc>
          <w:tcPr>
            <w:tcW w:w="661"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0.42*</w:t>
            </w:r>
          </w:p>
        </w:tc>
      </w:tr>
      <w:tr w:rsidR="00AE2CD4" w:rsidRPr="001763F5" w:rsidTr="00C10528">
        <w:trPr>
          <w:trHeight w:val="300"/>
        </w:trPr>
        <w:tc>
          <w:tcPr>
            <w:tcW w:w="179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 Education and Training</w:t>
            </w:r>
          </w:p>
        </w:tc>
        <w:tc>
          <w:tcPr>
            <w:tcW w:w="57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0.34**</w:t>
            </w:r>
          </w:p>
        </w:tc>
        <w:tc>
          <w:tcPr>
            <w:tcW w:w="43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1.23*</w:t>
            </w:r>
          </w:p>
        </w:tc>
        <w:tc>
          <w:tcPr>
            <w:tcW w:w="565"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0.04*</w:t>
            </w:r>
          </w:p>
        </w:tc>
        <w:tc>
          <w:tcPr>
            <w:tcW w:w="463"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w:t>
            </w:r>
          </w:p>
        </w:tc>
        <w:tc>
          <w:tcPr>
            <w:tcW w:w="497"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1.71**</w:t>
            </w:r>
          </w:p>
        </w:tc>
        <w:tc>
          <w:tcPr>
            <w:tcW w:w="661"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0.51**</w:t>
            </w:r>
          </w:p>
        </w:tc>
      </w:tr>
      <w:tr w:rsidR="00AE2CD4" w:rsidRPr="001763F5" w:rsidTr="00C10528">
        <w:trPr>
          <w:trHeight w:val="300"/>
        </w:trPr>
        <w:tc>
          <w:tcPr>
            <w:tcW w:w="179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 Health Care and Social Assistance</w:t>
            </w:r>
          </w:p>
        </w:tc>
        <w:tc>
          <w:tcPr>
            <w:tcW w:w="57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0.59***</w:t>
            </w:r>
          </w:p>
        </w:tc>
        <w:tc>
          <w:tcPr>
            <w:tcW w:w="43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1.46**</w:t>
            </w:r>
          </w:p>
        </w:tc>
        <w:tc>
          <w:tcPr>
            <w:tcW w:w="565"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0.11***</w:t>
            </w:r>
          </w:p>
        </w:tc>
        <w:tc>
          <w:tcPr>
            <w:tcW w:w="463"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0.99**</w:t>
            </w:r>
          </w:p>
        </w:tc>
        <w:tc>
          <w:tcPr>
            <w:tcW w:w="497"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1.96**</w:t>
            </w:r>
          </w:p>
        </w:tc>
        <w:tc>
          <w:tcPr>
            <w:tcW w:w="661"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0.4*</w:t>
            </w:r>
          </w:p>
        </w:tc>
      </w:tr>
      <w:tr w:rsidR="00AE2CD4" w:rsidRPr="001763F5" w:rsidTr="00C10528">
        <w:trPr>
          <w:trHeight w:val="300"/>
        </w:trPr>
        <w:tc>
          <w:tcPr>
            <w:tcW w:w="179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 Public Administration and Safety, Arts and Recreation Services</w:t>
            </w:r>
          </w:p>
        </w:tc>
        <w:tc>
          <w:tcPr>
            <w:tcW w:w="57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0.57*</w:t>
            </w:r>
          </w:p>
        </w:tc>
        <w:tc>
          <w:tcPr>
            <w:tcW w:w="43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3.33**</w:t>
            </w:r>
          </w:p>
        </w:tc>
        <w:tc>
          <w:tcPr>
            <w:tcW w:w="565"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0.05</w:t>
            </w:r>
          </w:p>
        </w:tc>
        <w:tc>
          <w:tcPr>
            <w:tcW w:w="463"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1.35</w:t>
            </w:r>
          </w:p>
        </w:tc>
        <w:tc>
          <w:tcPr>
            <w:tcW w:w="497"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2.42*</w:t>
            </w:r>
          </w:p>
        </w:tc>
        <w:tc>
          <w:tcPr>
            <w:tcW w:w="661"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0.7</w:t>
            </w:r>
          </w:p>
        </w:tc>
      </w:tr>
      <w:tr w:rsidR="00AE2CD4" w:rsidRPr="00AE2CD4" w:rsidTr="00C10528">
        <w:trPr>
          <w:trHeight w:val="300"/>
        </w:trPr>
        <w:tc>
          <w:tcPr>
            <w:tcW w:w="5000" w:type="pct"/>
            <w:gridSpan w:val="7"/>
            <w:tcBorders>
              <w:top w:val="nil"/>
              <w:left w:val="nil"/>
              <w:bottom w:val="nil"/>
              <w:right w:val="nil"/>
            </w:tcBorders>
            <w:shd w:val="clear" w:color="auto" w:fill="auto"/>
            <w:noWrap/>
            <w:vAlign w:val="bottom"/>
            <w:hideMark/>
          </w:tcPr>
          <w:p w:rsidR="00AE2CD4" w:rsidRPr="00AE2CD4" w:rsidRDefault="00AE2CD4" w:rsidP="00AE2CD4">
            <w:pPr>
              <w:pStyle w:val="Tabletext"/>
              <w:rPr>
                <w:b/>
                <w:lang w:eastAsia="en-AU"/>
              </w:rPr>
            </w:pPr>
            <w:r w:rsidRPr="00AE2CD4">
              <w:rPr>
                <w:b/>
                <w:lang w:eastAsia="en-AU"/>
              </w:rPr>
              <w:t>Policy factors</w:t>
            </w:r>
          </w:p>
        </w:tc>
      </w:tr>
      <w:tr w:rsidR="00AE2CD4" w:rsidRPr="001763F5" w:rsidTr="00C10528">
        <w:trPr>
          <w:trHeight w:val="300"/>
        </w:trPr>
        <w:tc>
          <w:tcPr>
            <w:tcW w:w="179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Victoria</w:t>
            </w:r>
          </w:p>
        </w:tc>
        <w:tc>
          <w:tcPr>
            <w:tcW w:w="57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1.1***</w:t>
            </w:r>
          </w:p>
        </w:tc>
        <w:tc>
          <w:tcPr>
            <w:tcW w:w="43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0.06</w:t>
            </w:r>
          </w:p>
        </w:tc>
        <w:tc>
          <w:tcPr>
            <w:tcW w:w="565"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0.08***</w:t>
            </w:r>
          </w:p>
        </w:tc>
        <w:tc>
          <w:tcPr>
            <w:tcW w:w="463"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0.91***</w:t>
            </w:r>
          </w:p>
        </w:tc>
        <w:tc>
          <w:tcPr>
            <w:tcW w:w="497"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2.21***</w:t>
            </w:r>
          </w:p>
        </w:tc>
        <w:tc>
          <w:tcPr>
            <w:tcW w:w="661"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2.03***</w:t>
            </w:r>
          </w:p>
        </w:tc>
      </w:tr>
      <w:tr w:rsidR="00AE2CD4" w:rsidRPr="001763F5" w:rsidTr="00C10528">
        <w:trPr>
          <w:trHeight w:val="300"/>
        </w:trPr>
        <w:tc>
          <w:tcPr>
            <w:tcW w:w="179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Queensland</w:t>
            </w:r>
          </w:p>
        </w:tc>
        <w:tc>
          <w:tcPr>
            <w:tcW w:w="57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-1.05***</w:t>
            </w:r>
          </w:p>
        </w:tc>
        <w:tc>
          <w:tcPr>
            <w:tcW w:w="43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-4.86***</w:t>
            </w:r>
          </w:p>
        </w:tc>
        <w:tc>
          <w:tcPr>
            <w:tcW w:w="565"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-0.2***</w:t>
            </w:r>
          </w:p>
        </w:tc>
        <w:tc>
          <w:tcPr>
            <w:tcW w:w="463"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-2.01***</w:t>
            </w:r>
          </w:p>
        </w:tc>
        <w:tc>
          <w:tcPr>
            <w:tcW w:w="497"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-7.86***</w:t>
            </w:r>
          </w:p>
        </w:tc>
        <w:tc>
          <w:tcPr>
            <w:tcW w:w="661"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-1.2***</w:t>
            </w:r>
          </w:p>
        </w:tc>
      </w:tr>
      <w:tr w:rsidR="00AE2CD4" w:rsidRPr="001763F5" w:rsidTr="00C10528">
        <w:trPr>
          <w:trHeight w:val="300"/>
        </w:trPr>
        <w:tc>
          <w:tcPr>
            <w:tcW w:w="179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SA</w:t>
            </w:r>
          </w:p>
        </w:tc>
        <w:tc>
          <w:tcPr>
            <w:tcW w:w="57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-0.26**</w:t>
            </w:r>
          </w:p>
        </w:tc>
        <w:tc>
          <w:tcPr>
            <w:tcW w:w="43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-2.25***</w:t>
            </w:r>
          </w:p>
        </w:tc>
        <w:tc>
          <w:tcPr>
            <w:tcW w:w="565"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-0.01</w:t>
            </w:r>
          </w:p>
        </w:tc>
        <w:tc>
          <w:tcPr>
            <w:tcW w:w="463"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-0.85***</w:t>
            </w:r>
          </w:p>
        </w:tc>
        <w:tc>
          <w:tcPr>
            <w:tcW w:w="497"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-2.07***</w:t>
            </w:r>
          </w:p>
        </w:tc>
        <w:tc>
          <w:tcPr>
            <w:tcW w:w="661"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-0.81***</w:t>
            </w:r>
          </w:p>
        </w:tc>
      </w:tr>
      <w:tr w:rsidR="00AE2CD4" w:rsidRPr="001763F5" w:rsidTr="00C10528">
        <w:trPr>
          <w:trHeight w:val="300"/>
        </w:trPr>
        <w:tc>
          <w:tcPr>
            <w:tcW w:w="179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WA</w:t>
            </w:r>
          </w:p>
        </w:tc>
        <w:tc>
          <w:tcPr>
            <w:tcW w:w="57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-0.05</w:t>
            </w:r>
          </w:p>
        </w:tc>
        <w:tc>
          <w:tcPr>
            <w:tcW w:w="43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-1.07**</w:t>
            </w:r>
          </w:p>
        </w:tc>
        <w:tc>
          <w:tcPr>
            <w:tcW w:w="565"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-0.08***</w:t>
            </w:r>
          </w:p>
        </w:tc>
        <w:tc>
          <w:tcPr>
            <w:tcW w:w="463"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0.22</w:t>
            </w:r>
          </w:p>
        </w:tc>
        <w:tc>
          <w:tcPr>
            <w:tcW w:w="497"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-3.65***</w:t>
            </w:r>
          </w:p>
        </w:tc>
        <w:tc>
          <w:tcPr>
            <w:tcW w:w="661"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-0.36**</w:t>
            </w:r>
          </w:p>
        </w:tc>
      </w:tr>
      <w:tr w:rsidR="00AE2CD4" w:rsidRPr="001763F5" w:rsidTr="00C10528">
        <w:trPr>
          <w:trHeight w:val="300"/>
        </w:trPr>
        <w:tc>
          <w:tcPr>
            <w:tcW w:w="179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Tasmania</w:t>
            </w:r>
          </w:p>
        </w:tc>
        <w:tc>
          <w:tcPr>
            <w:tcW w:w="57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-0.19**</w:t>
            </w:r>
          </w:p>
        </w:tc>
        <w:tc>
          <w:tcPr>
            <w:tcW w:w="438"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-2.39***</w:t>
            </w:r>
          </w:p>
        </w:tc>
        <w:tc>
          <w:tcPr>
            <w:tcW w:w="565"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-0.03**</w:t>
            </w:r>
          </w:p>
        </w:tc>
        <w:tc>
          <w:tcPr>
            <w:tcW w:w="463"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-0.17</w:t>
            </w:r>
          </w:p>
        </w:tc>
        <w:tc>
          <w:tcPr>
            <w:tcW w:w="497"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-1.74***</w:t>
            </w:r>
          </w:p>
        </w:tc>
        <w:tc>
          <w:tcPr>
            <w:tcW w:w="661" w:type="pct"/>
            <w:tcBorders>
              <w:top w:val="nil"/>
              <w:left w:val="nil"/>
              <w:bottom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-0.31**</w:t>
            </w:r>
          </w:p>
        </w:tc>
      </w:tr>
      <w:tr w:rsidR="00AE2CD4" w:rsidRPr="001763F5" w:rsidTr="00C10528">
        <w:trPr>
          <w:trHeight w:val="300"/>
        </w:trPr>
        <w:tc>
          <w:tcPr>
            <w:tcW w:w="1798" w:type="pct"/>
            <w:tcBorders>
              <w:top w:val="nil"/>
              <w:left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NT</w:t>
            </w:r>
          </w:p>
        </w:tc>
        <w:tc>
          <w:tcPr>
            <w:tcW w:w="578" w:type="pct"/>
            <w:tcBorders>
              <w:top w:val="nil"/>
              <w:left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-0.14</w:t>
            </w:r>
          </w:p>
        </w:tc>
        <w:tc>
          <w:tcPr>
            <w:tcW w:w="438" w:type="pct"/>
            <w:tcBorders>
              <w:top w:val="nil"/>
              <w:left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-0.62</w:t>
            </w:r>
          </w:p>
        </w:tc>
        <w:tc>
          <w:tcPr>
            <w:tcW w:w="565" w:type="pct"/>
            <w:tcBorders>
              <w:top w:val="nil"/>
              <w:left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-0.04**</w:t>
            </w:r>
          </w:p>
        </w:tc>
        <w:tc>
          <w:tcPr>
            <w:tcW w:w="463" w:type="pct"/>
            <w:tcBorders>
              <w:top w:val="nil"/>
              <w:left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0.22</w:t>
            </w:r>
          </w:p>
        </w:tc>
        <w:tc>
          <w:tcPr>
            <w:tcW w:w="497" w:type="pct"/>
            <w:tcBorders>
              <w:top w:val="nil"/>
              <w:left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-1.97***</w:t>
            </w:r>
          </w:p>
        </w:tc>
        <w:tc>
          <w:tcPr>
            <w:tcW w:w="661" w:type="pct"/>
            <w:tcBorders>
              <w:top w:val="nil"/>
              <w:left w:val="nil"/>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-0.1</w:t>
            </w:r>
          </w:p>
        </w:tc>
      </w:tr>
      <w:tr w:rsidR="00AE2CD4" w:rsidRPr="001763F5" w:rsidTr="00C10528">
        <w:trPr>
          <w:trHeight w:val="300"/>
        </w:trPr>
        <w:tc>
          <w:tcPr>
            <w:tcW w:w="1798" w:type="pct"/>
            <w:tcBorders>
              <w:top w:val="nil"/>
              <w:left w:val="nil"/>
              <w:bottom w:val="single" w:sz="4" w:space="0" w:color="auto"/>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ACT</w:t>
            </w:r>
          </w:p>
        </w:tc>
        <w:tc>
          <w:tcPr>
            <w:tcW w:w="578" w:type="pct"/>
            <w:tcBorders>
              <w:top w:val="nil"/>
              <w:left w:val="nil"/>
              <w:bottom w:val="single" w:sz="4" w:space="0" w:color="auto"/>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0.17</w:t>
            </w:r>
          </w:p>
        </w:tc>
        <w:tc>
          <w:tcPr>
            <w:tcW w:w="438" w:type="pct"/>
            <w:tcBorders>
              <w:top w:val="nil"/>
              <w:left w:val="nil"/>
              <w:bottom w:val="single" w:sz="4" w:space="0" w:color="auto"/>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-1.09</w:t>
            </w:r>
          </w:p>
        </w:tc>
        <w:tc>
          <w:tcPr>
            <w:tcW w:w="565" w:type="pct"/>
            <w:tcBorders>
              <w:top w:val="nil"/>
              <w:left w:val="nil"/>
              <w:bottom w:val="single" w:sz="4" w:space="0" w:color="auto"/>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0.02</w:t>
            </w:r>
          </w:p>
        </w:tc>
        <w:tc>
          <w:tcPr>
            <w:tcW w:w="463" w:type="pct"/>
            <w:tcBorders>
              <w:top w:val="nil"/>
              <w:left w:val="nil"/>
              <w:bottom w:val="single" w:sz="4" w:space="0" w:color="auto"/>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-0.43</w:t>
            </w:r>
          </w:p>
        </w:tc>
        <w:tc>
          <w:tcPr>
            <w:tcW w:w="497" w:type="pct"/>
            <w:tcBorders>
              <w:top w:val="nil"/>
              <w:left w:val="nil"/>
              <w:bottom w:val="single" w:sz="4" w:space="0" w:color="auto"/>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-0.37</w:t>
            </w:r>
          </w:p>
        </w:tc>
        <w:tc>
          <w:tcPr>
            <w:tcW w:w="661" w:type="pct"/>
            <w:tcBorders>
              <w:top w:val="nil"/>
              <w:left w:val="nil"/>
              <w:bottom w:val="single" w:sz="4" w:space="0" w:color="auto"/>
              <w:right w:val="nil"/>
            </w:tcBorders>
            <w:shd w:val="clear" w:color="auto" w:fill="auto"/>
            <w:noWrap/>
            <w:vAlign w:val="bottom"/>
            <w:hideMark/>
          </w:tcPr>
          <w:p w:rsidR="00AE2CD4" w:rsidRPr="001763F5" w:rsidRDefault="00AE2CD4" w:rsidP="00AE2CD4">
            <w:pPr>
              <w:pStyle w:val="Tabletext"/>
              <w:rPr>
                <w:lang w:eastAsia="en-AU"/>
              </w:rPr>
            </w:pPr>
            <w:r w:rsidRPr="001763F5">
              <w:rPr>
                <w:lang w:eastAsia="en-AU"/>
              </w:rPr>
              <w:t>0.1</w:t>
            </w:r>
          </w:p>
        </w:tc>
      </w:tr>
    </w:tbl>
    <w:p w:rsidR="00C10528" w:rsidRDefault="00C10528" w:rsidP="00C10528">
      <w:pPr>
        <w:pStyle w:val="Source"/>
      </w:pPr>
      <w:r>
        <w:t xml:space="preserve">Note: </w:t>
      </w:r>
      <w:r>
        <w:tab/>
        <w:t>* p&lt;.10, ** p&lt;.05, *** p&lt;.001</w:t>
      </w:r>
    </w:p>
    <w:p w:rsidR="00F07106" w:rsidRDefault="00C10528" w:rsidP="00C10528">
      <w:pPr>
        <w:pStyle w:val="Source"/>
      </w:pPr>
      <w:r>
        <w:t>Source</w:t>
      </w:r>
      <w:r>
        <w:tab/>
        <w:t>Authors’ calculations from the VET Provider Collection, 2014</w:t>
      </w:r>
    </w:p>
    <w:p w:rsidR="00F07106" w:rsidRDefault="00F07106" w:rsidP="002D5A50">
      <w:pPr>
        <w:pStyle w:val="Text"/>
      </w:pPr>
    </w:p>
    <w:p w:rsidR="00F07106" w:rsidRDefault="00F07106" w:rsidP="002D5A50">
      <w:pPr>
        <w:pStyle w:val="Text"/>
      </w:pPr>
    </w:p>
    <w:p w:rsidR="0079707B" w:rsidRDefault="003107B3" w:rsidP="0079707B">
      <w:pPr>
        <w:pStyle w:val="Heading1"/>
      </w:pPr>
      <w:bookmarkStart w:id="51" w:name="_Toc498936356"/>
      <w:r>
        <w:lastRenderedPageBreak/>
        <w:t>Conclusion: i</w:t>
      </w:r>
      <w:r w:rsidR="0079707B">
        <w:t>dentifying high performing regions for case studies</w:t>
      </w:r>
      <w:bookmarkEnd w:id="51"/>
    </w:p>
    <w:p w:rsidR="0079707B" w:rsidRDefault="0079707B" w:rsidP="0079707B">
      <w:pPr>
        <w:pStyle w:val="Text"/>
      </w:pPr>
      <w:r>
        <w:t xml:space="preserve">The main purpose of the analysis is to identify regions across Australia that are best serving their disadvantaged populations in terms of VET participation and program outcomes.  Results from the linear regression modelling can be used for this purpose.  While </w:t>
      </w:r>
      <w:r w:rsidR="003107B3">
        <w:t xml:space="preserve">the </w:t>
      </w:r>
      <w:r>
        <w:t xml:space="preserve">model was designed to predict regional VET participation overall, it was applied to measures of participation across the </w:t>
      </w:r>
      <w:r w:rsidR="00F60948">
        <w:t>target</w:t>
      </w:r>
      <w:r>
        <w:t xml:space="preserve"> groups and similarly to both course completion measures.  The modelling generated standardised residuals for each region, which were saved as a measure of regional effect, to be used as a base for identifying high performing regions.</w:t>
      </w:r>
    </w:p>
    <w:p w:rsidR="0079707B" w:rsidRDefault="0079707B" w:rsidP="0079707B">
      <w:pPr>
        <w:pStyle w:val="Text"/>
      </w:pPr>
      <w:r>
        <w:t xml:space="preserve">Standardised residuals represent the amount of unexplained variance in units of standard deviation and error, that is, the difference between the observed regional level of performance and the mean predicted rate after controlling for the range of regional demographic and economic factors outlined above.  Standardised residuals also include some error.  The regression modelling and resultant standardised residuals can be used to identify whether predicted performance is either exceeding what might be expected, is at a level similar to other regions, or is below an expected level, given the regional contextual factors.  Regions with very high or very low (+/- 1 standard deviation) predicted performance are either exceeding what might be expected, given the economic and demographic profile of a region, or is underperforming.  </w:t>
      </w:r>
    </w:p>
    <w:p w:rsidR="0079707B" w:rsidRDefault="0079707B" w:rsidP="0079707B">
      <w:pPr>
        <w:pStyle w:val="Text"/>
      </w:pPr>
      <w:r>
        <w:t xml:space="preserve">In aggregate the standardised residuals give us a measure of regional effect, which can be used to identify regions which are doing well across all </w:t>
      </w:r>
      <w:r w:rsidR="00F60948">
        <w:t>target</w:t>
      </w:r>
      <w:r>
        <w:t xml:space="preserve"> groups.  As such the residuals were aggregated, but capped at +/- 2 so no single score would influence the results.  This was done separately for VET participation, award completion and subject completion.  The </w:t>
      </w:r>
      <w:r w:rsidR="004574C7">
        <w:t>relationships between these aggregate scores are</w:t>
      </w:r>
      <w:r>
        <w:t xml:space="preserve"> given in Table 8.  It shows that while there is a positive and significant relationship between the two completion measures, there is a negative relationship between participation and completion.  </w:t>
      </w:r>
    </w:p>
    <w:p w:rsidR="0079707B" w:rsidRDefault="0079707B" w:rsidP="0079707B">
      <w:pPr>
        <w:pStyle w:val="tabletitle"/>
      </w:pPr>
      <w:bookmarkStart w:id="52" w:name="_Toc454947017"/>
      <w:bookmarkStart w:id="53" w:name="_Toc498936236"/>
      <w:r>
        <w:t xml:space="preserve">Table </w:t>
      </w:r>
      <w:r>
        <w:fldChar w:fldCharType="begin"/>
      </w:r>
      <w:r>
        <w:instrText xml:space="preserve"> SEQ Table \* ARABIC </w:instrText>
      </w:r>
      <w:r>
        <w:fldChar w:fldCharType="separate"/>
      </w:r>
      <w:r w:rsidR="00BF3209">
        <w:rPr>
          <w:noProof/>
        </w:rPr>
        <w:t>8</w:t>
      </w:r>
      <w:r>
        <w:fldChar w:fldCharType="end"/>
      </w:r>
      <w:r>
        <w:tab/>
      </w:r>
      <w:r w:rsidRPr="002644A1">
        <w:t>Correlations between Aggregate Standardised Residual Scores</w:t>
      </w:r>
      <w:bookmarkEnd w:id="52"/>
      <w:bookmarkEnd w:id="53"/>
    </w:p>
    <w:tbl>
      <w:tblPr>
        <w:tblW w:w="5000" w:type="pct"/>
        <w:tblLayout w:type="fixed"/>
        <w:tblLook w:val="04A0" w:firstRow="1" w:lastRow="0" w:firstColumn="1" w:lastColumn="0" w:noHBand="0" w:noVBand="1"/>
      </w:tblPr>
      <w:tblGrid>
        <w:gridCol w:w="1436"/>
        <w:gridCol w:w="2132"/>
        <w:gridCol w:w="666"/>
        <w:gridCol w:w="1590"/>
        <w:gridCol w:w="1590"/>
        <w:gridCol w:w="1590"/>
      </w:tblGrid>
      <w:tr w:rsidR="0079707B" w:rsidRPr="00E0440B" w:rsidTr="003107B3">
        <w:trPr>
          <w:trHeight w:val="227"/>
        </w:trPr>
        <w:tc>
          <w:tcPr>
            <w:tcW w:w="797" w:type="pct"/>
            <w:tcBorders>
              <w:top w:val="single" w:sz="4" w:space="0" w:color="auto"/>
              <w:left w:val="nil"/>
              <w:right w:val="nil"/>
            </w:tcBorders>
          </w:tcPr>
          <w:p w:rsidR="0079707B" w:rsidRPr="00E0440B" w:rsidRDefault="0079707B" w:rsidP="0079707B">
            <w:pPr>
              <w:pStyle w:val="Tablehead1"/>
              <w:rPr>
                <w:lang w:eastAsia="en-AU"/>
              </w:rPr>
            </w:pPr>
          </w:p>
        </w:tc>
        <w:tc>
          <w:tcPr>
            <w:tcW w:w="1184" w:type="pct"/>
            <w:tcBorders>
              <w:top w:val="single" w:sz="4" w:space="0" w:color="auto"/>
              <w:left w:val="nil"/>
              <w:right w:val="nil"/>
            </w:tcBorders>
            <w:shd w:val="clear" w:color="auto" w:fill="auto"/>
            <w:noWrap/>
            <w:vAlign w:val="center"/>
          </w:tcPr>
          <w:p w:rsidR="0079707B" w:rsidRPr="00E0440B" w:rsidRDefault="0079707B" w:rsidP="0079707B">
            <w:pPr>
              <w:pStyle w:val="Tablehead1"/>
              <w:rPr>
                <w:lang w:eastAsia="en-AU"/>
              </w:rPr>
            </w:pPr>
          </w:p>
        </w:tc>
        <w:tc>
          <w:tcPr>
            <w:tcW w:w="3019" w:type="pct"/>
            <w:gridSpan w:val="4"/>
            <w:tcBorders>
              <w:top w:val="single" w:sz="4" w:space="0" w:color="auto"/>
              <w:left w:val="nil"/>
              <w:right w:val="nil"/>
            </w:tcBorders>
            <w:shd w:val="clear" w:color="auto" w:fill="auto"/>
            <w:noWrap/>
            <w:vAlign w:val="center"/>
          </w:tcPr>
          <w:p w:rsidR="0079707B" w:rsidRPr="00E0440B" w:rsidRDefault="003107B3" w:rsidP="0079707B">
            <w:pPr>
              <w:pStyle w:val="Tablehead1"/>
              <w:rPr>
                <w:color w:val="000000"/>
                <w:lang w:eastAsia="en-AU"/>
              </w:rPr>
            </w:pPr>
            <w:r>
              <w:rPr>
                <w:color w:val="000000"/>
                <w:lang w:eastAsia="en-AU"/>
              </w:rPr>
              <w:t xml:space="preserve">                            </w:t>
            </w:r>
            <w:r w:rsidR="0079707B" w:rsidRPr="00E0440B">
              <w:rPr>
                <w:color w:val="000000"/>
                <w:lang w:eastAsia="en-AU"/>
              </w:rPr>
              <w:t>Aggregate standardised residuals</w:t>
            </w:r>
          </w:p>
        </w:tc>
      </w:tr>
      <w:tr w:rsidR="0079707B" w:rsidRPr="0079707B" w:rsidTr="003107B3">
        <w:trPr>
          <w:trHeight w:val="300"/>
        </w:trPr>
        <w:tc>
          <w:tcPr>
            <w:tcW w:w="797" w:type="pct"/>
            <w:tcBorders>
              <w:top w:val="nil"/>
              <w:left w:val="nil"/>
              <w:bottom w:val="single" w:sz="4" w:space="0" w:color="auto"/>
              <w:right w:val="nil"/>
            </w:tcBorders>
          </w:tcPr>
          <w:p w:rsidR="0079707B" w:rsidRPr="0079707B" w:rsidRDefault="0079707B" w:rsidP="0079707B">
            <w:pPr>
              <w:pStyle w:val="Tablehead2"/>
            </w:pPr>
          </w:p>
        </w:tc>
        <w:tc>
          <w:tcPr>
            <w:tcW w:w="1554" w:type="pct"/>
            <w:gridSpan w:val="2"/>
            <w:tcBorders>
              <w:left w:val="nil"/>
              <w:bottom w:val="single" w:sz="4" w:space="0" w:color="auto"/>
              <w:right w:val="nil"/>
            </w:tcBorders>
            <w:shd w:val="clear" w:color="auto" w:fill="auto"/>
            <w:noWrap/>
            <w:vAlign w:val="bottom"/>
            <w:hideMark/>
          </w:tcPr>
          <w:p w:rsidR="0079707B" w:rsidRPr="0079707B" w:rsidRDefault="0079707B" w:rsidP="0079707B">
            <w:pPr>
              <w:pStyle w:val="Tablehead2"/>
            </w:pPr>
          </w:p>
        </w:tc>
        <w:tc>
          <w:tcPr>
            <w:tcW w:w="883" w:type="pct"/>
            <w:tcBorders>
              <w:left w:val="nil"/>
              <w:bottom w:val="single" w:sz="4" w:space="0" w:color="auto"/>
              <w:right w:val="nil"/>
            </w:tcBorders>
            <w:shd w:val="clear" w:color="auto" w:fill="auto"/>
            <w:noWrap/>
            <w:vAlign w:val="bottom"/>
            <w:hideMark/>
          </w:tcPr>
          <w:p w:rsidR="0079707B" w:rsidRPr="0079707B" w:rsidRDefault="0079707B" w:rsidP="0079707B">
            <w:pPr>
              <w:pStyle w:val="Tablehead2"/>
            </w:pPr>
            <w:r w:rsidRPr="0079707B">
              <w:t>Participation</w:t>
            </w:r>
          </w:p>
          <w:p w:rsidR="0079707B" w:rsidRPr="0079707B" w:rsidRDefault="0079707B" w:rsidP="0079707B">
            <w:pPr>
              <w:pStyle w:val="Tablehead2"/>
            </w:pPr>
            <w:r w:rsidRPr="0079707B">
              <w:t>(</w:t>
            </w:r>
            <w:r w:rsidR="00F60948">
              <w:t>target</w:t>
            </w:r>
            <w:r w:rsidRPr="0079707B">
              <w:t xml:space="preserve"> groups)</w:t>
            </w:r>
          </w:p>
        </w:tc>
        <w:tc>
          <w:tcPr>
            <w:tcW w:w="883" w:type="pct"/>
            <w:tcBorders>
              <w:left w:val="nil"/>
              <w:bottom w:val="single" w:sz="4" w:space="0" w:color="auto"/>
              <w:right w:val="nil"/>
            </w:tcBorders>
            <w:shd w:val="clear" w:color="auto" w:fill="auto"/>
            <w:noWrap/>
            <w:vAlign w:val="bottom"/>
            <w:hideMark/>
          </w:tcPr>
          <w:p w:rsidR="0079707B" w:rsidRPr="0079707B" w:rsidRDefault="0079707B" w:rsidP="0079707B">
            <w:pPr>
              <w:pStyle w:val="Tablehead2"/>
            </w:pPr>
            <w:r w:rsidRPr="0079707B">
              <w:t>Award completer rate</w:t>
            </w:r>
          </w:p>
          <w:p w:rsidR="0079707B" w:rsidRPr="0079707B" w:rsidRDefault="0079707B" w:rsidP="0079707B">
            <w:pPr>
              <w:pStyle w:val="Tablehead2"/>
            </w:pPr>
            <w:r w:rsidRPr="0079707B">
              <w:t>(</w:t>
            </w:r>
            <w:r w:rsidR="00F60948">
              <w:t>target</w:t>
            </w:r>
            <w:r w:rsidRPr="0079707B">
              <w:t xml:space="preserve"> groups)</w:t>
            </w:r>
          </w:p>
        </w:tc>
        <w:tc>
          <w:tcPr>
            <w:tcW w:w="883" w:type="pct"/>
            <w:tcBorders>
              <w:left w:val="nil"/>
              <w:bottom w:val="single" w:sz="4" w:space="0" w:color="auto"/>
              <w:right w:val="nil"/>
            </w:tcBorders>
            <w:shd w:val="clear" w:color="auto" w:fill="auto"/>
            <w:noWrap/>
            <w:vAlign w:val="bottom"/>
            <w:hideMark/>
          </w:tcPr>
          <w:p w:rsidR="0079707B" w:rsidRPr="0079707B" w:rsidRDefault="0079707B" w:rsidP="0079707B">
            <w:pPr>
              <w:pStyle w:val="Tablehead2"/>
            </w:pPr>
            <w:r w:rsidRPr="0079707B">
              <w:t>Subject completion rate</w:t>
            </w:r>
          </w:p>
          <w:p w:rsidR="0079707B" w:rsidRPr="0079707B" w:rsidRDefault="0079707B" w:rsidP="0079707B">
            <w:pPr>
              <w:pStyle w:val="Tablehead2"/>
            </w:pPr>
            <w:r w:rsidRPr="0079707B">
              <w:t>(</w:t>
            </w:r>
            <w:r w:rsidR="00F60948">
              <w:t>target</w:t>
            </w:r>
            <w:r w:rsidRPr="0079707B">
              <w:t xml:space="preserve"> groups)</w:t>
            </w:r>
          </w:p>
        </w:tc>
      </w:tr>
      <w:tr w:rsidR="0079707B" w:rsidRPr="00E0440B" w:rsidTr="00E81A36">
        <w:trPr>
          <w:trHeight w:val="300"/>
        </w:trPr>
        <w:tc>
          <w:tcPr>
            <w:tcW w:w="797" w:type="pct"/>
            <w:vMerge w:val="restart"/>
            <w:tcBorders>
              <w:top w:val="single" w:sz="4" w:space="0" w:color="auto"/>
              <w:left w:val="nil"/>
              <w:right w:val="nil"/>
            </w:tcBorders>
          </w:tcPr>
          <w:p w:rsidR="0079707B" w:rsidRPr="00E0440B" w:rsidRDefault="0079707B" w:rsidP="0079707B">
            <w:pPr>
              <w:pStyle w:val="Tabletext"/>
              <w:rPr>
                <w:lang w:eastAsia="en-AU"/>
              </w:rPr>
            </w:pPr>
            <w:r w:rsidRPr="00E0440B">
              <w:rPr>
                <w:lang w:eastAsia="en-AU"/>
              </w:rPr>
              <w:t>Aggregate standardised residuals</w:t>
            </w:r>
          </w:p>
        </w:tc>
        <w:tc>
          <w:tcPr>
            <w:tcW w:w="1554" w:type="pct"/>
            <w:gridSpan w:val="2"/>
            <w:tcBorders>
              <w:top w:val="single" w:sz="4" w:space="0" w:color="auto"/>
              <w:left w:val="nil"/>
              <w:bottom w:val="nil"/>
              <w:right w:val="nil"/>
            </w:tcBorders>
            <w:shd w:val="clear" w:color="auto" w:fill="auto"/>
            <w:noWrap/>
            <w:vAlign w:val="bottom"/>
            <w:hideMark/>
          </w:tcPr>
          <w:p w:rsidR="0079707B" w:rsidRPr="00E0440B" w:rsidRDefault="0079707B" w:rsidP="0079707B">
            <w:pPr>
              <w:pStyle w:val="Tabletext"/>
              <w:rPr>
                <w:lang w:eastAsia="en-AU"/>
              </w:rPr>
            </w:pPr>
            <w:r w:rsidRPr="00E0440B">
              <w:rPr>
                <w:lang w:eastAsia="en-AU"/>
              </w:rPr>
              <w:t>Participation (</w:t>
            </w:r>
            <w:r w:rsidR="00F60948">
              <w:rPr>
                <w:lang w:eastAsia="en-AU"/>
              </w:rPr>
              <w:t>target</w:t>
            </w:r>
            <w:r w:rsidRPr="00E0440B">
              <w:rPr>
                <w:lang w:eastAsia="en-AU"/>
              </w:rPr>
              <w:t xml:space="preserve"> groups)</w:t>
            </w:r>
          </w:p>
        </w:tc>
        <w:tc>
          <w:tcPr>
            <w:tcW w:w="883" w:type="pct"/>
            <w:tcBorders>
              <w:top w:val="single" w:sz="4" w:space="0" w:color="auto"/>
              <w:left w:val="nil"/>
              <w:bottom w:val="nil"/>
              <w:right w:val="nil"/>
            </w:tcBorders>
            <w:shd w:val="clear" w:color="auto" w:fill="auto"/>
            <w:noWrap/>
            <w:vAlign w:val="bottom"/>
            <w:hideMark/>
          </w:tcPr>
          <w:p w:rsidR="0079707B" w:rsidRPr="00E0440B" w:rsidRDefault="0079707B" w:rsidP="0079707B">
            <w:pPr>
              <w:pStyle w:val="Tabletext"/>
              <w:rPr>
                <w:lang w:eastAsia="en-AU"/>
              </w:rPr>
            </w:pPr>
            <w:r w:rsidRPr="00E0440B">
              <w:rPr>
                <w:lang w:eastAsia="en-AU"/>
              </w:rPr>
              <w:t>1</w:t>
            </w:r>
          </w:p>
        </w:tc>
        <w:tc>
          <w:tcPr>
            <w:tcW w:w="883" w:type="pct"/>
            <w:tcBorders>
              <w:top w:val="single" w:sz="4" w:space="0" w:color="auto"/>
              <w:left w:val="nil"/>
              <w:bottom w:val="nil"/>
              <w:right w:val="nil"/>
            </w:tcBorders>
            <w:shd w:val="clear" w:color="auto" w:fill="auto"/>
            <w:noWrap/>
            <w:vAlign w:val="bottom"/>
            <w:hideMark/>
          </w:tcPr>
          <w:p w:rsidR="0079707B" w:rsidRPr="00E0440B" w:rsidRDefault="0079707B" w:rsidP="0079707B">
            <w:pPr>
              <w:pStyle w:val="Tabletext"/>
              <w:rPr>
                <w:lang w:eastAsia="en-AU"/>
              </w:rPr>
            </w:pPr>
            <w:r w:rsidRPr="00E0440B">
              <w:rPr>
                <w:lang w:eastAsia="en-AU"/>
              </w:rPr>
              <w:t>-.144**</w:t>
            </w:r>
          </w:p>
        </w:tc>
        <w:tc>
          <w:tcPr>
            <w:tcW w:w="883" w:type="pct"/>
            <w:tcBorders>
              <w:top w:val="single" w:sz="4" w:space="0" w:color="auto"/>
              <w:left w:val="nil"/>
              <w:bottom w:val="nil"/>
              <w:right w:val="nil"/>
            </w:tcBorders>
            <w:shd w:val="clear" w:color="auto" w:fill="auto"/>
            <w:noWrap/>
            <w:vAlign w:val="bottom"/>
            <w:hideMark/>
          </w:tcPr>
          <w:p w:rsidR="0079707B" w:rsidRPr="00E0440B" w:rsidRDefault="0079707B" w:rsidP="0079707B">
            <w:pPr>
              <w:pStyle w:val="Tabletext"/>
              <w:rPr>
                <w:lang w:eastAsia="en-AU"/>
              </w:rPr>
            </w:pPr>
            <w:r w:rsidRPr="00E0440B">
              <w:rPr>
                <w:lang w:eastAsia="en-AU"/>
              </w:rPr>
              <w:t>-.249**</w:t>
            </w:r>
          </w:p>
        </w:tc>
      </w:tr>
      <w:tr w:rsidR="0079707B" w:rsidRPr="00E0440B" w:rsidTr="00E81A36">
        <w:trPr>
          <w:trHeight w:val="300"/>
        </w:trPr>
        <w:tc>
          <w:tcPr>
            <w:tcW w:w="797" w:type="pct"/>
            <w:vMerge/>
            <w:tcBorders>
              <w:left w:val="nil"/>
              <w:right w:val="nil"/>
            </w:tcBorders>
          </w:tcPr>
          <w:p w:rsidR="0079707B" w:rsidRPr="00E0440B" w:rsidRDefault="0079707B" w:rsidP="0079707B">
            <w:pPr>
              <w:pStyle w:val="Tabletext"/>
              <w:rPr>
                <w:lang w:eastAsia="en-AU"/>
              </w:rPr>
            </w:pPr>
          </w:p>
        </w:tc>
        <w:tc>
          <w:tcPr>
            <w:tcW w:w="1554" w:type="pct"/>
            <w:gridSpan w:val="2"/>
            <w:tcBorders>
              <w:top w:val="nil"/>
              <w:left w:val="nil"/>
              <w:right w:val="nil"/>
            </w:tcBorders>
            <w:shd w:val="clear" w:color="auto" w:fill="auto"/>
            <w:noWrap/>
            <w:vAlign w:val="bottom"/>
            <w:hideMark/>
          </w:tcPr>
          <w:p w:rsidR="0079707B" w:rsidRPr="00E0440B" w:rsidRDefault="0079707B" w:rsidP="0079707B">
            <w:pPr>
              <w:pStyle w:val="Tabletext"/>
              <w:rPr>
                <w:lang w:eastAsia="en-AU"/>
              </w:rPr>
            </w:pPr>
            <w:r w:rsidRPr="00E0440B">
              <w:rPr>
                <w:lang w:eastAsia="en-AU"/>
              </w:rPr>
              <w:t>Award completer rate (</w:t>
            </w:r>
            <w:r w:rsidR="00F60948">
              <w:rPr>
                <w:lang w:eastAsia="en-AU"/>
              </w:rPr>
              <w:t>target</w:t>
            </w:r>
            <w:r w:rsidRPr="00E0440B">
              <w:rPr>
                <w:lang w:eastAsia="en-AU"/>
              </w:rPr>
              <w:t xml:space="preserve"> groups)</w:t>
            </w:r>
          </w:p>
        </w:tc>
        <w:tc>
          <w:tcPr>
            <w:tcW w:w="883" w:type="pct"/>
            <w:tcBorders>
              <w:top w:val="nil"/>
              <w:left w:val="nil"/>
              <w:right w:val="nil"/>
            </w:tcBorders>
            <w:shd w:val="clear" w:color="auto" w:fill="auto"/>
            <w:noWrap/>
            <w:vAlign w:val="bottom"/>
            <w:hideMark/>
          </w:tcPr>
          <w:p w:rsidR="0079707B" w:rsidRPr="00E0440B" w:rsidRDefault="0079707B" w:rsidP="0079707B">
            <w:pPr>
              <w:pStyle w:val="Tabletext"/>
              <w:rPr>
                <w:lang w:eastAsia="en-AU"/>
              </w:rPr>
            </w:pPr>
            <w:r w:rsidRPr="00E0440B">
              <w:rPr>
                <w:lang w:eastAsia="en-AU"/>
              </w:rPr>
              <w:t>-.144**</w:t>
            </w:r>
          </w:p>
        </w:tc>
        <w:tc>
          <w:tcPr>
            <w:tcW w:w="883" w:type="pct"/>
            <w:tcBorders>
              <w:top w:val="nil"/>
              <w:left w:val="nil"/>
              <w:right w:val="nil"/>
            </w:tcBorders>
            <w:shd w:val="clear" w:color="auto" w:fill="auto"/>
            <w:noWrap/>
            <w:vAlign w:val="bottom"/>
            <w:hideMark/>
          </w:tcPr>
          <w:p w:rsidR="0079707B" w:rsidRPr="00E0440B" w:rsidRDefault="0079707B" w:rsidP="0079707B">
            <w:pPr>
              <w:pStyle w:val="Tabletext"/>
              <w:rPr>
                <w:lang w:eastAsia="en-AU"/>
              </w:rPr>
            </w:pPr>
            <w:r w:rsidRPr="00E0440B">
              <w:rPr>
                <w:lang w:eastAsia="en-AU"/>
              </w:rPr>
              <w:t>1</w:t>
            </w:r>
          </w:p>
        </w:tc>
        <w:tc>
          <w:tcPr>
            <w:tcW w:w="883" w:type="pct"/>
            <w:tcBorders>
              <w:top w:val="nil"/>
              <w:left w:val="nil"/>
              <w:right w:val="nil"/>
            </w:tcBorders>
            <w:shd w:val="clear" w:color="auto" w:fill="auto"/>
            <w:noWrap/>
            <w:vAlign w:val="bottom"/>
            <w:hideMark/>
          </w:tcPr>
          <w:p w:rsidR="0079707B" w:rsidRPr="00E0440B" w:rsidRDefault="0079707B" w:rsidP="0079707B">
            <w:pPr>
              <w:pStyle w:val="Tabletext"/>
              <w:rPr>
                <w:lang w:eastAsia="en-AU"/>
              </w:rPr>
            </w:pPr>
            <w:r w:rsidRPr="00E0440B">
              <w:rPr>
                <w:lang w:eastAsia="en-AU"/>
              </w:rPr>
              <w:t>.405**</w:t>
            </w:r>
          </w:p>
        </w:tc>
      </w:tr>
      <w:tr w:rsidR="0079707B" w:rsidRPr="00E0440B" w:rsidTr="00E81A36">
        <w:trPr>
          <w:trHeight w:val="300"/>
        </w:trPr>
        <w:tc>
          <w:tcPr>
            <w:tcW w:w="797" w:type="pct"/>
            <w:vMerge/>
            <w:tcBorders>
              <w:left w:val="nil"/>
              <w:bottom w:val="single" w:sz="4" w:space="0" w:color="auto"/>
              <w:right w:val="nil"/>
            </w:tcBorders>
          </w:tcPr>
          <w:p w:rsidR="0079707B" w:rsidRPr="00E0440B" w:rsidRDefault="0079707B" w:rsidP="0079707B">
            <w:pPr>
              <w:pStyle w:val="Tabletext"/>
              <w:rPr>
                <w:lang w:eastAsia="en-AU"/>
              </w:rPr>
            </w:pPr>
          </w:p>
        </w:tc>
        <w:tc>
          <w:tcPr>
            <w:tcW w:w="1554" w:type="pct"/>
            <w:gridSpan w:val="2"/>
            <w:tcBorders>
              <w:top w:val="nil"/>
              <w:left w:val="nil"/>
              <w:bottom w:val="single" w:sz="4" w:space="0" w:color="auto"/>
              <w:right w:val="nil"/>
            </w:tcBorders>
            <w:shd w:val="clear" w:color="auto" w:fill="auto"/>
            <w:noWrap/>
            <w:vAlign w:val="bottom"/>
            <w:hideMark/>
          </w:tcPr>
          <w:p w:rsidR="0079707B" w:rsidRPr="00E0440B" w:rsidRDefault="0079707B" w:rsidP="0079707B">
            <w:pPr>
              <w:pStyle w:val="Tabletext"/>
              <w:rPr>
                <w:lang w:eastAsia="en-AU"/>
              </w:rPr>
            </w:pPr>
            <w:r w:rsidRPr="00E0440B">
              <w:rPr>
                <w:lang w:eastAsia="en-AU"/>
              </w:rPr>
              <w:t>Subject completion rate (</w:t>
            </w:r>
            <w:r w:rsidR="00F60948">
              <w:rPr>
                <w:lang w:eastAsia="en-AU"/>
              </w:rPr>
              <w:t>target</w:t>
            </w:r>
            <w:r w:rsidRPr="00E0440B">
              <w:rPr>
                <w:lang w:eastAsia="en-AU"/>
              </w:rPr>
              <w:t xml:space="preserve"> groups)</w:t>
            </w:r>
          </w:p>
        </w:tc>
        <w:tc>
          <w:tcPr>
            <w:tcW w:w="883" w:type="pct"/>
            <w:tcBorders>
              <w:top w:val="nil"/>
              <w:left w:val="nil"/>
              <w:bottom w:val="single" w:sz="4" w:space="0" w:color="auto"/>
              <w:right w:val="nil"/>
            </w:tcBorders>
            <w:shd w:val="clear" w:color="auto" w:fill="auto"/>
            <w:noWrap/>
            <w:vAlign w:val="bottom"/>
            <w:hideMark/>
          </w:tcPr>
          <w:p w:rsidR="0079707B" w:rsidRPr="00E0440B" w:rsidRDefault="0079707B" w:rsidP="0079707B">
            <w:pPr>
              <w:pStyle w:val="Tabletext"/>
              <w:rPr>
                <w:lang w:eastAsia="en-AU"/>
              </w:rPr>
            </w:pPr>
            <w:r w:rsidRPr="00E0440B">
              <w:rPr>
                <w:lang w:eastAsia="en-AU"/>
              </w:rPr>
              <w:t>-.249**</w:t>
            </w:r>
          </w:p>
        </w:tc>
        <w:tc>
          <w:tcPr>
            <w:tcW w:w="883" w:type="pct"/>
            <w:tcBorders>
              <w:top w:val="nil"/>
              <w:left w:val="nil"/>
              <w:bottom w:val="single" w:sz="4" w:space="0" w:color="auto"/>
              <w:right w:val="nil"/>
            </w:tcBorders>
            <w:shd w:val="clear" w:color="auto" w:fill="auto"/>
            <w:noWrap/>
            <w:vAlign w:val="bottom"/>
            <w:hideMark/>
          </w:tcPr>
          <w:p w:rsidR="0079707B" w:rsidRPr="00E0440B" w:rsidRDefault="0079707B" w:rsidP="0079707B">
            <w:pPr>
              <w:pStyle w:val="Tabletext"/>
              <w:rPr>
                <w:lang w:eastAsia="en-AU"/>
              </w:rPr>
            </w:pPr>
            <w:r w:rsidRPr="00E0440B">
              <w:rPr>
                <w:lang w:eastAsia="en-AU"/>
              </w:rPr>
              <w:t>.405**</w:t>
            </w:r>
          </w:p>
        </w:tc>
        <w:tc>
          <w:tcPr>
            <w:tcW w:w="883" w:type="pct"/>
            <w:tcBorders>
              <w:top w:val="nil"/>
              <w:left w:val="nil"/>
              <w:bottom w:val="single" w:sz="4" w:space="0" w:color="auto"/>
              <w:right w:val="nil"/>
            </w:tcBorders>
            <w:shd w:val="clear" w:color="auto" w:fill="auto"/>
            <w:noWrap/>
            <w:vAlign w:val="bottom"/>
            <w:hideMark/>
          </w:tcPr>
          <w:p w:rsidR="0079707B" w:rsidRPr="00E0440B" w:rsidRDefault="0079707B" w:rsidP="0079707B">
            <w:pPr>
              <w:pStyle w:val="Tabletext"/>
              <w:rPr>
                <w:lang w:eastAsia="en-AU"/>
              </w:rPr>
            </w:pPr>
            <w:r w:rsidRPr="00E0440B">
              <w:rPr>
                <w:lang w:eastAsia="en-AU"/>
              </w:rPr>
              <w:t>1</w:t>
            </w:r>
          </w:p>
        </w:tc>
      </w:tr>
    </w:tbl>
    <w:p w:rsidR="0079707B" w:rsidRDefault="0079707B" w:rsidP="0079707B">
      <w:pPr>
        <w:pStyle w:val="Source"/>
      </w:pPr>
      <w:r w:rsidRPr="00EB45CD">
        <w:t>**. Correlation is significant at the 0.01 level (2-tailed).</w:t>
      </w:r>
    </w:p>
    <w:p w:rsidR="0079707B" w:rsidRPr="00215737" w:rsidRDefault="0079707B" w:rsidP="0079707B">
      <w:pPr>
        <w:pStyle w:val="Source"/>
      </w:pPr>
      <w:r w:rsidRPr="00215737">
        <w:t>Source: Authors’ calculations from the VET Provider Collection, 2014</w:t>
      </w:r>
    </w:p>
    <w:p w:rsidR="00530718" w:rsidRDefault="00530718" w:rsidP="00530718">
      <w:pPr>
        <w:pStyle w:val="Text"/>
      </w:pPr>
      <w:r>
        <w:t xml:space="preserve">The softer results from subject completion suggest that while some regions are able to engage in VET those from disadvantaged backgrounds, higher participation and success in engagement has not yet been translated to higher award completion relative to areas of low participation.  However there may be some other regions that are able to translate high participation to high completion.  </w:t>
      </w:r>
    </w:p>
    <w:p w:rsidR="0079707B" w:rsidRDefault="00530718" w:rsidP="00530718">
      <w:pPr>
        <w:pStyle w:val="Text"/>
      </w:pPr>
      <w:r>
        <w:t>These regio</w:t>
      </w:r>
      <w:r w:rsidR="00CD6904">
        <w:t xml:space="preserve">ns can be identified in Figure </w:t>
      </w:r>
      <w:r w:rsidR="00BF3209">
        <w:t>6</w:t>
      </w:r>
      <w:r>
        <w:t xml:space="preserve"> in the first (top </w:t>
      </w:r>
      <w:r w:rsidR="003107B3">
        <w:t>right-hand side</w:t>
      </w:r>
      <w:r>
        <w:t xml:space="preserve">) quadrant; they are high performing in terms of participation and outcomes with regional effect scores of greater than two </w:t>
      </w:r>
      <w:r>
        <w:lastRenderedPageBreak/>
        <w:t xml:space="preserve">standard deviations.  While high participation reflects engagement with </w:t>
      </w:r>
      <w:r w:rsidR="00F60948">
        <w:t>different</w:t>
      </w:r>
      <w:r>
        <w:t xml:space="preserve"> groups, meeting the dual measures of high participation and high completion is the ideal.  </w:t>
      </w:r>
    </w:p>
    <w:p w:rsidR="00F07106" w:rsidRDefault="00CD6904" w:rsidP="00CD6904">
      <w:pPr>
        <w:pStyle w:val="Figuretitle"/>
      </w:pPr>
      <w:bookmarkStart w:id="54" w:name="_Toc498936244"/>
      <w:r>
        <w:t xml:space="preserve">Figure </w:t>
      </w:r>
      <w:r>
        <w:fldChar w:fldCharType="begin"/>
      </w:r>
      <w:r>
        <w:instrText xml:space="preserve"> SEQ Figure \* ARABIC </w:instrText>
      </w:r>
      <w:r>
        <w:fldChar w:fldCharType="separate"/>
      </w:r>
      <w:r w:rsidR="00BF3209">
        <w:rPr>
          <w:noProof/>
        </w:rPr>
        <w:t>6</w:t>
      </w:r>
      <w:r>
        <w:fldChar w:fldCharType="end"/>
      </w:r>
      <w:r>
        <w:tab/>
      </w:r>
      <w:r w:rsidRPr="00CD6904">
        <w:t xml:space="preserve">Aggregate Standardised Residual Scores for participation and award completion for </w:t>
      </w:r>
      <w:r w:rsidR="00F60948">
        <w:t>target</w:t>
      </w:r>
      <w:r w:rsidRPr="00CD6904">
        <w:t xml:space="preserve"> groups, regions, 2014</w:t>
      </w:r>
      <w:bookmarkEnd w:id="54"/>
    </w:p>
    <w:p w:rsidR="00CD6904" w:rsidRDefault="003107B3" w:rsidP="00120084">
      <w:pPr>
        <w:pStyle w:val="Source"/>
      </w:pPr>
      <w:r>
        <w:rPr>
          <w:rFonts w:ascii="Times New Roman" w:hAnsi="Times New Roman"/>
          <w:noProof/>
          <w:sz w:val="24"/>
          <w:szCs w:val="24"/>
          <w:lang w:eastAsia="en-AU"/>
        </w:rPr>
        <w:drawing>
          <wp:anchor distT="0" distB="0" distL="114300" distR="114300" simplePos="0" relativeHeight="251683840" behindDoc="0" locked="0" layoutInCell="1" allowOverlap="1" wp14:anchorId="2BE2400E" wp14:editId="21C019E7">
            <wp:simplePos x="0" y="0"/>
            <wp:positionH relativeFrom="margin">
              <wp:posOffset>42545</wp:posOffset>
            </wp:positionH>
            <wp:positionV relativeFrom="paragraph">
              <wp:posOffset>29210</wp:posOffset>
            </wp:positionV>
            <wp:extent cx="5257800" cy="4463415"/>
            <wp:effectExtent l="0" t="0" r="0" b="0"/>
            <wp:wrapTopAndBottom/>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38">
                      <a:extLst>
                        <a:ext uri="{28A0092B-C50C-407E-A947-70E740481C1C}">
                          <a14:useLocalDpi xmlns:a14="http://schemas.microsoft.com/office/drawing/2010/main" val="0"/>
                        </a:ext>
                      </a:extLst>
                    </a:blip>
                    <a:stretch>
                      <a:fillRect/>
                    </a:stretch>
                  </pic:blipFill>
                  <pic:spPr>
                    <a:xfrm>
                      <a:off x="0" y="0"/>
                      <a:ext cx="5257800" cy="4463415"/>
                    </a:xfrm>
                    <a:prstGeom prst="rect">
                      <a:avLst/>
                    </a:prstGeom>
                  </pic:spPr>
                </pic:pic>
              </a:graphicData>
            </a:graphic>
            <wp14:sizeRelH relativeFrom="page">
              <wp14:pctWidth>0</wp14:pctWidth>
            </wp14:sizeRelH>
            <wp14:sizeRelV relativeFrom="page">
              <wp14:pctHeight>0</wp14:pctHeight>
            </wp14:sizeRelV>
          </wp:anchor>
        </w:drawing>
      </w:r>
      <w:r w:rsidR="00120084">
        <w:t>Source:</w:t>
      </w:r>
      <w:r w:rsidR="00120084">
        <w:tab/>
      </w:r>
      <w:r w:rsidR="00120084" w:rsidRPr="00120084">
        <w:t>Authors’ calculations from the VET Provider Collection, 2014</w:t>
      </w:r>
    </w:p>
    <w:p w:rsidR="00CD6904" w:rsidRDefault="00120084" w:rsidP="002D5A50">
      <w:pPr>
        <w:pStyle w:val="Text"/>
      </w:pPr>
      <w:r w:rsidRPr="00120084">
        <w:t>There are 13 regions in this exceptional category (which are listed in Ap</w:t>
      </w:r>
      <w:r w:rsidR="00BF3209">
        <w:t xml:space="preserve">pendix 1).  </w:t>
      </w:r>
      <w:proofErr w:type="gramStart"/>
      <w:r w:rsidR="00BF3209">
        <w:t>Table 9 and Figure 7</w:t>
      </w:r>
      <w:r w:rsidRPr="00120084">
        <w:t xml:space="preserve"> shows the characteristics of the VET activity in these high performing regions and for all regions (regional means).</w:t>
      </w:r>
      <w:proofErr w:type="gramEnd"/>
      <w:r w:rsidRPr="00120084">
        <w:t xml:space="preserve">  These show that as a group, these regions are more likely to have greater than average delivery at community providers and less at TAFE and universities.  They are more likely to have VET delivered face-to-face in classrooms rather than online or in the workplace.  On average, these regions offer more basic VET courses than across all regions and their student profile is over-represented by students with low levels of prior educational attainment, unemployed students and students with a disability.  While this tells us about the differences in aggregate, case studies in these regions, with an emphasis on provider practice, will clarify what these regions are doing which enables them to engage and achieve with its most vulnerable populations.  </w:t>
      </w:r>
    </w:p>
    <w:p w:rsidR="00120084" w:rsidRDefault="00120084">
      <w:pPr>
        <w:spacing w:before="0" w:line="240" w:lineRule="auto"/>
      </w:pPr>
      <w:r>
        <w:br w:type="page"/>
      </w:r>
    </w:p>
    <w:p w:rsidR="00120084" w:rsidRDefault="00120084" w:rsidP="00120084">
      <w:pPr>
        <w:pStyle w:val="tabletitle"/>
      </w:pPr>
      <w:bookmarkStart w:id="55" w:name="_Toc498936237"/>
      <w:r>
        <w:lastRenderedPageBreak/>
        <w:t xml:space="preserve">Table </w:t>
      </w:r>
      <w:r>
        <w:fldChar w:fldCharType="begin"/>
      </w:r>
      <w:r>
        <w:instrText xml:space="preserve"> SEQ Table \* ARABIC </w:instrText>
      </w:r>
      <w:r>
        <w:fldChar w:fldCharType="separate"/>
      </w:r>
      <w:r w:rsidR="00BF3209">
        <w:rPr>
          <w:noProof/>
        </w:rPr>
        <w:t>9</w:t>
      </w:r>
      <w:r>
        <w:fldChar w:fldCharType="end"/>
      </w:r>
      <w:r>
        <w:tab/>
      </w:r>
      <w:r w:rsidRPr="00120084">
        <w:t xml:space="preserve">Characteristics of VET activity in all </w:t>
      </w:r>
      <w:proofErr w:type="gramStart"/>
      <w:r w:rsidRPr="00120084">
        <w:t>regions  and</w:t>
      </w:r>
      <w:proofErr w:type="gramEnd"/>
      <w:r w:rsidRPr="00120084">
        <w:t xml:space="preserve"> high performing regions (regional means), 2014</w:t>
      </w:r>
      <w:bookmarkEnd w:id="55"/>
    </w:p>
    <w:tbl>
      <w:tblPr>
        <w:tblW w:w="5000" w:type="pct"/>
        <w:tblLayout w:type="fixed"/>
        <w:tblLook w:val="04A0" w:firstRow="1" w:lastRow="0" w:firstColumn="1" w:lastColumn="0" w:noHBand="0" w:noVBand="1"/>
      </w:tblPr>
      <w:tblGrid>
        <w:gridCol w:w="2251"/>
        <w:gridCol w:w="2251"/>
        <w:gridCol w:w="2251"/>
        <w:gridCol w:w="2251"/>
      </w:tblGrid>
      <w:tr w:rsidR="00120084" w:rsidRPr="00120084" w:rsidTr="00E81A36">
        <w:trPr>
          <w:trHeight w:val="300"/>
        </w:trPr>
        <w:tc>
          <w:tcPr>
            <w:tcW w:w="1250" w:type="pct"/>
            <w:tcBorders>
              <w:top w:val="single" w:sz="4" w:space="0" w:color="auto"/>
              <w:left w:val="nil"/>
              <w:bottom w:val="nil"/>
              <w:right w:val="nil"/>
            </w:tcBorders>
            <w:shd w:val="clear" w:color="auto" w:fill="auto"/>
            <w:noWrap/>
            <w:vAlign w:val="center"/>
            <w:hideMark/>
          </w:tcPr>
          <w:p w:rsidR="00120084" w:rsidRPr="00120084" w:rsidRDefault="00120084" w:rsidP="00120084">
            <w:pPr>
              <w:pStyle w:val="Tablehead1"/>
            </w:pPr>
          </w:p>
        </w:tc>
        <w:tc>
          <w:tcPr>
            <w:tcW w:w="1250" w:type="pct"/>
            <w:tcBorders>
              <w:top w:val="single" w:sz="4" w:space="0" w:color="auto"/>
              <w:left w:val="nil"/>
              <w:bottom w:val="nil"/>
              <w:right w:val="nil"/>
            </w:tcBorders>
            <w:shd w:val="clear" w:color="auto" w:fill="auto"/>
            <w:noWrap/>
            <w:vAlign w:val="center"/>
            <w:hideMark/>
          </w:tcPr>
          <w:p w:rsidR="00120084" w:rsidRPr="00120084" w:rsidRDefault="00120084" w:rsidP="00120084">
            <w:pPr>
              <w:pStyle w:val="Tablehead1"/>
            </w:pPr>
          </w:p>
        </w:tc>
        <w:tc>
          <w:tcPr>
            <w:tcW w:w="1250" w:type="pct"/>
            <w:tcBorders>
              <w:top w:val="single" w:sz="4" w:space="0" w:color="auto"/>
              <w:left w:val="nil"/>
              <w:bottom w:val="nil"/>
              <w:right w:val="nil"/>
            </w:tcBorders>
            <w:shd w:val="clear" w:color="auto" w:fill="auto"/>
            <w:noWrap/>
            <w:vAlign w:val="center"/>
            <w:hideMark/>
          </w:tcPr>
          <w:p w:rsidR="00120084" w:rsidRPr="00120084" w:rsidRDefault="00120084" w:rsidP="00120084">
            <w:pPr>
              <w:pStyle w:val="Tablehead1"/>
            </w:pPr>
            <w:r w:rsidRPr="00120084">
              <w:t>All regions (%)</w:t>
            </w:r>
          </w:p>
        </w:tc>
        <w:tc>
          <w:tcPr>
            <w:tcW w:w="1250" w:type="pct"/>
            <w:tcBorders>
              <w:top w:val="single" w:sz="4" w:space="0" w:color="auto"/>
              <w:left w:val="nil"/>
              <w:bottom w:val="nil"/>
              <w:right w:val="nil"/>
            </w:tcBorders>
            <w:shd w:val="clear" w:color="auto" w:fill="auto"/>
            <w:noWrap/>
            <w:vAlign w:val="center"/>
            <w:hideMark/>
          </w:tcPr>
          <w:p w:rsidR="00120084" w:rsidRPr="00120084" w:rsidRDefault="003107B3" w:rsidP="00120084">
            <w:pPr>
              <w:pStyle w:val="Tablehead1"/>
            </w:pPr>
            <w:r>
              <w:t>H</w:t>
            </w:r>
            <w:r w:rsidR="00120084" w:rsidRPr="00120084">
              <w:t>igh participation,</w:t>
            </w:r>
          </w:p>
        </w:tc>
      </w:tr>
      <w:tr w:rsidR="00120084" w:rsidRPr="00120084" w:rsidTr="00E81A36">
        <w:trPr>
          <w:trHeight w:val="300"/>
        </w:trPr>
        <w:tc>
          <w:tcPr>
            <w:tcW w:w="1250" w:type="pct"/>
            <w:tcBorders>
              <w:top w:val="nil"/>
              <w:left w:val="nil"/>
              <w:bottom w:val="single" w:sz="4" w:space="0" w:color="auto"/>
              <w:right w:val="nil"/>
            </w:tcBorders>
            <w:shd w:val="clear" w:color="auto" w:fill="auto"/>
            <w:noWrap/>
            <w:vAlign w:val="center"/>
            <w:hideMark/>
          </w:tcPr>
          <w:p w:rsidR="00120084" w:rsidRPr="00120084" w:rsidRDefault="00120084" w:rsidP="00120084">
            <w:pPr>
              <w:pStyle w:val="Tablehead1"/>
            </w:pPr>
          </w:p>
        </w:tc>
        <w:tc>
          <w:tcPr>
            <w:tcW w:w="1250" w:type="pct"/>
            <w:tcBorders>
              <w:top w:val="nil"/>
              <w:left w:val="nil"/>
              <w:bottom w:val="single" w:sz="4" w:space="0" w:color="auto"/>
              <w:right w:val="nil"/>
            </w:tcBorders>
            <w:shd w:val="clear" w:color="auto" w:fill="auto"/>
            <w:noWrap/>
            <w:vAlign w:val="center"/>
            <w:hideMark/>
          </w:tcPr>
          <w:p w:rsidR="00120084" w:rsidRPr="00120084" w:rsidRDefault="00120084" w:rsidP="00120084">
            <w:pPr>
              <w:pStyle w:val="Tablehead1"/>
            </w:pPr>
          </w:p>
        </w:tc>
        <w:tc>
          <w:tcPr>
            <w:tcW w:w="1250" w:type="pct"/>
            <w:tcBorders>
              <w:top w:val="nil"/>
              <w:left w:val="nil"/>
              <w:bottom w:val="single" w:sz="4" w:space="0" w:color="auto"/>
              <w:right w:val="nil"/>
            </w:tcBorders>
            <w:shd w:val="clear" w:color="auto" w:fill="auto"/>
            <w:noWrap/>
            <w:vAlign w:val="center"/>
            <w:hideMark/>
          </w:tcPr>
          <w:p w:rsidR="00120084" w:rsidRPr="00120084" w:rsidRDefault="00120084" w:rsidP="00120084">
            <w:pPr>
              <w:pStyle w:val="Tablehead1"/>
            </w:pPr>
            <w:r w:rsidRPr="00120084">
              <w:t>Regional mean</w:t>
            </w:r>
          </w:p>
        </w:tc>
        <w:tc>
          <w:tcPr>
            <w:tcW w:w="1250" w:type="pct"/>
            <w:tcBorders>
              <w:top w:val="nil"/>
              <w:left w:val="nil"/>
              <w:bottom w:val="single" w:sz="4" w:space="0" w:color="auto"/>
              <w:right w:val="nil"/>
            </w:tcBorders>
            <w:shd w:val="clear" w:color="auto" w:fill="auto"/>
            <w:noWrap/>
            <w:vAlign w:val="center"/>
            <w:hideMark/>
          </w:tcPr>
          <w:p w:rsidR="00120084" w:rsidRPr="00120084" w:rsidRDefault="00120084" w:rsidP="00120084">
            <w:pPr>
              <w:pStyle w:val="Tablehead1"/>
            </w:pPr>
            <w:proofErr w:type="gramStart"/>
            <w:r w:rsidRPr="00120084">
              <w:t>high</w:t>
            </w:r>
            <w:proofErr w:type="gramEnd"/>
            <w:r w:rsidRPr="00120084">
              <w:t xml:space="preserve"> completion regions (N=13) (%)</w:t>
            </w:r>
          </w:p>
        </w:tc>
      </w:tr>
      <w:tr w:rsidR="00120084" w:rsidRPr="002644A1" w:rsidTr="00E81A36">
        <w:trPr>
          <w:trHeight w:val="300"/>
        </w:trPr>
        <w:tc>
          <w:tcPr>
            <w:tcW w:w="1250" w:type="pct"/>
            <w:tcBorders>
              <w:top w:val="single" w:sz="4" w:space="0" w:color="auto"/>
              <w:left w:val="nil"/>
              <w:bottom w:val="nil"/>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Provider type</w:t>
            </w:r>
          </w:p>
        </w:tc>
        <w:tc>
          <w:tcPr>
            <w:tcW w:w="1250" w:type="pct"/>
            <w:tcBorders>
              <w:top w:val="single" w:sz="4" w:space="0" w:color="auto"/>
              <w:left w:val="nil"/>
              <w:bottom w:val="nil"/>
              <w:right w:val="nil"/>
            </w:tcBorders>
            <w:shd w:val="clear" w:color="auto" w:fill="auto"/>
            <w:noWrap/>
            <w:vAlign w:val="center"/>
            <w:hideMark/>
          </w:tcPr>
          <w:p w:rsidR="00120084" w:rsidRPr="002644A1" w:rsidRDefault="00BF3209" w:rsidP="00120084">
            <w:pPr>
              <w:pStyle w:val="Tabletext"/>
              <w:rPr>
                <w:lang w:eastAsia="en-AU"/>
              </w:rPr>
            </w:pPr>
            <w:r>
              <w:rPr>
                <w:lang w:eastAsia="en-AU"/>
              </w:rPr>
              <w:t>TAFE/University</w:t>
            </w:r>
          </w:p>
        </w:tc>
        <w:tc>
          <w:tcPr>
            <w:tcW w:w="1250" w:type="pct"/>
            <w:tcBorders>
              <w:top w:val="single" w:sz="4" w:space="0" w:color="auto"/>
              <w:left w:val="nil"/>
              <w:bottom w:val="nil"/>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62.2</w:t>
            </w:r>
          </w:p>
        </w:tc>
        <w:tc>
          <w:tcPr>
            <w:tcW w:w="1250" w:type="pct"/>
            <w:tcBorders>
              <w:top w:val="single" w:sz="4" w:space="0" w:color="auto"/>
              <w:left w:val="nil"/>
              <w:bottom w:val="nil"/>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56.3</w:t>
            </w:r>
          </w:p>
        </w:tc>
      </w:tr>
      <w:tr w:rsidR="00120084" w:rsidRPr="002644A1" w:rsidTr="00E81A36">
        <w:trPr>
          <w:trHeight w:val="300"/>
        </w:trPr>
        <w:tc>
          <w:tcPr>
            <w:tcW w:w="1250" w:type="pct"/>
            <w:tcBorders>
              <w:top w:val="nil"/>
              <w:left w:val="nil"/>
              <w:right w:val="nil"/>
            </w:tcBorders>
            <w:shd w:val="clear" w:color="auto" w:fill="auto"/>
            <w:noWrap/>
            <w:vAlign w:val="center"/>
            <w:hideMark/>
          </w:tcPr>
          <w:p w:rsidR="00120084" w:rsidRPr="002644A1" w:rsidRDefault="00120084" w:rsidP="00120084">
            <w:pPr>
              <w:pStyle w:val="Tabletext"/>
              <w:rPr>
                <w:lang w:eastAsia="en-AU"/>
              </w:rPr>
            </w:pPr>
          </w:p>
        </w:tc>
        <w:tc>
          <w:tcPr>
            <w:tcW w:w="1250" w:type="pct"/>
            <w:tcBorders>
              <w:top w:val="nil"/>
              <w:left w:val="nil"/>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Community providers</w:t>
            </w:r>
          </w:p>
        </w:tc>
        <w:tc>
          <w:tcPr>
            <w:tcW w:w="1250" w:type="pct"/>
            <w:tcBorders>
              <w:top w:val="nil"/>
              <w:left w:val="nil"/>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4.9</w:t>
            </w:r>
          </w:p>
        </w:tc>
        <w:tc>
          <w:tcPr>
            <w:tcW w:w="1250" w:type="pct"/>
            <w:tcBorders>
              <w:top w:val="nil"/>
              <w:left w:val="nil"/>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9.6</w:t>
            </w:r>
          </w:p>
        </w:tc>
      </w:tr>
      <w:tr w:rsidR="00120084" w:rsidRPr="002644A1" w:rsidTr="00E81A36">
        <w:trPr>
          <w:trHeight w:val="300"/>
        </w:trPr>
        <w:tc>
          <w:tcPr>
            <w:tcW w:w="1250" w:type="pct"/>
            <w:tcBorders>
              <w:top w:val="nil"/>
              <w:left w:val="nil"/>
              <w:bottom w:val="single" w:sz="4" w:space="0" w:color="auto"/>
              <w:right w:val="nil"/>
            </w:tcBorders>
            <w:shd w:val="clear" w:color="auto" w:fill="auto"/>
            <w:noWrap/>
            <w:vAlign w:val="center"/>
            <w:hideMark/>
          </w:tcPr>
          <w:p w:rsidR="00120084" w:rsidRPr="002644A1" w:rsidRDefault="00120084" w:rsidP="00120084">
            <w:pPr>
              <w:pStyle w:val="Tabletext"/>
              <w:rPr>
                <w:lang w:eastAsia="en-AU"/>
              </w:rPr>
            </w:pPr>
          </w:p>
        </w:tc>
        <w:tc>
          <w:tcPr>
            <w:tcW w:w="1250" w:type="pct"/>
            <w:tcBorders>
              <w:top w:val="nil"/>
              <w:left w:val="nil"/>
              <w:bottom w:val="single" w:sz="4" w:space="0" w:color="auto"/>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Private providers</w:t>
            </w:r>
          </w:p>
        </w:tc>
        <w:tc>
          <w:tcPr>
            <w:tcW w:w="1250" w:type="pct"/>
            <w:tcBorders>
              <w:top w:val="nil"/>
              <w:left w:val="nil"/>
              <w:bottom w:val="single" w:sz="4" w:space="0" w:color="auto"/>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33.7</w:t>
            </w:r>
          </w:p>
        </w:tc>
        <w:tc>
          <w:tcPr>
            <w:tcW w:w="1250" w:type="pct"/>
            <w:tcBorders>
              <w:top w:val="nil"/>
              <w:left w:val="nil"/>
              <w:bottom w:val="single" w:sz="4" w:space="0" w:color="auto"/>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34.8</w:t>
            </w:r>
          </w:p>
        </w:tc>
      </w:tr>
      <w:tr w:rsidR="00120084" w:rsidRPr="002644A1" w:rsidTr="00E81A36">
        <w:trPr>
          <w:trHeight w:val="300"/>
        </w:trPr>
        <w:tc>
          <w:tcPr>
            <w:tcW w:w="1250" w:type="pct"/>
            <w:tcBorders>
              <w:top w:val="single" w:sz="4" w:space="0" w:color="auto"/>
              <w:left w:val="nil"/>
              <w:bottom w:val="nil"/>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AQF level</w:t>
            </w:r>
          </w:p>
        </w:tc>
        <w:tc>
          <w:tcPr>
            <w:tcW w:w="1250" w:type="pct"/>
            <w:tcBorders>
              <w:top w:val="single" w:sz="4" w:space="0" w:color="auto"/>
              <w:left w:val="nil"/>
              <w:bottom w:val="nil"/>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Advanced</w:t>
            </w:r>
          </w:p>
        </w:tc>
        <w:tc>
          <w:tcPr>
            <w:tcW w:w="1250" w:type="pct"/>
            <w:tcBorders>
              <w:top w:val="single" w:sz="4" w:space="0" w:color="auto"/>
              <w:left w:val="nil"/>
              <w:bottom w:val="nil"/>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13.4</w:t>
            </w:r>
          </w:p>
        </w:tc>
        <w:tc>
          <w:tcPr>
            <w:tcW w:w="1250" w:type="pct"/>
            <w:tcBorders>
              <w:top w:val="single" w:sz="4" w:space="0" w:color="auto"/>
              <w:left w:val="nil"/>
              <w:bottom w:val="nil"/>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12.6</w:t>
            </w:r>
          </w:p>
        </w:tc>
      </w:tr>
      <w:tr w:rsidR="00120084" w:rsidRPr="002644A1" w:rsidTr="00E81A36">
        <w:trPr>
          <w:trHeight w:val="300"/>
        </w:trPr>
        <w:tc>
          <w:tcPr>
            <w:tcW w:w="1250" w:type="pct"/>
            <w:tcBorders>
              <w:top w:val="nil"/>
              <w:left w:val="nil"/>
              <w:right w:val="nil"/>
            </w:tcBorders>
            <w:shd w:val="clear" w:color="auto" w:fill="auto"/>
            <w:noWrap/>
            <w:vAlign w:val="center"/>
            <w:hideMark/>
          </w:tcPr>
          <w:p w:rsidR="00120084" w:rsidRPr="002644A1" w:rsidRDefault="00120084" w:rsidP="00120084">
            <w:pPr>
              <w:pStyle w:val="Tabletext"/>
              <w:rPr>
                <w:lang w:eastAsia="en-AU"/>
              </w:rPr>
            </w:pPr>
          </w:p>
        </w:tc>
        <w:tc>
          <w:tcPr>
            <w:tcW w:w="1250" w:type="pct"/>
            <w:tcBorders>
              <w:top w:val="nil"/>
              <w:left w:val="nil"/>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Middle</w:t>
            </w:r>
          </w:p>
        </w:tc>
        <w:tc>
          <w:tcPr>
            <w:tcW w:w="1250" w:type="pct"/>
            <w:tcBorders>
              <w:top w:val="nil"/>
              <w:left w:val="nil"/>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70.7</w:t>
            </w:r>
          </w:p>
        </w:tc>
        <w:tc>
          <w:tcPr>
            <w:tcW w:w="1250" w:type="pct"/>
            <w:tcBorders>
              <w:top w:val="nil"/>
              <w:left w:val="nil"/>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70.2</w:t>
            </w:r>
          </w:p>
        </w:tc>
      </w:tr>
      <w:tr w:rsidR="00120084" w:rsidRPr="002644A1" w:rsidTr="00E81A36">
        <w:trPr>
          <w:trHeight w:val="300"/>
        </w:trPr>
        <w:tc>
          <w:tcPr>
            <w:tcW w:w="1250" w:type="pct"/>
            <w:tcBorders>
              <w:top w:val="nil"/>
              <w:left w:val="nil"/>
              <w:bottom w:val="single" w:sz="4" w:space="0" w:color="auto"/>
              <w:right w:val="nil"/>
            </w:tcBorders>
            <w:shd w:val="clear" w:color="auto" w:fill="auto"/>
            <w:noWrap/>
            <w:vAlign w:val="center"/>
            <w:hideMark/>
          </w:tcPr>
          <w:p w:rsidR="00120084" w:rsidRPr="002644A1" w:rsidRDefault="00120084" w:rsidP="00120084">
            <w:pPr>
              <w:pStyle w:val="Tabletext"/>
              <w:rPr>
                <w:lang w:eastAsia="en-AU"/>
              </w:rPr>
            </w:pPr>
          </w:p>
        </w:tc>
        <w:tc>
          <w:tcPr>
            <w:tcW w:w="1250" w:type="pct"/>
            <w:tcBorders>
              <w:top w:val="nil"/>
              <w:left w:val="nil"/>
              <w:bottom w:val="single" w:sz="4" w:space="0" w:color="auto"/>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Basic</w:t>
            </w:r>
          </w:p>
        </w:tc>
        <w:tc>
          <w:tcPr>
            <w:tcW w:w="1250" w:type="pct"/>
            <w:tcBorders>
              <w:top w:val="nil"/>
              <w:left w:val="nil"/>
              <w:bottom w:val="single" w:sz="4" w:space="0" w:color="auto"/>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20.7</w:t>
            </w:r>
          </w:p>
        </w:tc>
        <w:tc>
          <w:tcPr>
            <w:tcW w:w="1250" w:type="pct"/>
            <w:tcBorders>
              <w:top w:val="nil"/>
              <w:left w:val="nil"/>
              <w:bottom w:val="single" w:sz="4" w:space="0" w:color="auto"/>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24.4</w:t>
            </w:r>
          </w:p>
        </w:tc>
      </w:tr>
      <w:tr w:rsidR="00120084" w:rsidRPr="002644A1" w:rsidTr="00E81A36">
        <w:trPr>
          <w:trHeight w:val="300"/>
        </w:trPr>
        <w:tc>
          <w:tcPr>
            <w:tcW w:w="1250" w:type="pct"/>
            <w:tcBorders>
              <w:top w:val="single" w:sz="4" w:space="0" w:color="auto"/>
              <w:left w:val="nil"/>
              <w:bottom w:val="nil"/>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Delivery mode</w:t>
            </w:r>
          </w:p>
        </w:tc>
        <w:tc>
          <w:tcPr>
            <w:tcW w:w="1250" w:type="pct"/>
            <w:tcBorders>
              <w:top w:val="single" w:sz="4" w:space="0" w:color="auto"/>
              <w:left w:val="nil"/>
              <w:bottom w:val="nil"/>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Classroom</w:t>
            </w:r>
          </w:p>
        </w:tc>
        <w:tc>
          <w:tcPr>
            <w:tcW w:w="1250" w:type="pct"/>
            <w:tcBorders>
              <w:top w:val="single" w:sz="4" w:space="0" w:color="auto"/>
              <w:left w:val="nil"/>
              <w:bottom w:val="nil"/>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62.9</w:t>
            </w:r>
          </w:p>
        </w:tc>
        <w:tc>
          <w:tcPr>
            <w:tcW w:w="1250" w:type="pct"/>
            <w:tcBorders>
              <w:top w:val="single" w:sz="4" w:space="0" w:color="auto"/>
              <w:left w:val="nil"/>
              <w:bottom w:val="nil"/>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67.9</w:t>
            </w:r>
          </w:p>
        </w:tc>
      </w:tr>
      <w:tr w:rsidR="00120084" w:rsidRPr="002644A1" w:rsidTr="00E81A36">
        <w:trPr>
          <w:trHeight w:val="300"/>
        </w:trPr>
        <w:tc>
          <w:tcPr>
            <w:tcW w:w="1250" w:type="pct"/>
            <w:tcBorders>
              <w:top w:val="nil"/>
              <w:left w:val="nil"/>
              <w:right w:val="nil"/>
            </w:tcBorders>
            <w:shd w:val="clear" w:color="auto" w:fill="auto"/>
            <w:noWrap/>
            <w:vAlign w:val="center"/>
            <w:hideMark/>
          </w:tcPr>
          <w:p w:rsidR="00120084" w:rsidRPr="002644A1" w:rsidRDefault="00120084" w:rsidP="00120084">
            <w:pPr>
              <w:pStyle w:val="Tabletext"/>
              <w:rPr>
                <w:lang w:eastAsia="en-AU"/>
              </w:rPr>
            </w:pPr>
          </w:p>
        </w:tc>
        <w:tc>
          <w:tcPr>
            <w:tcW w:w="1250" w:type="pct"/>
            <w:tcBorders>
              <w:top w:val="nil"/>
              <w:left w:val="nil"/>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Electronic</w:t>
            </w:r>
          </w:p>
        </w:tc>
        <w:tc>
          <w:tcPr>
            <w:tcW w:w="1250" w:type="pct"/>
            <w:tcBorders>
              <w:top w:val="nil"/>
              <w:left w:val="nil"/>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14.0</w:t>
            </w:r>
          </w:p>
        </w:tc>
        <w:tc>
          <w:tcPr>
            <w:tcW w:w="1250" w:type="pct"/>
            <w:tcBorders>
              <w:top w:val="nil"/>
              <w:left w:val="nil"/>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9.3</w:t>
            </w:r>
          </w:p>
        </w:tc>
      </w:tr>
      <w:tr w:rsidR="00120084" w:rsidRPr="002644A1" w:rsidTr="00E81A36">
        <w:trPr>
          <w:trHeight w:val="300"/>
        </w:trPr>
        <w:tc>
          <w:tcPr>
            <w:tcW w:w="1250" w:type="pct"/>
            <w:tcBorders>
              <w:top w:val="nil"/>
              <w:left w:val="nil"/>
              <w:bottom w:val="single" w:sz="4" w:space="0" w:color="auto"/>
              <w:right w:val="nil"/>
            </w:tcBorders>
            <w:shd w:val="clear" w:color="auto" w:fill="auto"/>
            <w:noWrap/>
            <w:vAlign w:val="center"/>
            <w:hideMark/>
          </w:tcPr>
          <w:p w:rsidR="00120084" w:rsidRPr="002644A1" w:rsidRDefault="00120084" w:rsidP="00120084">
            <w:pPr>
              <w:pStyle w:val="Tabletext"/>
              <w:rPr>
                <w:lang w:eastAsia="en-AU"/>
              </w:rPr>
            </w:pPr>
          </w:p>
        </w:tc>
        <w:tc>
          <w:tcPr>
            <w:tcW w:w="1250" w:type="pct"/>
            <w:tcBorders>
              <w:top w:val="nil"/>
              <w:left w:val="nil"/>
              <w:bottom w:val="single" w:sz="4" w:space="0" w:color="auto"/>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Employment-based</w:t>
            </w:r>
          </w:p>
        </w:tc>
        <w:tc>
          <w:tcPr>
            <w:tcW w:w="1250" w:type="pct"/>
            <w:tcBorders>
              <w:top w:val="nil"/>
              <w:left w:val="nil"/>
              <w:bottom w:val="single" w:sz="4" w:space="0" w:color="auto"/>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21.2</w:t>
            </w:r>
          </w:p>
        </w:tc>
        <w:tc>
          <w:tcPr>
            <w:tcW w:w="1250" w:type="pct"/>
            <w:tcBorders>
              <w:top w:val="nil"/>
              <w:left w:val="nil"/>
              <w:bottom w:val="single" w:sz="4" w:space="0" w:color="auto"/>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18.7</w:t>
            </w:r>
          </w:p>
        </w:tc>
      </w:tr>
      <w:tr w:rsidR="00120084" w:rsidRPr="002644A1" w:rsidTr="00E81A36">
        <w:trPr>
          <w:trHeight w:val="300"/>
        </w:trPr>
        <w:tc>
          <w:tcPr>
            <w:tcW w:w="1250" w:type="pct"/>
            <w:tcBorders>
              <w:top w:val="single" w:sz="4" w:space="0" w:color="auto"/>
              <w:left w:val="nil"/>
              <w:bottom w:val="nil"/>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VET student profile</w:t>
            </w:r>
          </w:p>
        </w:tc>
        <w:tc>
          <w:tcPr>
            <w:tcW w:w="1250" w:type="pct"/>
            <w:tcBorders>
              <w:top w:val="single" w:sz="4" w:space="0" w:color="auto"/>
              <w:left w:val="nil"/>
              <w:bottom w:val="nil"/>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Indigenous</w:t>
            </w:r>
          </w:p>
        </w:tc>
        <w:tc>
          <w:tcPr>
            <w:tcW w:w="1250" w:type="pct"/>
            <w:tcBorders>
              <w:top w:val="single" w:sz="4" w:space="0" w:color="auto"/>
              <w:left w:val="nil"/>
              <w:bottom w:val="nil"/>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7.0</w:t>
            </w:r>
          </w:p>
        </w:tc>
        <w:tc>
          <w:tcPr>
            <w:tcW w:w="1250" w:type="pct"/>
            <w:tcBorders>
              <w:top w:val="single" w:sz="4" w:space="0" w:color="auto"/>
              <w:left w:val="nil"/>
              <w:bottom w:val="nil"/>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5.9</w:t>
            </w:r>
          </w:p>
        </w:tc>
      </w:tr>
      <w:tr w:rsidR="00120084" w:rsidRPr="002644A1" w:rsidTr="00E81A36">
        <w:trPr>
          <w:trHeight w:val="300"/>
        </w:trPr>
        <w:tc>
          <w:tcPr>
            <w:tcW w:w="1250" w:type="pct"/>
            <w:tcBorders>
              <w:top w:val="nil"/>
              <w:left w:val="nil"/>
              <w:bottom w:val="nil"/>
              <w:right w:val="nil"/>
            </w:tcBorders>
            <w:shd w:val="clear" w:color="auto" w:fill="auto"/>
            <w:noWrap/>
            <w:vAlign w:val="center"/>
            <w:hideMark/>
          </w:tcPr>
          <w:p w:rsidR="00120084" w:rsidRPr="002644A1" w:rsidRDefault="00120084" w:rsidP="00120084">
            <w:pPr>
              <w:pStyle w:val="Tabletext"/>
              <w:rPr>
                <w:lang w:eastAsia="en-AU"/>
              </w:rPr>
            </w:pPr>
          </w:p>
        </w:tc>
        <w:tc>
          <w:tcPr>
            <w:tcW w:w="1250" w:type="pct"/>
            <w:tcBorders>
              <w:top w:val="nil"/>
              <w:left w:val="nil"/>
              <w:bottom w:val="nil"/>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With a disability</w:t>
            </w:r>
          </w:p>
        </w:tc>
        <w:tc>
          <w:tcPr>
            <w:tcW w:w="1250" w:type="pct"/>
            <w:tcBorders>
              <w:top w:val="nil"/>
              <w:left w:val="nil"/>
              <w:bottom w:val="nil"/>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8.5</w:t>
            </w:r>
          </w:p>
        </w:tc>
        <w:tc>
          <w:tcPr>
            <w:tcW w:w="1250" w:type="pct"/>
            <w:tcBorders>
              <w:top w:val="nil"/>
              <w:left w:val="nil"/>
              <w:bottom w:val="nil"/>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10.3</w:t>
            </w:r>
          </w:p>
        </w:tc>
      </w:tr>
      <w:tr w:rsidR="00120084" w:rsidRPr="002644A1" w:rsidTr="00E81A36">
        <w:trPr>
          <w:trHeight w:val="300"/>
        </w:trPr>
        <w:tc>
          <w:tcPr>
            <w:tcW w:w="1250" w:type="pct"/>
            <w:tcBorders>
              <w:top w:val="nil"/>
              <w:left w:val="nil"/>
              <w:bottom w:val="nil"/>
              <w:right w:val="nil"/>
            </w:tcBorders>
            <w:shd w:val="clear" w:color="auto" w:fill="auto"/>
            <w:noWrap/>
            <w:vAlign w:val="center"/>
            <w:hideMark/>
          </w:tcPr>
          <w:p w:rsidR="00120084" w:rsidRPr="002644A1" w:rsidRDefault="00120084" w:rsidP="00120084">
            <w:pPr>
              <w:pStyle w:val="Tabletext"/>
              <w:rPr>
                <w:lang w:eastAsia="en-AU"/>
              </w:rPr>
            </w:pPr>
          </w:p>
        </w:tc>
        <w:tc>
          <w:tcPr>
            <w:tcW w:w="1250" w:type="pct"/>
            <w:tcBorders>
              <w:top w:val="nil"/>
              <w:left w:val="nil"/>
              <w:bottom w:val="nil"/>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LBOTE</w:t>
            </w:r>
          </w:p>
        </w:tc>
        <w:tc>
          <w:tcPr>
            <w:tcW w:w="1250" w:type="pct"/>
            <w:tcBorders>
              <w:top w:val="nil"/>
              <w:left w:val="nil"/>
              <w:bottom w:val="nil"/>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15.0</w:t>
            </w:r>
          </w:p>
        </w:tc>
        <w:tc>
          <w:tcPr>
            <w:tcW w:w="1250" w:type="pct"/>
            <w:tcBorders>
              <w:top w:val="nil"/>
              <w:left w:val="nil"/>
              <w:bottom w:val="nil"/>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13.1</w:t>
            </w:r>
          </w:p>
        </w:tc>
      </w:tr>
      <w:tr w:rsidR="00120084" w:rsidRPr="002644A1" w:rsidTr="00E81A36">
        <w:trPr>
          <w:trHeight w:val="300"/>
        </w:trPr>
        <w:tc>
          <w:tcPr>
            <w:tcW w:w="1250" w:type="pct"/>
            <w:tcBorders>
              <w:top w:val="nil"/>
              <w:left w:val="nil"/>
              <w:right w:val="nil"/>
            </w:tcBorders>
            <w:shd w:val="clear" w:color="auto" w:fill="auto"/>
            <w:noWrap/>
            <w:vAlign w:val="center"/>
            <w:hideMark/>
          </w:tcPr>
          <w:p w:rsidR="00120084" w:rsidRPr="002644A1" w:rsidRDefault="00120084" w:rsidP="00120084">
            <w:pPr>
              <w:pStyle w:val="Tabletext"/>
              <w:rPr>
                <w:lang w:eastAsia="en-AU"/>
              </w:rPr>
            </w:pPr>
          </w:p>
        </w:tc>
        <w:tc>
          <w:tcPr>
            <w:tcW w:w="1250" w:type="pct"/>
            <w:tcBorders>
              <w:top w:val="nil"/>
              <w:left w:val="nil"/>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Unemployed</w:t>
            </w:r>
          </w:p>
        </w:tc>
        <w:tc>
          <w:tcPr>
            <w:tcW w:w="1250" w:type="pct"/>
            <w:tcBorders>
              <w:top w:val="nil"/>
              <w:left w:val="nil"/>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11.5</w:t>
            </w:r>
          </w:p>
        </w:tc>
        <w:tc>
          <w:tcPr>
            <w:tcW w:w="1250" w:type="pct"/>
            <w:tcBorders>
              <w:top w:val="nil"/>
              <w:left w:val="nil"/>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12.8</w:t>
            </w:r>
          </w:p>
        </w:tc>
      </w:tr>
      <w:tr w:rsidR="00120084" w:rsidRPr="002644A1" w:rsidTr="00E81A36">
        <w:trPr>
          <w:trHeight w:val="300"/>
        </w:trPr>
        <w:tc>
          <w:tcPr>
            <w:tcW w:w="1250" w:type="pct"/>
            <w:tcBorders>
              <w:top w:val="nil"/>
              <w:left w:val="nil"/>
              <w:bottom w:val="single" w:sz="4" w:space="0" w:color="auto"/>
              <w:right w:val="nil"/>
            </w:tcBorders>
            <w:shd w:val="clear" w:color="auto" w:fill="auto"/>
            <w:noWrap/>
            <w:vAlign w:val="center"/>
            <w:hideMark/>
          </w:tcPr>
          <w:p w:rsidR="00120084" w:rsidRPr="002644A1" w:rsidRDefault="00120084" w:rsidP="00120084">
            <w:pPr>
              <w:pStyle w:val="Tabletext"/>
              <w:rPr>
                <w:lang w:eastAsia="en-AU"/>
              </w:rPr>
            </w:pPr>
          </w:p>
        </w:tc>
        <w:tc>
          <w:tcPr>
            <w:tcW w:w="1250" w:type="pct"/>
            <w:tcBorders>
              <w:top w:val="nil"/>
              <w:left w:val="nil"/>
              <w:bottom w:val="single" w:sz="4" w:space="0" w:color="auto"/>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Low attainment</w:t>
            </w:r>
          </w:p>
        </w:tc>
        <w:tc>
          <w:tcPr>
            <w:tcW w:w="1250" w:type="pct"/>
            <w:tcBorders>
              <w:top w:val="nil"/>
              <w:left w:val="nil"/>
              <w:bottom w:val="single" w:sz="4" w:space="0" w:color="auto"/>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33.6</w:t>
            </w:r>
          </w:p>
        </w:tc>
        <w:tc>
          <w:tcPr>
            <w:tcW w:w="1250" w:type="pct"/>
            <w:tcBorders>
              <w:top w:val="nil"/>
              <w:left w:val="nil"/>
              <w:bottom w:val="single" w:sz="4" w:space="0" w:color="auto"/>
              <w:right w:val="nil"/>
            </w:tcBorders>
            <w:shd w:val="clear" w:color="auto" w:fill="auto"/>
            <w:noWrap/>
            <w:vAlign w:val="center"/>
            <w:hideMark/>
          </w:tcPr>
          <w:p w:rsidR="00120084" w:rsidRPr="002644A1" w:rsidRDefault="00120084" w:rsidP="00120084">
            <w:pPr>
              <w:pStyle w:val="Tabletext"/>
              <w:rPr>
                <w:lang w:eastAsia="en-AU"/>
              </w:rPr>
            </w:pPr>
            <w:r w:rsidRPr="002644A1">
              <w:rPr>
                <w:lang w:eastAsia="en-AU"/>
              </w:rPr>
              <w:t>36.2</w:t>
            </w:r>
          </w:p>
        </w:tc>
      </w:tr>
    </w:tbl>
    <w:p w:rsidR="00120084" w:rsidRDefault="00120084" w:rsidP="00120084">
      <w:pPr>
        <w:pStyle w:val="Source"/>
      </w:pPr>
      <w:r>
        <w:t>Source</w:t>
      </w:r>
      <w:r>
        <w:tab/>
      </w:r>
      <w:r w:rsidRPr="00120084">
        <w:t>Authors’ calculations from the VET Provider Collection, 2014</w:t>
      </w:r>
    </w:p>
    <w:p w:rsidR="00120084" w:rsidRDefault="00E013AC" w:rsidP="00E013AC">
      <w:pPr>
        <w:pStyle w:val="Figuretitle"/>
      </w:pPr>
      <w:bookmarkStart w:id="56" w:name="_Toc498936245"/>
      <w:r>
        <w:t xml:space="preserve">Figure </w:t>
      </w:r>
      <w:r>
        <w:fldChar w:fldCharType="begin"/>
      </w:r>
      <w:r>
        <w:instrText xml:space="preserve"> SEQ Figure \* ARABIC </w:instrText>
      </w:r>
      <w:r>
        <w:fldChar w:fldCharType="separate"/>
      </w:r>
      <w:r w:rsidR="00BF3209">
        <w:rPr>
          <w:noProof/>
        </w:rPr>
        <w:t>7</w:t>
      </w:r>
      <w:r>
        <w:fldChar w:fldCharType="end"/>
      </w:r>
      <w:r>
        <w:tab/>
      </w:r>
      <w:r w:rsidRPr="00E013AC">
        <w:t>Characteristics of VET activity in high performing regions (deviation from regional mean), 2014 (%)</w:t>
      </w:r>
      <w:bookmarkEnd w:id="56"/>
    </w:p>
    <w:p w:rsidR="00120084" w:rsidRDefault="00E013AC" w:rsidP="002D5A50">
      <w:pPr>
        <w:pStyle w:val="Text"/>
      </w:pPr>
      <w:r>
        <w:rPr>
          <w:rFonts w:ascii="Franklin Gothic Book" w:hAnsi="Franklin Gothic Book"/>
          <w:noProof/>
          <w:lang w:eastAsia="en-AU"/>
        </w:rPr>
        <w:drawing>
          <wp:anchor distT="0" distB="0" distL="114300" distR="114300" simplePos="0" relativeHeight="251681792" behindDoc="0" locked="0" layoutInCell="1" allowOverlap="1" wp14:anchorId="0C1DEE40" wp14:editId="7349BB07">
            <wp:simplePos x="0" y="0"/>
            <wp:positionH relativeFrom="column">
              <wp:posOffset>325755</wp:posOffset>
            </wp:positionH>
            <wp:positionV relativeFrom="paragraph">
              <wp:posOffset>13665</wp:posOffset>
            </wp:positionV>
            <wp:extent cx="5039995" cy="3293745"/>
            <wp:effectExtent l="0" t="0" r="8255" b="1905"/>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039995" cy="3293745"/>
                    </a:xfrm>
                    <a:prstGeom prst="rect">
                      <a:avLst/>
                    </a:prstGeom>
                    <a:noFill/>
                  </pic:spPr>
                </pic:pic>
              </a:graphicData>
            </a:graphic>
            <wp14:sizeRelH relativeFrom="page">
              <wp14:pctWidth>0</wp14:pctWidth>
            </wp14:sizeRelH>
            <wp14:sizeRelV relativeFrom="page">
              <wp14:pctHeight>0</wp14:pctHeight>
            </wp14:sizeRelV>
          </wp:anchor>
        </w:drawing>
      </w:r>
    </w:p>
    <w:p w:rsidR="00E013AC" w:rsidRDefault="00E013AC" w:rsidP="002D5A50">
      <w:pPr>
        <w:pStyle w:val="Text"/>
      </w:pPr>
    </w:p>
    <w:p w:rsidR="00E013AC" w:rsidRDefault="00E013AC" w:rsidP="002D5A50">
      <w:pPr>
        <w:pStyle w:val="Text"/>
      </w:pPr>
    </w:p>
    <w:p w:rsidR="00E013AC" w:rsidRDefault="00E013AC" w:rsidP="002D5A50">
      <w:pPr>
        <w:pStyle w:val="Text"/>
      </w:pPr>
    </w:p>
    <w:p w:rsidR="00E013AC" w:rsidRDefault="00E013AC" w:rsidP="002D5A50">
      <w:pPr>
        <w:pStyle w:val="Text"/>
      </w:pPr>
    </w:p>
    <w:p w:rsidR="00E013AC" w:rsidRDefault="00E013AC" w:rsidP="002D5A50">
      <w:pPr>
        <w:pStyle w:val="Text"/>
      </w:pPr>
    </w:p>
    <w:p w:rsidR="00E013AC" w:rsidRDefault="00E013AC" w:rsidP="002D5A50">
      <w:pPr>
        <w:pStyle w:val="Text"/>
      </w:pPr>
    </w:p>
    <w:p w:rsidR="00E013AC" w:rsidRDefault="00E013AC" w:rsidP="002D5A50">
      <w:pPr>
        <w:pStyle w:val="Text"/>
      </w:pPr>
    </w:p>
    <w:p w:rsidR="00E013AC" w:rsidRDefault="00E013AC" w:rsidP="002D5A50">
      <w:pPr>
        <w:pStyle w:val="Text"/>
      </w:pPr>
    </w:p>
    <w:p w:rsidR="00E013AC" w:rsidRDefault="00E013AC" w:rsidP="002D5A50">
      <w:pPr>
        <w:pStyle w:val="Text"/>
      </w:pPr>
    </w:p>
    <w:p w:rsidR="00E013AC" w:rsidRDefault="00E013AC" w:rsidP="002D5A50">
      <w:pPr>
        <w:pStyle w:val="Text"/>
      </w:pPr>
    </w:p>
    <w:p w:rsidR="00E013AC" w:rsidRDefault="00E013AC" w:rsidP="002D5A50">
      <w:pPr>
        <w:pStyle w:val="Text"/>
      </w:pPr>
    </w:p>
    <w:p w:rsidR="00E013AC" w:rsidRDefault="00E013AC" w:rsidP="00E013AC">
      <w:pPr>
        <w:pStyle w:val="Source"/>
      </w:pPr>
      <w:r>
        <w:t>Source:</w:t>
      </w:r>
      <w:r>
        <w:tab/>
      </w:r>
      <w:r w:rsidRPr="00E013AC">
        <w:t>Authors’ calculations from the VET Provider Collection, 2014</w:t>
      </w:r>
    </w:p>
    <w:p w:rsidR="00E013AC" w:rsidRDefault="00E013AC">
      <w:pPr>
        <w:spacing w:before="0" w:line="240" w:lineRule="auto"/>
      </w:pPr>
      <w:r>
        <w:br w:type="page"/>
      </w:r>
    </w:p>
    <w:p w:rsidR="00E013AC" w:rsidRDefault="00E013AC" w:rsidP="00E013AC">
      <w:pPr>
        <w:pStyle w:val="Heading1"/>
      </w:pPr>
      <w:bookmarkStart w:id="57" w:name="_Toc498936357"/>
      <w:r>
        <w:lastRenderedPageBreak/>
        <w:t>References</w:t>
      </w:r>
      <w:bookmarkEnd w:id="57"/>
    </w:p>
    <w:p w:rsidR="003107B3" w:rsidRDefault="003107B3" w:rsidP="003107B3">
      <w:pPr>
        <w:pStyle w:val="References"/>
      </w:pPr>
      <w:r>
        <w:t xml:space="preserve">Anlezark, A &amp; Foley P 2016, </w:t>
      </w:r>
      <w:proofErr w:type="gramStart"/>
      <w:r w:rsidRPr="00FC6CA1">
        <w:rPr>
          <w:i/>
        </w:rPr>
        <w:t>Making</w:t>
      </w:r>
      <w:proofErr w:type="gramEnd"/>
      <w:r w:rsidRPr="00FC6CA1">
        <w:rPr>
          <w:i/>
        </w:rPr>
        <w:t xml:space="preserve"> sense of total VET activity: an initial market analysis</w:t>
      </w:r>
      <w:r>
        <w:t>, NCVER, Adelaide</w:t>
      </w:r>
    </w:p>
    <w:p w:rsidR="00E013AC" w:rsidRDefault="00E013AC" w:rsidP="00E013AC">
      <w:pPr>
        <w:pStyle w:val="References"/>
      </w:pPr>
      <w:r>
        <w:t xml:space="preserve">Australian Bureau of Statistics 2011, </w:t>
      </w:r>
      <w:r w:rsidRPr="00FC6CA1">
        <w:rPr>
          <w:i/>
        </w:rPr>
        <w:t>Australian Statistical Geography Standard: Volume 1 – Main Structure and Greater Capital City Statistical areas.</w:t>
      </w:r>
      <w:r>
        <w:t xml:space="preserve">  Catalogue No. 1270.0.55.001</w:t>
      </w:r>
    </w:p>
    <w:p w:rsidR="00E013AC" w:rsidRDefault="00E013AC" w:rsidP="00E013AC">
      <w:pPr>
        <w:pStyle w:val="References"/>
      </w:pPr>
      <w:r>
        <w:t xml:space="preserve">Australian Bureau of Statistics 2015, </w:t>
      </w:r>
      <w:r w:rsidRPr="00FC6CA1">
        <w:rPr>
          <w:i/>
        </w:rPr>
        <w:t>Population by Age and Sex, Regions of Australia,</w:t>
      </w:r>
      <w:r>
        <w:t xml:space="preserve"> Catalogue No. 3235.0</w:t>
      </w:r>
    </w:p>
    <w:p w:rsidR="00E013AC" w:rsidRDefault="00E013AC" w:rsidP="00E013AC">
      <w:pPr>
        <w:pStyle w:val="References"/>
      </w:pPr>
      <w:proofErr w:type="spellStart"/>
      <w:r>
        <w:t>Bednarz</w:t>
      </w:r>
      <w:proofErr w:type="spellEnd"/>
      <w:r>
        <w:t xml:space="preserve">, A 2012, </w:t>
      </w:r>
      <w:proofErr w:type="gramStart"/>
      <w:r w:rsidRPr="00FC6CA1">
        <w:rPr>
          <w:i/>
        </w:rPr>
        <w:t>Lifting</w:t>
      </w:r>
      <w:proofErr w:type="gramEnd"/>
      <w:r w:rsidRPr="00FC6CA1">
        <w:rPr>
          <w:i/>
        </w:rPr>
        <w:t xml:space="preserve"> the lid on completion rates in the VET sector: how they are defined and derived, NCVER</w:t>
      </w:r>
      <w:r>
        <w:t>, Adelaide</w:t>
      </w:r>
    </w:p>
    <w:p w:rsidR="00E013AC" w:rsidRDefault="00E013AC" w:rsidP="00E013AC">
      <w:pPr>
        <w:pStyle w:val="References"/>
      </w:pPr>
      <w:r>
        <w:t xml:space="preserve">Council of Australian Governments, 2009, </w:t>
      </w:r>
      <w:r w:rsidRPr="00FC6CA1">
        <w:rPr>
          <w:i/>
        </w:rPr>
        <w:t>National Education Agreement</w:t>
      </w:r>
      <w:r>
        <w:t>, Commonwealth of Australia, Canberra</w:t>
      </w:r>
    </w:p>
    <w:p w:rsidR="00E013AC" w:rsidRDefault="00E013AC" w:rsidP="00E013AC">
      <w:pPr>
        <w:pStyle w:val="References"/>
      </w:pPr>
      <w:r>
        <w:t xml:space="preserve">Davies, </w:t>
      </w:r>
      <w:r w:rsidR="00FC6CA1">
        <w:t>M, Lamb, S and Doecke, E, 2011,</w:t>
      </w:r>
      <w:r>
        <w:t xml:space="preserve"> Strategic Review of Effective Re Engagement Models for Disengaged Learners, DEECD</w:t>
      </w:r>
    </w:p>
    <w:p w:rsidR="00E013AC" w:rsidRDefault="00E013AC" w:rsidP="00E013AC">
      <w:pPr>
        <w:pStyle w:val="References"/>
      </w:pPr>
      <w:proofErr w:type="spellStart"/>
      <w:r>
        <w:t>McVicar</w:t>
      </w:r>
      <w:proofErr w:type="spellEnd"/>
      <w:r>
        <w:t xml:space="preserve">, D &amp; </w:t>
      </w:r>
      <w:proofErr w:type="spellStart"/>
      <w:r>
        <w:t>Tabasso</w:t>
      </w:r>
      <w:proofErr w:type="spellEnd"/>
      <w:r>
        <w:t xml:space="preserve">, D 2016, </w:t>
      </w:r>
      <w:proofErr w:type="gramStart"/>
      <w:r>
        <w:t>The</w:t>
      </w:r>
      <w:proofErr w:type="gramEnd"/>
      <w:r>
        <w:t xml:space="preserve"> impact of disadvantage on VET completion and employment gaps, NCVER, Adelaide. </w:t>
      </w:r>
    </w:p>
    <w:p w:rsidR="00E013AC" w:rsidRDefault="00E013AC" w:rsidP="00E013AC">
      <w:pPr>
        <w:pStyle w:val="References"/>
      </w:pPr>
      <w:r>
        <w:t xml:space="preserve">National Centre for Vocational Education Research 2015, Australian vocational education and training statistics: Government-funded student outcomes 2015, NCVER, Adelaide. </w:t>
      </w:r>
    </w:p>
    <w:p w:rsidR="00E013AC" w:rsidRDefault="00E013AC" w:rsidP="00E013AC">
      <w:pPr>
        <w:pStyle w:val="References"/>
      </w:pPr>
      <w:r>
        <w:t>Walstab, A. &amp; Lamb, S. (2008). Participation in vocational education and training across Australia: A regional analysis. Adelaide: NCVER</w:t>
      </w:r>
    </w:p>
    <w:p w:rsidR="00120084" w:rsidRDefault="00120084" w:rsidP="002D5A50">
      <w:pPr>
        <w:pStyle w:val="Text"/>
      </w:pPr>
    </w:p>
    <w:p w:rsidR="00E013AC" w:rsidRDefault="00E013AC">
      <w:pPr>
        <w:spacing w:before="0" w:line="240" w:lineRule="auto"/>
      </w:pPr>
      <w:r>
        <w:br w:type="page"/>
      </w:r>
    </w:p>
    <w:p w:rsidR="00E013AC" w:rsidRDefault="003107B3" w:rsidP="00E013AC">
      <w:pPr>
        <w:pStyle w:val="Heading1"/>
      </w:pPr>
      <w:bookmarkStart w:id="58" w:name="_Toc498936358"/>
      <w:r>
        <w:lastRenderedPageBreak/>
        <w:t>Appendix 1 Regional standardised r</w:t>
      </w:r>
      <w:r w:rsidR="00E013AC" w:rsidRPr="00E013AC">
        <w:t>esidual scores</w:t>
      </w:r>
      <w:bookmarkEnd w:id="58"/>
    </w:p>
    <w:p w:rsidR="00E013AC" w:rsidRDefault="00E013AC" w:rsidP="00E013AC">
      <w:pPr>
        <w:pStyle w:val="Text"/>
      </w:pPr>
      <w:r w:rsidRPr="00E013AC">
        <w:t>Regions recommended for case studies:</w:t>
      </w:r>
    </w:p>
    <w:tbl>
      <w:tblPr>
        <w:tblW w:w="4862" w:type="pct"/>
        <w:tblLook w:val="04A0" w:firstRow="1" w:lastRow="0" w:firstColumn="1" w:lastColumn="0" w:noHBand="0" w:noVBand="1"/>
      </w:tblPr>
      <w:tblGrid>
        <w:gridCol w:w="1086"/>
        <w:gridCol w:w="2368"/>
        <w:gridCol w:w="1488"/>
        <w:gridCol w:w="1262"/>
        <w:gridCol w:w="1275"/>
        <w:gridCol w:w="1276"/>
      </w:tblGrid>
      <w:tr w:rsidR="00E63A7B" w:rsidRPr="003474C0" w:rsidTr="003107B3">
        <w:trPr>
          <w:trHeight w:val="300"/>
        </w:trPr>
        <w:tc>
          <w:tcPr>
            <w:tcW w:w="620" w:type="pct"/>
            <w:tcBorders>
              <w:top w:val="single" w:sz="4" w:space="0" w:color="auto"/>
              <w:left w:val="nil"/>
              <w:bottom w:val="single" w:sz="4" w:space="0" w:color="auto"/>
              <w:right w:val="nil"/>
            </w:tcBorders>
            <w:shd w:val="clear" w:color="auto" w:fill="auto"/>
            <w:noWrap/>
            <w:vAlign w:val="bottom"/>
            <w:hideMark/>
          </w:tcPr>
          <w:p w:rsidR="00E013AC" w:rsidRPr="003474C0" w:rsidRDefault="00E013AC" w:rsidP="00E013AC">
            <w:pPr>
              <w:pStyle w:val="Tablehead1"/>
              <w:rPr>
                <w:lang w:eastAsia="en-AU"/>
              </w:rPr>
            </w:pPr>
            <w:r w:rsidRPr="003474C0">
              <w:rPr>
                <w:lang w:eastAsia="en-AU"/>
              </w:rPr>
              <w:t>SA3 CODE</w:t>
            </w:r>
          </w:p>
        </w:tc>
        <w:tc>
          <w:tcPr>
            <w:tcW w:w="1352" w:type="pct"/>
            <w:tcBorders>
              <w:top w:val="single" w:sz="4" w:space="0" w:color="auto"/>
              <w:left w:val="nil"/>
              <w:bottom w:val="single" w:sz="4" w:space="0" w:color="auto"/>
              <w:right w:val="nil"/>
            </w:tcBorders>
            <w:shd w:val="clear" w:color="auto" w:fill="auto"/>
            <w:noWrap/>
            <w:vAlign w:val="bottom"/>
            <w:hideMark/>
          </w:tcPr>
          <w:p w:rsidR="00E013AC" w:rsidRPr="003474C0" w:rsidRDefault="00E013AC" w:rsidP="00E013AC">
            <w:pPr>
              <w:pStyle w:val="Tablehead1"/>
              <w:rPr>
                <w:lang w:eastAsia="en-AU"/>
              </w:rPr>
            </w:pPr>
            <w:r w:rsidRPr="003474C0">
              <w:rPr>
                <w:lang w:eastAsia="en-AU"/>
              </w:rPr>
              <w:t>SA3 NAME</w:t>
            </w:r>
          </w:p>
        </w:tc>
        <w:tc>
          <w:tcPr>
            <w:tcW w:w="850" w:type="pct"/>
            <w:tcBorders>
              <w:top w:val="single" w:sz="4" w:space="0" w:color="auto"/>
              <w:left w:val="nil"/>
              <w:bottom w:val="single" w:sz="4" w:space="0" w:color="auto"/>
              <w:right w:val="nil"/>
            </w:tcBorders>
            <w:shd w:val="clear" w:color="auto" w:fill="auto"/>
            <w:noWrap/>
            <w:vAlign w:val="bottom"/>
            <w:hideMark/>
          </w:tcPr>
          <w:p w:rsidR="00E013AC" w:rsidRPr="003474C0" w:rsidRDefault="00E013AC" w:rsidP="00E013AC">
            <w:pPr>
              <w:pStyle w:val="Tablehead1"/>
              <w:rPr>
                <w:lang w:eastAsia="en-AU"/>
              </w:rPr>
            </w:pPr>
            <w:r w:rsidRPr="003474C0">
              <w:rPr>
                <w:lang w:eastAsia="en-AU"/>
              </w:rPr>
              <w:t>State</w:t>
            </w:r>
          </w:p>
        </w:tc>
        <w:tc>
          <w:tcPr>
            <w:tcW w:w="721" w:type="pct"/>
            <w:tcBorders>
              <w:top w:val="single" w:sz="4" w:space="0" w:color="auto"/>
              <w:left w:val="nil"/>
              <w:bottom w:val="single" w:sz="4" w:space="0" w:color="auto"/>
              <w:right w:val="nil"/>
            </w:tcBorders>
            <w:shd w:val="clear" w:color="auto" w:fill="auto"/>
            <w:noWrap/>
            <w:vAlign w:val="bottom"/>
            <w:hideMark/>
          </w:tcPr>
          <w:p w:rsidR="00E63A7B" w:rsidRDefault="00E63A7B" w:rsidP="00E013AC">
            <w:pPr>
              <w:pStyle w:val="Tablehead1"/>
              <w:rPr>
                <w:lang w:eastAsia="en-AU"/>
              </w:rPr>
            </w:pPr>
            <w:r>
              <w:rPr>
                <w:lang w:eastAsia="en-AU"/>
              </w:rPr>
              <w:t xml:space="preserve">Aggregate </w:t>
            </w:r>
          </w:p>
          <w:p w:rsidR="00E63A7B" w:rsidRDefault="00E63A7B" w:rsidP="00E013AC">
            <w:pPr>
              <w:pStyle w:val="Tablehead1"/>
              <w:rPr>
                <w:lang w:eastAsia="en-AU"/>
              </w:rPr>
            </w:pPr>
            <w:r>
              <w:rPr>
                <w:lang w:eastAsia="en-AU"/>
              </w:rPr>
              <w:t>participation</w:t>
            </w:r>
          </w:p>
          <w:p w:rsidR="00E63A7B" w:rsidRDefault="00E013AC" w:rsidP="00E013AC">
            <w:pPr>
              <w:pStyle w:val="Tablehead1"/>
              <w:rPr>
                <w:lang w:eastAsia="en-AU"/>
              </w:rPr>
            </w:pPr>
            <w:r>
              <w:rPr>
                <w:lang w:eastAsia="en-AU"/>
              </w:rPr>
              <w:t xml:space="preserve"> e</w:t>
            </w:r>
            <w:r w:rsidR="00E63A7B">
              <w:rPr>
                <w:lang w:eastAsia="en-AU"/>
              </w:rPr>
              <w:t xml:space="preserve">ffect </w:t>
            </w:r>
          </w:p>
          <w:p w:rsidR="00E013AC" w:rsidRPr="003474C0" w:rsidRDefault="00E63A7B" w:rsidP="00E013AC">
            <w:pPr>
              <w:pStyle w:val="Tablehead1"/>
              <w:rPr>
                <w:lang w:eastAsia="en-AU"/>
              </w:rPr>
            </w:pPr>
            <w:r>
              <w:rPr>
                <w:lang w:eastAsia="en-AU"/>
              </w:rPr>
              <w:t>s</w:t>
            </w:r>
            <w:r w:rsidR="00E013AC" w:rsidRPr="003474C0">
              <w:rPr>
                <w:lang w:eastAsia="en-AU"/>
              </w:rPr>
              <w:t>core</w:t>
            </w:r>
          </w:p>
        </w:tc>
        <w:tc>
          <w:tcPr>
            <w:tcW w:w="728" w:type="pct"/>
            <w:tcBorders>
              <w:top w:val="single" w:sz="4" w:space="0" w:color="auto"/>
              <w:left w:val="nil"/>
              <w:bottom w:val="single" w:sz="4" w:space="0" w:color="auto"/>
              <w:right w:val="nil"/>
            </w:tcBorders>
            <w:shd w:val="clear" w:color="auto" w:fill="auto"/>
            <w:noWrap/>
            <w:vAlign w:val="bottom"/>
            <w:hideMark/>
          </w:tcPr>
          <w:p w:rsidR="00E63A7B" w:rsidRDefault="00E013AC" w:rsidP="00E013AC">
            <w:pPr>
              <w:pStyle w:val="Tablehead1"/>
              <w:rPr>
                <w:lang w:eastAsia="en-AU"/>
              </w:rPr>
            </w:pPr>
            <w:r>
              <w:rPr>
                <w:lang w:eastAsia="en-AU"/>
              </w:rPr>
              <w:t xml:space="preserve">Aggregate </w:t>
            </w:r>
          </w:p>
          <w:p w:rsidR="00E63A7B" w:rsidRDefault="00E013AC" w:rsidP="00E013AC">
            <w:pPr>
              <w:pStyle w:val="Tablehead1"/>
              <w:rPr>
                <w:lang w:eastAsia="en-AU"/>
              </w:rPr>
            </w:pPr>
            <w:r w:rsidRPr="003474C0">
              <w:rPr>
                <w:lang w:eastAsia="en-AU"/>
              </w:rPr>
              <w:t xml:space="preserve">award </w:t>
            </w:r>
          </w:p>
          <w:p w:rsidR="00E63A7B" w:rsidRDefault="00E013AC" w:rsidP="00E013AC">
            <w:pPr>
              <w:pStyle w:val="Tablehead1"/>
              <w:rPr>
                <w:lang w:eastAsia="en-AU"/>
              </w:rPr>
            </w:pPr>
            <w:r>
              <w:rPr>
                <w:lang w:eastAsia="en-AU"/>
              </w:rPr>
              <w:t>completer</w:t>
            </w:r>
          </w:p>
          <w:p w:rsidR="00E63A7B" w:rsidRDefault="00E013AC" w:rsidP="00E013AC">
            <w:pPr>
              <w:pStyle w:val="Tablehead1"/>
              <w:rPr>
                <w:lang w:eastAsia="en-AU"/>
              </w:rPr>
            </w:pPr>
            <w:r>
              <w:rPr>
                <w:lang w:eastAsia="en-AU"/>
              </w:rPr>
              <w:t xml:space="preserve"> effect </w:t>
            </w:r>
          </w:p>
          <w:p w:rsidR="00E013AC" w:rsidRPr="003474C0" w:rsidRDefault="00E013AC" w:rsidP="00E013AC">
            <w:pPr>
              <w:pStyle w:val="Tablehead1"/>
              <w:rPr>
                <w:lang w:eastAsia="en-AU"/>
              </w:rPr>
            </w:pPr>
            <w:r>
              <w:rPr>
                <w:lang w:eastAsia="en-AU"/>
              </w:rPr>
              <w:t>s</w:t>
            </w:r>
            <w:r w:rsidRPr="003474C0">
              <w:rPr>
                <w:lang w:eastAsia="en-AU"/>
              </w:rPr>
              <w:t>core</w:t>
            </w:r>
          </w:p>
        </w:tc>
        <w:tc>
          <w:tcPr>
            <w:tcW w:w="729" w:type="pct"/>
            <w:tcBorders>
              <w:top w:val="single" w:sz="4" w:space="0" w:color="auto"/>
              <w:left w:val="nil"/>
              <w:bottom w:val="single" w:sz="4" w:space="0" w:color="auto"/>
              <w:right w:val="nil"/>
            </w:tcBorders>
            <w:shd w:val="clear" w:color="auto" w:fill="auto"/>
            <w:noWrap/>
            <w:vAlign w:val="bottom"/>
            <w:hideMark/>
          </w:tcPr>
          <w:p w:rsidR="00E63A7B" w:rsidRDefault="00E013AC" w:rsidP="00E013AC">
            <w:pPr>
              <w:pStyle w:val="Tablehead1"/>
              <w:rPr>
                <w:lang w:eastAsia="en-AU"/>
              </w:rPr>
            </w:pPr>
            <w:r>
              <w:rPr>
                <w:lang w:eastAsia="en-AU"/>
              </w:rPr>
              <w:t>Aggregate</w:t>
            </w:r>
          </w:p>
          <w:p w:rsidR="00E63A7B" w:rsidRDefault="00E013AC" w:rsidP="00E013AC">
            <w:pPr>
              <w:pStyle w:val="Tablehead1"/>
              <w:rPr>
                <w:lang w:eastAsia="en-AU"/>
              </w:rPr>
            </w:pPr>
            <w:r>
              <w:rPr>
                <w:lang w:eastAsia="en-AU"/>
              </w:rPr>
              <w:t xml:space="preserve">subject </w:t>
            </w:r>
          </w:p>
          <w:p w:rsidR="00E63A7B" w:rsidRDefault="00E013AC" w:rsidP="00E013AC">
            <w:pPr>
              <w:pStyle w:val="Tablehead1"/>
              <w:rPr>
                <w:lang w:eastAsia="en-AU"/>
              </w:rPr>
            </w:pPr>
            <w:r>
              <w:rPr>
                <w:lang w:eastAsia="en-AU"/>
              </w:rPr>
              <w:t>completion</w:t>
            </w:r>
          </w:p>
          <w:p w:rsidR="00E63A7B" w:rsidRDefault="00E013AC" w:rsidP="00E013AC">
            <w:pPr>
              <w:pStyle w:val="Tablehead1"/>
              <w:rPr>
                <w:lang w:eastAsia="en-AU"/>
              </w:rPr>
            </w:pPr>
            <w:r>
              <w:rPr>
                <w:lang w:eastAsia="en-AU"/>
              </w:rPr>
              <w:t xml:space="preserve"> effect </w:t>
            </w:r>
          </w:p>
          <w:p w:rsidR="00E013AC" w:rsidRPr="003474C0" w:rsidRDefault="00E013AC" w:rsidP="00E013AC">
            <w:pPr>
              <w:pStyle w:val="Tablehead1"/>
              <w:rPr>
                <w:lang w:eastAsia="en-AU"/>
              </w:rPr>
            </w:pPr>
            <w:r>
              <w:rPr>
                <w:lang w:eastAsia="en-AU"/>
              </w:rPr>
              <w:t>s</w:t>
            </w:r>
            <w:r w:rsidRPr="003474C0">
              <w:rPr>
                <w:lang w:eastAsia="en-AU"/>
              </w:rPr>
              <w:t>core</w:t>
            </w:r>
          </w:p>
        </w:tc>
      </w:tr>
      <w:tr w:rsidR="00E63A7B" w:rsidRPr="003474C0" w:rsidTr="00E63A7B">
        <w:trPr>
          <w:trHeight w:val="300"/>
        </w:trPr>
        <w:tc>
          <w:tcPr>
            <w:tcW w:w="620" w:type="pct"/>
            <w:tcBorders>
              <w:top w:val="single" w:sz="4" w:space="0" w:color="auto"/>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10303</w:t>
            </w:r>
          </w:p>
        </w:tc>
        <w:tc>
          <w:tcPr>
            <w:tcW w:w="1352" w:type="pct"/>
            <w:tcBorders>
              <w:top w:val="single" w:sz="4" w:space="0" w:color="auto"/>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Lithgow - Mudgee</w:t>
            </w:r>
          </w:p>
        </w:tc>
        <w:tc>
          <w:tcPr>
            <w:tcW w:w="850" w:type="pct"/>
            <w:tcBorders>
              <w:top w:val="single" w:sz="4" w:space="0" w:color="auto"/>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New South Wales</w:t>
            </w:r>
          </w:p>
        </w:tc>
        <w:tc>
          <w:tcPr>
            <w:tcW w:w="721" w:type="pct"/>
            <w:tcBorders>
              <w:top w:val="single" w:sz="4" w:space="0" w:color="auto"/>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6.42977</w:t>
            </w:r>
          </w:p>
        </w:tc>
        <w:tc>
          <w:tcPr>
            <w:tcW w:w="728" w:type="pct"/>
            <w:tcBorders>
              <w:top w:val="single" w:sz="4" w:space="0" w:color="auto"/>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3.59451</w:t>
            </w:r>
          </w:p>
        </w:tc>
        <w:tc>
          <w:tcPr>
            <w:tcW w:w="729" w:type="pct"/>
            <w:tcBorders>
              <w:top w:val="single" w:sz="4" w:space="0" w:color="auto"/>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-1.60664</w:t>
            </w:r>
          </w:p>
        </w:tc>
      </w:tr>
      <w:tr w:rsidR="00E63A7B" w:rsidRPr="003474C0" w:rsidTr="00E63A7B">
        <w:trPr>
          <w:trHeight w:val="300"/>
        </w:trPr>
        <w:tc>
          <w:tcPr>
            <w:tcW w:w="620"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11001</w:t>
            </w:r>
          </w:p>
        </w:tc>
        <w:tc>
          <w:tcPr>
            <w:tcW w:w="1352"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Armidale</w:t>
            </w:r>
          </w:p>
        </w:tc>
        <w:tc>
          <w:tcPr>
            <w:tcW w:w="850"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New South Wales</w:t>
            </w:r>
          </w:p>
        </w:tc>
        <w:tc>
          <w:tcPr>
            <w:tcW w:w="721"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7.28711</w:t>
            </w:r>
          </w:p>
        </w:tc>
        <w:tc>
          <w:tcPr>
            <w:tcW w:w="728"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8.12139</w:t>
            </w:r>
          </w:p>
        </w:tc>
        <w:tc>
          <w:tcPr>
            <w:tcW w:w="729"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1.53462</w:t>
            </w:r>
          </w:p>
        </w:tc>
      </w:tr>
      <w:tr w:rsidR="00E63A7B" w:rsidRPr="003474C0" w:rsidTr="00E63A7B">
        <w:trPr>
          <w:trHeight w:val="300"/>
        </w:trPr>
        <w:tc>
          <w:tcPr>
            <w:tcW w:w="620"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20201</w:t>
            </w:r>
          </w:p>
        </w:tc>
        <w:tc>
          <w:tcPr>
            <w:tcW w:w="1352"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Bendigo</w:t>
            </w:r>
          </w:p>
        </w:tc>
        <w:tc>
          <w:tcPr>
            <w:tcW w:w="850"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Victoria</w:t>
            </w:r>
          </w:p>
        </w:tc>
        <w:tc>
          <w:tcPr>
            <w:tcW w:w="721"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2.46404</w:t>
            </w:r>
          </w:p>
        </w:tc>
        <w:tc>
          <w:tcPr>
            <w:tcW w:w="728"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4.95256</w:t>
            </w:r>
          </w:p>
        </w:tc>
        <w:tc>
          <w:tcPr>
            <w:tcW w:w="729"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-1.06151</w:t>
            </w:r>
          </w:p>
        </w:tc>
      </w:tr>
      <w:tr w:rsidR="00E63A7B" w:rsidRPr="003474C0" w:rsidTr="00E63A7B">
        <w:trPr>
          <w:trHeight w:val="300"/>
        </w:trPr>
        <w:tc>
          <w:tcPr>
            <w:tcW w:w="620"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21003</w:t>
            </w:r>
          </w:p>
        </w:tc>
        <w:tc>
          <w:tcPr>
            <w:tcW w:w="1352"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Moreland - North</w:t>
            </w:r>
          </w:p>
        </w:tc>
        <w:tc>
          <w:tcPr>
            <w:tcW w:w="850"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Victoria</w:t>
            </w:r>
          </w:p>
        </w:tc>
        <w:tc>
          <w:tcPr>
            <w:tcW w:w="721"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5.81177</w:t>
            </w:r>
          </w:p>
        </w:tc>
        <w:tc>
          <w:tcPr>
            <w:tcW w:w="728"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3.16421</w:t>
            </w:r>
          </w:p>
        </w:tc>
        <w:tc>
          <w:tcPr>
            <w:tcW w:w="729"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-2.70695</w:t>
            </w:r>
          </w:p>
        </w:tc>
      </w:tr>
      <w:tr w:rsidR="00E63A7B" w:rsidRPr="003474C0" w:rsidTr="00E63A7B">
        <w:trPr>
          <w:trHeight w:val="300"/>
        </w:trPr>
        <w:tc>
          <w:tcPr>
            <w:tcW w:w="620"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21601</w:t>
            </w:r>
          </w:p>
        </w:tc>
        <w:tc>
          <w:tcPr>
            <w:tcW w:w="1352"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Campaspe</w:t>
            </w:r>
          </w:p>
        </w:tc>
        <w:tc>
          <w:tcPr>
            <w:tcW w:w="850"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Victoria</w:t>
            </w:r>
          </w:p>
        </w:tc>
        <w:tc>
          <w:tcPr>
            <w:tcW w:w="721"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3.44438</w:t>
            </w:r>
          </w:p>
        </w:tc>
        <w:tc>
          <w:tcPr>
            <w:tcW w:w="728"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2.13392</w:t>
            </w:r>
          </w:p>
        </w:tc>
        <w:tc>
          <w:tcPr>
            <w:tcW w:w="729"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0.08538</w:t>
            </w:r>
          </w:p>
        </w:tc>
      </w:tr>
      <w:tr w:rsidR="00E63A7B" w:rsidRPr="003474C0" w:rsidTr="00E63A7B">
        <w:trPr>
          <w:trHeight w:val="300"/>
        </w:trPr>
        <w:tc>
          <w:tcPr>
            <w:tcW w:w="620"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21602</w:t>
            </w:r>
          </w:p>
        </w:tc>
        <w:tc>
          <w:tcPr>
            <w:tcW w:w="1352"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Moira</w:t>
            </w:r>
          </w:p>
        </w:tc>
        <w:tc>
          <w:tcPr>
            <w:tcW w:w="850"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Victoria</w:t>
            </w:r>
          </w:p>
        </w:tc>
        <w:tc>
          <w:tcPr>
            <w:tcW w:w="721"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4.59288</w:t>
            </w:r>
          </w:p>
        </w:tc>
        <w:tc>
          <w:tcPr>
            <w:tcW w:w="728"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2.26424</w:t>
            </w:r>
          </w:p>
        </w:tc>
        <w:tc>
          <w:tcPr>
            <w:tcW w:w="729"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3.62222</w:t>
            </w:r>
          </w:p>
        </w:tc>
      </w:tr>
      <w:tr w:rsidR="00E63A7B" w:rsidRPr="003474C0" w:rsidTr="00E63A7B">
        <w:trPr>
          <w:trHeight w:val="300"/>
        </w:trPr>
        <w:tc>
          <w:tcPr>
            <w:tcW w:w="620"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30305</w:t>
            </w:r>
          </w:p>
        </w:tc>
        <w:tc>
          <w:tcPr>
            <w:tcW w:w="1352"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Rocklea - Acacia Ridge</w:t>
            </w:r>
          </w:p>
        </w:tc>
        <w:tc>
          <w:tcPr>
            <w:tcW w:w="850"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Queensland</w:t>
            </w:r>
          </w:p>
        </w:tc>
        <w:tc>
          <w:tcPr>
            <w:tcW w:w="721"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2.21101</w:t>
            </w:r>
          </w:p>
        </w:tc>
        <w:tc>
          <w:tcPr>
            <w:tcW w:w="728"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4.04762</w:t>
            </w:r>
          </w:p>
        </w:tc>
        <w:tc>
          <w:tcPr>
            <w:tcW w:w="729"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3.10912</w:t>
            </w:r>
          </w:p>
        </w:tc>
      </w:tr>
      <w:tr w:rsidR="00E63A7B" w:rsidRPr="003474C0" w:rsidTr="00E63A7B">
        <w:trPr>
          <w:trHeight w:val="300"/>
        </w:trPr>
        <w:tc>
          <w:tcPr>
            <w:tcW w:w="620"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30306</w:t>
            </w:r>
          </w:p>
        </w:tc>
        <w:tc>
          <w:tcPr>
            <w:tcW w:w="1352"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Sunnybank</w:t>
            </w:r>
          </w:p>
        </w:tc>
        <w:tc>
          <w:tcPr>
            <w:tcW w:w="850"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Queensland</w:t>
            </w:r>
          </w:p>
        </w:tc>
        <w:tc>
          <w:tcPr>
            <w:tcW w:w="721"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4.81634</w:t>
            </w:r>
          </w:p>
        </w:tc>
        <w:tc>
          <w:tcPr>
            <w:tcW w:w="728"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4.96574</w:t>
            </w:r>
          </w:p>
        </w:tc>
        <w:tc>
          <w:tcPr>
            <w:tcW w:w="729"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1.38919</w:t>
            </w:r>
          </w:p>
        </w:tc>
      </w:tr>
      <w:tr w:rsidR="00E63A7B" w:rsidRPr="003474C0" w:rsidTr="00E63A7B">
        <w:trPr>
          <w:trHeight w:val="300"/>
        </w:trPr>
        <w:tc>
          <w:tcPr>
            <w:tcW w:w="620"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30402</w:t>
            </w:r>
          </w:p>
        </w:tc>
        <w:tc>
          <w:tcPr>
            <w:tcW w:w="1352"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Kenmore - Brookfield - Moggill</w:t>
            </w:r>
          </w:p>
        </w:tc>
        <w:tc>
          <w:tcPr>
            <w:tcW w:w="850"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Queensland</w:t>
            </w:r>
          </w:p>
        </w:tc>
        <w:tc>
          <w:tcPr>
            <w:tcW w:w="721"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4.75889</w:t>
            </w:r>
          </w:p>
        </w:tc>
        <w:tc>
          <w:tcPr>
            <w:tcW w:w="728"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4.40665</w:t>
            </w:r>
          </w:p>
        </w:tc>
        <w:tc>
          <w:tcPr>
            <w:tcW w:w="729"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0.03791</w:t>
            </w:r>
          </w:p>
        </w:tc>
      </w:tr>
      <w:tr w:rsidR="00E63A7B" w:rsidRPr="003474C0" w:rsidTr="00E63A7B">
        <w:trPr>
          <w:trHeight w:val="300"/>
        </w:trPr>
        <w:tc>
          <w:tcPr>
            <w:tcW w:w="620"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40504</w:t>
            </w:r>
          </w:p>
        </w:tc>
        <w:tc>
          <w:tcPr>
            <w:tcW w:w="1352"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proofErr w:type="spellStart"/>
            <w:r w:rsidRPr="003474C0">
              <w:rPr>
                <w:lang w:eastAsia="en-AU"/>
              </w:rPr>
              <w:t>Yorke</w:t>
            </w:r>
            <w:proofErr w:type="spellEnd"/>
            <w:r w:rsidRPr="003474C0">
              <w:rPr>
                <w:lang w:eastAsia="en-AU"/>
              </w:rPr>
              <w:t xml:space="preserve"> Peninsula</w:t>
            </w:r>
          </w:p>
        </w:tc>
        <w:tc>
          <w:tcPr>
            <w:tcW w:w="850"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South Australia</w:t>
            </w:r>
          </w:p>
        </w:tc>
        <w:tc>
          <w:tcPr>
            <w:tcW w:w="721"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7.02631</w:t>
            </w:r>
          </w:p>
        </w:tc>
        <w:tc>
          <w:tcPr>
            <w:tcW w:w="728"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5.63828</w:t>
            </w:r>
          </w:p>
        </w:tc>
        <w:tc>
          <w:tcPr>
            <w:tcW w:w="729"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0.32485</w:t>
            </w:r>
          </w:p>
        </w:tc>
      </w:tr>
      <w:tr w:rsidR="00E63A7B" w:rsidRPr="003474C0" w:rsidTr="00E63A7B">
        <w:trPr>
          <w:trHeight w:val="300"/>
        </w:trPr>
        <w:tc>
          <w:tcPr>
            <w:tcW w:w="620"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50302</w:t>
            </w:r>
          </w:p>
        </w:tc>
        <w:tc>
          <w:tcPr>
            <w:tcW w:w="1352"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Perth City</w:t>
            </w:r>
          </w:p>
        </w:tc>
        <w:tc>
          <w:tcPr>
            <w:tcW w:w="850"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Western Australia</w:t>
            </w:r>
          </w:p>
        </w:tc>
        <w:tc>
          <w:tcPr>
            <w:tcW w:w="721"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2.72617</w:t>
            </w:r>
          </w:p>
        </w:tc>
        <w:tc>
          <w:tcPr>
            <w:tcW w:w="728"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5.47302</w:t>
            </w:r>
          </w:p>
        </w:tc>
        <w:tc>
          <w:tcPr>
            <w:tcW w:w="729" w:type="pct"/>
            <w:tcBorders>
              <w:top w:val="nil"/>
              <w:left w:val="nil"/>
              <w:bottom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5.85409</w:t>
            </w:r>
          </w:p>
        </w:tc>
      </w:tr>
      <w:tr w:rsidR="00E63A7B" w:rsidRPr="003474C0" w:rsidTr="00E63A7B">
        <w:trPr>
          <w:trHeight w:val="300"/>
        </w:trPr>
        <w:tc>
          <w:tcPr>
            <w:tcW w:w="620" w:type="pct"/>
            <w:tcBorders>
              <w:top w:val="nil"/>
              <w:left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50901</w:t>
            </w:r>
          </w:p>
        </w:tc>
        <w:tc>
          <w:tcPr>
            <w:tcW w:w="1352" w:type="pct"/>
            <w:tcBorders>
              <w:top w:val="nil"/>
              <w:left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Albany</w:t>
            </w:r>
          </w:p>
        </w:tc>
        <w:tc>
          <w:tcPr>
            <w:tcW w:w="850" w:type="pct"/>
            <w:tcBorders>
              <w:top w:val="nil"/>
              <w:left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Western Australia</w:t>
            </w:r>
          </w:p>
        </w:tc>
        <w:tc>
          <w:tcPr>
            <w:tcW w:w="721" w:type="pct"/>
            <w:tcBorders>
              <w:top w:val="nil"/>
              <w:left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8.24047</w:t>
            </w:r>
          </w:p>
        </w:tc>
        <w:tc>
          <w:tcPr>
            <w:tcW w:w="728" w:type="pct"/>
            <w:tcBorders>
              <w:top w:val="nil"/>
              <w:left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2.27777</w:t>
            </w:r>
          </w:p>
        </w:tc>
        <w:tc>
          <w:tcPr>
            <w:tcW w:w="729" w:type="pct"/>
            <w:tcBorders>
              <w:top w:val="nil"/>
              <w:left w:val="nil"/>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4.43238</w:t>
            </w:r>
          </w:p>
        </w:tc>
      </w:tr>
      <w:tr w:rsidR="00E63A7B" w:rsidRPr="003474C0" w:rsidTr="00E63A7B">
        <w:trPr>
          <w:trHeight w:val="300"/>
        </w:trPr>
        <w:tc>
          <w:tcPr>
            <w:tcW w:w="620" w:type="pct"/>
            <w:tcBorders>
              <w:top w:val="nil"/>
              <w:left w:val="nil"/>
              <w:bottom w:val="single" w:sz="4" w:space="0" w:color="auto"/>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60302</w:t>
            </w:r>
          </w:p>
        </w:tc>
        <w:tc>
          <w:tcPr>
            <w:tcW w:w="1352" w:type="pct"/>
            <w:tcBorders>
              <w:top w:val="nil"/>
              <w:left w:val="nil"/>
              <w:bottom w:val="single" w:sz="4" w:space="0" w:color="auto"/>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 xml:space="preserve">Huon - </w:t>
            </w:r>
            <w:proofErr w:type="spellStart"/>
            <w:r w:rsidRPr="003474C0">
              <w:rPr>
                <w:lang w:eastAsia="en-AU"/>
              </w:rPr>
              <w:t>Bruny</w:t>
            </w:r>
            <w:proofErr w:type="spellEnd"/>
            <w:r w:rsidRPr="003474C0">
              <w:rPr>
                <w:lang w:eastAsia="en-AU"/>
              </w:rPr>
              <w:t xml:space="preserve"> Island</w:t>
            </w:r>
          </w:p>
        </w:tc>
        <w:tc>
          <w:tcPr>
            <w:tcW w:w="850" w:type="pct"/>
            <w:tcBorders>
              <w:top w:val="nil"/>
              <w:left w:val="nil"/>
              <w:bottom w:val="single" w:sz="4" w:space="0" w:color="auto"/>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Tasmania</w:t>
            </w:r>
          </w:p>
        </w:tc>
        <w:tc>
          <w:tcPr>
            <w:tcW w:w="721" w:type="pct"/>
            <w:tcBorders>
              <w:top w:val="nil"/>
              <w:left w:val="nil"/>
              <w:bottom w:val="single" w:sz="4" w:space="0" w:color="auto"/>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4.02419</w:t>
            </w:r>
          </w:p>
        </w:tc>
        <w:tc>
          <w:tcPr>
            <w:tcW w:w="728" w:type="pct"/>
            <w:tcBorders>
              <w:top w:val="nil"/>
              <w:left w:val="nil"/>
              <w:bottom w:val="single" w:sz="4" w:space="0" w:color="auto"/>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2.08277</w:t>
            </w:r>
          </w:p>
        </w:tc>
        <w:tc>
          <w:tcPr>
            <w:tcW w:w="729" w:type="pct"/>
            <w:tcBorders>
              <w:top w:val="nil"/>
              <w:left w:val="nil"/>
              <w:bottom w:val="single" w:sz="4" w:space="0" w:color="auto"/>
              <w:right w:val="nil"/>
            </w:tcBorders>
            <w:shd w:val="clear" w:color="auto" w:fill="auto"/>
            <w:noWrap/>
            <w:vAlign w:val="bottom"/>
            <w:hideMark/>
          </w:tcPr>
          <w:p w:rsidR="00E013AC" w:rsidRPr="003474C0" w:rsidRDefault="00E013AC" w:rsidP="00E013AC">
            <w:pPr>
              <w:pStyle w:val="Tabletext"/>
              <w:rPr>
                <w:lang w:eastAsia="en-AU"/>
              </w:rPr>
            </w:pPr>
            <w:r w:rsidRPr="003474C0">
              <w:rPr>
                <w:lang w:eastAsia="en-AU"/>
              </w:rPr>
              <w:t>-1.01596</w:t>
            </w:r>
          </w:p>
        </w:tc>
      </w:tr>
    </w:tbl>
    <w:p w:rsidR="00E013AC" w:rsidRDefault="00E013AC" w:rsidP="00E013AC">
      <w:pPr>
        <w:pStyle w:val="Source"/>
      </w:pPr>
      <w:r>
        <w:t>Source:</w:t>
      </w:r>
      <w:r>
        <w:tab/>
      </w:r>
      <w:r w:rsidRPr="00E013AC">
        <w:t>Authors’ calculations from the VET Provider Collection, 2014</w:t>
      </w:r>
    </w:p>
    <w:p w:rsidR="00B966E9" w:rsidRDefault="00B966E9" w:rsidP="002D5A50">
      <w:pPr>
        <w:pStyle w:val="Text"/>
      </w:pPr>
      <w:bookmarkStart w:id="59" w:name="_GoBack"/>
      <w:bookmarkEnd w:id="2"/>
      <w:bookmarkEnd w:id="3"/>
      <w:bookmarkEnd w:id="4"/>
      <w:bookmarkEnd w:id="5"/>
      <w:bookmarkEnd w:id="59"/>
    </w:p>
    <w:sectPr w:rsidR="00B966E9" w:rsidSect="009775C7">
      <w:footerReference w:type="even" r:id="rId40"/>
      <w:footerReference w:type="default" r:id="rId41"/>
      <w:pgSz w:w="11907" w:h="16840" w:code="9"/>
      <w:pgMar w:top="1276" w:right="1701" w:bottom="1276" w:left="1418" w:header="709" w:footer="556" w:gutter="0"/>
      <w:cols w:space="708" w:equalWidth="0">
        <w:col w:w="878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B05" w:rsidRDefault="00C93B05">
      <w:r>
        <w:separator/>
      </w:r>
    </w:p>
  </w:endnote>
  <w:endnote w:type="continuationSeparator" w:id="0">
    <w:p w:rsidR="00C93B05" w:rsidRDefault="00C9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 Garde">
    <w:altName w:val="Century Gothic"/>
    <w:charset w:val="00"/>
    <w:family w:val="swiss"/>
    <w:pitch w:val="variable"/>
    <w:sig w:usb0="00007A87" w:usb1="80000000" w:usb2="00000008" w:usb3="00000000" w:csb0="000000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B05" w:rsidRDefault="00C93B05">
    <w:pPr>
      <w:pStyle w:val="Footer"/>
    </w:pPr>
    <w:r>
      <w:rPr>
        <w:noProof/>
        <w:lang w:eastAsia="en-AU"/>
      </w:rPr>
      <mc:AlternateContent>
        <mc:Choice Requires="wps">
          <w:drawing>
            <wp:anchor distT="0" distB="0" distL="114300" distR="114300" simplePos="0" relativeHeight="251664384" behindDoc="0" locked="0" layoutInCell="1" allowOverlap="1" wp14:anchorId="79BC3414" wp14:editId="4426CB0B">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B05" w:rsidRPr="00A9334E" w:rsidRDefault="00C93B05"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C93B05" w:rsidRDefault="00C93B05"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" filled="f" stroked="f">
              <v:textbox style="layout-flow:vertical;mso-layout-flow-alt:bottom-to-top">
                <w:txbxContent>
                  <w:p w:rsidR="00C93B05" w:rsidRPr="00A9334E" w:rsidRDefault="00C93B05"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C93B05" w:rsidRDefault="00C93B05" w:rsidP="00940830"/>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B05" w:rsidRPr="008C0A74" w:rsidRDefault="00C93B05" w:rsidP="001748BD">
    <w:pPr>
      <w:pStyle w:val="Footer"/>
      <w:tabs>
        <w:tab w:val="right" w:pos="8789"/>
      </w:tabs>
      <w:rPr>
        <w:b/>
      </w:rPr>
    </w:pPr>
    <w:r w:rsidRPr="001748BD">
      <w:rPr>
        <w:b/>
      </w:rPr>
      <w:fldChar w:fldCharType="begin"/>
    </w:r>
    <w:r w:rsidRPr="001748BD">
      <w:rPr>
        <w:b/>
      </w:rPr>
      <w:instrText xml:space="preserve"> PAGE </w:instrText>
    </w:r>
    <w:r w:rsidRPr="001748BD">
      <w:rPr>
        <w:b/>
      </w:rPr>
      <w:fldChar w:fldCharType="separate"/>
    </w:r>
    <w:r w:rsidR="001748BD">
      <w:rPr>
        <w:b/>
        <w:noProof/>
      </w:rPr>
      <w:t>28</w:t>
    </w:r>
    <w:r w:rsidRPr="001748BD">
      <w:rPr>
        <w:b/>
      </w:rPr>
      <w:fldChar w:fldCharType="end"/>
    </w:r>
    <w:r w:rsidR="001748BD">
      <w:rPr>
        <w:b/>
      </w:rPr>
      <w:tab/>
      <w:t xml:space="preserve">   </w:t>
    </w:r>
    <w:r w:rsidRPr="00F624EC">
      <w:rPr>
        <w:b/>
      </w:rPr>
      <w:t>Improving participation and success in VET for disadvantaged learners</w:t>
    </w:r>
    <w:r>
      <w:rPr>
        <w:b/>
      </w:rPr>
      <w:t>—regional analysis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B05" w:rsidRPr="009775C7" w:rsidRDefault="00C93B05" w:rsidP="008C0A74">
    <w:pPr>
      <w:pStyle w:val="Footer"/>
      <w:tabs>
        <w:tab w:val="clear" w:pos="8505"/>
        <w:tab w:val="right" w:pos="8789"/>
      </w:tabs>
      <w:rPr>
        <w:color w:val="FFFFFF" w:themeColor="background1"/>
      </w:rPr>
    </w:pPr>
    <w:r>
      <w:rPr>
        <w:b/>
      </w:rPr>
      <w:t>Centre for International Research on Education Systems</w:t>
    </w:r>
    <w:r w:rsidRPr="009775C7">
      <w:tab/>
    </w:r>
    <w:r w:rsidRPr="00C93B05">
      <w:rPr>
        <w:rStyle w:val="PageNumber"/>
        <w:rFonts w:cs="Tahoma"/>
        <w:b/>
        <w:sz w:val="17"/>
      </w:rPr>
      <w:fldChar w:fldCharType="begin"/>
    </w:r>
    <w:r w:rsidRPr="00C93B05">
      <w:rPr>
        <w:rStyle w:val="PageNumber"/>
        <w:rFonts w:cs="Tahoma"/>
        <w:b/>
        <w:sz w:val="17"/>
      </w:rPr>
      <w:instrText xml:space="preserve"> PAGE </w:instrText>
    </w:r>
    <w:r w:rsidRPr="00C93B05">
      <w:rPr>
        <w:rStyle w:val="PageNumber"/>
        <w:rFonts w:cs="Tahoma"/>
        <w:b/>
        <w:sz w:val="17"/>
      </w:rPr>
      <w:fldChar w:fldCharType="separate"/>
    </w:r>
    <w:r w:rsidR="001748BD">
      <w:rPr>
        <w:rStyle w:val="PageNumber"/>
        <w:rFonts w:cs="Tahoma"/>
        <w:b/>
        <w:noProof/>
        <w:sz w:val="17"/>
      </w:rPr>
      <w:t>27</w:t>
    </w:r>
    <w:r w:rsidRPr="00C93B05">
      <w:rPr>
        <w:rStyle w:val="PageNumber"/>
        <w:rFonts w:cs="Tahoma"/>
        <w:b/>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B05" w:rsidRDefault="00C93B05">
      <w:r>
        <w:separator/>
      </w:r>
    </w:p>
  </w:footnote>
  <w:footnote w:type="continuationSeparator" w:id="0">
    <w:p w:rsidR="00C93B05" w:rsidRDefault="00C93B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10A02C5"/>
    <w:multiLevelType w:val="hybridMultilevel"/>
    <w:tmpl w:val="B84CC4F0"/>
    <w:lvl w:ilvl="0" w:tplc="A0D0ED80">
      <w:start w:val="1"/>
      <w:numFmt w:val="bullet"/>
      <w:pStyle w:val="Dotpoint2"/>
      <w:lvlText w:val="-"/>
      <w:lvlJc w:val="left"/>
      <w:pPr>
        <w:ind w:left="1637" w:hanging="360"/>
      </w:pPr>
      <w:rPr>
        <w:rFonts w:ascii="Courier New" w:hAnsi="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DAC3173"/>
    <w:multiLevelType w:val="hybridMultilevel"/>
    <w:tmpl w:val="820EFCCE"/>
    <w:lvl w:ilvl="0" w:tplc="0C09000F">
      <w:start w:val="1"/>
      <w:numFmt w:val="decimal"/>
      <w:lvlText w:val="%1."/>
      <w:lvlJc w:val="left"/>
      <w:pPr>
        <w:ind w:left="644" w:hanging="360"/>
      </w:pPr>
      <w:rPr>
        <w:rFonts w:hint="default"/>
      </w:rPr>
    </w:lvl>
    <w:lvl w:ilvl="1" w:tplc="4410AFD6">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nsid w:val="6E6568BB"/>
    <w:multiLevelType w:val="hybridMultilevel"/>
    <w:tmpl w:val="32543C18"/>
    <w:lvl w:ilvl="0" w:tplc="0C090001">
      <w:start w:val="1"/>
      <w:numFmt w:val="bullet"/>
      <w:pStyle w:val="Dotpoint1"/>
      <w:lvlText w:val=""/>
      <w:lvlJc w:val="left"/>
      <w:pPr>
        <w:ind w:left="360" w:hanging="360"/>
      </w:pPr>
      <w:rPr>
        <w:rFonts w:ascii="Symbol" w:hAnsi="Symbol"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32F18F0"/>
    <w:multiLevelType w:val="hybridMultilevel"/>
    <w:tmpl w:val="158AD7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4EC5612"/>
    <w:multiLevelType w:val="hybridMultilevel"/>
    <w:tmpl w:val="642C4186"/>
    <w:lvl w:ilvl="0" w:tplc="0C090001">
      <w:start w:val="1"/>
      <w:numFmt w:val="bullet"/>
      <w:lvlText w:val=""/>
      <w:lvlJc w:val="left"/>
      <w:pPr>
        <w:ind w:left="360" w:hanging="360"/>
      </w:pPr>
      <w:rPr>
        <w:rFonts w:ascii="Symbol" w:hAnsi="Symbol"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6"/>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8"/>
  </w:num>
  <w:num w:numId="27">
    <w:abstractNumId w:val="25"/>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9"/>
  </w:num>
  <w:num w:numId="35">
    <w:abstractNumId w:val="30"/>
  </w:num>
  <w:num w:numId="36">
    <w:abstractNumId w:val="27"/>
  </w:num>
  <w:num w:numId="3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E3C"/>
    <w:rsid w:val="000108B2"/>
    <w:rsid w:val="00013265"/>
    <w:rsid w:val="00022290"/>
    <w:rsid w:val="00030AF9"/>
    <w:rsid w:val="000315D7"/>
    <w:rsid w:val="0006125F"/>
    <w:rsid w:val="00074BD4"/>
    <w:rsid w:val="000C1642"/>
    <w:rsid w:val="000F641C"/>
    <w:rsid w:val="0010761A"/>
    <w:rsid w:val="00116D1E"/>
    <w:rsid w:val="00120084"/>
    <w:rsid w:val="00123B5C"/>
    <w:rsid w:val="00135C75"/>
    <w:rsid w:val="00150874"/>
    <w:rsid w:val="001509F3"/>
    <w:rsid w:val="00155839"/>
    <w:rsid w:val="00166281"/>
    <w:rsid w:val="001748BD"/>
    <w:rsid w:val="00177827"/>
    <w:rsid w:val="00184504"/>
    <w:rsid w:val="00191FFE"/>
    <w:rsid w:val="001B0A2D"/>
    <w:rsid w:val="001B43CF"/>
    <w:rsid w:val="001E3AEE"/>
    <w:rsid w:val="001E6BE6"/>
    <w:rsid w:val="001F7D84"/>
    <w:rsid w:val="0021592C"/>
    <w:rsid w:val="00221911"/>
    <w:rsid w:val="002277A9"/>
    <w:rsid w:val="00233BFA"/>
    <w:rsid w:val="00233C8D"/>
    <w:rsid w:val="00247E67"/>
    <w:rsid w:val="00280E4F"/>
    <w:rsid w:val="00284FCB"/>
    <w:rsid w:val="0029140F"/>
    <w:rsid w:val="002A0A65"/>
    <w:rsid w:val="002D5A50"/>
    <w:rsid w:val="002E196B"/>
    <w:rsid w:val="003107B3"/>
    <w:rsid w:val="003154E5"/>
    <w:rsid w:val="00334CE3"/>
    <w:rsid w:val="00340B4D"/>
    <w:rsid w:val="003666A8"/>
    <w:rsid w:val="0037263D"/>
    <w:rsid w:val="003934BF"/>
    <w:rsid w:val="003B16DA"/>
    <w:rsid w:val="003B483E"/>
    <w:rsid w:val="003C0D8E"/>
    <w:rsid w:val="003C15AA"/>
    <w:rsid w:val="003E67CB"/>
    <w:rsid w:val="00405E3C"/>
    <w:rsid w:val="004064A4"/>
    <w:rsid w:val="004574C7"/>
    <w:rsid w:val="00457C3A"/>
    <w:rsid w:val="00481B09"/>
    <w:rsid w:val="0048643A"/>
    <w:rsid w:val="0049453B"/>
    <w:rsid w:val="00494E7C"/>
    <w:rsid w:val="004A5312"/>
    <w:rsid w:val="004C4063"/>
    <w:rsid w:val="004D4802"/>
    <w:rsid w:val="004E7227"/>
    <w:rsid w:val="00520315"/>
    <w:rsid w:val="0052276C"/>
    <w:rsid w:val="00530718"/>
    <w:rsid w:val="005310E8"/>
    <w:rsid w:val="00535373"/>
    <w:rsid w:val="00547010"/>
    <w:rsid w:val="00547237"/>
    <w:rsid w:val="00560C71"/>
    <w:rsid w:val="00570758"/>
    <w:rsid w:val="00581546"/>
    <w:rsid w:val="005B0CD4"/>
    <w:rsid w:val="005C277E"/>
    <w:rsid w:val="005C61F8"/>
    <w:rsid w:val="005E4764"/>
    <w:rsid w:val="00625E50"/>
    <w:rsid w:val="006408F1"/>
    <w:rsid w:val="006443E1"/>
    <w:rsid w:val="00652973"/>
    <w:rsid w:val="00656679"/>
    <w:rsid w:val="006709E1"/>
    <w:rsid w:val="0067712D"/>
    <w:rsid w:val="00696A48"/>
    <w:rsid w:val="00697318"/>
    <w:rsid w:val="006A702B"/>
    <w:rsid w:val="006C5DA9"/>
    <w:rsid w:val="006E59CD"/>
    <w:rsid w:val="007037A4"/>
    <w:rsid w:val="00723BAE"/>
    <w:rsid w:val="00731EC8"/>
    <w:rsid w:val="00740545"/>
    <w:rsid w:val="00745C5A"/>
    <w:rsid w:val="00760FC1"/>
    <w:rsid w:val="00767D4B"/>
    <w:rsid w:val="00783F44"/>
    <w:rsid w:val="0079707B"/>
    <w:rsid w:val="007A2079"/>
    <w:rsid w:val="007C3281"/>
    <w:rsid w:val="007C50A7"/>
    <w:rsid w:val="007D79E4"/>
    <w:rsid w:val="007E2D8C"/>
    <w:rsid w:val="007E52E6"/>
    <w:rsid w:val="007F0FD5"/>
    <w:rsid w:val="007F2185"/>
    <w:rsid w:val="00800A2B"/>
    <w:rsid w:val="00806C1C"/>
    <w:rsid w:val="00826757"/>
    <w:rsid w:val="00832CF7"/>
    <w:rsid w:val="00874DA5"/>
    <w:rsid w:val="008923B6"/>
    <w:rsid w:val="00894271"/>
    <w:rsid w:val="008C0A74"/>
    <w:rsid w:val="008F20BA"/>
    <w:rsid w:val="009058B5"/>
    <w:rsid w:val="0093036B"/>
    <w:rsid w:val="00933317"/>
    <w:rsid w:val="00940830"/>
    <w:rsid w:val="00944887"/>
    <w:rsid w:val="009461ED"/>
    <w:rsid w:val="009538E6"/>
    <w:rsid w:val="009564F9"/>
    <w:rsid w:val="009704E4"/>
    <w:rsid w:val="009775C7"/>
    <w:rsid w:val="009941D4"/>
    <w:rsid w:val="009B1B47"/>
    <w:rsid w:val="009B52F5"/>
    <w:rsid w:val="009C22BE"/>
    <w:rsid w:val="009C6C37"/>
    <w:rsid w:val="009E17EF"/>
    <w:rsid w:val="009E231A"/>
    <w:rsid w:val="009E2F64"/>
    <w:rsid w:val="009F6ABD"/>
    <w:rsid w:val="00A075AF"/>
    <w:rsid w:val="00A10A6B"/>
    <w:rsid w:val="00A10E2B"/>
    <w:rsid w:val="00A30084"/>
    <w:rsid w:val="00A50895"/>
    <w:rsid w:val="00A566CC"/>
    <w:rsid w:val="00A73318"/>
    <w:rsid w:val="00A9334E"/>
    <w:rsid w:val="00A93867"/>
    <w:rsid w:val="00AA44D4"/>
    <w:rsid w:val="00AB7E26"/>
    <w:rsid w:val="00AE2CD4"/>
    <w:rsid w:val="00AE4DE7"/>
    <w:rsid w:val="00AF1005"/>
    <w:rsid w:val="00B01C99"/>
    <w:rsid w:val="00B05F5C"/>
    <w:rsid w:val="00B41272"/>
    <w:rsid w:val="00B426FE"/>
    <w:rsid w:val="00B57CC9"/>
    <w:rsid w:val="00B77043"/>
    <w:rsid w:val="00B86D06"/>
    <w:rsid w:val="00B91E46"/>
    <w:rsid w:val="00B966E9"/>
    <w:rsid w:val="00BA1134"/>
    <w:rsid w:val="00BB113D"/>
    <w:rsid w:val="00BC265D"/>
    <w:rsid w:val="00BC770A"/>
    <w:rsid w:val="00BC7C47"/>
    <w:rsid w:val="00BD00B7"/>
    <w:rsid w:val="00BF3209"/>
    <w:rsid w:val="00BF690E"/>
    <w:rsid w:val="00C053D5"/>
    <w:rsid w:val="00C10528"/>
    <w:rsid w:val="00C1499B"/>
    <w:rsid w:val="00C426E2"/>
    <w:rsid w:val="00C54125"/>
    <w:rsid w:val="00C63294"/>
    <w:rsid w:val="00C70D06"/>
    <w:rsid w:val="00C77DC6"/>
    <w:rsid w:val="00C801DA"/>
    <w:rsid w:val="00C926F0"/>
    <w:rsid w:val="00C93B05"/>
    <w:rsid w:val="00C9656D"/>
    <w:rsid w:val="00CA4AFC"/>
    <w:rsid w:val="00CD0BFB"/>
    <w:rsid w:val="00CD5F32"/>
    <w:rsid w:val="00CD6904"/>
    <w:rsid w:val="00CE6564"/>
    <w:rsid w:val="00D076F0"/>
    <w:rsid w:val="00D12FEF"/>
    <w:rsid w:val="00D35806"/>
    <w:rsid w:val="00D42A61"/>
    <w:rsid w:val="00D43B5F"/>
    <w:rsid w:val="00D642F2"/>
    <w:rsid w:val="00D80788"/>
    <w:rsid w:val="00D96570"/>
    <w:rsid w:val="00DB599C"/>
    <w:rsid w:val="00DC0246"/>
    <w:rsid w:val="00DC58AB"/>
    <w:rsid w:val="00DC5F5C"/>
    <w:rsid w:val="00E013AC"/>
    <w:rsid w:val="00E06B95"/>
    <w:rsid w:val="00E110EA"/>
    <w:rsid w:val="00E123CB"/>
    <w:rsid w:val="00E14FA9"/>
    <w:rsid w:val="00E236D0"/>
    <w:rsid w:val="00E365F8"/>
    <w:rsid w:val="00E52313"/>
    <w:rsid w:val="00E56EC1"/>
    <w:rsid w:val="00E60466"/>
    <w:rsid w:val="00E63A7B"/>
    <w:rsid w:val="00E81970"/>
    <w:rsid w:val="00E81A36"/>
    <w:rsid w:val="00E81A91"/>
    <w:rsid w:val="00E92B8B"/>
    <w:rsid w:val="00E95812"/>
    <w:rsid w:val="00E95948"/>
    <w:rsid w:val="00EB1969"/>
    <w:rsid w:val="00ED4D6D"/>
    <w:rsid w:val="00ED7B69"/>
    <w:rsid w:val="00EE42D9"/>
    <w:rsid w:val="00EE67B3"/>
    <w:rsid w:val="00EF0A3D"/>
    <w:rsid w:val="00F07106"/>
    <w:rsid w:val="00F60948"/>
    <w:rsid w:val="00F624EC"/>
    <w:rsid w:val="00F72EBE"/>
    <w:rsid w:val="00F93048"/>
    <w:rsid w:val="00FA79F7"/>
    <w:rsid w:val="00FC6CA1"/>
    <w:rsid w:val="00FE3F74"/>
    <w:rsid w:val="00FE4A2D"/>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nhideWhenUsed="0"/>
    <w:lsdException w:name="List 3" w:unhideWhenUsed="0"/>
    <w:lsdException w:name="List 4" w:unhideWhenUsed="0"/>
    <w:lsdException w:name="Title" w:semiHidden="0" w:uiPriority="10" w:unhideWhenUsed="0" w:qFormat="1"/>
    <w:lsdException w:name="Default Paragraph Font" w:uiPriority="1"/>
    <w:lsdException w:name="Body Text" w:uiPriority="0"/>
    <w:lsdException w:name="Body Text Indent" w:uiPriority="0"/>
    <w:lsdException w:name="Message Header" w:unhideWhenUsed="0"/>
    <w:lsdException w:name="Subtitle" w:uiPriority="11" w:unhideWhenUsed="0" w:qFormat="1"/>
    <w:lsdException w:name="Salutation" w:unhideWhenUsed="0"/>
    <w:lsdException w:name="Date" w:unhideWhenUsed="0"/>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styleId="Caption">
    <w:name w:val="caption"/>
    <w:basedOn w:val="Normal"/>
    <w:next w:val="Normal"/>
    <w:uiPriority w:val="35"/>
    <w:unhideWhenUsed/>
    <w:qFormat/>
    <w:rsid w:val="00E81970"/>
    <w:pPr>
      <w:spacing w:before="0" w:after="200"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767D4B"/>
    <w:rPr>
      <w:sz w:val="16"/>
      <w:szCs w:val="16"/>
    </w:rPr>
  </w:style>
  <w:style w:type="paragraph" w:styleId="CommentText">
    <w:name w:val="annotation text"/>
    <w:basedOn w:val="Normal"/>
    <w:link w:val="CommentTextChar"/>
    <w:uiPriority w:val="99"/>
    <w:semiHidden/>
    <w:unhideWhenUsed/>
    <w:rsid w:val="00767D4B"/>
    <w:pPr>
      <w:spacing w:line="240" w:lineRule="auto"/>
    </w:pPr>
    <w:rPr>
      <w:sz w:val="20"/>
    </w:rPr>
  </w:style>
  <w:style w:type="character" w:customStyle="1" w:styleId="CommentTextChar">
    <w:name w:val="Comment Text Char"/>
    <w:basedOn w:val="DefaultParagraphFont"/>
    <w:link w:val="CommentText"/>
    <w:uiPriority w:val="99"/>
    <w:semiHidden/>
    <w:rsid w:val="00767D4B"/>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767D4B"/>
    <w:rPr>
      <w:b/>
      <w:bCs/>
    </w:rPr>
  </w:style>
  <w:style w:type="character" w:customStyle="1" w:styleId="CommentSubjectChar">
    <w:name w:val="Comment Subject Char"/>
    <w:basedOn w:val="CommentTextChar"/>
    <w:link w:val="CommentSubject"/>
    <w:uiPriority w:val="99"/>
    <w:semiHidden/>
    <w:rsid w:val="00767D4B"/>
    <w:rPr>
      <w:rFonts w:ascii="Trebuchet MS" w:hAnsi="Trebuchet MS"/>
      <w:b/>
      <w:bCs/>
      <w:lang w:val="en-AU"/>
    </w:rPr>
  </w:style>
  <w:style w:type="character" w:styleId="Strong">
    <w:name w:val="Strong"/>
    <w:basedOn w:val="DefaultParagraphFont"/>
    <w:uiPriority w:val="22"/>
    <w:qFormat/>
    <w:rsid w:val="00767D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nhideWhenUsed="0"/>
    <w:lsdException w:name="List 3" w:unhideWhenUsed="0"/>
    <w:lsdException w:name="List 4" w:unhideWhenUsed="0"/>
    <w:lsdException w:name="Title" w:semiHidden="0" w:uiPriority="10" w:unhideWhenUsed="0" w:qFormat="1"/>
    <w:lsdException w:name="Default Paragraph Font" w:uiPriority="1"/>
    <w:lsdException w:name="Body Text" w:uiPriority="0"/>
    <w:lsdException w:name="Body Text Indent" w:uiPriority="0"/>
    <w:lsdException w:name="Message Header" w:unhideWhenUsed="0"/>
    <w:lsdException w:name="Subtitle" w:uiPriority="11" w:unhideWhenUsed="0" w:qFormat="1"/>
    <w:lsdException w:name="Salutation" w:unhideWhenUsed="0"/>
    <w:lsdException w:name="Date" w:unhideWhenUsed="0"/>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styleId="Caption">
    <w:name w:val="caption"/>
    <w:basedOn w:val="Normal"/>
    <w:next w:val="Normal"/>
    <w:uiPriority w:val="35"/>
    <w:unhideWhenUsed/>
    <w:qFormat/>
    <w:rsid w:val="00E81970"/>
    <w:pPr>
      <w:spacing w:before="0" w:after="200"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767D4B"/>
    <w:rPr>
      <w:sz w:val="16"/>
      <w:szCs w:val="16"/>
    </w:rPr>
  </w:style>
  <w:style w:type="paragraph" w:styleId="CommentText">
    <w:name w:val="annotation text"/>
    <w:basedOn w:val="Normal"/>
    <w:link w:val="CommentTextChar"/>
    <w:uiPriority w:val="99"/>
    <w:semiHidden/>
    <w:unhideWhenUsed/>
    <w:rsid w:val="00767D4B"/>
    <w:pPr>
      <w:spacing w:line="240" w:lineRule="auto"/>
    </w:pPr>
    <w:rPr>
      <w:sz w:val="20"/>
    </w:rPr>
  </w:style>
  <w:style w:type="character" w:customStyle="1" w:styleId="CommentTextChar">
    <w:name w:val="Comment Text Char"/>
    <w:basedOn w:val="DefaultParagraphFont"/>
    <w:link w:val="CommentText"/>
    <w:uiPriority w:val="99"/>
    <w:semiHidden/>
    <w:rsid w:val="00767D4B"/>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767D4B"/>
    <w:rPr>
      <w:b/>
      <w:bCs/>
    </w:rPr>
  </w:style>
  <w:style w:type="character" w:customStyle="1" w:styleId="CommentSubjectChar">
    <w:name w:val="Comment Subject Char"/>
    <w:basedOn w:val="CommentTextChar"/>
    <w:link w:val="CommentSubject"/>
    <w:uiPriority w:val="99"/>
    <w:semiHidden/>
    <w:rsid w:val="00767D4B"/>
    <w:rPr>
      <w:rFonts w:ascii="Trebuchet MS" w:hAnsi="Trebuchet MS"/>
      <w:b/>
      <w:bCs/>
      <w:lang w:val="en-AU"/>
    </w:rPr>
  </w:style>
  <w:style w:type="character" w:styleId="Strong">
    <w:name w:val="Strong"/>
    <w:basedOn w:val="DefaultParagraphFont"/>
    <w:uiPriority w:val="22"/>
    <w:qFormat/>
    <w:rsid w:val="00767D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153907">
      <w:bodyDiv w:val="1"/>
      <w:marLeft w:val="0"/>
      <w:marRight w:val="0"/>
      <w:marTop w:val="0"/>
      <w:marBottom w:val="0"/>
      <w:divBdr>
        <w:top w:val="none" w:sz="0" w:space="0" w:color="auto"/>
        <w:left w:val="none" w:sz="0" w:space="0" w:color="auto"/>
        <w:bottom w:val="none" w:sz="0" w:space="0" w:color="auto"/>
        <w:right w:val="none" w:sz="0" w:space="0" w:color="auto"/>
      </w:divBdr>
    </w:div>
    <w:div w:id="1147673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cver@ncver.edu.au" TargetMode="External"/><Relationship Id="rId18" Type="http://schemas.openxmlformats.org/officeDocument/2006/relationships/image" Target="media/image5.png"/><Relationship Id="rId39"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16.pn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33" Type="http://schemas.openxmlformats.org/officeDocument/2006/relationships/chart" Target="charts/chart1.xml"/><Relationship Id="rId38"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hyperlink" Target="mailto:ncver@ncver.edu.au" TargetMode="External"/><Relationship Id="rId20" Type="http://schemas.openxmlformats.org/officeDocument/2006/relationships/image" Target="media/image7.png"/><Relationship Id="rId29" Type="http://schemas.openxmlformats.org/officeDocument/2006/relationships/image" Target="media/image12.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ver.edu.au" TargetMode="External"/><Relationship Id="rId32" Type="http://schemas.openxmlformats.org/officeDocument/2006/relationships/image" Target="media/image15.png"/><Relationship Id="rId37" Type="http://schemas.openxmlformats.org/officeDocument/2006/relationships/image" Target="media/image19.png"/><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10.png"/><Relationship Id="rId28" Type="http://schemas.openxmlformats.org/officeDocument/2006/relationships/image" Target="media/image11.png"/><Relationship Id="rId36" Type="http://schemas.openxmlformats.org/officeDocument/2006/relationships/image" Target="media/image18.PNG"/><Relationship Id="rId10" Type="http://schemas.openxmlformats.org/officeDocument/2006/relationships/hyperlink" Target="http://www.ncver.edu.au" TargetMode="External"/><Relationship Id="rId19" Type="http://schemas.openxmlformats.org/officeDocument/2006/relationships/image" Target="media/image6.png"/><Relationship Id="rId31" Type="http://schemas.openxmlformats.org/officeDocument/2006/relationships/image" Target="media/image14.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emf"/><Relationship Id="rId22" Type="http://schemas.openxmlformats.org/officeDocument/2006/relationships/image" Target="media/image9.png"/><Relationship Id="rId27" Type="http://schemas.openxmlformats.org/officeDocument/2006/relationships/image" Target="media/image100.png"/><Relationship Id="rId30" Type="http://schemas.openxmlformats.org/officeDocument/2006/relationships/image" Target="media/image13.png"/><Relationship Id="rId35" Type="http://schemas.openxmlformats.org/officeDocument/2006/relationships/image" Target="media/image17.png"/><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Trebuchet MS" panose="020B0603020202020204" pitchFamily="34" charset="0"/>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Sheet5!$J$45:$K$70</c:f>
              <c:multiLvlStrCache>
                <c:ptCount val="26"/>
                <c:lvl>
                  <c:pt idx="0">
                    <c:v>Indigenous</c:v>
                  </c:pt>
                  <c:pt idx="1">
                    <c:v>Non-Indigesnous</c:v>
                  </c:pt>
                  <c:pt idx="3">
                    <c:v>With a disability</c:v>
                  </c:pt>
                  <c:pt idx="4">
                    <c:v>Without a disability</c:v>
                  </c:pt>
                  <c:pt idx="6">
                    <c:v>LBOTE</c:v>
                  </c:pt>
                  <c:pt idx="7">
                    <c:v>Non-LBOTE</c:v>
                  </c:pt>
                  <c:pt idx="9">
                    <c:v>Indigenous</c:v>
                  </c:pt>
                  <c:pt idx="10">
                    <c:v>Non-Indigesnous</c:v>
                  </c:pt>
                  <c:pt idx="12">
                    <c:v>With a disability</c:v>
                  </c:pt>
                  <c:pt idx="13">
                    <c:v>Without a disability</c:v>
                  </c:pt>
                  <c:pt idx="15">
                    <c:v>LBOTE</c:v>
                  </c:pt>
                  <c:pt idx="16">
                    <c:v>Non-LBOTE</c:v>
                  </c:pt>
                  <c:pt idx="18">
                    <c:v>Indigenous</c:v>
                  </c:pt>
                  <c:pt idx="19">
                    <c:v>Non-Indigesnous</c:v>
                  </c:pt>
                  <c:pt idx="21">
                    <c:v>With a disability</c:v>
                  </c:pt>
                  <c:pt idx="22">
                    <c:v>Without a disability</c:v>
                  </c:pt>
                  <c:pt idx="24">
                    <c:v>LBOTE</c:v>
                  </c:pt>
                  <c:pt idx="25">
                    <c:v>Non-LBOTE</c:v>
                  </c:pt>
                </c:lvl>
                <c:lvl>
                  <c:pt idx="0">
                    <c:v>Employed or in further study</c:v>
                  </c:pt>
                  <c:pt idx="9">
                    <c:v>Fully or partly achieved their main reason for Training</c:v>
                  </c:pt>
                  <c:pt idx="18">
                    <c:v>Satisfied with overall qualty of training</c:v>
                  </c:pt>
                </c:lvl>
              </c:multiLvlStrCache>
            </c:multiLvlStrRef>
          </c:cat>
          <c:val>
            <c:numRef>
              <c:f>Sheet5!$L$45:$L$70</c:f>
              <c:numCache>
                <c:formatCode>General</c:formatCode>
                <c:ptCount val="26"/>
                <c:pt idx="0">
                  <c:v>77.7</c:v>
                </c:pt>
                <c:pt idx="1">
                  <c:v>85.3</c:v>
                </c:pt>
                <c:pt idx="3">
                  <c:v>71.5</c:v>
                </c:pt>
                <c:pt idx="4">
                  <c:v>86.3</c:v>
                </c:pt>
                <c:pt idx="6">
                  <c:v>77.2</c:v>
                </c:pt>
                <c:pt idx="7">
                  <c:v>87.2</c:v>
                </c:pt>
                <c:pt idx="9">
                  <c:v>80.900000000000006</c:v>
                </c:pt>
                <c:pt idx="10">
                  <c:v>80.400000000000006</c:v>
                </c:pt>
                <c:pt idx="12">
                  <c:v>71.2</c:v>
                </c:pt>
                <c:pt idx="13">
                  <c:v>81.400000000000006</c:v>
                </c:pt>
                <c:pt idx="15">
                  <c:v>76.599999999999994</c:v>
                </c:pt>
                <c:pt idx="16">
                  <c:v>81.599999999999994</c:v>
                </c:pt>
                <c:pt idx="18">
                  <c:v>90.2</c:v>
                </c:pt>
                <c:pt idx="19">
                  <c:v>86.8</c:v>
                </c:pt>
                <c:pt idx="21">
                  <c:v>85.5</c:v>
                </c:pt>
                <c:pt idx="22">
                  <c:v>87.2</c:v>
                </c:pt>
                <c:pt idx="24">
                  <c:v>87.2</c:v>
                </c:pt>
                <c:pt idx="25">
                  <c:v>86.9</c:v>
                </c:pt>
              </c:numCache>
            </c:numRef>
          </c:val>
          <c:extLst xmlns:c16r2="http://schemas.microsoft.com/office/drawing/2015/06/chart">
            <c:ext xmlns:c16="http://schemas.microsoft.com/office/drawing/2014/chart" uri="{C3380CC4-5D6E-409C-BE32-E72D297353CC}">
              <c16:uniqueId val="{00000000-A57E-4EB2-85DB-C0852D3DF40F}"/>
            </c:ext>
          </c:extLst>
        </c:ser>
        <c:dLbls>
          <c:showLegendKey val="0"/>
          <c:showVal val="0"/>
          <c:showCatName val="0"/>
          <c:showSerName val="0"/>
          <c:showPercent val="0"/>
          <c:showBubbleSize val="0"/>
        </c:dLbls>
        <c:gapWidth val="79"/>
        <c:overlap val="-27"/>
        <c:axId val="263584384"/>
        <c:axId val="265564544"/>
      </c:barChart>
      <c:catAx>
        <c:axId val="26358438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rebuchet MS" panose="020B0603020202020204" pitchFamily="34" charset="0"/>
                <a:ea typeface="+mn-ea"/>
                <a:cs typeface="+mn-cs"/>
              </a:defRPr>
            </a:pPr>
            <a:endParaRPr lang="en-US"/>
          </a:p>
        </c:txPr>
        <c:crossAx val="265564544"/>
        <c:crosses val="autoZero"/>
        <c:auto val="1"/>
        <c:lblAlgn val="ctr"/>
        <c:lblOffset val="100"/>
        <c:noMultiLvlLbl val="0"/>
      </c:catAx>
      <c:valAx>
        <c:axId val="265564544"/>
        <c:scaling>
          <c:orientation val="minMax"/>
        </c:scaling>
        <c:delete val="0"/>
        <c:axPos val="l"/>
        <c:numFmt formatCode="General" sourceLinked="1"/>
        <c:majorTickMark val="none"/>
        <c:minorTickMark val="none"/>
        <c:tickLblPos val="none"/>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635843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0.35219</cdr:x>
      <cdr:y>0.04396</cdr:y>
    </cdr:from>
    <cdr:to>
      <cdr:x>0.35219</cdr:x>
      <cdr:y>0.61538</cdr:y>
    </cdr:to>
    <cdr:cxnSp macro="">
      <cdr:nvCxnSpPr>
        <cdr:cNvPr id="3" name="Straight Connector 2"/>
        <cdr:cNvCxnSpPr/>
      </cdr:nvCxnSpPr>
      <cdr:spPr>
        <a:xfrm xmlns:a="http://schemas.openxmlformats.org/drawingml/2006/main" flipV="1">
          <a:off x="2019447" y="152400"/>
          <a:ext cx="0" cy="1981200"/>
        </a:xfrm>
        <a:prstGeom xmlns:a="http://schemas.openxmlformats.org/drawingml/2006/main" prst="line">
          <a:avLst/>
        </a:prstGeom>
        <a:ln xmlns:a="http://schemas.openxmlformats.org/drawingml/2006/main" w="9525"/>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6BED0-A753-4496-A24E-781A79DDA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9398</Words>
  <Characters>53569</Characters>
  <Application>Microsoft Office Word</Application>
  <DocSecurity>4</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62842</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Prerna Ashok</dc:creator>
  <cp:lastModifiedBy>Katrina Matheos</cp:lastModifiedBy>
  <cp:revision>2</cp:revision>
  <cp:lastPrinted>2011-08-01T00:29:00Z</cp:lastPrinted>
  <dcterms:created xsi:type="dcterms:W3CDTF">2018-01-05T04:45:00Z</dcterms:created>
  <dcterms:modified xsi:type="dcterms:W3CDTF">2018-01-05T04:45:00Z</dcterms:modified>
</cp:coreProperties>
</file>