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597A9BC6" w:rsidR="009E231A" w:rsidRPr="005C2FCF" w:rsidRDefault="00152F49" w:rsidP="00B61CED">
      <w:pPr>
        <w:pStyle w:val="PublicationTitle"/>
      </w:pPr>
      <w:r w:rsidRPr="00152F49">
        <w:t>VET and higher education pathways – do outcomes differ for the same occupation?</w:t>
      </w:r>
      <w:r>
        <w:t xml:space="preserve"> </w:t>
      </w:r>
      <w:r w:rsidR="00A566CC">
        <w:t>— support document</w:t>
      </w:r>
    </w:p>
    <w:p w14:paraId="76F15178" w14:textId="158453D4" w:rsidR="00177827" w:rsidRPr="00152F49" w:rsidRDefault="001B628F" w:rsidP="00940830">
      <w:pPr>
        <w:pStyle w:val="Authors"/>
      </w:pPr>
      <w:bookmarkStart w:id="2" w:name="_Toc296423678"/>
      <w:bookmarkStart w:id="3" w:name="_Toc296497509"/>
      <w:r w:rsidRPr="00152F49">
        <w:t>Julie Moschion</w:t>
      </w:r>
    </w:p>
    <w:p w14:paraId="1090A8B6" w14:textId="21ED98F7" w:rsidR="001B628F" w:rsidRPr="00152F49" w:rsidRDefault="001B628F" w:rsidP="00940830">
      <w:pPr>
        <w:pStyle w:val="Authors"/>
      </w:pPr>
      <w:r w:rsidRPr="00152F49">
        <w:t>Cain Polidano</w:t>
      </w:r>
    </w:p>
    <w:p w14:paraId="33120888" w14:textId="201D106F" w:rsidR="001B628F" w:rsidRPr="00152F49" w:rsidRDefault="001B628F" w:rsidP="00940830">
      <w:pPr>
        <w:pStyle w:val="Authors"/>
      </w:pPr>
      <w:r w:rsidRPr="00152F49">
        <w:t>Daniel Fischer</w:t>
      </w:r>
    </w:p>
    <w:bookmarkEnd w:id="2"/>
    <w:bookmarkEnd w:id="3"/>
    <w:p w14:paraId="22CF58EA" w14:textId="006D053B" w:rsidR="009E231A" w:rsidRDefault="001B628F" w:rsidP="00940830">
      <w:pPr>
        <w:pStyle w:val="Organisation"/>
      </w:pPr>
      <w:r w:rsidRPr="00152F49">
        <w:t>Melbourne Institute: Applied Economic and Social Research</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7FD8DEEF"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152F49" w:rsidRPr="00152F49">
                              <w:rPr>
                                <w:i/>
                              </w:rPr>
                              <w:t xml:space="preserve">VET and higher education pathways – do outcomes differ for the same </w:t>
                            </w:r>
                            <w:proofErr w:type="gramStart"/>
                            <w:r w:rsidR="00152F49" w:rsidRPr="00152F49">
                              <w:rPr>
                                <w:i/>
                              </w:rPr>
                              <w:t>occupation?</w:t>
                            </w:r>
                            <w:r w:rsidRPr="000C1642">
                              <w:t>,</w:t>
                            </w:r>
                            <w:proofErr w:type="gramEnd"/>
                            <w:r w:rsidRPr="000C1642">
                              <w:t xml:space="preserve"> and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7FD8DEEF"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152F49" w:rsidRPr="00152F49">
                        <w:rPr>
                          <w:i/>
                        </w:rPr>
                        <w:t xml:space="preserve">VET and higher education pathways – do outcomes differ for the same </w:t>
                      </w:r>
                      <w:proofErr w:type="gramStart"/>
                      <w:r w:rsidR="00152F49" w:rsidRPr="00152F49">
                        <w:rPr>
                          <w:i/>
                        </w:rPr>
                        <w:t>occupation?</w:t>
                      </w:r>
                      <w:r w:rsidRPr="000C1642">
                        <w:t>,</w:t>
                      </w:r>
                      <w:proofErr w:type="gramEnd"/>
                      <w:r w:rsidRPr="000C1642">
                        <w:t xml:space="preserve"> and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50944E50"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14:paraId="5463399F" w14:textId="77777777" w:rsidR="008E6C3A" w:rsidRPr="005C2FCF" w:rsidRDefault="008E6C3A" w:rsidP="008E6C3A">
      <w:pPr>
        <w:pStyle w:val="Heading3"/>
        <w:ind w:right="-1"/>
      </w:pPr>
      <w:r w:rsidRPr="005C2FCF">
        <w:lastRenderedPageBreak/>
        <w:t>Publisher’s note</w:t>
      </w:r>
    </w:p>
    <w:p w14:paraId="7DA67DA5" w14:textId="370D89AE"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152F49">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BFE93C9"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050C2CA8" w:rsidR="006A702B" w:rsidRDefault="006A702B" w:rsidP="006A702B">
      <w:pPr>
        <w:pStyle w:val="Text"/>
      </w:pPr>
    </w:p>
    <w:p w14:paraId="7395F824" w14:textId="3F19D1DE" w:rsidR="006A702B" w:rsidRDefault="00D12A7F"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6596C2E8">
                <wp:simplePos x="0" y="0"/>
                <wp:positionH relativeFrom="column">
                  <wp:posOffset>-3503</wp:posOffset>
                </wp:positionH>
                <wp:positionV relativeFrom="margin">
                  <wp:posOffset>4216028</wp:posOffset>
                </wp:positionV>
                <wp:extent cx="5682615" cy="534079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34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301D2EB0" w:rsidR="00297C1D" w:rsidRPr="00A021FC" w:rsidRDefault="00297C1D" w:rsidP="00297C1D">
                            <w:pPr>
                              <w:pStyle w:val="Imprint"/>
                              <w:rPr>
                                <w:b/>
                              </w:rPr>
                            </w:pPr>
                            <w:r w:rsidRPr="00D12A7F">
                              <w:rPr>
                                <w:b/>
                              </w:rPr>
                              <w:t xml:space="preserve">© Commonwealth of Australia, </w:t>
                            </w:r>
                            <w:r w:rsidR="00D12A7F" w:rsidRPr="00D12A7F">
                              <w:rPr>
                                <w:b/>
                              </w:rPr>
                              <w:t>2022</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1C925964" w:rsidR="00297C1D" w:rsidRPr="00A021FC" w:rsidRDefault="00297C1D" w:rsidP="00D67FB0">
                            <w:pPr>
                              <w:pStyle w:val="Imprint"/>
                            </w:pPr>
                            <w:r w:rsidRPr="00A021FC">
                              <w:t>This document should be attributed as</w:t>
                            </w:r>
                            <w:r w:rsidR="00D12A7F">
                              <w:t xml:space="preserve"> </w:t>
                            </w:r>
                            <w:proofErr w:type="spellStart"/>
                            <w:r w:rsidR="00D67FB0">
                              <w:t>Moschion</w:t>
                            </w:r>
                            <w:proofErr w:type="spellEnd"/>
                            <w:r w:rsidR="00D67FB0">
                              <w:t xml:space="preserve">, J, </w:t>
                            </w:r>
                            <w:proofErr w:type="spellStart"/>
                            <w:r w:rsidR="00D67FB0">
                              <w:t>Polidano</w:t>
                            </w:r>
                            <w:proofErr w:type="spellEnd"/>
                            <w:r w:rsidR="00D67FB0">
                              <w:t xml:space="preserve">, C and Fischer, D, </w:t>
                            </w:r>
                            <w:r w:rsidR="00D12A7F" w:rsidRPr="001C0F90">
                              <w:t xml:space="preserve">2022, </w:t>
                            </w:r>
                            <w:r w:rsidR="00D12A7F" w:rsidRPr="00420D68">
                              <w:rPr>
                                <w:i/>
                                <w:iCs/>
                              </w:rPr>
                              <w:t>VET and higher education pathways</w:t>
                            </w:r>
                            <w:r w:rsidR="00D12A7F" w:rsidRPr="001C0F90">
                              <w:t xml:space="preserve"> </w:t>
                            </w:r>
                            <w:r w:rsidR="00D12A7F">
                              <w:rPr>
                                <w:i/>
                                <w:iCs/>
                              </w:rPr>
                              <w:t>—</w:t>
                            </w:r>
                            <w:r w:rsidR="00D12A7F" w:rsidRPr="00582E58">
                              <w:rPr>
                                <w:i/>
                                <w:iCs/>
                              </w:rPr>
                              <w:t xml:space="preserve"> do outcomes differ for the same occupation</w:t>
                            </w:r>
                            <w:r w:rsidR="00D12A7F">
                              <w:rPr>
                                <w:i/>
                                <w:iCs/>
                              </w:rPr>
                              <w:t xml:space="preserve"> </w:t>
                            </w:r>
                            <w:r w:rsidR="00D12A7F" w:rsidRPr="00D12A7F">
                              <w:rPr>
                                <w:i/>
                                <w:iCs/>
                              </w:rPr>
                              <w:t>— support document</w:t>
                            </w:r>
                            <w:r w:rsidR="00D12A7F" w:rsidRPr="008E4A4E">
                              <w:t>,</w:t>
                            </w:r>
                            <w:r w:rsidR="00D12A7F">
                              <w:t xml:space="preserve"> </w:t>
                            </w:r>
                            <w:r w:rsidR="00D67FB0" w:rsidRPr="00D67FB0">
                              <w:t>Melbourne Institute: Applied Economic and Social Research</w:t>
                            </w:r>
                            <w:r w:rsidR="00D12A7F" w:rsidRPr="00A021FC">
                              <w:t xml:space="preserve">, </w:t>
                            </w:r>
                            <w:r w:rsidR="00D67FB0">
                              <w:t>Melbourne</w:t>
                            </w:r>
                            <w:r w:rsidR="00D12A7F" w:rsidRPr="00A021FC">
                              <w:t>.</w:t>
                            </w:r>
                            <w:r w:rsidR="00D12A7F">
                              <w:t xml:space="preserve"> </w:t>
                            </w:r>
                            <w:r>
                              <w:t xml:space="preserve"> </w:t>
                            </w:r>
                          </w:p>
                          <w:p w14:paraId="5BB3C302" w14:textId="3A32E8A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00D12A7F" w:rsidRPr="005A3328">
                              <w:t>Department of Employment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321BC184"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3pt;margin-top:331.95pt;width:447.45pt;height:4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m5QEAAKkDAAAOAAAAZHJzL2Uyb0RvYy54bWysU9tu2zAMfR+wfxD0vtjOkrQ14hRdiw4D&#10;ugvQ9QNkWbaF2aJGKbGzrx8lu2m2vg17EURSPjznkN5ej33HDgqdBlPwbJFypoyESpum4E/f799d&#10;cua8MJXowKiCH5Xj17u3b7aDzdUSWugqhYxAjMsHW/DWe5sniZOt6oVbgFWGijVgLzyF2CQVioHQ&#10;+y5ZpukmGQAriyCVc5S9m4p8F/HrWkn/ta6d8qwrOHHz8cR4luFMdluRNyhsq+VMQ/wDi15oQ01P&#10;UHfCC7ZH/Qqq1xLBQe0XEvoE6lpLFTWQmiz9S81jK6yKWsgcZ082uf8HK78cHu03ZH78ACMNMIpw&#10;9gHkD8cM3LbCNOoGEYZWiYoaZ8GyZLAunz8NVrvcBZBy+AwVDVnsPUSgscY+uEI6GaHTAI4n09Xo&#10;maTkenO53GRrziTV1u9X6cXVOvYQ+fPnFp3/qKBn4VJwpKlGeHF4cD7QEfnzk9DNwL3uujjZzvyR&#10;oIchE+kHxhN3P5Yj09WsLagpoTqSHoRpX2i/6dIC/uJsoF0puPu5F6g46z4Z8uQqW63CcsVgtb5Y&#10;UoDnlfK8IowkqIKXnE3XWz8t5N6iblrqNE3BwA35WOuo8IXVTJ/2IQqfdzcs3HkcX738YbvfAAAA&#10;//8DAFBLAwQUAAYACAAAACEAhAUBmd8AAAAKAQAADwAAAGRycy9kb3ducmV2LnhtbEyPQU7DMBBF&#10;90jcwRokdq1dmkZtiFOhQpcVpXAAOx6SQGxHsdMkt2dYwXL0n/5/k+8n27Ir9qHxTsJqKYChK71p&#10;XCXh4/242AILUTmjWu9QwowB9sXtTa4y40f3htdLrBiVuJApCXWMXcZ5KGu0Kix9h46yT99bFens&#10;K256NVK5bfmDECm3qnG0UKsODzWW35fBSng561knq69j8ixmbV7H06EcTlLe301Pj8AiTvEPhl99&#10;UoeCnLQfnAmslbBICZSQpusdMMq3u2QNTBO4ERsBvMj5/xeKHwAAAP//AwBQSwECLQAUAAYACAAA&#10;ACEAtoM4kv4AAADhAQAAEwAAAAAAAAAAAAAAAAAAAAAAW0NvbnRlbnRfVHlwZXNdLnhtbFBLAQIt&#10;ABQABgAIAAAAIQA4/SH/1gAAAJQBAAALAAAAAAAAAAAAAAAAAC8BAABfcmVscy8ucmVsc1BLAQIt&#10;ABQABgAIAAAAIQDKs/mm5QEAAKkDAAAOAAAAAAAAAAAAAAAAAC4CAABkcnMvZTJvRG9jLnhtbFBL&#10;AQItABQABgAIAAAAIQCEBQGZ3wAAAAoBAAAPAAAAAAAAAAAAAAAAAD8EAABkcnMvZG93bnJldi54&#10;bWxQSwUGAAAAAAQABADzAAAASwUAAAAA&#10;" filled="f" stroked="f">
                <v:textbox>
                  <w:txbxContent>
                    <w:p w14:paraId="55537875" w14:textId="301D2EB0" w:rsidR="00297C1D" w:rsidRPr="00A021FC" w:rsidRDefault="00297C1D" w:rsidP="00297C1D">
                      <w:pPr>
                        <w:pStyle w:val="Imprint"/>
                        <w:rPr>
                          <w:b/>
                        </w:rPr>
                      </w:pPr>
                      <w:r w:rsidRPr="00D12A7F">
                        <w:rPr>
                          <w:b/>
                        </w:rPr>
                        <w:t xml:space="preserve">© Commonwealth of Australia, </w:t>
                      </w:r>
                      <w:r w:rsidR="00D12A7F" w:rsidRPr="00D12A7F">
                        <w:rPr>
                          <w:b/>
                        </w:rPr>
                        <w:t>2022</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1C925964" w:rsidR="00297C1D" w:rsidRPr="00A021FC" w:rsidRDefault="00297C1D" w:rsidP="00D67FB0">
                      <w:pPr>
                        <w:pStyle w:val="Imprint"/>
                      </w:pPr>
                      <w:r w:rsidRPr="00A021FC">
                        <w:t>This document should be attributed as</w:t>
                      </w:r>
                      <w:r w:rsidR="00D12A7F">
                        <w:t xml:space="preserve"> </w:t>
                      </w:r>
                      <w:proofErr w:type="spellStart"/>
                      <w:r w:rsidR="00D67FB0">
                        <w:t>Moschion</w:t>
                      </w:r>
                      <w:proofErr w:type="spellEnd"/>
                      <w:r w:rsidR="00D67FB0">
                        <w:t xml:space="preserve">, J, </w:t>
                      </w:r>
                      <w:proofErr w:type="spellStart"/>
                      <w:r w:rsidR="00D67FB0">
                        <w:t>Polidano</w:t>
                      </w:r>
                      <w:proofErr w:type="spellEnd"/>
                      <w:r w:rsidR="00D67FB0">
                        <w:t xml:space="preserve">, C and </w:t>
                      </w:r>
                      <w:r w:rsidR="00D67FB0">
                        <w:t>Fischer</w:t>
                      </w:r>
                      <w:r w:rsidR="00D67FB0">
                        <w:t xml:space="preserve">, D, </w:t>
                      </w:r>
                      <w:r w:rsidR="00D12A7F" w:rsidRPr="001C0F90">
                        <w:t xml:space="preserve">2022, </w:t>
                      </w:r>
                      <w:r w:rsidR="00D12A7F" w:rsidRPr="00420D68">
                        <w:rPr>
                          <w:i/>
                          <w:iCs/>
                        </w:rPr>
                        <w:t>VET and higher education pathways</w:t>
                      </w:r>
                      <w:r w:rsidR="00D12A7F" w:rsidRPr="001C0F90">
                        <w:t xml:space="preserve"> </w:t>
                      </w:r>
                      <w:r w:rsidR="00D12A7F">
                        <w:rPr>
                          <w:i/>
                          <w:iCs/>
                        </w:rPr>
                        <w:t>—</w:t>
                      </w:r>
                      <w:r w:rsidR="00D12A7F" w:rsidRPr="00582E58">
                        <w:rPr>
                          <w:i/>
                          <w:iCs/>
                        </w:rPr>
                        <w:t xml:space="preserve"> do outcomes differ for the same occupation</w:t>
                      </w:r>
                      <w:r w:rsidR="00D12A7F">
                        <w:rPr>
                          <w:i/>
                          <w:iCs/>
                        </w:rPr>
                        <w:t xml:space="preserve"> </w:t>
                      </w:r>
                      <w:r w:rsidR="00D12A7F" w:rsidRPr="00D12A7F">
                        <w:rPr>
                          <w:i/>
                          <w:iCs/>
                        </w:rPr>
                        <w:t>— support document</w:t>
                      </w:r>
                      <w:r w:rsidR="00D12A7F" w:rsidRPr="008E4A4E">
                        <w:t>,</w:t>
                      </w:r>
                      <w:r w:rsidR="00D12A7F">
                        <w:t xml:space="preserve"> </w:t>
                      </w:r>
                      <w:r w:rsidR="00D67FB0" w:rsidRPr="00D67FB0">
                        <w:t>Melbourne Institute: Applied Economic and Social Research</w:t>
                      </w:r>
                      <w:r w:rsidR="00D12A7F" w:rsidRPr="00A021FC">
                        <w:t xml:space="preserve">, </w:t>
                      </w:r>
                      <w:r w:rsidR="00D67FB0">
                        <w:t>Melbourne</w:t>
                      </w:r>
                      <w:r w:rsidR="00D12A7F" w:rsidRPr="00A021FC">
                        <w:t>.</w:t>
                      </w:r>
                      <w:r w:rsidR="00D12A7F">
                        <w:t xml:space="preserve"> </w:t>
                      </w:r>
                      <w:r>
                        <w:t xml:space="preserve"> </w:t>
                      </w:r>
                    </w:p>
                    <w:p w14:paraId="5BB3C302" w14:textId="3A32E8A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00D12A7F" w:rsidRPr="005A3328">
                        <w:t>Department of Employment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5363F778" w14:textId="321BC184"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default" r:id="rId19"/>
          <w:footerReference w:type="default" r:id="rId20"/>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14:paraId="356C8B13" w14:textId="05762858" w:rsidR="00F544AC" w:rsidRDefault="00E110EA" w:rsidP="00D12A7F">
      <w:pPr>
        <w:pStyle w:val="TOC1"/>
        <w:tabs>
          <w:tab w:val="clear" w:pos="6804"/>
          <w:tab w:val="right" w:pos="9072"/>
        </w:tabs>
        <w:ind w:right="-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F544AC">
        <w:t>Tables and figures</w:t>
      </w:r>
      <w:r w:rsidR="00F544AC">
        <w:tab/>
      </w:r>
      <w:r w:rsidR="00F544AC">
        <w:fldChar w:fldCharType="begin"/>
      </w:r>
      <w:r w:rsidR="00F544AC">
        <w:instrText xml:space="preserve"> PAGEREF _Toc102040933 \h </w:instrText>
      </w:r>
      <w:r w:rsidR="00F544AC">
        <w:fldChar w:fldCharType="separate"/>
      </w:r>
      <w:r w:rsidR="00F544AC">
        <w:t>4</w:t>
      </w:r>
      <w:r w:rsidR="00F544AC">
        <w:fldChar w:fldCharType="end"/>
      </w:r>
    </w:p>
    <w:p w14:paraId="20201904" w14:textId="2487AF59"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Tables</w:t>
      </w:r>
      <w:r>
        <w:tab/>
      </w:r>
      <w:r>
        <w:fldChar w:fldCharType="begin"/>
      </w:r>
      <w:r>
        <w:instrText xml:space="preserve"> PAGEREF _Toc102040934 \h </w:instrText>
      </w:r>
      <w:r>
        <w:fldChar w:fldCharType="separate"/>
      </w:r>
      <w:r>
        <w:t>4</w:t>
      </w:r>
      <w:r>
        <w:fldChar w:fldCharType="end"/>
      </w:r>
    </w:p>
    <w:p w14:paraId="0A6C8260" w14:textId="078EFD35"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Figures</w:t>
      </w:r>
      <w:r>
        <w:tab/>
      </w:r>
      <w:r>
        <w:fldChar w:fldCharType="begin"/>
      </w:r>
      <w:r>
        <w:instrText xml:space="preserve"> PAGEREF _Toc102040935 \h </w:instrText>
      </w:r>
      <w:r>
        <w:fldChar w:fldCharType="separate"/>
      </w:r>
      <w:r>
        <w:t>4</w:t>
      </w:r>
      <w:r>
        <w:fldChar w:fldCharType="end"/>
      </w:r>
    </w:p>
    <w:p w14:paraId="7FD26122" w14:textId="575378A3"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_Toc102040936 \h </w:instrText>
      </w:r>
      <w:r>
        <w:fldChar w:fldCharType="separate"/>
      </w:r>
      <w:r>
        <w:t>5</w:t>
      </w:r>
      <w:r>
        <w:fldChar w:fldCharType="end"/>
      </w:r>
    </w:p>
    <w:p w14:paraId="44E54166" w14:textId="5141D081"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HILDA</w:t>
      </w:r>
      <w:r>
        <w:tab/>
      </w:r>
      <w:r>
        <w:fldChar w:fldCharType="begin"/>
      </w:r>
      <w:r>
        <w:instrText xml:space="preserve"> PAGEREF _Toc102040937 \h </w:instrText>
      </w:r>
      <w:r>
        <w:fldChar w:fldCharType="separate"/>
      </w:r>
      <w:r>
        <w:t>5</w:t>
      </w:r>
      <w:r>
        <w:fldChar w:fldCharType="end"/>
      </w:r>
    </w:p>
    <w:p w14:paraId="2A0ABD33" w14:textId="2B39D15F"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Defining education qualifications</w:t>
      </w:r>
      <w:r>
        <w:tab/>
      </w:r>
      <w:r>
        <w:fldChar w:fldCharType="begin"/>
      </w:r>
      <w:r>
        <w:instrText xml:space="preserve"> PAGEREF _Toc102040938 \h </w:instrText>
      </w:r>
      <w:r>
        <w:fldChar w:fldCharType="separate"/>
      </w:r>
      <w:r>
        <w:t>5</w:t>
      </w:r>
      <w:r>
        <w:fldChar w:fldCharType="end"/>
      </w:r>
    </w:p>
    <w:p w14:paraId="79090A84" w14:textId="47DE6543"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Selecting occupations with a mix of VET and HE</w:t>
      </w:r>
      <w:r>
        <w:tab/>
      </w:r>
      <w:r>
        <w:fldChar w:fldCharType="begin"/>
      </w:r>
      <w:r>
        <w:instrText xml:space="preserve"> PAGEREF _Toc102040939 \h </w:instrText>
      </w:r>
      <w:r>
        <w:fldChar w:fldCharType="separate"/>
      </w:r>
      <w:r>
        <w:t>6</w:t>
      </w:r>
      <w:r>
        <w:fldChar w:fldCharType="end"/>
      </w:r>
    </w:p>
    <w:p w14:paraId="6AE5649C" w14:textId="343BB69E"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Sample of analysis</w:t>
      </w:r>
      <w:r>
        <w:tab/>
      </w:r>
      <w:r>
        <w:fldChar w:fldCharType="begin"/>
      </w:r>
      <w:r>
        <w:instrText xml:space="preserve"> PAGEREF _Toc102040940 \h </w:instrText>
      </w:r>
      <w:r>
        <w:fldChar w:fldCharType="separate"/>
      </w:r>
      <w:r>
        <w:t>6</w:t>
      </w:r>
      <w:r>
        <w:fldChar w:fldCharType="end"/>
      </w:r>
    </w:p>
    <w:p w14:paraId="7D519BD8" w14:textId="6C9492E9"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Results</w:t>
      </w:r>
      <w:r>
        <w:tab/>
      </w:r>
      <w:r>
        <w:fldChar w:fldCharType="begin"/>
      </w:r>
      <w:r>
        <w:instrText xml:space="preserve"> PAGEREF _Toc102040941 \h </w:instrText>
      </w:r>
      <w:r>
        <w:fldChar w:fldCharType="separate"/>
      </w:r>
      <w:r>
        <w:t>9</w:t>
      </w:r>
      <w:r>
        <w:fldChar w:fldCharType="end"/>
      </w:r>
    </w:p>
    <w:p w14:paraId="3ED4B251" w14:textId="2320EB27"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Descriptive analysis</w:t>
      </w:r>
      <w:r>
        <w:tab/>
      </w:r>
      <w:r>
        <w:fldChar w:fldCharType="begin"/>
      </w:r>
      <w:r>
        <w:instrText xml:space="preserve"> PAGEREF _Toc102040942 \h </w:instrText>
      </w:r>
      <w:r>
        <w:fldChar w:fldCharType="separate"/>
      </w:r>
      <w:r>
        <w:t>9</w:t>
      </w:r>
      <w:r>
        <w:fldChar w:fldCharType="end"/>
      </w:r>
    </w:p>
    <w:p w14:paraId="00C9A938" w14:textId="39A4900F"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Estimation of differences in outcomes between VET and HE pathways</w:t>
      </w:r>
      <w:r>
        <w:tab/>
      </w:r>
      <w:r>
        <w:fldChar w:fldCharType="begin"/>
      </w:r>
      <w:r>
        <w:instrText xml:space="preserve"> PAGEREF _Toc102040943 \h </w:instrText>
      </w:r>
      <w:r>
        <w:fldChar w:fldCharType="separate"/>
      </w:r>
      <w:r>
        <w:t>13</w:t>
      </w:r>
      <w:r>
        <w:fldChar w:fldCharType="end"/>
      </w:r>
    </w:p>
    <w:p w14:paraId="2788D66D" w14:textId="0A161234"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Robustness checks</w:t>
      </w:r>
      <w:r>
        <w:tab/>
      </w:r>
      <w:r>
        <w:fldChar w:fldCharType="begin"/>
      </w:r>
      <w:r>
        <w:instrText xml:space="preserve"> PAGEREF _Toc102040945 \h </w:instrText>
      </w:r>
      <w:r>
        <w:fldChar w:fldCharType="separate"/>
      </w:r>
      <w:r>
        <w:t>26</w:t>
      </w:r>
      <w:r>
        <w:fldChar w:fldCharType="end"/>
      </w:r>
    </w:p>
    <w:p w14:paraId="4796D0AA" w14:textId="035D400A" w:rsidR="00F544AC" w:rsidRDefault="00F544AC" w:rsidP="00D12A7F">
      <w:pPr>
        <w:pStyle w:val="TOC2"/>
        <w:tabs>
          <w:tab w:val="clear" w:pos="6804"/>
          <w:tab w:val="right" w:pos="9071"/>
        </w:tabs>
        <w:rPr>
          <w:rFonts w:asciiTheme="minorHAnsi" w:eastAsiaTheme="minorEastAsia" w:hAnsiTheme="minorHAnsi" w:cstheme="minorBidi"/>
          <w:color w:val="auto"/>
          <w:sz w:val="22"/>
          <w:szCs w:val="22"/>
          <w:lang w:eastAsia="en-AU"/>
        </w:rPr>
      </w:pPr>
      <w:r>
        <w:t>Reflection on the results</w:t>
      </w:r>
      <w:r>
        <w:tab/>
      </w:r>
      <w:r>
        <w:fldChar w:fldCharType="begin"/>
      </w:r>
      <w:r>
        <w:instrText xml:space="preserve"> PAGEREF _Toc102040946 \h </w:instrText>
      </w:r>
      <w:r>
        <w:fldChar w:fldCharType="separate"/>
      </w:r>
      <w:r>
        <w:t>27</w:t>
      </w:r>
      <w:r>
        <w:fldChar w:fldCharType="end"/>
      </w:r>
    </w:p>
    <w:p w14:paraId="7FCFE504" w14:textId="273AED9D"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Appendix A – Other main results</w:t>
      </w:r>
      <w:r>
        <w:tab/>
      </w:r>
      <w:r>
        <w:fldChar w:fldCharType="begin"/>
      </w:r>
      <w:r>
        <w:instrText xml:space="preserve"> PAGEREF _Toc102040947 \h </w:instrText>
      </w:r>
      <w:r>
        <w:fldChar w:fldCharType="separate"/>
      </w:r>
      <w:r>
        <w:t>28</w:t>
      </w:r>
      <w:r>
        <w:fldChar w:fldCharType="end"/>
      </w:r>
    </w:p>
    <w:p w14:paraId="6591D3CB" w14:textId="34EA5B73"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Appendix B – Robustness check: Restricted list of control variables</w:t>
      </w:r>
      <w:r>
        <w:tab/>
      </w:r>
      <w:r>
        <w:fldChar w:fldCharType="begin"/>
      </w:r>
      <w:r>
        <w:instrText xml:space="preserve"> PAGEREF _Toc102040948 \h </w:instrText>
      </w:r>
      <w:r>
        <w:fldChar w:fldCharType="separate"/>
      </w:r>
      <w:r>
        <w:t>68</w:t>
      </w:r>
      <w:r>
        <w:fldChar w:fldCharType="end"/>
      </w:r>
    </w:p>
    <w:p w14:paraId="26771101" w14:textId="5D8E262C"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Appendix C- Robustness check: Balanced Panel</w:t>
      </w:r>
      <w:r>
        <w:tab/>
      </w:r>
      <w:r>
        <w:fldChar w:fldCharType="begin"/>
      </w:r>
      <w:r>
        <w:instrText xml:space="preserve"> PAGEREF _Toc102040949 \h </w:instrText>
      </w:r>
      <w:r>
        <w:fldChar w:fldCharType="separate"/>
      </w:r>
      <w:r>
        <w:t>80</w:t>
      </w:r>
      <w:r>
        <w:fldChar w:fldCharType="end"/>
      </w:r>
    </w:p>
    <w:p w14:paraId="40D40950" w14:textId="74FEE3BE" w:rsidR="00F544AC" w:rsidRDefault="00F544AC" w:rsidP="00D12A7F">
      <w:pPr>
        <w:pStyle w:val="TOC1"/>
        <w:tabs>
          <w:tab w:val="clear" w:pos="6804"/>
          <w:tab w:val="right" w:pos="9071"/>
        </w:tabs>
        <w:rPr>
          <w:rFonts w:asciiTheme="minorHAnsi" w:eastAsiaTheme="minorEastAsia" w:hAnsiTheme="minorHAnsi" w:cstheme="minorBidi"/>
          <w:color w:val="auto"/>
          <w:sz w:val="22"/>
          <w:szCs w:val="22"/>
          <w:lang w:eastAsia="en-AU"/>
        </w:rPr>
      </w:pPr>
      <w:r>
        <w:t>Appendix D – Robustness check: Extended list of occupations</w:t>
      </w:r>
      <w:r>
        <w:tab/>
      </w:r>
      <w:r>
        <w:fldChar w:fldCharType="begin"/>
      </w:r>
      <w:r>
        <w:instrText xml:space="preserve"> PAGEREF _Toc102040950 \h </w:instrText>
      </w:r>
      <w:r>
        <w:fldChar w:fldCharType="separate"/>
      </w:r>
      <w:r>
        <w:t>92</w:t>
      </w:r>
      <w:r>
        <w:fldChar w:fldCharType="end"/>
      </w:r>
    </w:p>
    <w:p w14:paraId="7F1DB90A" w14:textId="21761383" w:rsidR="004E7227" w:rsidRDefault="00E110EA" w:rsidP="00D12A7F">
      <w:pPr>
        <w:pStyle w:val="Text"/>
        <w:tabs>
          <w:tab w:val="right" w:pos="9072"/>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1" w:name="_Toc102040933"/>
      <w:r>
        <w:lastRenderedPageBreak/>
        <w:t>Tables and figures</w:t>
      </w:r>
      <w:bookmarkEnd w:id="11"/>
    </w:p>
    <w:p w14:paraId="72C9BBDF" w14:textId="77777777" w:rsidR="004E7227" w:rsidRDefault="004E7227" w:rsidP="004E7227">
      <w:pPr>
        <w:pStyle w:val="Heading2"/>
      </w:pPr>
      <w:bookmarkStart w:id="12" w:name="_Toc296497516"/>
      <w:bookmarkStart w:id="13" w:name="_Toc298162801"/>
      <w:bookmarkStart w:id="14" w:name="_Toc102040934"/>
      <w:r>
        <w:t>Tables</w:t>
      </w:r>
      <w:bookmarkEnd w:id="12"/>
      <w:bookmarkEnd w:id="13"/>
      <w:bookmarkEnd w:id="14"/>
    </w:p>
    <w:p w14:paraId="4453FACA" w14:textId="0870498B" w:rsidR="00F544AC" w:rsidRDefault="00E110EA" w:rsidP="00D12A7F">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F544AC">
        <w:t>1</w:t>
      </w:r>
      <w:r w:rsidR="00F544AC">
        <w:rPr>
          <w:rFonts w:asciiTheme="minorHAnsi" w:eastAsiaTheme="minorEastAsia" w:hAnsiTheme="minorHAnsi" w:cstheme="minorBidi"/>
          <w:color w:val="auto"/>
          <w:sz w:val="22"/>
          <w:szCs w:val="22"/>
          <w:lang w:eastAsia="en-AU"/>
        </w:rPr>
        <w:tab/>
      </w:r>
      <w:r w:rsidR="00F544AC">
        <w:t>Sample selection</w:t>
      </w:r>
      <w:r w:rsidR="00F544AC">
        <w:tab/>
      </w:r>
      <w:r w:rsidR="00F544AC">
        <w:fldChar w:fldCharType="begin"/>
      </w:r>
      <w:r w:rsidR="00F544AC">
        <w:instrText xml:space="preserve"> PAGEREF _Toc102041054 \h </w:instrText>
      </w:r>
      <w:r w:rsidR="00F544AC">
        <w:fldChar w:fldCharType="separate"/>
      </w:r>
      <w:r w:rsidR="00F544AC">
        <w:t>7</w:t>
      </w:r>
      <w:r w:rsidR="00F544AC">
        <w:fldChar w:fldCharType="end"/>
      </w:r>
    </w:p>
    <w:p w14:paraId="64C8F3B1" w14:textId="56C2045B" w:rsidR="00F544AC" w:rsidRDefault="00F544AC" w:rsidP="00D12A7F">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Number of observations by occupation and qualification type</w:t>
      </w:r>
      <w:r>
        <w:tab/>
      </w:r>
      <w:r>
        <w:fldChar w:fldCharType="begin"/>
      </w:r>
      <w:r>
        <w:instrText xml:space="preserve"> PAGEREF _Toc102041055 \h </w:instrText>
      </w:r>
      <w:r>
        <w:fldChar w:fldCharType="separate"/>
      </w:r>
      <w:r>
        <w:t>7</w:t>
      </w:r>
      <w:r>
        <w:fldChar w:fldCharType="end"/>
      </w:r>
    </w:p>
    <w:p w14:paraId="0C39C51D" w14:textId="6C2DED00" w:rsidR="00F544AC" w:rsidRDefault="00F544AC" w:rsidP="00D12A7F">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Descriptive statistics by qualification group</w:t>
      </w:r>
      <w:r>
        <w:tab/>
      </w:r>
      <w:r>
        <w:fldChar w:fldCharType="begin"/>
      </w:r>
      <w:r>
        <w:instrText xml:space="preserve"> PAGEREF _Toc102041056 \h </w:instrText>
      </w:r>
      <w:r>
        <w:fldChar w:fldCharType="separate"/>
      </w:r>
      <w:r>
        <w:t>9</w:t>
      </w:r>
      <w:r>
        <w:fldChar w:fldCharType="end"/>
      </w:r>
    </w:p>
    <w:p w14:paraId="1F4BAE06" w14:textId="38E9FFF4" w:rsidR="00F544AC" w:rsidRDefault="00F544AC" w:rsidP="00D12A7F">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Drivers of qualifying with a VET, or VET and HE versus a HE qualification</w:t>
      </w:r>
      <w:r>
        <w:tab/>
      </w:r>
      <w:r>
        <w:fldChar w:fldCharType="begin"/>
      </w:r>
      <w:r>
        <w:instrText xml:space="preserve"> PAGEREF _Toc102041057 \h </w:instrText>
      </w:r>
      <w:r>
        <w:fldChar w:fldCharType="separate"/>
      </w:r>
      <w:r>
        <w:t>11</w:t>
      </w:r>
      <w:r>
        <w:fldChar w:fldCharType="end"/>
      </w:r>
    </w:p>
    <w:p w14:paraId="506167A4" w14:textId="77777777" w:rsidR="00F544AC" w:rsidRDefault="00E110EA" w:rsidP="004E7227">
      <w:pPr>
        <w:pStyle w:val="Heading2"/>
        <w:rPr>
          <w:noProof/>
        </w:rPr>
      </w:pPr>
      <w:r>
        <w:fldChar w:fldCharType="end"/>
      </w:r>
      <w:bookmarkStart w:id="15" w:name="_Toc296497517"/>
      <w:bookmarkStart w:id="16" w:name="_Toc298162802"/>
      <w:bookmarkStart w:id="17" w:name="_Toc102040935"/>
      <w:r w:rsidR="004E7227">
        <w:t>Figures</w:t>
      </w:r>
      <w:bookmarkEnd w:id="15"/>
      <w:bookmarkEnd w:id="16"/>
      <w:bookmarkEnd w:id="17"/>
      <w:r>
        <w:rPr>
          <w:rFonts w:ascii="Garamond" w:hAnsi="Garamond"/>
          <w:sz w:val="22"/>
        </w:rPr>
        <w:fldChar w:fldCharType="begin"/>
      </w:r>
      <w:r w:rsidR="004E7227">
        <w:instrText xml:space="preserve"> TOC \t "Figuretitle" \c </w:instrText>
      </w:r>
      <w:r>
        <w:rPr>
          <w:rFonts w:ascii="Garamond" w:hAnsi="Garamond"/>
          <w:sz w:val="22"/>
        </w:rPr>
        <w:fldChar w:fldCharType="separate"/>
      </w:r>
    </w:p>
    <w:p w14:paraId="43D1D81E" w14:textId="54282499"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Difference in rates of employment by qualification type (relative to HE) among those </w:t>
      </w:r>
      <w:r w:rsidR="00715F2C">
        <w:br/>
      </w:r>
      <w:r>
        <w:t>in the same occupations (regression results)</w:t>
      </w:r>
      <w:r>
        <w:tab/>
      </w:r>
      <w:r>
        <w:fldChar w:fldCharType="begin"/>
      </w:r>
      <w:r>
        <w:instrText xml:space="preserve"> PAGEREF _Toc102041092 \h </w:instrText>
      </w:r>
      <w:r>
        <w:fldChar w:fldCharType="separate"/>
      </w:r>
      <w:r>
        <w:t>22</w:t>
      </w:r>
      <w:r>
        <w:fldChar w:fldCharType="end"/>
      </w:r>
    </w:p>
    <w:p w14:paraId="645CD30F" w14:textId="2310D761"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Difference in rates of casual employment by qualification type (relative to HE) among </w:t>
      </w:r>
      <w:r w:rsidR="00715F2C">
        <w:br/>
      </w:r>
      <w:r>
        <w:t>those in the same occupations (regression results)</w:t>
      </w:r>
      <w:r>
        <w:tab/>
      </w:r>
      <w:r>
        <w:fldChar w:fldCharType="begin"/>
      </w:r>
      <w:r>
        <w:instrText xml:space="preserve"> PAGEREF _Toc102041093 \h </w:instrText>
      </w:r>
      <w:r>
        <w:fldChar w:fldCharType="separate"/>
      </w:r>
      <w:r>
        <w:t>24</w:t>
      </w:r>
      <w:r>
        <w:fldChar w:fldCharType="end"/>
      </w:r>
    </w:p>
    <w:p w14:paraId="7159CCE0" w14:textId="637BAD73" w:rsidR="00F544AC" w:rsidRDefault="00F544AC" w:rsidP="00CA28B7">
      <w:pPr>
        <w:pStyle w:val="TableofFigures"/>
        <w:tabs>
          <w:tab w:val="clear" w:pos="6804"/>
          <w:tab w:val="right" w:pos="9072"/>
        </w:tabs>
        <w:ind w:left="284" w:right="-1" w:hanging="284"/>
        <w:rPr>
          <w:rFonts w:asciiTheme="minorHAnsi" w:eastAsiaTheme="minorEastAsia" w:hAnsiTheme="minorHAnsi" w:cstheme="minorBidi"/>
          <w:color w:val="auto"/>
          <w:sz w:val="22"/>
          <w:szCs w:val="22"/>
          <w:lang w:eastAsia="en-AU"/>
        </w:rPr>
      </w:pPr>
      <w:r>
        <w:t>3</w:t>
      </w:r>
      <w:r w:rsidR="002949F5">
        <w:rPr>
          <w:rFonts w:asciiTheme="minorHAnsi" w:eastAsiaTheme="minorEastAsia" w:hAnsiTheme="minorHAnsi" w:cstheme="minorBidi"/>
          <w:color w:val="auto"/>
          <w:sz w:val="22"/>
          <w:szCs w:val="22"/>
          <w:lang w:eastAsia="en-AU"/>
        </w:rPr>
        <w:t xml:space="preserve">  </w:t>
      </w:r>
      <w:r w:rsidR="00D12A7F">
        <w:rPr>
          <w:rFonts w:asciiTheme="minorHAnsi" w:eastAsiaTheme="minorEastAsia" w:hAnsiTheme="minorHAnsi" w:cstheme="minorBidi"/>
          <w:color w:val="auto"/>
          <w:sz w:val="22"/>
          <w:szCs w:val="22"/>
          <w:lang w:eastAsia="en-AU"/>
        </w:rPr>
        <w:tab/>
      </w:r>
      <w:r>
        <w:t xml:space="preserve">Difference in the usual number of hours of work per week by qualification type </w:t>
      </w:r>
      <w:r w:rsidR="00715F2C">
        <w:br/>
      </w:r>
      <w:r>
        <w:t>(relative to HE) among those in the same occupations (regression results)</w:t>
      </w:r>
      <w:r>
        <w:tab/>
      </w:r>
      <w:r>
        <w:fldChar w:fldCharType="begin"/>
      </w:r>
      <w:r>
        <w:instrText xml:space="preserve"> PAGEREF _Toc102041095 \h </w:instrText>
      </w:r>
      <w:r>
        <w:fldChar w:fldCharType="separate"/>
      </w:r>
      <w:r>
        <w:t>24</w:t>
      </w:r>
      <w:r>
        <w:fldChar w:fldCharType="end"/>
      </w:r>
    </w:p>
    <w:p w14:paraId="63B0D883" w14:textId="66F277F1" w:rsidR="00F544AC" w:rsidRDefault="00F544AC" w:rsidP="00CA28B7">
      <w:pPr>
        <w:pStyle w:val="TableofFigures"/>
        <w:tabs>
          <w:tab w:val="clear" w:pos="6804"/>
          <w:tab w:val="right" w:pos="9072"/>
        </w:tabs>
        <w:ind w:left="284" w:right="-1"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 </w:t>
      </w:r>
      <w:r w:rsidR="002949F5">
        <w:t xml:space="preserve"> </w:t>
      </w:r>
      <w:r>
        <w:t xml:space="preserve">Difference in rates of non-standard work schedule by qualification type </w:t>
      </w:r>
      <w:r w:rsidR="00715F2C">
        <w:br/>
      </w:r>
      <w:r>
        <w:t>(relative to HE) among those in the same occupations (regression results)</w:t>
      </w:r>
      <w:r>
        <w:tab/>
      </w:r>
      <w:r>
        <w:fldChar w:fldCharType="begin"/>
      </w:r>
      <w:r>
        <w:instrText xml:space="preserve"> PAGEREF _Toc102041097 \h </w:instrText>
      </w:r>
      <w:r>
        <w:fldChar w:fldCharType="separate"/>
      </w:r>
      <w:r>
        <w:t>25</w:t>
      </w:r>
      <w:r>
        <w:fldChar w:fldCharType="end"/>
      </w:r>
    </w:p>
    <w:p w14:paraId="4677A962" w14:textId="1ABA077F" w:rsidR="00F544AC" w:rsidRDefault="00F544AC" w:rsidP="00CA28B7">
      <w:pPr>
        <w:pStyle w:val="TableofFigures"/>
        <w:tabs>
          <w:tab w:val="clear" w:pos="6804"/>
          <w:tab w:val="right" w:pos="9072"/>
        </w:tabs>
        <w:ind w:left="284" w:right="-1" w:hanging="284"/>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Difference in hourly gross wage by qualification type (relative to HE) among those </w:t>
      </w:r>
      <w:r w:rsidR="00715F2C">
        <w:br/>
      </w:r>
      <w:r>
        <w:t>in the same occupations (regression results)</w:t>
      </w:r>
      <w:r>
        <w:tab/>
      </w:r>
      <w:r>
        <w:fldChar w:fldCharType="begin"/>
      </w:r>
      <w:r>
        <w:instrText xml:space="preserve"> PAGEREF _Toc102041099 \h </w:instrText>
      </w:r>
      <w:r>
        <w:fldChar w:fldCharType="separate"/>
      </w:r>
      <w:r>
        <w:t>26</w:t>
      </w:r>
      <w:r>
        <w:fldChar w:fldCharType="end"/>
      </w:r>
    </w:p>
    <w:p w14:paraId="4B1F2E64" w14:textId="6DBE4A22"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Difference in workplace entitlements for paid maternity leave by qualification type </w:t>
      </w:r>
      <w:r w:rsidR="00715F2C">
        <w:br/>
      </w:r>
      <w:r>
        <w:t>(relative to HE) among those in the same occupations (regression results)</w:t>
      </w:r>
      <w:r>
        <w:tab/>
      </w:r>
      <w:r>
        <w:fldChar w:fldCharType="begin"/>
      </w:r>
      <w:r>
        <w:instrText xml:space="preserve"> PAGEREF _Toc102041101 \h </w:instrText>
      </w:r>
      <w:r>
        <w:fldChar w:fldCharType="separate"/>
      </w:r>
      <w:r>
        <w:t>27</w:t>
      </w:r>
      <w:r>
        <w:fldChar w:fldCharType="end"/>
      </w:r>
    </w:p>
    <w:p w14:paraId="665FB692" w14:textId="382EE0A1"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Difference in rates of supervisory responsibilities by qualification type (relative to HE) </w:t>
      </w:r>
      <w:r w:rsidR="00715F2C">
        <w:br/>
      </w:r>
      <w:r>
        <w:t>among those in the same occupations (regression results)</w:t>
      </w:r>
      <w:r>
        <w:tab/>
      </w:r>
      <w:r>
        <w:fldChar w:fldCharType="begin"/>
      </w:r>
      <w:r>
        <w:instrText xml:space="preserve"> PAGEREF _Toc102041103 \h </w:instrText>
      </w:r>
      <w:r>
        <w:fldChar w:fldCharType="separate"/>
      </w:r>
      <w:r>
        <w:t>27</w:t>
      </w:r>
      <w:r>
        <w:fldChar w:fldCharType="end"/>
      </w:r>
    </w:p>
    <w:p w14:paraId="74C92BF0" w14:textId="796C5814"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Difference in job characteristics index (weighted by factor loading) by qualification </w:t>
      </w:r>
      <w:r w:rsidR="00715F2C">
        <w:br/>
      </w:r>
      <w:r>
        <w:t>type (relative to HE) among those in the same occupations (regression results)</w:t>
      </w:r>
      <w:r>
        <w:tab/>
      </w:r>
      <w:r>
        <w:fldChar w:fldCharType="begin"/>
      </w:r>
      <w:r>
        <w:instrText xml:space="preserve"> PAGEREF _Toc102041105 \h </w:instrText>
      </w:r>
      <w:r>
        <w:fldChar w:fldCharType="separate"/>
      </w:r>
      <w:r>
        <w:t>28</w:t>
      </w:r>
      <w:r>
        <w:fldChar w:fldCharType="end"/>
      </w:r>
    </w:p>
    <w:p w14:paraId="0D274D45" w14:textId="4C7BDE11"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Difference in job satisfaction (index weighted by factor loading) by qualification type </w:t>
      </w:r>
      <w:r w:rsidR="00715F2C">
        <w:br/>
      </w:r>
      <w:r>
        <w:t>(relative to HE) among those in the same occupations (regression results)</w:t>
      </w:r>
      <w:r>
        <w:tab/>
      </w:r>
      <w:r>
        <w:fldChar w:fldCharType="begin"/>
      </w:r>
      <w:r>
        <w:instrText xml:space="preserve"> PAGEREF _Toc102041107 \h </w:instrText>
      </w:r>
      <w:r>
        <w:fldChar w:fldCharType="separate"/>
      </w:r>
      <w:r>
        <w:t>29</w:t>
      </w:r>
      <w:r>
        <w:fldChar w:fldCharType="end"/>
      </w:r>
    </w:p>
    <w:p w14:paraId="2BD878D4" w14:textId="4703141B"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Difference in satisfaction with work opportunities by qualification type (relative to HE) </w:t>
      </w:r>
      <w:r w:rsidR="00715F2C">
        <w:br/>
      </w:r>
      <w:r>
        <w:t>among those in the same occupations (regression results)</w:t>
      </w:r>
      <w:r>
        <w:tab/>
      </w:r>
      <w:r>
        <w:fldChar w:fldCharType="begin"/>
      </w:r>
      <w:r>
        <w:instrText xml:space="preserve"> PAGEREF _Toc102041109 \h </w:instrText>
      </w:r>
      <w:r>
        <w:fldChar w:fldCharType="separate"/>
      </w:r>
      <w:r>
        <w:t>30</w:t>
      </w:r>
      <w:r>
        <w:fldChar w:fldCharType="end"/>
      </w:r>
    </w:p>
    <w:p w14:paraId="5E42EE4A" w14:textId="5C273928"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Difference in tenure in the occupation (years) by qualification type (relative to HE) </w:t>
      </w:r>
      <w:r w:rsidR="00715F2C">
        <w:br/>
      </w:r>
      <w:r>
        <w:t>among those in the same occupations (regression results)</w:t>
      </w:r>
      <w:r>
        <w:tab/>
      </w:r>
      <w:r>
        <w:fldChar w:fldCharType="begin"/>
      </w:r>
      <w:r>
        <w:instrText xml:space="preserve"> PAGEREF _Toc102041111 \h </w:instrText>
      </w:r>
      <w:r>
        <w:fldChar w:fldCharType="separate"/>
      </w:r>
      <w:r>
        <w:t>31</w:t>
      </w:r>
      <w:r>
        <w:fldChar w:fldCharType="end"/>
      </w:r>
    </w:p>
    <w:p w14:paraId="038EC167" w14:textId="67C89C34" w:rsidR="00F544AC" w:rsidRDefault="00F544AC" w:rsidP="00CA28B7">
      <w:pPr>
        <w:pStyle w:val="TableofFigures"/>
        <w:tabs>
          <w:tab w:val="clear" w:pos="6804"/>
          <w:tab w:val="left" w:pos="1100"/>
          <w:tab w:val="right" w:pos="9072"/>
        </w:tabs>
        <w:ind w:left="284" w:right="-1" w:hanging="284"/>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 xml:space="preserve">Difference in tenure in the job (years) by qualification type (relative to HE) among those </w:t>
      </w:r>
      <w:r w:rsidR="00715F2C">
        <w:br/>
      </w:r>
      <w:r>
        <w:t>in the same occupations (regression results)</w:t>
      </w:r>
      <w:r>
        <w:tab/>
      </w:r>
      <w:r>
        <w:fldChar w:fldCharType="begin"/>
      </w:r>
      <w:r>
        <w:instrText xml:space="preserve"> PAGEREF _Toc102041113 \h </w:instrText>
      </w:r>
      <w:r>
        <w:fldChar w:fldCharType="separate"/>
      </w:r>
      <w:r>
        <w:t>31</w:t>
      </w:r>
      <w:r>
        <w:fldChar w:fldCharType="end"/>
      </w:r>
    </w:p>
    <w:p w14:paraId="23F9B51D" w14:textId="77777777" w:rsidR="004E7227" w:rsidRDefault="00E110EA" w:rsidP="004E7227">
      <w:pPr>
        <w:pStyle w:val="TableofFigures"/>
      </w:pPr>
      <w:r>
        <w:fldChar w:fldCharType="end"/>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8" w:name="_Toc298162803"/>
      <w:r w:rsidRPr="00A93867">
        <w:rPr>
          <w:b/>
        </w:rPr>
        <w:br w:type="page"/>
      </w:r>
    </w:p>
    <w:p w14:paraId="290DDC39" w14:textId="5BFDB367" w:rsidR="00D044B5" w:rsidRDefault="00D044B5" w:rsidP="00D044B5">
      <w:pPr>
        <w:pStyle w:val="Heading1"/>
      </w:pPr>
      <w:bookmarkStart w:id="19" w:name="_Toc102040936"/>
      <w:bookmarkEnd w:id="18"/>
      <w:r>
        <w:lastRenderedPageBreak/>
        <w:t>Introduction</w:t>
      </w:r>
      <w:bookmarkEnd w:id="19"/>
    </w:p>
    <w:p w14:paraId="356F89BA" w14:textId="0CACE462" w:rsidR="00D044B5" w:rsidRDefault="00D044B5" w:rsidP="00C664FC">
      <w:pPr>
        <w:pStyle w:val="Text"/>
      </w:pPr>
      <w:r>
        <w:t xml:space="preserve">The aim of this analysis </w:t>
      </w:r>
      <w:r w:rsidR="00E87543">
        <w:t xml:space="preserve">of data from the </w:t>
      </w:r>
      <w:r w:rsidR="00E87543" w:rsidRPr="00E87543">
        <w:t>Household, Income and Labour Dynamics in Australia (HILDA) Survey</w:t>
      </w:r>
      <w:r w:rsidR="00E87543">
        <w:t xml:space="preserve"> </w:t>
      </w:r>
      <w:r w:rsidRPr="00E87543">
        <w:t>is</w:t>
      </w:r>
      <w:r>
        <w:t xml:space="preserve"> to compare labour market outcomes between individuals who have </w:t>
      </w:r>
      <w:r w:rsidR="00C664FC">
        <w:t>Vocational Education and Training (</w:t>
      </w:r>
      <w:r>
        <w:t>VET</w:t>
      </w:r>
      <w:r w:rsidR="00C664FC">
        <w:t>)</w:t>
      </w:r>
      <w:r>
        <w:t xml:space="preserve"> qualifications only, VET and </w:t>
      </w:r>
      <w:r w:rsidR="00C664FC">
        <w:t>Higher Education (</w:t>
      </w:r>
      <w:r>
        <w:t>HE</w:t>
      </w:r>
      <w:r w:rsidR="00C664FC">
        <w:t>)</w:t>
      </w:r>
      <w:r>
        <w:t xml:space="preserve"> qualifications and HE qualifications only, but who work in the same occupations.  In the following, we describe:</w:t>
      </w:r>
    </w:p>
    <w:p w14:paraId="13037845" w14:textId="2BF0E902" w:rsidR="00D044B5" w:rsidRDefault="00D044B5" w:rsidP="00C664FC">
      <w:pPr>
        <w:pStyle w:val="Dotpoint1"/>
      </w:pPr>
      <w:r w:rsidRPr="0034613E">
        <w:t xml:space="preserve">how we define VET vs HE education </w:t>
      </w:r>
      <w:proofErr w:type="gramStart"/>
      <w:r w:rsidRPr="0034613E">
        <w:t>qualifications;</w:t>
      </w:r>
      <w:proofErr w:type="gramEnd"/>
      <w:r w:rsidRPr="0034613E">
        <w:t xml:space="preserve"> </w:t>
      </w:r>
    </w:p>
    <w:p w14:paraId="07299E6D" w14:textId="3BAEB7E5" w:rsidR="00D044B5" w:rsidRDefault="00D044B5" w:rsidP="00C664FC">
      <w:pPr>
        <w:pStyle w:val="Dotpoint1"/>
      </w:pPr>
      <w:r w:rsidRPr="0034613E">
        <w:t xml:space="preserve">how we selected a group of occupations that present a mix of </w:t>
      </w:r>
      <w:proofErr w:type="gramStart"/>
      <w:r w:rsidRPr="0034613E">
        <w:t>qualifications</w:t>
      </w:r>
      <w:r>
        <w:t>;</w:t>
      </w:r>
      <w:proofErr w:type="gramEnd"/>
      <w:r w:rsidRPr="0034613E">
        <w:t xml:space="preserve"> </w:t>
      </w:r>
    </w:p>
    <w:p w14:paraId="62AF6747" w14:textId="102072F7" w:rsidR="00D044B5" w:rsidRDefault="00D044B5" w:rsidP="00C664FC">
      <w:pPr>
        <w:pStyle w:val="Dotpoint1"/>
      </w:pPr>
      <w:r w:rsidRPr="003E1D42">
        <w:t xml:space="preserve">how we selected the sample of respondents for </w:t>
      </w:r>
      <w:proofErr w:type="gramStart"/>
      <w:r w:rsidRPr="003E1D42">
        <w:t>analysis</w:t>
      </w:r>
      <w:r>
        <w:t>;</w:t>
      </w:r>
      <w:proofErr w:type="gramEnd"/>
    </w:p>
    <w:p w14:paraId="7E1A0B05" w14:textId="3A1E170D" w:rsidR="00D044B5" w:rsidRDefault="00E87543" w:rsidP="00C664FC">
      <w:pPr>
        <w:pStyle w:val="Dotpoint1"/>
      </w:pPr>
      <w:r>
        <w:t xml:space="preserve">the </w:t>
      </w:r>
      <w:r w:rsidR="00D044B5">
        <w:t xml:space="preserve">characteristics of the </w:t>
      </w:r>
      <w:proofErr w:type="gramStart"/>
      <w:r w:rsidR="00D044B5">
        <w:t>sample;</w:t>
      </w:r>
      <w:proofErr w:type="gramEnd"/>
      <w:r w:rsidR="00D044B5">
        <w:t xml:space="preserve"> </w:t>
      </w:r>
    </w:p>
    <w:p w14:paraId="4825C52A" w14:textId="674FAE31" w:rsidR="00D044B5" w:rsidRDefault="00D044B5" w:rsidP="00C664FC">
      <w:pPr>
        <w:pStyle w:val="Dotpoint1"/>
      </w:pPr>
      <w:r w:rsidRPr="0034613E">
        <w:t>how labour market outcomes differ between the qualification groups</w:t>
      </w:r>
      <w:r>
        <w:t xml:space="preserve">, including </w:t>
      </w:r>
      <w:r w:rsidRPr="0034613E">
        <w:t>how th</w:t>
      </w:r>
      <w:r>
        <w:t xml:space="preserve">ese </w:t>
      </w:r>
      <w:r w:rsidRPr="0034613E">
        <w:t>difference</w:t>
      </w:r>
      <w:r>
        <w:t>s evolve</w:t>
      </w:r>
      <w:r w:rsidRPr="0034613E">
        <w:t xml:space="preserve"> over time as respondents progress through their career</w:t>
      </w:r>
      <w:r>
        <w:t>; and</w:t>
      </w:r>
    </w:p>
    <w:p w14:paraId="65FCF937" w14:textId="0CC3FAB8" w:rsidR="00D044B5" w:rsidRPr="00C664FC" w:rsidRDefault="00D044B5" w:rsidP="00D044B5">
      <w:pPr>
        <w:pStyle w:val="Dotpoint1"/>
        <w:spacing w:line="288" w:lineRule="auto"/>
        <w:jc w:val="both"/>
        <w:rPr>
          <w:b/>
        </w:rPr>
      </w:pPr>
      <w:r>
        <w:t xml:space="preserve">the stability of the results to key decisions about the approach (section 6). </w:t>
      </w:r>
      <w:r w:rsidRPr="0034613E">
        <w:t xml:space="preserve"> </w:t>
      </w:r>
    </w:p>
    <w:p w14:paraId="2C598CF1" w14:textId="3580C8DD" w:rsidR="00C664FC" w:rsidRDefault="00C664FC" w:rsidP="00C664FC">
      <w:pPr>
        <w:pStyle w:val="Heading2"/>
      </w:pPr>
      <w:bookmarkStart w:id="20" w:name="_Toc102040937"/>
      <w:r>
        <w:t>HILDA</w:t>
      </w:r>
      <w:bookmarkEnd w:id="20"/>
    </w:p>
    <w:p w14:paraId="370E2A7D" w14:textId="1EBC7B4F" w:rsidR="00E87543" w:rsidRPr="00E87543" w:rsidRDefault="00E87543" w:rsidP="00E87543">
      <w:pPr>
        <w:pStyle w:val="Text"/>
      </w:pPr>
      <w:r>
        <w:t xml:space="preserve">The </w:t>
      </w:r>
      <w:r w:rsidRPr="00E87543">
        <w:t>Household, Income and Labour Dynamics in Australia</w:t>
      </w:r>
      <w:r w:rsidR="00316C0D">
        <w:rPr>
          <w:rStyle w:val="FootnoteReference"/>
        </w:rPr>
        <w:footnoteReference w:id="1"/>
      </w:r>
      <w:r w:rsidRPr="00E87543">
        <w:t xml:space="preserve"> Survey</w:t>
      </w:r>
      <w:r>
        <w:t xml:space="preserve"> was used as the basis of analysis for this exercise as it contains data (beginning from 2001) on various aspects of a sample</w:t>
      </w:r>
      <w:r>
        <w:rPr>
          <w:rStyle w:val="FootnoteReference"/>
        </w:rPr>
        <w:footnoteReference w:id="2"/>
      </w:r>
      <w:r>
        <w:t xml:space="preserve"> of Australian’s lives </w:t>
      </w:r>
      <w:r w:rsidR="00BF2DE3">
        <w:t xml:space="preserve">over time, including educational and labour market data. The longitudinal nature of the survey allows for analysis </w:t>
      </w:r>
      <w:r w:rsidR="00017FE4">
        <w:t xml:space="preserve">effects due to the presence of before and after information (e.g., ability to analyse what the completion of an educational qualification leads to in the labour market). This data is therefore suitable for the analysis undertaken here. </w:t>
      </w:r>
      <w:r w:rsidR="00BF2DE3">
        <w:t xml:space="preserve"> </w:t>
      </w:r>
    </w:p>
    <w:p w14:paraId="34F1913E" w14:textId="5576098F" w:rsidR="00D044B5" w:rsidRPr="00467F21" w:rsidRDefault="00D044B5" w:rsidP="00C664FC">
      <w:pPr>
        <w:pStyle w:val="Heading2"/>
      </w:pPr>
      <w:bookmarkStart w:id="21" w:name="_Toc102040938"/>
      <w:r w:rsidRPr="00467F21">
        <w:t>Defining education qualifications</w:t>
      </w:r>
      <w:bookmarkEnd w:id="21"/>
    </w:p>
    <w:p w14:paraId="325DBE55" w14:textId="13EE04C3" w:rsidR="00D044B5" w:rsidRDefault="00D044B5" w:rsidP="00C664FC">
      <w:pPr>
        <w:pStyle w:val="Text"/>
      </w:pPr>
      <w:r>
        <w:t>H</w:t>
      </w:r>
      <w:r w:rsidR="0089036D">
        <w:t>E</w:t>
      </w:r>
      <w:r>
        <w:t xml:space="preserve"> and VET qualifications are defined using the number of qualifications that HILDA respondents obtained since leaving school for each level of education in the Australian Standard Classification of Education. This information is updated at each wave in HILDA. Based on this information, we </w:t>
      </w:r>
      <w:proofErr w:type="gramStart"/>
      <w:r>
        <w:t>are able to</w:t>
      </w:r>
      <w:proofErr w:type="gramEnd"/>
      <w:r>
        <w:t xml:space="preserve"> distinguish respondents with only VET qualifications, integrated qualifications (</w:t>
      </w:r>
      <w:r w:rsidR="00707780">
        <w:t>i.e.,</w:t>
      </w:r>
      <w:r>
        <w:t xml:space="preserve"> with both VET and HE qualifications) and only HE qualifications. </w:t>
      </w:r>
    </w:p>
    <w:p w14:paraId="515B8F4E" w14:textId="77777777" w:rsidR="00D044B5" w:rsidRPr="00F75048" w:rsidRDefault="00D044B5" w:rsidP="00C664FC">
      <w:pPr>
        <w:pStyle w:val="Text"/>
      </w:pPr>
      <w:r>
        <w:t>VET an</w:t>
      </w:r>
      <w:r w:rsidRPr="00F75048">
        <w:t xml:space="preserve">d higher education qualifications are distinguished following the Australian Qualifications Framework (AQF), with VET being any qualification lower than bachelor’s degree. </w:t>
      </w:r>
    </w:p>
    <w:p w14:paraId="409587AA" w14:textId="016E1A5C" w:rsidR="00D044B5" w:rsidRPr="00F75048" w:rsidRDefault="00D044B5" w:rsidP="00707780">
      <w:pPr>
        <w:pStyle w:val="Dotpoint1"/>
      </w:pPr>
      <w:r w:rsidRPr="00F75048">
        <w:t>VET qualifications include</w:t>
      </w:r>
      <w:r w:rsidR="00707780">
        <w:t xml:space="preserve"> -</w:t>
      </w:r>
      <w:r w:rsidRPr="00F75048">
        <w:t xml:space="preserve"> Associate degree; Advanced diploma</w:t>
      </w:r>
      <w:r>
        <w:t xml:space="preserve">; </w:t>
      </w:r>
      <w:r w:rsidRPr="00F75048">
        <w:t>Diploma; Certificate I to IV; Certificate (level unknown)</w:t>
      </w:r>
    </w:p>
    <w:p w14:paraId="438266EA" w14:textId="32FFC687" w:rsidR="00D044B5" w:rsidRDefault="00D044B5" w:rsidP="00707780">
      <w:pPr>
        <w:pStyle w:val="Dotpoint1"/>
      </w:pPr>
      <w:r w:rsidRPr="00F75048">
        <w:t xml:space="preserve">HE qualifications include </w:t>
      </w:r>
      <w:r w:rsidR="00707780">
        <w:t>-</w:t>
      </w:r>
      <w:r w:rsidRPr="00F75048">
        <w:t xml:space="preserve"> Postgraduate; Doctoral degree; </w:t>
      </w:r>
      <w:proofErr w:type="gramStart"/>
      <w:r w:rsidRPr="00F75048">
        <w:t>Master</w:t>
      </w:r>
      <w:proofErr w:type="gramEnd"/>
      <w:r w:rsidRPr="00F75048">
        <w:t xml:space="preserve"> degree; Graduate Diploma; Graduate Certificate; Bachelor Degree (incl. Honours and Pass)</w:t>
      </w:r>
    </w:p>
    <w:p w14:paraId="78B6B1DD" w14:textId="196FFA31" w:rsidR="00D044B5" w:rsidRDefault="00D044B5" w:rsidP="00707780">
      <w:pPr>
        <w:pStyle w:val="Text"/>
      </w:pPr>
      <w:r w:rsidRPr="00F75048">
        <w:t xml:space="preserve">Respondents are classified as “VET only” if they only have VET qualifications; “VET and HE” if they have some VET and </w:t>
      </w:r>
      <w:proofErr w:type="gramStart"/>
      <w:r w:rsidRPr="00F75048">
        <w:t>some</w:t>
      </w:r>
      <w:proofErr w:type="gramEnd"/>
      <w:r w:rsidRPr="00F75048">
        <w:t xml:space="preserve"> HE qualifications; and “HE only” if they only have HE qualifications.</w:t>
      </w:r>
    </w:p>
    <w:p w14:paraId="13D26319" w14:textId="77777777" w:rsidR="00D044B5" w:rsidRPr="00467F21" w:rsidRDefault="00D044B5" w:rsidP="00707780">
      <w:pPr>
        <w:pStyle w:val="Heading2"/>
      </w:pPr>
      <w:bookmarkStart w:id="22" w:name="_Toc102040939"/>
      <w:r w:rsidRPr="00467F21">
        <w:lastRenderedPageBreak/>
        <w:t>Selecting occupations with a mix of VET and HE</w:t>
      </w:r>
      <w:bookmarkEnd w:id="22"/>
    </w:p>
    <w:p w14:paraId="09307AA5" w14:textId="77777777" w:rsidR="00D044B5" w:rsidRDefault="00D044B5" w:rsidP="00E35D15">
      <w:pPr>
        <w:pStyle w:val="Text"/>
      </w:pPr>
      <w:r>
        <w:t>To define respondents’ occupation, we use the 4-digit ANZSCO 2006 code of respondents’ current main job. For respondents who are unemployed, not in the labour force or changed jobs or did not provide the occupation of their current job, we use the 4-digit ANZSCO 2006 code of respondents’ previous job.</w:t>
      </w:r>
    </w:p>
    <w:p w14:paraId="23DDC723" w14:textId="77777777" w:rsidR="00D044B5" w:rsidRDefault="00D044B5" w:rsidP="00E35D15">
      <w:pPr>
        <w:pStyle w:val="Text"/>
      </w:pPr>
      <w:r>
        <w:t>To select occupations with a mix of VET and HE qualifications, we keep 3-digit ANZSCO 2006 occupations for which we have at least 10 respondents in each qualification group (VET only, VET and HE, HE only). This restricts the sample to white-collar occupations because no blue-collar occupation has a good mix of VET and HE qualifications (all have less than 10 observations for HE and VET and HE qualification groups at the 2 and 3-digit level). As defined by the ABS, white-collar occupations include the following 1-digit ANZSCO 2006 codes: 1: Managers; 2: Professionals; 4: Community and personal service workers; 5: Clerical &amp; administrative workers; 6: Sales workers</w:t>
      </w:r>
      <w:r>
        <w:rPr>
          <w:rStyle w:val="FootnoteReference"/>
        </w:rPr>
        <w:footnoteReference w:id="3"/>
      </w:r>
      <w:r>
        <w:t>.</w:t>
      </w:r>
    </w:p>
    <w:p w14:paraId="0E2D503A" w14:textId="77777777" w:rsidR="00D044B5" w:rsidRDefault="00D044B5" w:rsidP="00E35D15">
      <w:pPr>
        <w:pStyle w:val="Text"/>
      </w:pPr>
      <w:r>
        <w:t xml:space="preserve">This enables us to have enough observations in each occupation group to produce robust comparisons and at the same time maintain a decent sample size overall (when we increase the number of </w:t>
      </w:r>
      <w:proofErr w:type="gramStart"/>
      <w:r>
        <w:t>observation</w:t>
      </w:r>
      <w:proofErr w:type="gramEnd"/>
      <w:r>
        <w:t xml:space="preserve"> requested for each group, less occupations make the threshold and the sample is reduced).</w:t>
      </w:r>
    </w:p>
    <w:p w14:paraId="7B6B719F" w14:textId="77777777" w:rsidR="00D044B5" w:rsidRDefault="00D044B5" w:rsidP="00E35D15">
      <w:pPr>
        <w:pStyle w:val="Text"/>
      </w:pPr>
      <w:r>
        <w:t>After analysis of the number of observations by occupation at the 3-digit level and qualification groups, we build two sample of occupations for analysis:</w:t>
      </w:r>
    </w:p>
    <w:p w14:paraId="63F2D593" w14:textId="77777777" w:rsidR="00D044B5" w:rsidRDefault="00D044B5" w:rsidP="00E35D15">
      <w:pPr>
        <w:pStyle w:val="Dotpoint1"/>
      </w:pPr>
      <w:r>
        <w:t>The main sample includes occupations that have at least 10 observations in each qualification group at the 3-digit level.</w:t>
      </w:r>
    </w:p>
    <w:p w14:paraId="511A8A4C" w14:textId="61204E96" w:rsidR="00D044B5" w:rsidRDefault="00D044B5" w:rsidP="00D044B5">
      <w:pPr>
        <w:pStyle w:val="Dotpoint1"/>
        <w:spacing w:line="288" w:lineRule="auto"/>
        <w:jc w:val="both"/>
      </w:pPr>
      <w:r>
        <w:t>The extended sample includes extra occupations that have at least 10 observations in each qualification group at the 2-digit level (but less than 10 at the 3-digit level).</w:t>
      </w:r>
    </w:p>
    <w:p w14:paraId="023863A6" w14:textId="77777777" w:rsidR="00D044B5" w:rsidRPr="00467F21" w:rsidRDefault="00D044B5" w:rsidP="00E35D15">
      <w:pPr>
        <w:pStyle w:val="Heading2"/>
      </w:pPr>
      <w:bookmarkStart w:id="23" w:name="_Toc102040940"/>
      <w:r w:rsidRPr="00467F21">
        <w:t>Sample of analysis</w:t>
      </w:r>
      <w:bookmarkEnd w:id="23"/>
    </w:p>
    <w:p w14:paraId="48538935" w14:textId="77777777" w:rsidR="00D044B5" w:rsidDel="00692834" w:rsidRDefault="00D044B5" w:rsidP="00E35D15">
      <w:pPr>
        <w:pStyle w:val="Text"/>
      </w:pPr>
      <w:r w:rsidDel="00692834">
        <w:t xml:space="preserve">We use HILDA wave 11 </w:t>
      </w:r>
      <w:r>
        <w:t xml:space="preserve">(2011) </w:t>
      </w:r>
      <w:r w:rsidDel="00692834">
        <w:t>as the base sample to observe respondents’ occupations and qualifications</w:t>
      </w:r>
      <w:r>
        <w:t xml:space="preserve"> (as described above)</w:t>
      </w:r>
      <w:r w:rsidDel="00692834">
        <w:t>.</w:t>
      </w:r>
      <w:r>
        <w:rPr>
          <w:rStyle w:val="FootnoteReference"/>
        </w:rPr>
        <w:footnoteReference w:id="4"/>
      </w:r>
      <w:r w:rsidDel="00692834">
        <w:t xml:space="preserve"> This maximises the sample size by including HILDA’s top-up sample of 5,500 individuals. This also allows us to observe the evolution </w:t>
      </w:r>
      <w:r>
        <w:t xml:space="preserve">of </w:t>
      </w:r>
      <w:r w:rsidDel="00692834">
        <w:t>the sample’s outcomes for 8 years up to 2019, providing a sense of how the difference between the pathways of VET and HE qualified respondents evolve as individuals progress through their careers.</w:t>
      </w:r>
    </w:p>
    <w:p w14:paraId="47C38F0C" w14:textId="77777777" w:rsidR="00D044B5" w:rsidRDefault="00D044B5" w:rsidP="00E35D15">
      <w:pPr>
        <w:pStyle w:val="Text"/>
      </w:pPr>
      <w:r>
        <w:t>Our sample of analysis includes working age respondents, 25-56 years old in wave 11 with non-missing information on occupation and qualifications (33-64 years old in 2019). Table 1 below shows the sample sizes as restrictions are applied.</w:t>
      </w:r>
    </w:p>
    <w:p w14:paraId="34539335" w14:textId="77777777" w:rsidR="00D044B5" w:rsidRDefault="00D044B5" w:rsidP="00E35D15">
      <w:pPr>
        <w:pStyle w:val="Text"/>
      </w:pPr>
      <w:r>
        <w:t>We exclude respondents with neither a VET nor HE qualification (19% of the wave 11 sample between 25 and 56 years old).</w:t>
      </w:r>
    </w:p>
    <w:p w14:paraId="0543158D" w14:textId="77777777" w:rsidR="00D044B5" w:rsidRPr="00313D10" w:rsidRDefault="00D044B5" w:rsidP="00E35D15">
      <w:pPr>
        <w:pStyle w:val="Text"/>
      </w:pPr>
      <w:r>
        <w:t xml:space="preserve">We then restrict the sample to occupations that contain a mix of workers with VET only, VET and HE, and HE only </w:t>
      </w:r>
      <w:r w:rsidRPr="00313D10">
        <w:t>qualifications (our three qualification groups of interest), following the process described above leading to two samples of analysis:</w:t>
      </w:r>
    </w:p>
    <w:p w14:paraId="799E65A9" w14:textId="77777777" w:rsidR="00D044B5" w:rsidRPr="00313D10" w:rsidRDefault="00D044B5" w:rsidP="00E35D15">
      <w:pPr>
        <w:pStyle w:val="Dotpoint1"/>
      </w:pPr>
      <w:r w:rsidRPr="00313D10">
        <w:lastRenderedPageBreak/>
        <w:t>Main sample based on 3-digit ANZSCO 2006 occupations: N = 2,723</w:t>
      </w:r>
    </w:p>
    <w:p w14:paraId="4CAF0160" w14:textId="77777777" w:rsidR="00D044B5" w:rsidRPr="00313D10" w:rsidRDefault="00D044B5" w:rsidP="00E35D15">
      <w:pPr>
        <w:pStyle w:val="Dotpoint1"/>
      </w:pPr>
      <w:r w:rsidRPr="00313D10">
        <w:t>An extended sample based on a combination of 3-digit and 2-digit ANZSCO 2006 occupations: N = 3,745 (this will be used to test the sensitivity of the results to the inclusion of a larger set of occupations).</w:t>
      </w:r>
    </w:p>
    <w:p w14:paraId="0645E4B2" w14:textId="5253E2CD" w:rsidR="00D044B5" w:rsidRPr="00313D10" w:rsidRDefault="00D3689E" w:rsidP="00B95148">
      <w:pPr>
        <w:pStyle w:val="tabletitle"/>
      </w:pPr>
      <w:bookmarkStart w:id="24" w:name="_Toc102041054"/>
      <w:r>
        <w:t>T</w:t>
      </w:r>
      <w:r w:rsidR="00D044B5" w:rsidRPr="00313D10">
        <w:t>able 1</w:t>
      </w:r>
      <w:r>
        <w:tab/>
      </w:r>
      <w:r w:rsidR="00D044B5" w:rsidRPr="00313D10">
        <w:t>Sample selection</w:t>
      </w:r>
      <w:bookmarkEnd w:id="24"/>
    </w:p>
    <w:tbl>
      <w:tblPr>
        <w:tblW w:w="7940" w:type="dxa"/>
        <w:tblLook w:val="04A0" w:firstRow="1" w:lastRow="0" w:firstColumn="1" w:lastColumn="0" w:noHBand="0" w:noVBand="1"/>
      </w:tblPr>
      <w:tblGrid>
        <w:gridCol w:w="3640"/>
        <w:gridCol w:w="2120"/>
        <w:gridCol w:w="2180"/>
      </w:tblGrid>
      <w:tr w:rsidR="00D044B5" w:rsidRPr="00882786" w14:paraId="1CED5510" w14:textId="77777777" w:rsidTr="00C368DB">
        <w:trPr>
          <w:trHeight w:val="600"/>
        </w:trPr>
        <w:tc>
          <w:tcPr>
            <w:tcW w:w="3640" w:type="dxa"/>
            <w:tcBorders>
              <w:top w:val="single" w:sz="4" w:space="0" w:color="auto"/>
              <w:left w:val="nil"/>
              <w:bottom w:val="single" w:sz="4" w:space="0" w:color="auto"/>
              <w:right w:val="nil"/>
            </w:tcBorders>
            <w:shd w:val="clear" w:color="auto" w:fill="auto"/>
            <w:noWrap/>
            <w:vAlign w:val="bottom"/>
            <w:hideMark/>
          </w:tcPr>
          <w:p w14:paraId="42633BC8" w14:textId="77777777" w:rsidR="00D044B5" w:rsidRPr="00882786" w:rsidRDefault="00D044B5" w:rsidP="00B95148">
            <w:pPr>
              <w:pStyle w:val="Tablehead1"/>
              <w:rPr>
                <w:lang w:eastAsia="en-AU"/>
              </w:rPr>
            </w:pPr>
            <w:r w:rsidRPr="00882786">
              <w:rPr>
                <w:lang w:eastAsia="en-AU"/>
              </w:rPr>
              <w:t> </w:t>
            </w:r>
          </w:p>
        </w:tc>
        <w:tc>
          <w:tcPr>
            <w:tcW w:w="2120" w:type="dxa"/>
            <w:tcBorders>
              <w:top w:val="single" w:sz="4" w:space="0" w:color="auto"/>
              <w:left w:val="nil"/>
              <w:bottom w:val="single" w:sz="4" w:space="0" w:color="auto"/>
              <w:right w:val="nil"/>
            </w:tcBorders>
            <w:shd w:val="clear" w:color="auto" w:fill="auto"/>
            <w:vAlign w:val="bottom"/>
            <w:hideMark/>
          </w:tcPr>
          <w:p w14:paraId="73F94D8E" w14:textId="77777777" w:rsidR="00D044B5" w:rsidRPr="00882786" w:rsidRDefault="00D044B5" w:rsidP="00B95148">
            <w:pPr>
              <w:pStyle w:val="Tablehead1"/>
              <w:jc w:val="right"/>
              <w:rPr>
                <w:lang w:eastAsia="en-AU"/>
              </w:rPr>
            </w:pPr>
            <w:r w:rsidRPr="00882786">
              <w:rPr>
                <w:lang w:eastAsia="en-AU"/>
              </w:rPr>
              <w:t>Number of observations</w:t>
            </w:r>
          </w:p>
        </w:tc>
        <w:tc>
          <w:tcPr>
            <w:tcW w:w="2180" w:type="dxa"/>
            <w:tcBorders>
              <w:top w:val="single" w:sz="4" w:space="0" w:color="auto"/>
              <w:left w:val="nil"/>
              <w:bottom w:val="single" w:sz="4" w:space="0" w:color="auto"/>
              <w:right w:val="nil"/>
            </w:tcBorders>
            <w:shd w:val="clear" w:color="auto" w:fill="auto"/>
            <w:vAlign w:val="bottom"/>
            <w:hideMark/>
          </w:tcPr>
          <w:p w14:paraId="3E2141FD" w14:textId="77777777" w:rsidR="00D044B5" w:rsidRPr="00882786" w:rsidRDefault="00D044B5" w:rsidP="00B95148">
            <w:pPr>
              <w:pStyle w:val="Tablehead1"/>
              <w:jc w:val="right"/>
              <w:rPr>
                <w:lang w:eastAsia="en-AU"/>
              </w:rPr>
            </w:pPr>
            <w:r w:rsidRPr="00882786">
              <w:rPr>
                <w:lang w:eastAsia="en-AU"/>
              </w:rPr>
              <w:t xml:space="preserve">% </w:t>
            </w:r>
            <w:proofErr w:type="gramStart"/>
            <w:r w:rsidRPr="00882786">
              <w:rPr>
                <w:lang w:eastAsia="en-AU"/>
              </w:rPr>
              <w:t>of</w:t>
            </w:r>
            <w:proofErr w:type="gramEnd"/>
            <w:r w:rsidRPr="00882786">
              <w:rPr>
                <w:lang w:eastAsia="en-AU"/>
              </w:rPr>
              <w:t xml:space="preserve"> base sample</w:t>
            </w:r>
          </w:p>
        </w:tc>
      </w:tr>
      <w:tr w:rsidR="00D044B5" w:rsidRPr="00882786" w14:paraId="2E0A4DE3" w14:textId="77777777" w:rsidTr="00C368DB">
        <w:trPr>
          <w:trHeight w:val="300"/>
        </w:trPr>
        <w:tc>
          <w:tcPr>
            <w:tcW w:w="3640" w:type="dxa"/>
            <w:tcBorders>
              <w:top w:val="nil"/>
              <w:left w:val="nil"/>
              <w:bottom w:val="nil"/>
              <w:right w:val="nil"/>
            </w:tcBorders>
            <w:shd w:val="clear" w:color="auto" w:fill="auto"/>
            <w:noWrap/>
            <w:vAlign w:val="bottom"/>
            <w:hideMark/>
          </w:tcPr>
          <w:p w14:paraId="57E50B98" w14:textId="77777777" w:rsidR="00D044B5" w:rsidRPr="00882786" w:rsidRDefault="00D044B5" w:rsidP="00B95148">
            <w:pPr>
              <w:pStyle w:val="Tabletext"/>
              <w:rPr>
                <w:lang w:eastAsia="en-AU"/>
              </w:rPr>
            </w:pPr>
            <w:r w:rsidRPr="00882786">
              <w:rPr>
                <w:lang w:eastAsia="en-AU"/>
              </w:rPr>
              <w:t>Full Hilda sample</w:t>
            </w:r>
          </w:p>
        </w:tc>
        <w:tc>
          <w:tcPr>
            <w:tcW w:w="2120" w:type="dxa"/>
            <w:tcBorders>
              <w:top w:val="nil"/>
              <w:left w:val="nil"/>
              <w:bottom w:val="nil"/>
              <w:right w:val="nil"/>
            </w:tcBorders>
            <w:shd w:val="clear" w:color="auto" w:fill="auto"/>
            <w:noWrap/>
            <w:vAlign w:val="bottom"/>
            <w:hideMark/>
          </w:tcPr>
          <w:p w14:paraId="08FABCAF" w14:textId="77777777" w:rsidR="00D044B5" w:rsidRPr="00882786" w:rsidRDefault="00D044B5" w:rsidP="00B95148">
            <w:pPr>
              <w:pStyle w:val="Tabletext"/>
              <w:jc w:val="right"/>
              <w:rPr>
                <w:lang w:eastAsia="en-AU"/>
              </w:rPr>
            </w:pPr>
            <w:r w:rsidRPr="00882786">
              <w:rPr>
                <w:lang w:eastAsia="en-AU"/>
              </w:rPr>
              <w:t>23,415</w:t>
            </w:r>
          </w:p>
        </w:tc>
        <w:tc>
          <w:tcPr>
            <w:tcW w:w="2180" w:type="dxa"/>
            <w:tcBorders>
              <w:top w:val="nil"/>
              <w:left w:val="nil"/>
              <w:bottom w:val="nil"/>
              <w:right w:val="nil"/>
            </w:tcBorders>
            <w:shd w:val="clear" w:color="auto" w:fill="auto"/>
            <w:noWrap/>
            <w:vAlign w:val="bottom"/>
            <w:hideMark/>
          </w:tcPr>
          <w:p w14:paraId="16253FB9" w14:textId="77777777" w:rsidR="00D044B5" w:rsidRPr="00882786" w:rsidRDefault="00D044B5" w:rsidP="00B95148">
            <w:pPr>
              <w:pStyle w:val="Tabletext"/>
              <w:jc w:val="right"/>
              <w:rPr>
                <w:lang w:eastAsia="en-AU"/>
              </w:rPr>
            </w:pPr>
            <w:r w:rsidRPr="00882786">
              <w:rPr>
                <w:lang w:eastAsia="en-AU"/>
              </w:rPr>
              <w:t>-</w:t>
            </w:r>
          </w:p>
        </w:tc>
      </w:tr>
      <w:tr w:rsidR="00D044B5" w:rsidRPr="00882786" w14:paraId="731A94B6" w14:textId="77777777" w:rsidTr="00C368DB">
        <w:trPr>
          <w:trHeight w:val="300"/>
        </w:trPr>
        <w:tc>
          <w:tcPr>
            <w:tcW w:w="3640" w:type="dxa"/>
            <w:tcBorders>
              <w:top w:val="nil"/>
              <w:left w:val="nil"/>
              <w:bottom w:val="nil"/>
              <w:right w:val="nil"/>
            </w:tcBorders>
            <w:shd w:val="clear" w:color="auto" w:fill="auto"/>
            <w:noWrap/>
            <w:vAlign w:val="bottom"/>
            <w:hideMark/>
          </w:tcPr>
          <w:p w14:paraId="5C5AC159" w14:textId="77777777" w:rsidR="00D044B5" w:rsidRPr="00882786" w:rsidRDefault="00D044B5" w:rsidP="00B95148">
            <w:pPr>
              <w:pStyle w:val="Tabletext"/>
              <w:rPr>
                <w:lang w:eastAsia="en-AU"/>
              </w:rPr>
            </w:pPr>
            <w:r w:rsidRPr="00882786">
              <w:rPr>
                <w:lang w:eastAsia="en-AU"/>
              </w:rPr>
              <w:t>Wave 11 respondents</w:t>
            </w:r>
          </w:p>
        </w:tc>
        <w:tc>
          <w:tcPr>
            <w:tcW w:w="2120" w:type="dxa"/>
            <w:tcBorders>
              <w:top w:val="nil"/>
              <w:left w:val="nil"/>
              <w:bottom w:val="nil"/>
              <w:right w:val="nil"/>
            </w:tcBorders>
            <w:shd w:val="clear" w:color="auto" w:fill="auto"/>
            <w:noWrap/>
            <w:vAlign w:val="bottom"/>
            <w:hideMark/>
          </w:tcPr>
          <w:p w14:paraId="20B862E7" w14:textId="77777777" w:rsidR="00D044B5" w:rsidRPr="00882786" w:rsidRDefault="00D044B5" w:rsidP="00B95148">
            <w:pPr>
              <w:pStyle w:val="Tabletext"/>
              <w:jc w:val="right"/>
              <w:rPr>
                <w:lang w:eastAsia="en-AU"/>
              </w:rPr>
            </w:pPr>
            <w:r w:rsidRPr="00882786">
              <w:rPr>
                <w:lang w:eastAsia="en-AU"/>
              </w:rPr>
              <w:t>17,612</w:t>
            </w:r>
          </w:p>
        </w:tc>
        <w:tc>
          <w:tcPr>
            <w:tcW w:w="2180" w:type="dxa"/>
            <w:tcBorders>
              <w:top w:val="nil"/>
              <w:left w:val="nil"/>
              <w:bottom w:val="nil"/>
              <w:right w:val="nil"/>
            </w:tcBorders>
            <w:shd w:val="clear" w:color="auto" w:fill="auto"/>
            <w:noWrap/>
            <w:vAlign w:val="bottom"/>
            <w:hideMark/>
          </w:tcPr>
          <w:p w14:paraId="5CB6FD26" w14:textId="77777777" w:rsidR="00D044B5" w:rsidRPr="00882786" w:rsidRDefault="00D044B5" w:rsidP="00B95148">
            <w:pPr>
              <w:pStyle w:val="Tabletext"/>
              <w:jc w:val="right"/>
              <w:rPr>
                <w:lang w:eastAsia="en-AU"/>
              </w:rPr>
            </w:pPr>
            <w:r w:rsidRPr="00882786">
              <w:rPr>
                <w:lang w:eastAsia="en-AU"/>
              </w:rPr>
              <w:t>-</w:t>
            </w:r>
          </w:p>
        </w:tc>
      </w:tr>
      <w:tr w:rsidR="00D044B5" w:rsidRPr="00882786" w14:paraId="0E70D21F" w14:textId="77777777" w:rsidTr="00C368DB">
        <w:trPr>
          <w:trHeight w:val="300"/>
        </w:trPr>
        <w:tc>
          <w:tcPr>
            <w:tcW w:w="3640" w:type="dxa"/>
            <w:tcBorders>
              <w:top w:val="nil"/>
              <w:left w:val="nil"/>
              <w:bottom w:val="nil"/>
              <w:right w:val="nil"/>
            </w:tcBorders>
            <w:shd w:val="clear" w:color="auto" w:fill="auto"/>
            <w:noWrap/>
            <w:vAlign w:val="bottom"/>
            <w:hideMark/>
          </w:tcPr>
          <w:p w14:paraId="5DC7F843" w14:textId="77777777" w:rsidR="00D044B5" w:rsidRPr="00882786" w:rsidRDefault="00D044B5" w:rsidP="00B95148">
            <w:pPr>
              <w:pStyle w:val="Tabletext"/>
              <w:rPr>
                <w:lang w:eastAsia="en-AU"/>
              </w:rPr>
            </w:pPr>
            <w:r w:rsidRPr="00882786">
              <w:rPr>
                <w:lang w:eastAsia="en-AU"/>
              </w:rPr>
              <w:t>Age between 25 and 56 at wave 11</w:t>
            </w:r>
          </w:p>
        </w:tc>
        <w:tc>
          <w:tcPr>
            <w:tcW w:w="2120" w:type="dxa"/>
            <w:tcBorders>
              <w:top w:val="nil"/>
              <w:left w:val="nil"/>
              <w:bottom w:val="nil"/>
              <w:right w:val="nil"/>
            </w:tcBorders>
            <w:shd w:val="clear" w:color="auto" w:fill="auto"/>
            <w:noWrap/>
            <w:vAlign w:val="bottom"/>
            <w:hideMark/>
          </w:tcPr>
          <w:p w14:paraId="5B8BFCC7" w14:textId="77777777" w:rsidR="00D044B5" w:rsidRPr="00882786" w:rsidRDefault="00D044B5" w:rsidP="00B95148">
            <w:pPr>
              <w:pStyle w:val="Tabletext"/>
              <w:jc w:val="right"/>
              <w:rPr>
                <w:lang w:eastAsia="en-AU"/>
              </w:rPr>
            </w:pPr>
            <w:r w:rsidRPr="00882786">
              <w:rPr>
                <w:lang w:eastAsia="en-AU"/>
              </w:rPr>
              <w:t>9,455</w:t>
            </w:r>
          </w:p>
        </w:tc>
        <w:tc>
          <w:tcPr>
            <w:tcW w:w="2180" w:type="dxa"/>
            <w:tcBorders>
              <w:top w:val="nil"/>
              <w:left w:val="nil"/>
              <w:bottom w:val="nil"/>
              <w:right w:val="nil"/>
            </w:tcBorders>
            <w:shd w:val="clear" w:color="auto" w:fill="auto"/>
            <w:noWrap/>
            <w:vAlign w:val="bottom"/>
            <w:hideMark/>
          </w:tcPr>
          <w:p w14:paraId="246D415A" w14:textId="17969230" w:rsidR="00D044B5" w:rsidRPr="00882786" w:rsidRDefault="00D044B5" w:rsidP="00B95148">
            <w:pPr>
              <w:pStyle w:val="Tabletext"/>
              <w:jc w:val="right"/>
              <w:rPr>
                <w:lang w:eastAsia="en-AU"/>
              </w:rPr>
            </w:pPr>
            <w:r w:rsidRPr="00882786">
              <w:rPr>
                <w:lang w:eastAsia="en-AU"/>
              </w:rPr>
              <w:t>100</w:t>
            </w:r>
          </w:p>
        </w:tc>
      </w:tr>
      <w:tr w:rsidR="00D044B5" w:rsidRPr="00882786" w14:paraId="5DF009F9" w14:textId="77777777" w:rsidTr="00C368DB">
        <w:trPr>
          <w:trHeight w:val="300"/>
        </w:trPr>
        <w:tc>
          <w:tcPr>
            <w:tcW w:w="3640" w:type="dxa"/>
            <w:tcBorders>
              <w:top w:val="nil"/>
              <w:left w:val="nil"/>
              <w:bottom w:val="nil"/>
              <w:right w:val="nil"/>
            </w:tcBorders>
            <w:shd w:val="clear" w:color="auto" w:fill="auto"/>
            <w:noWrap/>
            <w:vAlign w:val="bottom"/>
            <w:hideMark/>
          </w:tcPr>
          <w:p w14:paraId="19399A20" w14:textId="77777777" w:rsidR="00D044B5" w:rsidRPr="00882786" w:rsidRDefault="00D044B5" w:rsidP="00B95148">
            <w:pPr>
              <w:pStyle w:val="Tabletext"/>
              <w:rPr>
                <w:lang w:eastAsia="en-AU"/>
              </w:rPr>
            </w:pPr>
            <w:r w:rsidRPr="00882786">
              <w:rPr>
                <w:lang w:eastAsia="en-AU"/>
              </w:rPr>
              <w:t>With non-missing qualification</w:t>
            </w:r>
          </w:p>
        </w:tc>
        <w:tc>
          <w:tcPr>
            <w:tcW w:w="2120" w:type="dxa"/>
            <w:tcBorders>
              <w:top w:val="nil"/>
              <w:left w:val="nil"/>
              <w:bottom w:val="nil"/>
              <w:right w:val="nil"/>
            </w:tcBorders>
            <w:shd w:val="clear" w:color="auto" w:fill="auto"/>
            <w:noWrap/>
            <w:vAlign w:val="bottom"/>
            <w:hideMark/>
          </w:tcPr>
          <w:p w14:paraId="51DA6D34" w14:textId="77777777" w:rsidR="00D044B5" w:rsidRPr="00882786" w:rsidRDefault="00D044B5" w:rsidP="00B95148">
            <w:pPr>
              <w:pStyle w:val="Tabletext"/>
              <w:jc w:val="right"/>
              <w:rPr>
                <w:lang w:eastAsia="en-AU"/>
              </w:rPr>
            </w:pPr>
            <w:r w:rsidRPr="00882786">
              <w:rPr>
                <w:lang w:eastAsia="en-AU"/>
              </w:rPr>
              <w:t>9,449</w:t>
            </w:r>
          </w:p>
        </w:tc>
        <w:tc>
          <w:tcPr>
            <w:tcW w:w="2180" w:type="dxa"/>
            <w:tcBorders>
              <w:top w:val="nil"/>
              <w:left w:val="nil"/>
              <w:bottom w:val="nil"/>
              <w:right w:val="nil"/>
            </w:tcBorders>
            <w:shd w:val="clear" w:color="auto" w:fill="auto"/>
            <w:noWrap/>
            <w:vAlign w:val="bottom"/>
            <w:hideMark/>
          </w:tcPr>
          <w:p w14:paraId="439C4AD8" w14:textId="067300AD" w:rsidR="00D044B5" w:rsidRPr="00882786" w:rsidRDefault="00D044B5" w:rsidP="00B95148">
            <w:pPr>
              <w:pStyle w:val="Tabletext"/>
              <w:jc w:val="right"/>
              <w:rPr>
                <w:lang w:eastAsia="en-AU"/>
              </w:rPr>
            </w:pPr>
            <w:r w:rsidRPr="00882786">
              <w:rPr>
                <w:lang w:eastAsia="en-AU"/>
              </w:rPr>
              <w:t>100</w:t>
            </w:r>
          </w:p>
        </w:tc>
      </w:tr>
      <w:tr w:rsidR="00D044B5" w:rsidRPr="00882786" w14:paraId="20582BC1" w14:textId="77777777" w:rsidTr="00C368DB">
        <w:trPr>
          <w:trHeight w:val="300"/>
        </w:trPr>
        <w:tc>
          <w:tcPr>
            <w:tcW w:w="3640" w:type="dxa"/>
            <w:tcBorders>
              <w:top w:val="nil"/>
              <w:left w:val="nil"/>
              <w:bottom w:val="nil"/>
              <w:right w:val="nil"/>
            </w:tcBorders>
            <w:shd w:val="clear" w:color="auto" w:fill="auto"/>
            <w:noWrap/>
            <w:vAlign w:val="bottom"/>
            <w:hideMark/>
          </w:tcPr>
          <w:p w14:paraId="5CBB7690" w14:textId="77777777" w:rsidR="00D044B5" w:rsidRPr="00882786" w:rsidRDefault="00D044B5" w:rsidP="00B95148">
            <w:pPr>
              <w:pStyle w:val="Tabletext"/>
              <w:rPr>
                <w:lang w:eastAsia="en-AU"/>
              </w:rPr>
            </w:pPr>
            <w:r w:rsidRPr="00882786">
              <w:rPr>
                <w:lang w:eastAsia="en-AU"/>
              </w:rPr>
              <w:t>With non-missing occupation</w:t>
            </w:r>
          </w:p>
        </w:tc>
        <w:tc>
          <w:tcPr>
            <w:tcW w:w="2120" w:type="dxa"/>
            <w:tcBorders>
              <w:top w:val="nil"/>
              <w:left w:val="nil"/>
              <w:bottom w:val="nil"/>
              <w:right w:val="nil"/>
            </w:tcBorders>
            <w:shd w:val="clear" w:color="auto" w:fill="auto"/>
            <w:noWrap/>
            <w:vAlign w:val="bottom"/>
            <w:hideMark/>
          </w:tcPr>
          <w:p w14:paraId="1EC05BBD" w14:textId="77777777" w:rsidR="00D044B5" w:rsidRPr="00882786" w:rsidRDefault="00D044B5" w:rsidP="00B95148">
            <w:pPr>
              <w:pStyle w:val="Tabletext"/>
              <w:jc w:val="right"/>
              <w:rPr>
                <w:lang w:eastAsia="en-AU"/>
              </w:rPr>
            </w:pPr>
            <w:r w:rsidRPr="00882786">
              <w:rPr>
                <w:lang w:eastAsia="en-AU"/>
              </w:rPr>
              <w:t>8,258</w:t>
            </w:r>
          </w:p>
        </w:tc>
        <w:tc>
          <w:tcPr>
            <w:tcW w:w="2180" w:type="dxa"/>
            <w:tcBorders>
              <w:top w:val="nil"/>
              <w:left w:val="nil"/>
              <w:bottom w:val="nil"/>
              <w:right w:val="nil"/>
            </w:tcBorders>
            <w:shd w:val="clear" w:color="auto" w:fill="auto"/>
            <w:noWrap/>
            <w:vAlign w:val="bottom"/>
            <w:hideMark/>
          </w:tcPr>
          <w:p w14:paraId="548C2AF0" w14:textId="04ED9A09" w:rsidR="00D044B5" w:rsidRPr="00882786" w:rsidRDefault="00D044B5" w:rsidP="00B95148">
            <w:pPr>
              <w:pStyle w:val="Tabletext"/>
              <w:jc w:val="right"/>
              <w:rPr>
                <w:lang w:eastAsia="en-AU"/>
              </w:rPr>
            </w:pPr>
            <w:r w:rsidRPr="00882786">
              <w:rPr>
                <w:lang w:eastAsia="en-AU"/>
              </w:rPr>
              <w:t>87</w:t>
            </w:r>
          </w:p>
        </w:tc>
      </w:tr>
      <w:tr w:rsidR="00D044B5" w:rsidRPr="00882786" w14:paraId="0F9C280E" w14:textId="77777777" w:rsidTr="00C368DB">
        <w:trPr>
          <w:trHeight w:val="300"/>
        </w:trPr>
        <w:tc>
          <w:tcPr>
            <w:tcW w:w="3640" w:type="dxa"/>
            <w:tcBorders>
              <w:top w:val="nil"/>
              <w:left w:val="nil"/>
              <w:bottom w:val="nil"/>
              <w:right w:val="nil"/>
            </w:tcBorders>
            <w:shd w:val="clear" w:color="auto" w:fill="auto"/>
            <w:noWrap/>
            <w:vAlign w:val="bottom"/>
            <w:hideMark/>
          </w:tcPr>
          <w:p w14:paraId="71935A89" w14:textId="77777777" w:rsidR="00D044B5" w:rsidRPr="00882786" w:rsidRDefault="00D044B5" w:rsidP="00B95148">
            <w:pPr>
              <w:pStyle w:val="Tabletext"/>
              <w:rPr>
                <w:lang w:eastAsia="en-AU"/>
              </w:rPr>
            </w:pPr>
            <w:r w:rsidRPr="00882786">
              <w:rPr>
                <w:lang w:eastAsia="en-AU"/>
              </w:rPr>
              <w:t>With a VET and or HE qualification</w:t>
            </w:r>
          </w:p>
        </w:tc>
        <w:tc>
          <w:tcPr>
            <w:tcW w:w="2120" w:type="dxa"/>
            <w:tcBorders>
              <w:top w:val="nil"/>
              <w:left w:val="nil"/>
              <w:bottom w:val="nil"/>
              <w:right w:val="nil"/>
            </w:tcBorders>
            <w:shd w:val="clear" w:color="auto" w:fill="auto"/>
            <w:noWrap/>
            <w:vAlign w:val="bottom"/>
            <w:hideMark/>
          </w:tcPr>
          <w:p w14:paraId="3D05284A" w14:textId="77777777" w:rsidR="00D044B5" w:rsidRPr="00882786" w:rsidRDefault="00D044B5" w:rsidP="00B95148">
            <w:pPr>
              <w:pStyle w:val="Tabletext"/>
              <w:jc w:val="right"/>
              <w:rPr>
                <w:lang w:eastAsia="en-AU"/>
              </w:rPr>
            </w:pPr>
            <w:r w:rsidRPr="00882786">
              <w:rPr>
                <w:lang w:eastAsia="en-AU"/>
              </w:rPr>
              <w:t>6,423</w:t>
            </w:r>
          </w:p>
        </w:tc>
        <w:tc>
          <w:tcPr>
            <w:tcW w:w="2180" w:type="dxa"/>
            <w:tcBorders>
              <w:top w:val="nil"/>
              <w:left w:val="nil"/>
              <w:bottom w:val="nil"/>
              <w:right w:val="nil"/>
            </w:tcBorders>
            <w:shd w:val="clear" w:color="auto" w:fill="auto"/>
            <w:noWrap/>
            <w:vAlign w:val="bottom"/>
            <w:hideMark/>
          </w:tcPr>
          <w:p w14:paraId="09E775BA" w14:textId="2A3AECB0" w:rsidR="00D044B5" w:rsidRPr="00882786" w:rsidRDefault="00D044B5" w:rsidP="00B95148">
            <w:pPr>
              <w:pStyle w:val="Tabletext"/>
              <w:jc w:val="right"/>
              <w:rPr>
                <w:lang w:eastAsia="en-AU"/>
              </w:rPr>
            </w:pPr>
            <w:r w:rsidRPr="00882786">
              <w:rPr>
                <w:lang w:eastAsia="en-AU"/>
              </w:rPr>
              <w:t>68</w:t>
            </w:r>
          </w:p>
        </w:tc>
      </w:tr>
      <w:tr w:rsidR="00D044B5" w:rsidRPr="00882786" w14:paraId="3C122004" w14:textId="77777777" w:rsidTr="00C368DB">
        <w:trPr>
          <w:trHeight w:val="300"/>
        </w:trPr>
        <w:tc>
          <w:tcPr>
            <w:tcW w:w="3640" w:type="dxa"/>
            <w:tcBorders>
              <w:top w:val="nil"/>
              <w:left w:val="nil"/>
              <w:bottom w:val="nil"/>
              <w:right w:val="nil"/>
            </w:tcBorders>
            <w:shd w:val="clear" w:color="auto" w:fill="auto"/>
            <w:noWrap/>
            <w:vAlign w:val="bottom"/>
            <w:hideMark/>
          </w:tcPr>
          <w:p w14:paraId="74B95F80" w14:textId="77777777" w:rsidR="00D044B5" w:rsidRPr="00882786" w:rsidRDefault="00D044B5" w:rsidP="00B95148">
            <w:pPr>
              <w:pStyle w:val="Tabletext"/>
              <w:rPr>
                <w:lang w:eastAsia="en-AU"/>
              </w:rPr>
            </w:pPr>
            <w:r w:rsidRPr="00882786">
              <w:rPr>
                <w:lang w:eastAsia="en-AU"/>
              </w:rPr>
              <w:t>Extended sample of occupation</w:t>
            </w:r>
            <w:r>
              <w:rPr>
                <w:lang w:eastAsia="en-AU"/>
              </w:rPr>
              <w:t>s</w:t>
            </w:r>
          </w:p>
        </w:tc>
        <w:tc>
          <w:tcPr>
            <w:tcW w:w="2120" w:type="dxa"/>
            <w:tcBorders>
              <w:top w:val="nil"/>
              <w:left w:val="nil"/>
              <w:bottom w:val="nil"/>
              <w:right w:val="nil"/>
            </w:tcBorders>
            <w:shd w:val="clear" w:color="auto" w:fill="auto"/>
            <w:noWrap/>
            <w:vAlign w:val="bottom"/>
            <w:hideMark/>
          </w:tcPr>
          <w:p w14:paraId="0691971B" w14:textId="77777777" w:rsidR="00D044B5" w:rsidRPr="00882786" w:rsidRDefault="00D044B5" w:rsidP="00B95148">
            <w:pPr>
              <w:pStyle w:val="Tabletext"/>
              <w:jc w:val="right"/>
              <w:rPr>
                <w:lang w:eastAsia="en-AU"/>
              </w:rPr>
            </w:pPr>
            <w:r>
              <w:rPr>
                <w:lang w:eastAsia="en-AU"/>
              </w:rPr>
              <w:t>3,745</w:t>
            </w:r>
          </w:p>
        </w:tc>
        <w:tc>
          <w:tcPr>
            <w:tcW w:w="2180" w:type="dxa"/>
            <w:tcBorders>
              <w:top w:val="nil"/>
              <w:left w:val="nil"/>
              <w:bottom w:val="nil"/>
              <w:right w:val="nil"/>
            </w:tcBorders>
            <w:shd w:val="clear" w:color="auto" w:fill="auto"/>
            <w:noWrap/>
            <w:vAlign w:val="bottom"/>
            <w:hideMark/>
          </w:tcPr>
          <w:p w14:paraId="1A5EA5FA" w14:textId="3196F63A" w:rsidR="00D044B5" w:rsidRPr="00882786" w:rsidRDefault="00D044B5" w:rsidP="00B95148">
            <w:pPr>
              <w:pStyle w:val="Tabletext"/>
              <w:jc w:val="right"/>
              <w:rPr>
                <w:lang w:eastAsia="en-AU"/>
              </w:rPr>
            </w:pPr>
            <w:r>
              <w:rPr>
                <w:lang w:eastAsia="en-AU"/>
              </w:rPr>
              <w:t>40</w:t>
            </w:r>
          </w:p>
        </w:tc>
      </w:tr>
      <w:tr w:rsidR="00D044B5" w:rsidRPr="00882786" w14:paraId="452D2BFE" w14:textId="77777777" w:rsidTr="00C368DB">
        <w:trPr>
          <w:trHeight w:val="300"/>
        </w:trPr>
        <w:tc>
          <w:tcPr>
            <w:tcW w:w="3640" w:type="dxa"/>
            <w:tcBorders>
              <w:top w:val="nil"/>
              <w:left w:val="nil"/>
              <w:bottom w:val="single" w:sz="4" w:space="0" w:color="auto"/>
              <w:right w:val="nil"/>
            </w:tcBorders>
            <w:shd w:val="clear" w:color="auto" w:fill="auto"/>
            <w:noWrap/>
            <w:vAlign w:val="bottom"/>
            <w:hideMark/>
          </w:tcPr>
          <w:p w14:paraId="1E631C23" w14:textId="77777777" w:rsidR="00D044B5" w:rsidRPr="00882786" w:rsidRDefault="00D044B5" w:rsidP="00B95148">
            <w:pPr>
              <w:pStyle w:val="Tabletext"/>
              <w:rPr>
                <w:lang w:eastAsia="en-AU"/>
              </w:rPr>
            </w:pPr>
            <w:r w:rsidRPr="00882786">
              <w:rPr>
                <w:lang w:eastAsia="en-AU"/>
              </w:rPr>
              <w:t>Main sample of occupation</w:t>
            </w:r>
            <w:r>
              <w:rPr>
                <w:lang w:eastAsia="en-AU"/>
              </w:rPr>
              <w:t>s</w:t>
            </w:r>
          </w:p>
        </w:tc>
        <w:tc>
          <w:tcPr>
            <w:tcW w:w="2120" w:type="dxa"/>
            <w:tcBorders>
              <w:top w:val="nil"/>
              <w:left w:val="nil"/>
              <w:bottom w:val="single" w:sz="4" w:space="0" w:color="auto"/>
              <w:right w:val="nil"/>
            </w:tcBorders>
            <w:shd w:val="clear" w:color="auto" w:fill="auto"/>
            <w:noWrap/>
            <w:vAlign w:val="bottom"/>
            <w:hideMark/>
          </w:tcPr>
          <w:p w14:paraId="5B3B26A8" w14:textId="77777777" w:rsidR="00D044B5" w:rsidRPr="00882786" w:rsidRDefault="00D044B5" w:rsidP="00B95148">
            <w:pPr>
              <w:pStyle w:val="Tabletext"/>
              <w:jc w:val="right"/>
              <w:rPr>
                <w:lang w:eastAsia="en-AU"/>
              </w:rPr>
            </w:pPr>
            <w:r w:rsidRPr="00882786">
              <w:rPr>
                <w:lang w:eastAsia="en-AU"/>
              </w:rPr>
              <w:t>2,723</w:t>
            </w:r>
          </w:p>
        </w:tc>
        <w:tc>
          <w:tcPr>
            <w:tcW w:w="2180" w:type="dxa"/>
            <w:tcBorders>
              <w:top w:val="nil"/>
              <w:left w:val="nil"/>
              <w:bottom w:val="single" w:sz="4" w:space="0" w:color="auto"/>
              <w:right w:val="nil"/>
            </w:tcBorders>
            <w:shd w:val="clear" w:color="auto" w:fill="auto"/>
            <w:noWrap/>
            <w:vAlign w:val="bottom"/>
            <w:hideMark/>
          </w:tcPr>
          <w:p w14:paraId="0746E0DD" w14:textId="0770E431" w:rsidR="00D044B5" w:rsidRPr="00882786" w:rsidRDefault="00D044B5" w:rsidP="00B95148">
            <w:pPr>
              <w:pStyle w:val="Tabletext"/>
              <w:jc w:val="right"/>
              <w:rPr>
                <w:lang w:eastAsia="en-AU"/>
              </w:rPr>
            </w:pPr>
            <w:r w:rsidRPr="00882786">
              <w:rPr>
                <w:lang w:eastAsia="en-AU"/>
              </w:rPr>
              <w:t>29</w:t>
            </w:r>
          </w:p>
        </w:tc>
      </w:tr>
    </w:tbl>
    <w:p w14:paraId="70FD8178" w14:textId="77777777" w:rsidR="00D044B5" w:rsidRPr="001E01B5" w:rsidRDefault="00D044B5" w:rsidP="00B95148">
      <w:pPr>
        <w:pStyle w:val="Source"/>
      </w:pPr>
      <w:r w:rsidRPr="001E01B5">
        <w:t>Source: HILDA wave 11.</w:t>
      </w:r>
    </w:p>
    <w:p w14:paraId="28B46CCC" w14:textId="2687EE0C" w:rsidR="00D044B5" w:rsidRPr="00203BA9" w:rsidRDefault="00D044B5" w:rsidP="00203BA9">
      <w:pPr>
        <w:pStyle w:val="Text"/>
      </w:pPr>
      <w:r w:rsidRPr="00203BA9">
        <w:t xml:space="preserve">Table 2 below gives the number of observations for each occupation </w:t>
      </w:r>
      <w:r w:rsidR="00203BA9">
        <w:t>by</w:t>
      </w:r>
      <w:r w:rsidRPr="00203BA9">
        <w:t xml:space="preserve"> qualification group for our two samples.</w:t>
      </w:r>
    </w:p>
    <w:p w14:paraId="10FC6964" w14:textId="77777777" w:rsidR="0089036D" w:rsidRDefault="0089036D">
      <w:pPr>
        <w:spacing w:before="0" w:line="240" w:lineRule="auto"/>
        <w:rPr>
          <w:rFonts w:ascii="Arial" w:hAnsi="Arial"/>
          <w:b/>
          <w:sz w:val="17"/>
        </w:rPr>
      </w:pPr>
      <w:bookmarkStart w:id="25" w:name="_Toc102041055"/>
      <w:r>
        <w:br w:type="page"/>
      </w:r>
    </w:p>
    <w:p w14:paraId="27861ABD" w14:textId="2D3979A5" w:rsidR="00D044B5" w:rsidRPr="00313D10" w:rsidRDefault="00D044B5" w:rsidP="00203BA9">
      <w:pPr>
        <w:pStyle w:val="tabletitle"/>
      </w:pPr>
      <w:r w:rsidRPr="00313D10">
        <w:lastRenderedPageBreak/>
        <w:t>Table 2</w:t>
      </w:r>
      <w:r w:rsidR="00D3689E">
        <w:tab/>
      </w:r>
      <w:r w:rsidRPr="00313D10">
        <w:t>Number of observations by occupation and qualification type</w:t>
      </w:r>
      <w:bookmarkEnd w:id="25"/>
    </w:p>
    <w:tbl>
      <w:tblPr>
        <w:tblW w:w="9760" w:type="dxa"/>
        <w:tblLook w:val="04A0" w:firstRow="1" w:lastRow="0" w:firstColumn="1" w:lastColumn="0" w:noHBand="0" w:noVBand="1"/>
      </w:tblPr>
      <w:tblGrid>
        <w:gridCol w:w="5260"/>
        <w:gridCol w:w="1500"/>
        <w:gridCol w:w="1500"/>
        <w:gridCol w:w="1500"/>
      </w:tblGrid>
      <w:tr w:rsidR="00D044B5" w:rsidRPr="00BB6AE5" w14:paraId="274D79A1" w14:textId="77777777" w:rsidTr="00C368DB">
        <w:trPr>
          <w:trHeight w:val="300"/>
        </w:trPr>
        <w:tc>
          <w:tcPr>
            <w:tcW w:w="5260" w:type="dxa"/>
            <w:tcBorders>
              <w:top w:val="single" w:sz="4" w:space="0" w:color="auto"/>
              <w:left w:val="nil"/>
              <w:bottom w:val="nil"/>
              <w:right w:val="nil"/>
            </w:tcBorders>
            <w:shd w:val="clear" w:color="auto" w:fill="auto"/>
            <w:noWrap/>
            <w:vAlign w:val="bottom"/>
            <w:hideMark/>
          </w:tcPr>
          <w:p w14:paraId="5EBC8865" w14:textId="77777777" w:rsidR="00D044B5" w:rsidRPr="00BB6AE5" w:rsidRDefault="00D044B5" w:rsidP="00203BA9">
            <w:pPr>
              <w:pStyle w:val="Tablehead2"/>
              <w:rPr>
                <w:lang w:eastAsia="en-AU"/>
              </w:rPr>
            </w:pPr>
            <w:r w:rsidRPr="00BB6AE5">
              <w:rPr>
                <w:lang w:eastAsia="en-AU"/>
              </w:rPr>
              <w:t> </w:t>
            </w:r>
          </w:p>
        </w:tc>
        <w:tc>
          <w:tcPr>
            <w:tcW w:w="4500" w:type="dxa"/>
            <w:gridSpan w:val="3"/>
            <w:tcBorders>
              <w:top w:val="single" w:sz="4" w:space="0" w:color="auto"/>
              <w:left w:val="nil"/>
              <w:bottom w:val="nil"/>
              <w:right w:val="nil"/>
            </w:tcBorders>
            <w:shd w:val="clear" w:color="auto" w:fill="auto"/>
            <w:noWrap/>
            <w:vAlign w:val="center"/>
            <w:hideMark/>
          </w:tcPr>
          <w:p w14:paraId="01C96C54" w14:textId="77777777" w:rsidR="00D044B5" w:rsidRPr="00BB6AE5" w:rsidRDefault="00D044B5" w:rsidP="00203BA9">
            <w:pPr>
              <w:pStyle w:val="Tablehead2"/>
              <w:jc w:val="right"/>
              <w:rPr>
                <w:lang w:eastAsia="en-AU"/>
              </w:rPr>
            </w:pPr>
            <w:r w:rsidRPr="00BB6AE5">
              <w:rPr>
                <w:lang w:eastAsia="en-AU"/>
              </w:rPr>
              <w:t>Number of observations by qualification type</w:t>
            </w:r>
          </w:p>
        </w:tc>
      </w:tr>
      <w:tr w:rsidR="00D044B5" w:rsidRPr="00BB6AE5" w14:paraId="09C697D8" w14:textId="77777777" w:rsidTr="00C368DB">
        <w:trPr>
          <w:trHeight w:val="600"/>
        </w:trPr>
        <w:tc>
          <w:tcPr>
            <w:tcW w:w="5260" w:type="dxa"/>
            <w:tcBorders>
              <w:top w:val="nil"/>
              <w:left w:val="nil"/>
              <w:bottom w:val="single" w:sz="4" w:space="0" w:color="auto"/>
              <w:right w:val="nil"/>
            </w:tcBorders>
            <w:shd w:val="clear" w:color="auto" w:fill="auto"/>
            <w:noWrap/>
            <w:vAlign w:val="bottom"/>
            <w:hideMark/>
          </w:tcPr>
          <w:p w14:paraId="623FE849" w14:textId="77777777" w:rsidR="00D044B5" w:rsidRPr="00BB6AE5" w:rsidRDefault="00D044B5" w:rsidP="00203BA9">
            <w:pPr>
              <w:pStyle w:val="Tablehead2"/>
              <w:rPr>
                <w:lang w:eastAsia="en-AU"/>
              </w:rPr>
            </w:pPr>
            <w:r w:rsidRPr="00BB6AE5">
              <w:rPr>
                <w:lang w:eastAsia="en-AU"/>
              </w:rPr>
              <w:t>Occupation</w:t>
            </w:r>
          </w:p>
        </w:tc>
        <w:tc>
          <w:tcPr>
            <w:tcW w:w="1500" w:type="dxa"/>
            <w:tcBorders>
              <w:top w:val="nil"/>
              <w:left w:val="nil"/>
              <w:bottom w:val="single" w:sz="4" w:space="0" w:color="auto"/>
              <w:right w:val="nil"/>
            </w:tcBorders>
            <w:shd w:val="clear" w:color="auto" w:fill="auto"/>
            <w:hideMark/>
          </w:tcPr>
          <w:p w14:paraId="48BF1E59" w14:textId="77777777" w:rsidR="00D044B5" w:rsidRPr="00BB6AE5" w:rsidRDefault="00D044B5" w:rsidP="00203BA9">
            <w:pPr>
              <w:pStyle w:val="Tablehead2"/>
              <w:jc w:val="right"/>
              <w:rPr>
                <w:lang w:eastAsia="en-AU"/>
              </w:rPr>
            </w:pPr>
            <w:r w:rsidRPr="00BB6AE5">
              <w:rPr>
                <w:lang w:eastAsia="en-AU"/>
              </w:rPr>
              <w:t>VET only</w:t>
            </w:r>
          </w:p>
        </w:tc>
        <w:tc>
          <w:tcPr>
            <w:tcW w:w="1500" w:type="dxa"/>
            <w:tcBorders>
              <w:top w:val="nil"/>
              <w:left w:val="nil"/>
              <w:bottom w:val="single" w:sz="4" w:space="0" w:color="auto"/>
              <w:right w:val="nil"/>
            </w:tcBorders>
            <w:shd w:val="clear" w:color="auto" w:fill="auto"/>
            <w:hideMark/>
          </w:tcPr>
          <w:p w14:paraId="66FC1066" w14:textId="77777777" w:rsidR="00D044B5" w:rsidRPr="00BB6AE5" w:rsidRDefault="00D044B5" w:rsidP="00203BA9">
            <w:pPr>
              <w:pStyle w:val="Tablehead2"/>
              <w:jc w:val="right"/>
              <w:rPr>
                <w:lang w:eastAsia="en-AU"/>
              </w:rPr>
            </w:pPr>
            <w:r w:rsidRPr="00BB6AE5">
              <w:rPr>
                <w:lang w:eastAsia="en-AU"/>
              </w:rPr>
              <w:t>VET &amp; higher education</w:t>
            </w:r>
          </w:p>
        </w:tc>
        <w:tc>
          <w:tcPr>
            <w:tcW w:w="1500" w:type="dxa"/>
            <w:tcBorders>
              <w:top w:val="nil"/>
              <w:left w:val="nil"/>
              <w:bottom w:val="single" w:sz="4" w:space="0" w:color="auto"/>
              <w:right w:val="nil"/>
            </w:tcBorders>
            <w:shd w:val="clear" w:color="auto" w:fill="auto"/>
            <w:hideMark/>
          </w:tcPr>
          <w:p w14:paraId="6F0E119D" w14:textId="77777777" w:rsidR="00D044B5" w:rsidRPr="00BB6AE5" w:rsidRDefault="00D044B5" w:rsidP="00203BA9">
            <w:pPr>
              <w:pStyle w:val="Tablehead2"/>
              <w:jc w:val="right"/>
              <w:rPr>
                <w:lang w:eastAsia="en-AU"/>
              </w:rPr>
            </w:pPr>
            <w:r w:rsidRPr="00BB6AE5">
              <w:rPr>
                <w:lang w:eastAsia="en-AU"/>
              </w:rPr>
              <w:t>Higher education only</w:t>
            </w:r>
          </w:p>
        </w:tc>
      </w:tr>
      <w:tr w:rsidR="00D044B5" w:rsidRPr="00BB6AE5" w14:paraId="25BE8FF0" w14:textId="77777777" w:rsidTr="00C368DB">
        <w:trPr>
          <w:trHeight w:val="300"/>
        </w:trPr>
        <w:tc>
          <w:tcPr>
            <w:tcW w:w="5260" w:type="dxa"/>
            <w:tcBorders>
              <w:top w:val="nil"/>
              <w:left w:val="nil"/>
              <w:bottom w:val="nil"/>
              <w:right w:val="nil"/>
            </w:tcBorders>
            <w:shd w:val="clear" w:color="auto" w:fill="auto"/>
            <w:noWrap/>
            <w:vAlign w:val="bottom"/>
            <w:hideMark/>
          </w:tcPr>
          <w:p w14:paraId="22BBEAD9" w14:textId="77777777" w:rsidR="00D044B5" w:rsidRPr="00BB6AE5" w:rsidRDefault="00D044B5" w:rsidP="00203BA9">
            <w:pPr>
              <w:pStyle w:val="Tablehead3"/>
              <w:rPr>
                <w:lang w:eastAsia="en-AU"/>
              </w:rPr>
            </w:pPr>
            <w:r w:rsidRPr="00BB6AE5">
              <w:rPr>
                <w:lang w:eastAsia="en-AU"/>
              </w:rPr>
              <w:t>Main sample</w:t>
            </w:r>
            <w:r>
              <w:rPr>
                <w:lang w:eastAsia="en-AU"/>
              </w:rPr>
              <w:t xml:space="preserve"> (3-digit ANZSCO)</w:t>
            </w:r>
          </w:p>
        </w:tc>
        <w:tc>
          <w:tcPr>
            <w:tcW w:w="1500" w:type="dxa"/>
            <w:tcBorders>
              <w:top w:val="nil"/>
              <w:left w:val="nil"/>
              <w:bottom w:val="nil"/>
              <w:right w:val="nil"/>
            </w:tcBorders>
            <w:shd w:val="clear" w:color="auto" w:fill="auto"/>
            <w:noWrap/>
            <w:vAlign w:val="bottom"/>
            <w:hideMark/>
          </w:tcPr>
          <w:p w14:paraId="1E2D5536" w14:textId="77777777" w:rsidR="00D044B5" w:rsidRPr="00BB6AE5" w:rsidRDefault="00D044B5" w:rsidP="00203BA9">
            <w:pPr>
              <w:pStyle w:val="Tablehead3"/>
              <w:jc w:val="right"/>
              <w:rPr>
                <w:lang w:eastAsia="en-AU"/>
              </w:rPr>
            </w:pPr>
          </w:p>
        </w:tc>
        <w:tc>
          <w:tcPr>
            <w:tcW w:w="1500" w:type="dxa"/>
            <w:tcBorders>
              <w:top w:val="nil"/>
              <w:left w:val="nil"/>
              <w:bottom w:val="nil"/>
              <w:right w:val="nil"/>
            </w:tcBorders>
            <w:shd w:val="clear" w:color="auto" w:fill="auto"/>
            <w:noWrap/>
            <w:vAlign w:val="bottom"/>
            <w:hideMark/>
          </w:tcPr>
          <w:p w14:paraId="4C2AABF1" w14:textId="77777777" w:rsidR="00D044B5" w:rsidRPr="00BB6AE5" w:rsidRDefault="00D044B5" w:rsidP="00203BA9">
            <w:pPr>
              <w:pStyle w:val="Tablehead3"/>
              <w:jc w:val="right"/>
              <w:rPr>
                <w:sz w:val="20"/>
                <w:lang w:eastAsia="en-AU"/>
              </w:rPr>
            </w:pPr>
          </w:p>
        </w:tc>
        <w:tc>
          <w:tcPr>
            <w:tcW w:w="1500" w:type="dxa"/>
            <w:tcBorders>
              <w:top w:val="nil"/>
              <w:left w:val="nil"/>
              <w:bottom w:val="nil"/>
              <w:right w:val="nil"/>
            </w:tcBorders>
            <w:shd w:val="clear" w:color="auto" w:fill="auto"/>
            <w:noWrap/>
            <w:vAlign w:val="bottom"/>
            <w:hideMark/>
          </w:tcPr>
          <w:p w14:paraId="1C1326A7" w14:textId="77777777" w:rsidR="00D044B5" w:rsidRPr="00BB6AE5" w:rsidRDefault="00D044B5" w:rsidP="00203BA9">
            <w:pPr>
              <w:pStyle w:val="Tablehead3"/>
              <w:jc w:val="right"/>
              <w:rPr>
                <w:sz w:val="20"/>
                <w:lang w:eastAsia="en-AU"/>
              </w:rPr>
            </w:pPr>
          </w:p>
        </w:tc>
      </w:tr>
      <w:tr w:rsidR="00D044B5" w:rsidRPr="00BB6AE5" w14:paraId="126C5988" w14:textId="77777777" w:rsidTr="00C368DB">
        <w:trPr>
          <w:trHeight w:val="300"/>
        </w:trPr>
        <w:tc>
          <w:tcPr>
            <w:tcW w:w="5260" w:type="dxa"/>
            <w:tcBorders>
              <w:top w:val="nil"/>
              <w:left w:val="nil"/>
              <w:bottom w:val="nil"/>
              <w:right w:val="nil"/>
            </w:tcBorders>
            <w:shd w:val="clear" w:color="auto" w:fill="auto"/>
            <w:noWrap/>
            <w:vAlign w:val="bottom"/>
            <w:hideMark/>
          </w:tcPr>
          <w:p w14:paraId="1AA4B7AA" w14:textId="77777777" w:rsidR="00D044B5" w:rsidRPr="00BB6AE5" w:rsidRDefault="00D044B5" w:rsidP="00203BA9">
            <w:pPr>
              <w:pStyle w:val="Tabletext"/>
              <w:rPr>
                <w:lang w:eastAsia="en-AU"/>
              </w:rPr>
            </w:pPr>
            <w:r w:rsidRPr="00BB6AE5">
              <w:rPr>
                <w:lang w:eastAsia="en-AU"/>
              </w:rPr>
              <w:t>Chief Executives, General Managers and Legislators</w:t>
            </w:r>
          </w:p>
        </w:tc>
        <w:tc>
          <w:tcPr>
            <w:tcW w:w="1500" w:type="dxa"/>
            <w:tcBorders>
              <w:top w:val="nil"/>
              <w:left w:val="nil"/>
              <w:bottom w:val="nil"/>
              <w:right w:val="nil"/>
            </w:tcBorders>
            <w:shd w:val="clear" w:color="auto" w:fill="auto"/>
            <w:noWrap/>
            <w:vAlign w:val="center"/>
            <w:hideMark/>
          </w:tcPr>
          <w:p w14:paraId="3C26C78E" w14:textId="77777777" w:rsidR="00D044B5" w:rsidRPr="00BB6AE5" w:rsidRDefault="00D044B5" w:rsidP="00203BA9">
            <w:pPr>
              <w:pStyle w:val="Tabletext"/>
              <w:jc w:val="right"/>
              <w:rPr>
                <w:lang w:eastAsia="en-AU"/>
              </w:rPr>
            </w:pPr>
            <w:r w:rsidRPr="00BB6AE5">
              <w:rPr>
                <w:lang w:eastAsia="en-AU"/>
              </w:rPr>
              <w:t>25</w:t>
            </w:r>
          </w:p>
        </w:tc>
        <w:tc>
          <w:tcPr>
            <w:tcW w:w="1500" w:type="dxa"/>
            <w:tcBorders>
              <w:top w:val="nil"/>
              <w:left w:val="nil"/>
              <w:bottom w:val="nil"/>
              <w:right w:val="nil"/>
            </w:tcBorders>
            <w:shd w:val="clear" w:color="auto" w:fill="auto"/>
            <w:noWrap/>
            <w:vAlign w:val="center"/>
            <w:hideMark/>
          </w:tcPr>
          <w:p w14:paraId="36C26169" w14:textId="77777777" w:rsidR="00D044B5" w:rsidRPr="00BB6AE5" w:rsidRDefault="00D044B5" w:rsidP="00203BA9">
            <w:pPr>
              <w:pStyle w:val="Tabletext"/>
              <w:jc w:val="right"/>
              <w:rPr>
                <w:lang w:eastAsia="en-AU"/>
              </w:rPr>
            </w:pPr>
            <w:r w:rsidRPr="00BB6AE5">
              <w:rPr>
                <w:lang w:eastAsia="en-AU"/>
              </w:rPr>
              <w:t>14</w:t>
            </w:r>
          </w:p>
        </w:tc>
        <w:tc>
          <w:tcPr>
            <w:tcW w:w="1500" w:type="dxa"/>
            <w:tcBorders>
              <w:top w:val="nil"/>
              <w:left w:val="nil"/>
              <w:bottom w:val="nil"/>
              <w:right w:val="nil"/>
            </w:tcBorders>
            <w:shd w:val="clear" w:color="auto" w:fill="auto"/>
            <w:noWrap/>
            <w:vAlign w:val="center"/>
            <w:hideMark/>
          </w:tcPr>
          <w:p w14:paraId="5A1FD647" w14:textId="77777777" w:rsidR="00D044B5" w:rsidRPr="00BB6AE5" w:rsidRDefault="00D044B5" w:rsidP="00203BA9">
            <w:pPr>
              <w:pStyle w:val="Tabletext"/>
              <w:jc w:val="right"/>
              <w:rPr>
                <w:lang w:eastAsia="en-AU"/>
              </w:rPr>
            </w:pPr>
            <w:r w:rsidRPr="00BB6AE5">
              <w:rPr>
                <w:lang w:eastAsia="en-AU"/>
              </w:rPr>
              <w:t>46</w:t>
            </w:r>
          </w:p>
        </w:tc>
      </w:tr>
      <w:tr w:rsidR="00D044B5" w:rsidRPr="00BB6AE5" w14:paraId="68D869A6" w14:textId="77777777" w:rsidTr="00C368DB">
        <w:trPr>
          <w:trHeight w:val="300"/>
        </w:trPr>
        <w:tc>
          <w:tcPr>
            <w:tcW w:w="5260" w:type="dxa"/>
            <w:tcBorders>
              <w:top w:val="nil"/>
              <w:left w:val="nil"/>
              <w:bottom w:val="nil"/>
              <w:right w:val="nil"/>
            </w:tcBorders>
            <w:shd w:val="clear" w:color="auto" w:fill="auto"/>
            <w:noWrap/>
            <w:vAlign w:val="bottom"/>
            <w:hideMark/>
          </w:tcPr>
          <w:p w14:paraId="61B373EC" w14:textId="77777777" w:rsidR="00D044B5" w:rsidRPr="00BB6AE5" w:rsidRDefault="00D044B5" w:rsidP="00203BA9">
            <w:pPr>
              <w:pStyle w:val="Tabletext"/>
              <w:rPr>
                <w:lang w:eastAsia="en-AU"/>
              </w:rPr>
            </w:pPr>
            <w:r w:rsidRPr="00BB6AE5">
              <w:rPr>
                <w:lang w:eastAsia="en-AU"/>
              </w:rPr>
              <w:t>Advertising and Sales Managers</w:t>
            </w:r>
          </w:p>
        </w:tc>
        <w:tc>
          <w:tcPr>
            <w:tcW w:w="1500" w:type="dxa"/>
            <w:tcBorders>
              <w:top w:val="nil"/>
              <w:left w:val="nil"/>
              <w:bottom w:val="nil"/>
              <w:right w:val="nil"/>
            </w:tcBorders>
            <w:shd w:val="clear" w:color="auto" w:fill="auto"/>
            <w:noWrap/>
            <w:vAlign w:val="center"/>
            <w:hideMark/>
          </w:tcPr>
          <w:p w14:paraId="3C730372" w14:textId="77777777" w:rsidR="00D044B5" w:rsidRPr="00BB6AE5" w:rsidRDefault="00D044B5" w:rsidP="00203BA9">
            <w:pPr>
              <w:pStyle w:val="Tabletext"/>
              <w:jc w:val="right"/>
              <w:rPr>
                <w:lang w:eastAsia="en-AU"/>
              </w:rPr>
            </w:pPr>
            <w:r w:rsidRPr="00BB6AE5">
              <w:rPr>
                <w:lang w:eastAsia="en-AU"/>
              </w:rPr>
              <w:t>54</w:t>
            </w:r>
          </w:p>
        </w:tc>
        <w:tc>
          <w:tcPr>
            <w:tcW w:w="1500" w:type="dxa"/>
            <w:tcBorders>
              <w:top w:val="nil"/>
              <w:left w:val="nil"/>
              <w:bottom w:val="nil"/>
              <w:right w:val="nil"/>
            </w:tcBorders>
            <w:shd w:val="clear" w:color="auto" w:fill="auto"/>
            <w:noWrap/>
            <w:vAlign w:val="center"/>
            <w:hideMark/>
          </w:tcPr>
          <w:p w14:paraId="2357F6AC" w14:textId="77777777" w:rsidR="00D044B5" w:rsidRPr="00BB6AE5" w:rsidRDefault="00D044B5" w:rsidP="00203BA9">
            <w:pPr>
              <w:pStyle w:val="Tabletext"/>
              <w:jc w:val="right"/>
              <w:rPr>
                <w:lang w:eastAsia="en-AU"/>
              </w:rPr>
            </w:pPr>
            <w:r w:rsidRPr="00BB6AE5">
              <w:rPr>
                <w:lang w:eastAsia="en-AU"/>
              </w:rPr>
              <w:t>21</w:t>
            </w:r>
          </w:p>
        </w:tc>
        <w:tc>
          <w:tcPr>
            <w:tcW w:w="1500" w:type="dxa"/>
            <w:tcBorders>
              <w:top w:val="nil"/>
              <w:left w:val="nil"/>
              <w:bottom w:val="nil"/>
              <w:right w:val="nil"/>
            </w:tcBorders>
            <w:shd w:val="clear" w:color="auto" w:fill="auto"/>
            <w:noWrap/>
            <w:vAlign w:val="center"/>
            <w:hideMark/>
          </w:tcPr>
          <w:p w14:paraId="009ED830" w14:textId="77777777" w:rsidR="00D044B5" w:rsidRPr="00BB6AE5" w:rsidRDefault="00D044B5" w:rsidP="00203BA9">
            <w:pPr>
              <w:pStyle w:val="Tabletext"/>
              <w:jc w:val="right"/>
              <w:rPr>
                <w:lang w:eastAsia="en-AU"/>
              </w:rPr>
            </w:pPr>
            <w:r w:rsidRPr="00BB6AE5">
              <w:rPr>
                <w:lang w:eastAsia="en-AU"/>
              </w:rPr>
              <w:t>52</w:t>
            </w:r>
          </w:p>
        </w:tc>
      </w:tr>
      <w:tr w:rsidR="00D044B5" w:rsidRPr="00BB6AE5" w14:paraId="6F762EC1" w14:textId="77777777" w:rsidTr="00C368DB">
        <w:trPr>
          <w:trHeight w:val="300"/>
        </w:trPr>
        <w:tc>
          <w:tcPr>
            <w:tcW w:w="5260" w:type="dxa"/>
            <w:tcBorders>
              <w:top w:val="nil"/>
              <w:left w:val="nil"/>
              <w:bottom w:val="nil"/>
              <w:right w:val="nil"/>
            </w:tcBorders>
            <w:shd w:val="clear" w:color="auto" w:fill="auto"/>
            <w:noWrap/>
            <w:vAlign w:val="bottom"/>
            <w:hideMark/>
          </w:tcPr>
          <w:p w14:paraId="5159F8B2" w14:textId="77777777" w:rsidR="00D044B5" w:rsidRPr="00BB6AE5" w:rsidRDefault="00D044B5" w:rsidP="00203BA9">
            <w:pPr>
              <w:pStyle w:val="Tabletext"/>
              <w:rPr>
                <w:lang w:eastAsia="en-AU"/>
              </w:rPr>
            </w:pPr>
            <w:r w:rsidRPr="00BB6AE5">
              <w:rPr>
                <w:lang w:eastAsia="en-AU"/>
              </w:rPr>
              <w:t>Business Administration Managers</w:t>
            </w:r>
          </w:p>
        </w:tc>
        <w:tc>
          <w:tcPr>
            <w:tcW w:w="1500" w:type="dxa"/>
            <w:tcBorders>
              <w:top w:val="nil"/>
              <w:left w:val="nil"/>
              <w:bottom w:val="nil"/>
              <w:right w:val="nil"/>
            </w:tcBorders>
            <w:shd w:val="clear" w:color="auto" w:fill="auto"/>
            <w:noWrap/>
            <w:vAlign w:val="center"/>
            <w:hideMark/>
          </w:tcPr>
          <w:p w14:paraId="03A69F7B" w14:textId="77777777" w:rsidR="00D044B5" w:rsidRPr="00BB6AE5" w:rsidRDefault="00D044B5" w:rsidP="00203BA9">
            <w:pPr>
              <w:pStyle w:val="Tabletext"/>
              <w:jc w:val="right"/>
              <w:rPr>
                <w:lang w:eastAsia="en-AU"/>
              </w:rPr>
            </w:pPr>
            <w:r w:rsidRPr="00BB6AE5">
              <w:rPr>
                <w:lang w:eastAsia="en-AU"/>
              </w:rPr>
              <w:t>34</w:t>
            </w:r>
          </w:p>
        </w:tc>
        <w:tc>
          <w:tcPr>
            <w:tcW w:w="1500" w:type="dxa"/>
            <w:tcBorders>
              <w:top w:val="nil"/>
              <w:left w:val="nil"/>
              <w:bottom w:val="nil"/>
              <w:right w:val="nil"/>
            </w:tcBorders>
            <w:shd w:val="clear" w:color="auto" w:fill="auto"/>
            <w:noWrap/>
            <w:vAlign w:val="center"/>
            <w:hideMark/>
          </w:tcPr>
          <w:p w14:paraId="2A40EADB" w14:textId="77777777" w:rsidR="00D044B5" w:rsidRPr="00BB6AE5" w:rsidRDefault="00D044B5" w:rsidP="00203BA9">
            <w:pPr>
              <w:pStyle w:val="Tabletext"/>
              <w:jc w:val="right"/>
              <w:rPr>
                <w:lang w:eastAsia="en-AU"/>
              </w:rPr>
            </w:pPr>
            <w:r w:rsidRPr="00BB6AE5">
              <w:rPr>
                <w:lang w:eastAsia="en-AU"/>
              </w:rPr>
              <w:t>29</w:t>
            </w:r>
          </w:p>
        </w:tc>
        <w:tc>
          <w:tcPr>
            <w:tcW w:w="1500" w:type="dxa"/>
            <w:tcBorders>
              <w:top w:val="nil"/>
              <w:left w:val="nil"/>
              <w:bottom w:val="nil"/>
              <w:right w:val="nil"/>
            </w:tcBorders>
            <w:shd w:val="clear" w:color="auto" w:fill="auto"/>
            <w:noWrap/>
            <w:vAlign w:val="center"/>
            <w:hideMark/>
          </w:tcPr>
          <w:p w14:paraId="177E9DBE" w14:textId="77777777" w:rsidR="00D044B5" w:rsidRPr="00BB6AE5" w:rsidRDefault="00D044B5" w:rsidP="00203BA9">
            <w:pPr>
              <w:pStyle w:val="Tabletext"/>
              <w:jc w:val="right"/>
              <w:rPr>
                <w:lang w:eastAsia="en-AU"/>
              </w:rPr>
            </w:pPr>
            <w:r w:rsidRPr="00BB6AE5">
              <w:rPr>
                <w:lang w:eastAsia="en-AU"/>
              </w:rPr>
              <w:t>73</w:t>
            </w:r>
          </w:p>
        </w:tc>
      </w:tr>
      <w:tr w:rsidR="00D044B5" w:rsidRPr="00BB6AE5" w14:paraId="4621F6ED" w14:textId="77777777" w:rsidTr="00C368DB">
        <w:trPr>
          <w:trHeight w:val="300"/>
        </w:trPr>
        <w:tc>
          <w:tcPr>
            <w:tcW w:w="5260" w:type="dxa"/>
            <w:tcBorders>
              <w:top w:val="nil"/>
              <w:left w:val="nil"/>
              <w:bottom w:val="nil"/>
              <w:right w:val="nil"/>
            </w:tcBorders>
            <w:shd w:val="clear" w:color="auto" w:fill="auto"/>
            <w:noWrap/>
            <w:vAlign w:val="bottom"/>
            <w:hideMark/>
          </w:tcPr>
          <w:p w14:paraId="23EC8CD0" w14:textId="77777777" w:rsidR="00D044B5" w:rsidRPr="00BB6AE5" w:rsidRDefault="00D044B5" w:rsidP="00203BA9">
            <w:pPr>
              <w:pStyle w:val="Tabletext"/>
              <w:rPr>
                <w:lang w:eastAsia="en-AU"/>
              </w:rPr>
            </w:pPr>
            <w:r w:rsidRPr="00BB6AE5">
              <w:rPr>
                <w:lang w:eastAsia="en-AU"/>
              </w:rPr>
              <w:t>Construction, Distribution and Production Managers</w:t>
            </w:r>
          </w:p>
        </w:tc>
        <w:tc>
          <w:tcPr>
            <w:tcW w:w="1500" w:type="dxa"/>
            <w:tcBorders>
              <w:top w:val="nil"/>
              <w:left w:val="nil"/>
              <w:bottom w:val="nil"/>
              <w:right w:val="nil"/>
            </w:tcBorders>
            <w:shd w:val="clear" w:color="auto" w:fill="auto"/>
            <w:noWrap/>
            <w:vAlign w:val="center"/>
            <w:hideMark/>
          </w:tcPr>
          <w:p w14:paraId="44E2D437" w14:textId="77777777" w:rsidR="00D044B5" w:rsidRPr="00BB6AE5" w:rsidRDefault="00D044B5" w:rsidP="00203BA9">
            <w:pPr>
              <w:pStyle w:val="Tabletext"/>
              <w:jc w:val="right"/>
              <w:rPr>
                <w:lang w:eastAsia="en-AU"/>
              </w:rPr>
            </w:pPr>
            <w:r w:rsidRPr="00BB6AE5">
              <w:rPr>
                <w:lang w:eastAsia="en-AU"/>
              </w:rPr>
              <w:t>96</w:t>
            </w:r>
          </w:p>
        </w:tc>
        <w:tc>
          <w:tcPr>
            <w:tcW w:w="1500" w:type="dxa"/>
            <w:tcBorders>
              <w:top w:val="nil"/>
              <w:left w:val="nil"/>
              <w:bottom w:val="nil"/>
              <w:right w:val="nil"/>
            </w:tcBorders>
            <w:shd w:val="clear" w:color="auto" w:fill="auto"/>
            <w:noWrap/>
            <w:vAlign w:val="center"/>
            <w:hideMark/>
          </w:tcPr>
          <w:p w14:paraId="4CF414DA" w14:textId="77777777" w:rsidR="00D044B5" w:rsidRPr="00BB6AE5" w:rsidRDefault="00D044B5" w:rsidP="00203BA9">
            <w:pPr>
              <w:pStyle w:val="Tabletext"/>
              <w:jc w:val="right"/>
              <w:rPr>
                <w:lang w:eastAsia="en-AU"/>
              </w:rPr>
            </w:pPr>
            <w:r w:rsidRPr="00BB6AE5">
              <w:rPr>
                <w:lang w:eastAsia="en-AU"/>
              </w:rPr>
              <w:t>16</w:t>
            </w:r>
          </w:p>
        </w:tc>
        <w:tc>
          <w:tcPr>
            <w:tcW w:w="1500" w:type="dxa"/>
            <w:tcBorders>
              <w:top w:val="nil"/>
              <w:left w:val="nil"/>
              <w:bottom w:val="nil"/>
              <w:right w:val="nil"/>
            </w:tcBorders>
            <w:shd w:val="clear" w:color="auto" w:fill="auto"/>
            <w:noWrap/>
            <w:vAlign w:val="center"/>
            <w:hideMark/>
          </w:tcPr>
          <w:p w14:paraId="4AD0C4FD" w14:textId="77777777" w:rsidR="00D044B5" w:rsidRPr="00BB6AE5" w:rsidRDefault="00D044B5" w:rsidP="00203BA9">
            <w:pPr>
              <w:pStyle w:val="Tabletext"/>
              <w:jc w:val="right"/>
              <w:rPr>
                <w:lang w:eastAsia="en-AU"/>
              </w:rPr>
            </w:pPr>
            <w:r w:rsidRPr="00BB6AE5">
              <w:rPr>
                <w:lang w:eastAsia="en-AU"/>
              </w:rPr>
              <w:t>35</w:t>
            </w:r>
          </w:p>
        </w:tc>
      </w:tr>
      <w:tr w:rsidR="00D044B5" w:rsidRPr="00BB6AE5" w14:paraId="44DA71C9" w14:textId="77777777" w:rsidTr="00C368DB">
        <w:trPr>
          <w:trHeight w:val="300"/>
        </w:trPr>
        <w:tc>
          <w:tcPr>
            <w:tcW w:w="5260" w:type="dxa"/>
            <w:tcBorders>
              <w:top w:val="nil"/>
              <w:left w:val="nil"/>
              <w:bottom w:val="nil"/>
              <w:right w:val="nil"/>
            </w:tcBorders>
            <w:shd w:val="clear" w:color="auto" w:fill="auto"/>
            <w:noWrap/>
            <w:vAlign w:val="bottom"/>
            <w:hideMark/>
          </w:tcPr>
          <w:p w14:paraId="200AB3D9" w14:textId="77777777" w:rsidR="00D044B5" w:rsidRPr="00BB6AE5" w:rsidRDefault="00D044B5" w:rsidP="00203BA9">
            <w:pPr>
              <w:pStyle w:val="Tabletext"/>
              <w:rPr>
                <w:lang w:eastAsia="en-AU"/>
              </w:rPr>
            </w:pPr>
            <w:r w:rsidRPr="00BB6AE5">
              <w:rPr>
                <w:lang w:eastAsia="en-AU"/>
              </w:rPr>
              <w:t>Education, Health and Welfare Services Managers</w:t>
            </w:r>
          </w:p>
        </w:tc>
        <w:tc>
          <w:tcPr>
            <w:tcW w:w="1500" w:type="dxa"/>
            <w:tcBorders>
              <w:top w:val="nil"/>
              <w:left w:val="nil"/>
              <w:bottom w:val="nil"/>
              <w:right w:val="nil"/>
            </w:tcBorders>
            <w:shd w:val="clear" w:color="auto" w:fill="auto"/>
            <w:noWrap/>
            <w:vAlign w:val="center"/>
            <w:hideMark/>
          </w:tcPr>
          <w:p w14:paraId="55A245D3" w14:textId="77777777" w:rsidR="00D044B5" w:rsidRPr="00BB6AE5" w:rsidRDefault="00D044B5" w:rsidP="00203BA9">
            <w:pPr>
              <w:pStyle w:val="Tabletext"/>
              <w:jc w:val="right"/>
              <w:rPr>
                <w:lang w:eastAsia="en-AU"/>
              </w:rPr>
            </w:pPr>
            <w:r w:rsidRPr="00BB6AE5">
              <w:rPr>
                <w:lang w:eastAsia="en-AU"/>
              </w:rPr>
              <w:t>11</w:t>
            </w:r>
          </w:p>
        </w:tc>
        <w:tc>
          <w:tcPr>
            <w:tcW w:w="1500" w:type="dxa"/>
            <w:tcBorders>
              <w:top w:val="nil"/>
              <w:left w:val="nil"/>
              <w:bottom w:val="nil"/>
              <w:right w:val="nil"/>
            </w:tcBorders>
            <w:shd w:val="clear" w:color="auto" w:fill="auto"/>
            <w:noWrap/>
            <w:vAlign w:val="center"/>
            <w:hideMark/>
          </w:tcPr>
          <w:p w14:paraId="4D5DA01F" w14:textId="77777777" w:rsidR="00D044B5" w:rsidRPr="00BB6AE5" w:rsidRDefault="00D044B5" w:rsidP="00203BA9">
            <w:pPr>
              <w:pStyle w:val="Tabletext"/>
              <w:jc w:val="right"/>
              <w:rPr>
                <w:lang w:eastAsia="en-AU"/>
              </w:rPr>
            </w:pPr>
            <w:r w:rsidRPr="00BB6AE5">
              <w:rPr>
                <w:lang w:eastAsia="en-AU"/>
              </w:rPr>
              <w:t>32</w:t>
            </w:r>
          </w:p>
        </w:tc>
        <w:tc>
          <w:tcPr>
            <w:tcW w:w="1500" w:type="dxa"/>
            <w:tcBorders>
              <w:top w:val="nil"/>
              <w:left w:val="nil"/>
              <w:bottom w:val="nil"/>
              <w:right w:val="nil"/>
            </w:tcBorders>
            <w:shd w:val="clear" w:color="auto" w:fill="auto"/>
            <w:noWrap/>
            <w:vAlign w:val="center"/>
            <w:hideMark/>
          </w:tcPr>
          <w:p w14:paraId="1BD49164" w14:textId="77777777" w:rsidR="00D044B5" w:rsidRPr="00BB6AE5" w:rsidRDefault="00D044B5" w:rsidP="00203BA9">
            <w:pPr>
              <w:pStyle w:val="Tabletext"/>
              <w:jc w:val="right"/>
              <w:rPr>
                <w:lang w:eastAsia="en-AU"/>
              </w:rPr>
            </w:pPr>
            <w:r w:rsidRPr="00BB6AE5">
              <w:rPr>
                <w:lang w:eastAsia="en-AU"/>
              </w:rPr>
              <w:t>31</w:t>
            </w:r>
          </w:p>
        </w:tc>
      </w:tr>
      <w:tr w:rsidR="00D044B5" w:rsidRPr="00BB6AE5" w14:paraId="09885586" w14:textId="77777777" w:rsidTr="00C368DB">
        <w:trPr>
          <w:trHeight w:val="300"/>
        </w:trPr>
        <w:tc>
          <w:tcPr>
            <w:tcW w:w="5260" w:type="dxa"/>
            <w:tcBorders>
              <w:top w:val="nil"/>
              <w:left w:val="nil"/>
              <w:bottom w:val="nil"/>
              <w:right w:val="nil"/>
            </w:tcBorders>
            <w:shd w:val="clear" w:color="auto" w:fill="auto"/>
            <w:noWrap/>
            <w:vAlign w:val="bottom"/>
            <w:hideMark/>
          </w:tcPr>
          <w:p w14:paraId="0B4BF84D" w14:textId="77777777" w:rsidR="00D044B5" w:rsidRPr="00BB6AE5" w:rsidRDefault="00D044B5" w:rsidP="00203BA9">
            <w:pPr>
              <w:pStyle w:val="Tabletext"/>
              <w:rPr>
                <w:lang w:eastAsia="en-AU"/>
              </w:rPr>
            </w:pPr>
            <w:r w:rsidRPr="00BB6AE5">
              <w:rPr>
                <w:lang w:eastAsia="en-AU"/>
              </w:rPr>
              <w:t>ICT Managers</w:t>
            </w:r>
          </w:p>
        </w:tc>
        <w:tc>
          <w:tcPr>
            <w:tcW w:w="1500" w:type="dxa"/>
            <w:tcBorders>
              <w:top w:val="nil"/>
              <w:left w:val="nil"/>
              <w:bottom w:val="nil"/>
              <w:right w:val="nil"/>
            </w:tcBorders>
            <w:shd w:val="clear" w:color="auto" w:fill="auto"/>
            <w:noWrap/>
            <w:vAlign w:val="center"/>
            <w:hideMark/>
          </w:tcPr>
          <w:p w14:paraId="7C815200" w14:textId="77777777" w:rsidR="00D044B5" w:rsidRPr="00BB6AE5" w:rsidRDefault="00D044B5" w:rsidP="00203BA9">
            <w:pPr>
              <w:pStyle w:val="Tabletext"/>
              <w:jc w:val="right"/>
              <w:rPr>
                <w:lang w:eastAsia="en-AU"/>
              </w:rPr>
            </w:pPr>
            <w:r w:rsidRPr="00BB6AE5">
              <w:rPr>
                <w:lang w:eastAsia="en-AU"/>
              </w:rPr>
              <w:t>13</w:t>
            </w:r>
          </w:p>
        </w:tc>
        <w:tc>
          <w:tcPr>
            <w:tcW w:w="1500" w:type="dxa"/>
            <w:tcBorders>
              <w:top w:val="nil"/>
              <w:left w:val="nil"/>
              <w:bottom w:val="nil"/>
              <w:right w:val="nil"/>
            </w:tcBorders>
            <w:shd w:val="clear" w:color="auto" w:fill="auto"/>
            <w:noWrap/>
            <w:vAlign w:val="center"/>
            <w:hideMark/>
          </w:tcPr>
          <w:p w14:paraId="0833B467" w14:textId="77777777" w:rsidR="00D044B5" w:rsidRPr="00BB6AE5" w:rsidRDefault="00D044B5" w:rsidP="00203BA9">
            <w:pPr>
              <w:pStyle w:val="Tabletext"/>
              <w:jc w:val="right"/>
              <w:rPr>
                <w:lang w:eastAsia="en-AU"/>
              </w:rPr>
            </w:pPr>
            <w:r w:rsidRPr="00BB6AE5">
              <w:rPr>
                <w:lang w:eastAsia="en-AU"/>
              </w:rPr>
              <w:t>12</w:t>
            </w:r>
          </w:p>
        </w:tc>
        <w:tc>
          <w:tcPr>
            <w:tcW w:w="1500" w:type="dxa"/>
            <w:tcBorders>
              <w:top w:val="nil"/>
              <w:left w:val="nil"/>
              <w:bottom w:val="nil"/>
              <w:right w:val="nil"/>
            </w:tcBorders>
            <w:shd w:val="clear" w:color="auto" w:fill="auto"/>
            <w:noWrap/>
            <w:vAlign w:val="center"/>
            <w:hideMark/>
          </w:tcPr>
          <w:p w14:paraId="429C8432" w14:textId="77777777" w:rsidR="00D044B5" w:rsidRPr="00BB6AE5" w:rsidRDefault="00D044B5" w:rsidP="00203BA9">
            <w:pPr>
              <w:pStyle w:val="Tabletext"/>
              <w:jc w:val="right"/>
              <w:rPr>
                <w:lang w:eastAsia="en-AU"/>
              </w:rPr>
            </w:pPr>
            <w:r w:rsidRPr="00BB6AE5">
              <w:rPr>
                <w:lang w:eastAsia="en-AU"/>
              </w:rPr>
              <w:t>24</w:t>
            </w:r>
          </w:p>
        </w:tc>
      </w:tr>
      <w:tr w:rsidR="00D044B5" w:rsidRPr="00BB6AE5" w14:paraId="1CC43F0D" w14:textId="77777777" w:rsidTr="00C368DB">
        <w:trPr>
          <w:trHeight w:val="300"/>
        </w:trPr>
        <w:tc>
          <w:tcPr>
            <w:tcW w:w="5260" w:type="dxa"/>
            <w:tcBorders>
              <w:top w:val="nil"/>
              <w:left w:val="nil"/>
              <w:bottom w:val="nil"/>
              <w:right w:val="nil"/>
            </w:tcBorders>
            <w:shd w:val="clear" w:color="auto" w:fill="auto"/>
            <w:noWrap/>
            <w:vAlign w:val="bottom"/>
            <w:hideMark/>
          </w:tcPr>
          <w:p w14:paraId="4E45A39C" w14:textId="77777777" w:rsidR="00D044B5" w:rsidRPr="00BB6AE5" w:rsidRDefault="00D044B5" w:rsidP="00203BA9">
            <w:pPr>
              <w:pStyle w:val="Tabletext"/>
              <w:rPr>
                <w:lang w:eastAsia="en-AU"/>
              </w:rPr>
            </w:pPr>
            <w:r w:rsidRPr="00BB6AE5">
              <w:rPr>
                <w:lang w:eastAsia="en-AU"/>
              </w:rPr>
              <w:t>Miscellaneous Specialist Managers</w:t>
            </w:r>
          </w:p>
        </w:tc>
        <w:tc>
          <w:tcPr>
            <w:tcW w:w="1500" w:type="dxa"/>
            <w:tcBorders>
              <w:top w:val="nil"/>
              <w:left w:val="nil"/>
              <w:bottom w:val="nil"/>
              <w:right w:val="nil"/>
            </w:tcBorders>
            <w:shd w:val="clear" w:color="auto" w:fill="auto"/>
            <w:noWrap/>
            <w:vAlign w:val="center"/>
            <w:hideMark/>
          </w:tcPr>
          <w:p w14:paraId="60A27EC6" w14:textId="77777777" w:rsidR="00D044B5" w:rsidRPr="00BB6AE5" w:rsidRDefault="00D044B5" w:rsidP="00203BA9">
            <w:pPr>
              <w:pStyle w:val="Tabletext"/>
              <w:jc w:val="right"/>
              <w:rPr>
                <w:lang w:eastAsia="en-AU"/>
              </w:rPr>
            </w:pPr>
            <w:r w:rsidRPr="00BB6AE5">
              <w:rPr>
                <w:lang w:eastAsia="en-AU"/>
              </w:rPr>
              <w:t>22</w:t>
            </w:r>
          </w:p>
        </w:tc>
        <w:tc>
          <w:tcPr>
            <w:tcW w:w="1500" w:type="dxa"/>
            <w:tcBorders>
              <w:top w:val="nil"/>
              <w:left w:val="nil"/>
              <w:bottom w:val="nil"/>
              <w:right w:val="nil"/>
            </w:tcBorders>
            <w:shd w:val="clear" w:color="auto" w:fill="auto"/>
            <w:noWrap/>
            <w:vAlign w:val="center"/>
            <w:hideMark/>
          </w:tcPr>
          <w:p w14:paraId="54E6495F" w14:textId="77777777" w:rsidR="00D044B5" w:rsidRPr="00BB6AE5" w:rsidRDefault="00D044B5" w:rsidP="00203BA9">
            <w:pPr>
              <w:pStyle w:val="Tabletext"/>
              <w:jc w:val="right"/>
              <w:rPr>
                <w:lang w:eastAsia="en-AU"/>
              </w:rPr>
            </w:pPr>
            <w:r w:rsidRPr="00BB6AE5">
              <w:rPr>
                <w:lang w:eastAsia="en-AU"/>
              </w:rPr>
              <w:t>14</w:t>
            </w:r>
          </w:p>
        </w:tc>
        <w:tc>
          <w:tcPr>
            <w:tcW w:w="1500" w:type="dxa"/>
            <w:tcBorders>
              <w:top w:val="nil"/>
              <w:left w:val="nil"/>
              <w:bottom w:val="nil"/>
              <w:right w:val="nil"/>
            </w:tcBorders>
            <w:shd w:val="clear" w:color="auto" w:fill="auto"/>
            <w:noWrap/>
            <w:vAlign w:val="center"/>
            <w:hideMark/>
          </w:tcPr>
          <w:p w14:paraId="21999A61" w14:textId="77777777" w:rsidR="00D044B5" w:rsidRPr="00BB6AE5" w:rsidRDefault="00D044B5" w:rsidP="00203BA9">
            <w:pPr>
              <w:pStyle w:val="Tabletext"/>
              <w:jc w:val="right"/>
              <w:rPr>
                <w:lang w:eastAsia="en-AU"/>
              </w:rPr>
            </w:pPr>
            <w:r w:rsidRPr="00BB6AE5">
              <w:rPr>
                <w:lang w:eastAsia="en-AU"/>
              </w:rPr>
              <w:t>22</w:t>
            </w:r>
          </w:p>
        </w:tc>
      </w:tr>
      <w:tr w:rsidR="00D044B5" w:rsidRPr="00BB6AE5" w14:paraId="6FC09206" w14:textId="77777777" w:rsidTr="00C368DB">
        <w:trPr>
          <w:trHeight w:val="300"/>
        </w:trPr>
        <w:tc>
          <w:tcPr>
            <w:tcW w:w="5260" w:type="dxa"/>
            <w:tcBorders>
              <w:top w:val="nil"/>
              <w:left w:val="nil"/>
              <w:bottom w:val="nil"/>
              <w:right w:val="nil"/>
            </w:tcBorders>
            <w:shd w:val="clear" w:color="auto" w:fill="auto"/>
            <w:noWrap/>
            <w:vAlign w:val="bottom"/>
            <w:hideMark/>
          </w:tcPr>
          <w:p w14:paraId="2FB397F6" w14:textId="77777777" w:rsidR="00D044B5" w:rsidRPr="00BB6AE5" w:rsidRDefault="00D044B5" w:rsidP="00203BA9">
            <w:pPr>
              <w:pStyle w:val="Tabletext"/>
              <w:rPr>
                <w:lang w:eastAsia="en-AU"/>
              </w:rPr>
            </w:pPr>
            <w:r w:rsidRPr="00BB6AE5">
              <w:rPr>
                <w:lang w:eastAsia="en-AU"/>
              </w:rPr>
              <w:t>Miscellaneous Hospitality, Retail and Service Managers</w:t>
            </w:r>
          </w:p>
        </w:tc>
        <w:tc>
          <w:tcPr>
            <w:tcW w:w="1500" w:type="dxa"/>
            <w:tcBorders>
              <w:top w:val="nil"/>
              <w:left w:val="nil"/>
              <w:bottom w:val="nil"/>
              <w:right w:val="nil"/>
            </w:tcBorders>
            <w:shd w:val="clear" w:color="auto" w:fill="auto"/>
            <w:noWrap/>
            <w:vAlign w:val="center"/>
            <w:hideMark/>
          </w:tcPr>
          <w:p w14:paraId="17D981BA" w14:textId="77777777" w:rsidR="00D044B5" w:rsidRPr="00BB6AE5" w:rsidRDefault="00D044B5" w:rsidP="00203BA9">
            <w:pPr>
              <w:pStyle w:val="Tabletext"/>
              <w:jc w:val="right"/>
              <w:rPr>
                <w:lang w:eastAsia="en-AU"/>
              </w:rPr>
            </w:pPr>
            <w:r w:rsidRPr="00BB6AE5">
              <w:rPr>
                <w:lang w:eastAsia="en-AU"/>
              </w:rPr>
              <w:t>50</w:t>
            </w:r>
          </w:p>
        </w:tc>
        <w:tc>
          <w:tcPr>
            <w:tcW w:w="1500" w:type="dxa"/>
            <w:tcBorders>
              <w:top w:val="nil"/>
              <w:left w:val="nil"/>
              <w:bottom w:val="nil"/>
              <w:right w:val="nil"/>
            </w:tcBorders>
            <w:shd w:val="clear" w:color="auto" w:fill="auto"/>
            <w:noWrap/>
            <w:vAlign w:val="center"/>
            <w:hideMark/>
          </w:tcPr>
          <w:p w14:paraId="0E526961" w14:textId="77777777" w:rsidR="00D044B5" w:rsidRPr="00BB6AE5" w:rsidRDefault="00D044B5" w:rsidP="00203BA9">
            <w:pPr>
              <w:pStyle w:val="Tabletext"/>
              <w:jc w:val="right"/>
              <w:rPr>
                <w:lang w:eastAsia="en-AU"/>
              </w:rPr>
            </w:pPr>
            <w:r w:rsidRPr="00BB6AE5">
              <w:rPr>
                <w:lang w:eastAsia="en-AU"/>
              </w:rPr>
              <w:t>11</w:t>
            </w:r>
          </w:p>
        </w:tc>
        <w:tc>
          <w:tcPr>
            <w:tcW w:w="1500" w:type="dxa"/>
            <w:tcBorders>
              <w:top w:val="nil"/>
              <w:left w:val="nil"/>
              <w:bottom w:val="nil"/>
              <w:right w:val="nil"/>
            </w:tcBorders>
            <w:shd w:val="clear" w:color="auto" w:fill="auto"/>
            <w:noWrap/>
            <w:vAlign w:val="center"/>
            <w:hideMark/>
          </w:tcPr>
          <w:p w14:paraId="0AA1798B" w14:textId="77777777" w:rsidR="00D044B5" w:rsidRPr="00BB6AE5" w:rsidRDefault="00D044B5" w:rsidP="00203BA9">
            <w:pPr>
              <w:pStyle w:val="Tabletext"/>
              <w:jc w:val="right"/>
              <w:rPr>
                <w:lang w:eastAsia="en-AU"/>
              </w:rPr>
            </w:pPr>
            <w:r w:rsidRPr="00BB6AE5">
              <w:rPr>
                <w:lang w:eastAsia="en-AU"/>
              </w:rPr>
              <w:t>20</w:t>
            </w:r>
          </w:p>
        </w:tc>
      </w:tr>
      <w:tr w:rsidR="00D044B5" w:rsidRPr="00BB6AE5" w14:paraId="54204470" w14:textId="77777777" w:rsidTr="00C368DB">
        <w:trPr>
          <w:trHeight w:val="300"/>
        </w:trPr>
        <w:tc>
          <w:tcPr>
            <w:tcW w:w="5260" w:type="dxa"/>
            <w:tcBorders>
              <w:top w:val="nil"/>
              <w:left w:val="nil"/>
              <w:bottom w:val="nil"/>
              <w:right w:val="nil"/>
            </w:tcBorders>
            <w:shd w:val="clear" w:color="auto" w:fill="auto"/>
            <w:noWrap/>
            <w:vAlign w:val="bottom"/>
            <w:hideMark/>
          </w:tcPr>
          <w:p w14:paraId="49AEE9CA" w14:textId="77777777" w:rsidR="00D044B5" w:rsidRPr="00BB6AE5" w:rsidRDefault="00D044B5" w:rsidP="00203BA9">
            <w:pPr>
              <w:pStyle w:val="Tabletext"/>
              <w:rPr>
                <w:lang w:eastAsia="en-AU"/>
              </w:rPr>
            </w:pPr>
            <w:r w:rsidRPr="00BB6AE5">
              <w:rPr>
                <w:lang w:eastAsia="en-AU"/>
              </w:rPr>
              <w:t>Accountants, Auditors and Company Secretaries</w:t>
            </w:r>
          </w:p>
        </w:tc>
        <w:tc>
          <w:tcPr>
            <w:tcW w:w="1500" w:type="dxa"/>
            <w:tcBorders>
              <w:top w:val="nil"/>
              <w:left w:val="nil"/>
              <w:bottom w:val="nil"/>
              <w:right w:val="nil"/>
            </w:tcBorders>
            <w:shd w:val="clear" w:color="auto" w:fill="auto"/>
            <w:noWrap/>
            <w:vAlign w:val="center"/>
            <w:hideMark/>
          </w:tcPr>
          <w:p w14:paraId="564BBCBA" w14:textId="77777777" w:rsidR="00D044B5" w:rsidRPr="00BB6AE5" w:rsidRDefault="00D044B5" w:rsidP="00203BA9">
            <w:pPr>
              <w:pStyle w:val="Tabletext"/>
              <w:jc w:val="right"/>
              <w:rPr>
                <w:lang w:eastAsia="en-AU"/>
              </w:rPr>
            </w:pPr>
            <w:r w:rsidRPr="00BB6AE5">
              <w:rPr>
                <w:lang w:eastAsia="en-AU"/>
              </w:rPr>
              <w:t>15</w:t>
            </w:r>
          </w:p>
        </w:tc>
        <w:tc>
          <w:tcPr>
            <w:tcW w:w="1500" w:type="dxa"/>
            <w:tcBorders>
              <w:top w:val="nil"/>
              <w:left w:val="nil"/>
              <w:bottom w:val="nil"/>
              <w:right w:val="nil"/>
            </w:tcBorders>
            <w:shd w:val="clear" w:color="auto" w:fill="auto"/>
            <w:noWrap/>
            <w:vAlign w:val="center"/>
            <w:hideMark/>
          </w:tcPr>
          <w:p w14:paraId="32941D50" w14:textId="77777777" w:rsidR="00D044B5" w:rsidRPr="00BB6AE5" w:rsidRDefault="00D044B5" w:rsidP="00203BA9">
            <w:pPr>
              <w:pStyle w:val="Tabletext"/>
              <w:jc w:val="right"/>
              <w:rPr>
                <w:lang w:eastAsia="en-AU"/>
              </w:rPr>
            </w:pPr>
            <w:r w:rsidRPr="00BB6AE5">
              <w:rPr>
                <w:lang w:eastAsia="en-AU"/>
              </w:rPr>
              <w:t>32</w:t>
            </w:r>
          </w:p>
        </w:tc>
        <w:tc>
          <w:tcPr>
            <w:tcW w:w="1500" w:type="dxa"/>
            <w:tcBorders>
              <w:top w:val="nil"/>
              <w:left w:val="nil"/>
              <w:bottom w:val="nil"/>
              <w:right w:val="nil"/>
            </w:tcBorders>
            <w:shd w:val="clear" w:color="auto" w:fill="auto"/>
            <w:noWrap/>
            <w:vAlign w:val="center"/>
            <w:hideMark/>
          </w:tcPr>
          <w:p w14:paraId="7735558F" w14:textId="77777777" w:rsidR="00D044B5" w:rsidRPr="00BB6AE5" w:rsidRDefault="00D044B5" w:rsidP="00203BA9">
            <w:pPr>
              <w:pStyle w:val="Tabletext"/>
              <w:jc w:val="right"/>
              <w:rPr>
                <w:lang w:eastAsia="en-AU"/>
              </w:rPr>
            </w:pPr>
            <w:r w:rsidRPr="00BB6AE5">
              <w:rPr>
                <w:lang w:eastAsia="en-AU"/>
              </w:rPr>
              <w:t>77</w:t>
            </w:r>
          </w:p>
        </w:tc>
      </w:tr>
      <w:tr w:rsidR="00D044B5" w:rsidRPr="00BB6AE5" w14:paraId="18583438" w14:textId="77777777" w:rsidTr="00C368DB">
        <w:trPr>
          <w:trHeight w:val="300"/>
        </w:trPr>
        <w:tc>
          <w:tcPr>
            <w:tcW w:w="5260" w:type="dxa"/>
            <w:tcBorders>
              <w:top w:val="nil"/>
              <w:left w:val="nil"/>
              <w:bottom w:val="nil"/>
              <w:right w:val="nil"/>
            </w:tcBorders>
            <w:shd w:val="clear" w:color="auto" w:fill="auto"/>
            <w:noWrap/>
            <w:vAlign w:val="bottom"/>
            <w:hideMark/>
          </w:tcPr>
          <w:p w14:paraId="74EE4F55" w14:textId="77777777" w:rsidR="00D044B5" w:rsidRPr="00BB6AE5" w:rsidRDefault="00D044B5" w:rsidP="00203BA9">
            <w:pPr>
              <w:pStyle w:val="Tabletext"/>
              <w:rPr>
                <w:lang w:eastAsia="en-AU"/>
              </w:rPr>
            </w:pPr>
            <w:r w:rsidRPr="00BB6AE5">
              <w:rPr>
                <w:lang w:eastAsia="en-AU"/>
              </w:rPr>
              <w:t>Financial Brokers and Dealers, and Investment Advisers</w:t>
            </w:r>
          </w:p>
        </w:tc>
        <w:tc>
          <w:tcPr>
            <w:tcW w:w="1500" w:type="dxa"/>
            <w:tcBorders>
              <w:top w:val="nil"/>
              <w:left w:val="nil"/>
              <w:bottom w:val="nil"/>
              <w:right w:val="nil"/>
            </w:tcBorders>
            <w:shd w:val="clear" w:color="auto" w:fill="auto"/>
            <w:noWrap/>
            <w:vAlign w:val="center"/>
            <w:hideMark/>
          </w:tcPr>
          <w:p w14:paraId="75665721" w14:textId="77777777" w:rsidR="00D044B5" w:rsidRPr="00BB6AE5" w:rsidRDefault="00D044B5" w:rsidP="00203BA9">
            <w:pPr>
              <w:pStyle w:val="Tabletext"/>
              <w:jc w:val="right"/>
              <w:rPr>
                <w:lang w:eastAsia="en-AU"/>
              </w:rPr>
            </w:pPr>
            <w:r w:rsidRPr="00BB6AE5">
              <w:rPr>
                <w:lang w:eastAsia="en-AU"/>
              </w:rPr>
              <w:t>25</w:t>
            </w:r>
          </w:p>
        </w:tc>
        <w:tc>
          <w:tcPr>
            <w:tcW w:w="1500" w:type="dxa"/>
            <w:tcBorders>
              <w:top w:val="nil"/>
              <w:left w:val="nil"/>
              <w:bottom w:val="nil"/>
              <w:right w:val="nil"/>
            </w:tcBorders>
            <w:shd w:val="clear" w:color="auto" w:fill="auto"/>
            <w:noWrap/>
            <w:vAlign w:val="center"/>
            <w:hideMark/>
          </w:tcPr>
          <w:p w14:paraId="72297283" w14:textId="77777777" w:rsidR="00D044B5" w:rsidRPr="00BB6AE5" w:rsidRDefault="00D044B5" w:rsidP="00203BA9">
            <w:pPr>
              <w:pStyle w:val="Tabletext"/>
              <w:jc w:val="right"/>
              <w:rPr>
                <w:lang w:eastAsia="en-AU"/>
              </w:rPr>
            </w:pPr>
            <w:r w:rsidRPr="00BB6AE5">
              <w:rPr>
                <w:lang w:eastAsia="en-AU"/>
              </w:rPr>
              <w:t>15</w:t>
            </w:r>
          </w:p>
        </w:tc>
        <w:tc>
          <w:tcPr>
            <w:tcW w:w="1500" w:type="dxa"/>
            <w:tcBorders>
              <w:top w:val="nil"/>
              <w:left w:val="nil"/>
              <w:bottom w:val="nil"/>
              <w:right w:val="nil"/>
            </w:tcBorders>
            <w:shd w:val="clear" w:color="auto" w:fill="auto"/>
            <w:noWrap/>
            <w:vAlign w:val="center"/>
            <w:hideMark/>
          </w:tcPr>
          <w:p w14:paraId="3B1B1097" w14:textId="77777777" w:rsidR="00D044B5" w:rsidRPr="00BB6AE5" w:rsidRDefault="00D044B5" w:rsidP="00203BA9">
            <w:pPr>
              <w:pStyle w:val="Tabletext"/>
              <w:jc w:val="right"/>
              <w:rPr>
                <w:lang w:eastAsia="en-AU"/>
              </w:rPr>
            </w:pPr>
            <w:r w:rsidRPr="00BB6AE5">
              <w:rPr>
                <w:lang w:eastAsia="en-AU"/>
              </w:rPr>
              <w:t>25</w:t>
            </w:r>
          </w:p>
        </w:tc>
      </w:tr>
      <w:tr w:rsidR="00D044B5" w:rsidRPr="00BB6AE5" w14:paraId="5D196BDC" w14:textId="77777777" w:rsidTr="00C368DB">
        <w:trPr>
          <w:trHeight w:val="300"/>
        </w:trPr>
        <w:tc>
          <w:tcPr>
            <w:tcW w:w="5260" w:type="dxa"/>
            <w:tcBorders>
              <w:top w:val="nil"/>
              <w:left w:val="nil"/>
              <w:bottom w:val="nil"/>
              <w:right w:val="nil"/>
            </w:tcBorders>
            <w:shd w:val="clear" w:color="auto" w:fill="auto"/>
            <w:noWrap/>
            <w:vAlign w:val="bottom"/>
            <w:hideMark/>
          </w:tcPr>
          <w:p w14:paraId="0AD80723" w14:textId="77777777" w:rsidR="00D044B5" w:rsidRPr="00BB6AE5" w:rsidRDefault="00D044B5" w:rsidP="00203BA9">
            <w:pPr>
              <w:pStyle w:val="Tabletext"/>
              <w:rPr>
                <w:lang w:eastAsia="en-AU"/>
              </w:rPr>
            </w:pPr>
            <w:r w:rsidRPr="00BB6AE5">
              <w:rPr>
                <w:lang w:eastAsia="en-AU"/>
              </w:rPr>
              <w:t>Human Resource and Training Professionals</w:t>
            </w:r>
          </w:p>
        </w:tc>
        <w:tc>
          <w:tcPr>
            <w:tcW w:w="1500" w:type="dxa"/>
            <w:tcBorders>
              <w:top w:val="nil"/>
              <w:left w:val="nil"/>
              <w:bottom w:val="nil"/>
              <w:right w:val="nil"/>
            </w:tcBorders>
            <w:shd w:val="clear" w:color="auto" w:fill="auto"/>
            <w:noWrap/>
            <w:vAlign w:val="center"/>
            <w:hideMark/>
          </w:tcPr>
          <w:p w14:paraId="1C96856F" w14:textId="77777777" w:rsidR="00D044B5" w:rsidRPr="00BB6AE5" w:rsidRDefault="00D044B5" w:rsidP="00203BA9">
            <w:pPr>
              <w:pStyle w:val="Tabletext"/>
              <w:jc w:val="right"/>
              <w:rPr>
                <w:lang w:eastAsia="en-AU"/>
              </w:rPr>
            </w:pPr>
            <w:r w:rsidRPr="00BB6AE5">
              <w:rPr>
                <w:lang w:eastAsia="en-AU"/>
              </w:rPr>
              <w:t>39</w:t>
            </w:r>
          </w:p>
        </w:tc>
        <w:tc>
          <w:tcPr>
            <w:tcW w:w="1500" w:type="dxa"/>
            <w:tcBorders>
              <w:top w:val="nil"/>
              <w:left w:val="nil"/>
              <w:bottom w:val="nil"/>
              <w:right w:val="nil"/>
            </w:tcBorders>
            <w:shd w:val="clear" w:color="auto" w:fill="auto"/>
            <w:noWrap/>
            <w:vAlign w:val="center"/>
            <w:hideMark/>
          </w:tcPr>
          <w:p w14:paraId="5589C43F" w14:textId="77777777" w:rsidR="00D044B5" w:rsidRPr="00BB6AE5" w:rsidRDefault="00D044B5" w:rsidP="00203BA9">
            <w:pPr>
              <w:pStyle w:val="Tabletext"/>
              <w:jc w:val="right"/>
              <w:rPr>
                <w:lang w:eastAsia="en-AU"/>
              </w:rPr>
            </w:pPr>
            <w:r w:rsidRPr="00BB6AE5">
              <w:rPr>
                <w:lang w:eastAsia="en-AU"/>
              </w:rPr>
              <w:t>18</w:t>
            </w:r>
          </w:p>
        </w:tc>
        <w:tc>
          <w:tcPr>
            <w:tcW w:w="1500" w:type="dxa"/>
            <w:tcBorders>
              <w:top w:val="nil"/>
              <w:left w:val="nil"/>
              <w:bottom w:val="nil"/>
              <w:right w:val="nil"/>
            </w:tcBorders>
            <w:shd w:val="clear" w:color="auto" w:fill="auto"/>
            <w:noWrap/>
            <w:vAlign w:val="center"/>
            <w:hideMark/>
          </w:tcPr>
          <w:p w14:paraId="213A8552" w14:textId="77777777" w:rsidR="00D044B5" w:rsidRPr="00BB6AE5" w:rsidRDefault="00D044B5" w:rsidP="00203BA9">
            <w:pPr>
              <w:pStyle w:val="Tabletext"/>
              <w:jc w:val="right"/>
              <w:rPr>
                <w:lang w:eastAsia="en-AU"/>
              </w:rPr>
            </w:pPr>
            <w:r w:rsidRPr="00BB6AE5">
              <w:rPr>
                <w:lang w:eastAsia="en-AU"/>
              </w:rPr>
              <w:t>28</w:t>
            </w:r>
          </w:p>
        </w:tc>
      </w:tr>
      <w:tr w:rsidR="00D044B5" w:rsidRPr="00BB6AE5" w14:paraId="4F4775DF" w14:textId="77777777" w:rsidTr="00C368DB">
        <w:trPr>
          <w:trHeight w:val="300"/>
        </w:trPr>
        <w:tc>
          <w:tcPr>
            <w:tcW w:w="5260" w:type="dxa"/>
            <w:tcBorders>
              <w:top w:val="nil"/>
              <w:left w:val="nil"/>
              <w:bottom w:val="nil"/>
              <w:right w:val="nil"/>
            </w:tcBorders>
            <w:shd w:val="clear" w:color="auto" w:fill="auto"/>
            <w:noWrap/>
            <w:vAlign w:val="bottom"/>
            <w:hideMark/>
          </w:tcPr>
          <w:p w14:paraId="334BC54B" w14:textId="77777777" w:rsidR="00D044B5" w:rsidRPr="00BB6AE5" w:rsidRDefault="00D044B5" w:rsidP="00203BA9">
            <w:pPr>
              <w:pStyle w:val="Tabletext"/>
              <w:rPr>
                <w:lang w:eastAsia="en-AU"/>
              </w:rPr>
            </w:pPr>
            <w:r w:rsidRPr="00BB6AE5">
              <w:rPr>
                <w:lang w:eastAsia="en-AU"/>
              </w:rPr>
              <w:t>Information and Organisation Professionals</w:t>
            </w:r>
          </w:p>
        </w:tc>
        <w:tc>
          <w:tcPr>
            <w:tcW w:w="1500" w:type="dxa"/>
            <w:tcBorders>
              <w:top w:val="nil"/>
              <w:left w:val="nil"/>
              <w:bottom w:val="nil"/>
              <w:right w:val="nil"/>
            </w:tcBorders>
            <w:shd w:val="clear" w:color="auto" w:fill="auto"/>
            <w:noWrap/>
            <w:vAlign w:val="center"/>
            <w:hideMark/>
          </w:tcPr>
          <w:p w14:paraId="7CDC9713" w14:textId="77777777" w:rsidR="00D044B5" w:rsidRPr="00BB6AE5" w:rsidRDefault="00D044B5" w:rsidP="00203BA9">
            <w:pPr>
              <w:pStyle w:val="Tabletext"/>
              <w:jc w:val="right"/>
              <w:rPr>
                <w:lang w:eastAsia="en-AU"/>
              </w:rPr>
            </w:pPr>
            <w:r w:rsidRPr="00BB6AE5">
              <w:rPr>
                <w:lang w:eastAsia="en-AU"/>
              </w:rPr>
              <w:t>26</w:t>
            </w:r>
          </w:p>
        </w:tc>
        <w:tc>
          <w:tcPr>
            <w:tcW w:w="1500" w:type="dxa"/>
            <w:tcBorders>
              <w:top w:val="nil"/>
              <w:left w:val="nil"/>
              <w:bottom w:val="nil"/>
              <w:right w:val="nil"/>
            </w:tcBorders>
            <w:shd w:val="clear" w:color="auto" w:fill="auto"/>
            <w:noWrap/>
            <w:vAlign w:val="center"/>
            <w:hideMark/>
          </w:tcPr>
          <w:p w14:paraId="359CA306" w14:textId="77777777" w:rsidR="00D044B5" w:rsidRPr="00BB6AE5" w:rsidRDefault="00D044B5" w:rsidP="00203BA9">
            <w:pPr>
              <w:pStyle w:val="Tabletext"/>
              <w:jc w:val="right"/>
              <w:rPr>
                <w:lang w:eastAsia="en-AU"/>
              </w:rPr>
            </w:pPr>
            <w:r w:rsidRPr="00BB6AE5">
              <w:rPr>
                <w:lang w:eastAsia="en-AU"/>
              </w:rPr>
              <w:t>31</w:t>
            </w:r>
          </w:p>
        </w:tc>
        <w:tc>
          <w:tcPr>
            <w:tcW w:w="1500" w:type="dxa"/>
            <w:tcBorders>
              <w:top w:val="nil"/>
              <w:left w:val="nil"/>
              <w:bottom w:val="nil"/>
              <w:right w:val="nil"/>
            </w:tcBorders>
            <w:shd w:val="clear" w:color="auto" w:fill="auto"/>
            <w:noWrap/>
            <w:vAlign w:val="center"/>
            <w:hideMark/>
          </w:tcPr>
          <w:p w14:paraId="5526DF0A" w14:textId="77777777" w:rsidR="00D044B5" w:rsidRPr="00BB6AE5" w:rsidRDefault="00D044B5" w:rsidP="00203BA9">
            <w:pPr>
              <w:pStyle w:val="Tabletext"/>
              <w:jc w:val="right"/>
              <w:rPr>
                <w:lang w:eastAsia="en-AU"/>
              </w:rPr>
            </w:pPr>
            <w:r w:rsidRPr="00BB6AE5">
              <w:rPr>
                <w:lang w:eastAsia="en-AU"/>
              </w:rPr>
              <w:t>80</w:t>
            </w:r>
          </w:p>
        </w:tc>
      </w:tr>
      <w:tr w:rsidR="00D044B5" w:rsidRPr="00BB6AE5" w14:paraId="1CFE064F" w14:textId="77777777" w:rsidTr="00C368DB">
        <w:trPr>
          <w:trHeight w:val="300"/>
        </w:trPr>
        <w:tc>
          <w:tcPr>
            <w:tcW w:w="5260" w:type="dxa"/>
            <w:tcBorders>
              <w:top w:val="nil"/>
              <w:left w:val="nil"/>
              <w:bottom w:val="nil"/>
              <w:right w:val="nil"/>
            </w:tcBorders>
            <w:shd w:val="clear" w:color="auto" w:fill="auto"/>
            <w:noWrap/>
            <w:vAlign w:val="bottom"/>
            <w:hideMark/>
          </w:tcPr>
          <w:p w14:paraId="0381D3CB" w14:textId="77777777" w:rsidR="00D044B5" w:rsidRPr="00BB6AE5" w:rsidRDefault="00D044B5" w:rsidP="00203BA9">
            <w:pPr>
              <w:pStyle w:val="Tabletext"/>
              <w:rPr>
                <w:lang w:eastAsia="en-AU"/>
              </w:rPr>
            </w:pPr>
            <w:r w:rsidRPr="00BB6AE5">
              <w:rPr>
                <w:lang w:eastAsia="en-AU"/>
              </w:rPr>
              <w:t>Architects, Designers, Planners and Surveyors</w:t>
            </w:r>
          </w:p>
        </w:tc>
        <w:tc>
          <w:tcPr>
            <w:tcW w:w="1500" w:type="dxa"/>
            <w:tcBorders>
              <w:top w:val="nil"/>
              <w:left w:val="nil"/>
              <w:bottom w:val="nil"/>
              <w:right w:val="nil"/>
            </w:tcBorders>
            <w:shd w:val="clear" w:color="auto" w:fill="auto"/>
            <w:noWrap/>
            <w:vAlign w:val="center"/>
            <w:hideMark/>
          </w:tcPr>
          <w:p w14:paraId="26A6B5D0" w14:textId="77777777" w:rsidR="00D044B5" w:rsidRPr="00BB6AE5" w:rsidRDefault="00D044B5" w:rsidP="00203BA9">
            <w:pPr>
              <w:pStyle w:val="Tabletext"/>
              <w:jc w:val="right"/>
              <w:rPr>
                <w:lang w:eastAsia="en-AU"/>
              </w:rPr>
            </w:pPr>
            <w:r w:rsidRPr="00BB6AE5">
              <w:rPr>
                <w:lang w:eastAsia="en-AU"/>
              </w:rPr>
              <w:t>32</w:t>
            </w:r>
          </w:p>
        </w:tc>
        <w:tc>
          <w:tcPr>
            <w:tcW w:w="1500" w:type="dxa"/>
            <w:tcBorders>
              <w:top w:val="nil"/>
              <w:left w:val="nil"/>
              <w:bottom w:val="nil"/>
              <w:right w:val="nil"/>
            </w:tcBorders>
            <w:shd w:val="clear" w:color="auto" w:fill="auto"/>
            <w:noWrap/>
            <w:vAlign w:val="center"/>
            <w:hideMark/>
          </w:tcPr>
          <w:p w14:paraId="6499C6B3" w14:textId="77777777" w:rsidR="00D044B5" w:rsidRPr="00BB6AE5" w:rsidRDefault="00D044B5" w:rsidP="00203BA9">
            <w:pPr>
              <w:pStyle w:val="Tabletext"/>
              <w:jc w:val="right"/>
              <w:rPr>
                <w:lang w:eastAsia="en-AU"/>
              </w:rPr>
            </w:pPr>
            <w:r w:rsidRPr="00BB6AE5">
              <w:rPr>
                <w:lang w:eastAsia="en-AU"/>
              </w:rPr>
              <w:t>16</w:t>
            </w:r>
          </w:p>
        </w:tc>
        <w:tc>
          <w:tcPr>
            <w:tcW w:w="1500" w:type="dxa"/>
            <w:tcBorders>
              <w:top w:val="nil"/>
              <w:left w:val="nil"/>
              <w:bottom w:val="nil"/>
              <w:right w:val="nil"/>
            </w:tcBorders>
            <w:shd w:val="clear" w:color="auto" w:fill="auto"/>
            <w:noWrap/>
            <w:vAlign w:val="center"/>
            <w:hideMark/>
          </w:tcPr>
          <w:p w14:paraId="7A68AE92" w14:textId="77777777" w:rsidR="00D044B5" w:rsidRPr="00BB6AE5" w:rsidRDefault="00D044B5" w:rsidP="00203BA9">
            <w:pPr>
              <w:pStyle w:val="Tabletext"/>
              <w:jc w:val="right"/>
              <w:rPr>
                <w:lang w:eastAsia="en-AU"/>
              </w:rPr>
            </w:pPr>
            <w:r w:rsidRPr="00BB6AE5">
              <w:rPr>
                <w:lang w:eastAsia="en-AU"/>
              </w:rPr>
              <w:t>38</w:t>
            </w:r>
          </w:p>
        </w:tc>
      </w:tr>
      <w:tr w:rsidR="00D044B5" w:rsidRPr="00BB6AE5" w14:paraId="7426C810" w14:textId="77777777" w:rsidTr="00C368DB">
        <w:trPr>
          <w:trHeight w:val="300"/>
        </w:trPr>
        <w:tc>
          <w:tcPr>
            <w:tcW w:w="5260" w:type="dxa"/>
            <w:tcBorders>
              <w:top w:val="nil"/>
              <w:left w:val="nil"/>
              <w:bottom w:val="nil"/>
              <w:right w:val="nil"/>
            </w:tcBorders>
            <w:shd w:val="clear" w:color="auto" w:fill="auto"/>
            <w:noWrap/>
            <w:vAlign w:val="bottom"/>
            <w:hideMark/>
          </w:tcPr>
          <w:p w14:paraId="5844D47F" w14:textId="77777777" w:rsidR="00D044B5" w:rsidRPr="00BB6AE5" w:rsidRDefault="00D044B5" w:rsidP="00203BA9">
            <w:pPr>
              <w:pStyle w:val="Tabletext"/>
              <w:rPr>
                <w:lang w:eastAsia="en-AU"/>
              </w:rPr>
            </w:pPr>
            <w:r w:rsidRPr="00BB6AE5">
              <w:rPr>
                <w:lang w:eastAsia="en-AU"/>
              </w:rPr>
              <w:t>Engineering Professionals</w:t>
            </w:r>
          </w:p>
        </w:tc>
        <w:tc>
          <w:tcPr>
            <w:tcW w:w="1500" w:type="dxa"/>
            <w:tcBorders>
              <w:top w:val="nil"/>
              <w:left w:val="nil"/>
              <w:bottom w:val="nil"/>
              <w:right w:val="nil"/>
            </w:tcBorders>
            <w:shd w:val="clear" w:color="auto" w:fill="auto"/>
            <w:noWrap/>
            <w:vAlign w:val="center"/>
            <w:hideMark/>
          </w:tcPr>
          <w:p w14:paraId="6398F722" w14:textId="77777777" w:rsidR="00D044B5" w:rsidRPr="00BB6AE5" w:rsidRDefault="00D044B5" w:rsidP="00203BA9">
            <w:pPr>
              <w:pStyle w:val="Tabletext"/>
              <w:jc w:val="right"/>
              <w:rPr>
                <w:lang w:eastAsia="en-AU"/>
              </w:rPr>
            </w:pPr>
            <w:r w:rsidRPr="00BB6AE5">
              <w:rPr>
                <w:lang w:eastAsia="en-AU"/>
              </w:rPr>
              <w:t>14</w:t>
            </w:r>
          </w:p>
        </w:tc>
        <w:tc>
          <w:tcPr>
            <w:tcW w:w="1500" w:type="dxa"/>
            <w:tcBorders>
              <w:top w:val="nil"/>
              <w:left w:val="nil"/>
              <w:bottom w:val="nil"/>
              <w:right w:val="nil"/>
            </w:tcBorders>
            <w:shd w:val="clear" w:color="auto" w:fill="auto"/>
            <w:noWrap/>
            <w:vAlign w:val="center"/>
            <w:hideMark/>
          </w:tcPr>
          <w:p w14:paraId="7E4DBBE0" w14:textId="77777777" w:rsidR="00D044B5" w:rsidRPr="00BB6AE5" w:rsidRDefault="00D044B5" w:rsidP="00203BA9">
            <w:pPr>
              <w:pStyle w:val="Tabletext"/>
              <w:jc w:val="right"/>
              <w:rPr>
                <w:lang w:eastAsia="en-AU"/>
              </w:rPr>
            </w:pPr>
            <w:r w:rsidRPr="00BB6AE5">
              <w:rPr>
                <w:lang w:eastAsia="en-AU"/>
              </w:rPr>
              <w:t>18</w:t>
            </w:r>
          </w:p>
        </w:tc>
        <w:tc>
          <w:tcPr>
            <w:tcW w:w="1500" w:type="dxa"/>
            <w:tcBorders>
              <w:top w:val="nil"/>
              <w:left w:val="nil"/>
              <w:bottom w:val="nil"/>
              <w:right w:val="nil"/>
            </w:tcBorders>
            <w:shd w:val="clear" w:color="auto" w:fill="auto"/>
            <w:noWrap/>
            <w:vAlign w:val="center"/>
            <w:hideMark/>
          </w:tcPr>
          <w:p w14:paraId="072D6921" w14:textId="77777777" w:rsidR="00D044B5" w:rsidRPr="00BB6AE5" w:rsidRDefault="00D044B5" w:rsidP="00203BA9">
            <w:pPr>
              <w:pStyle w:val="Tabletext"/>
              <w:jc w:val="right"/>
              <w:rPr>
                <w:lang w:eastAsia="en-AU"/>
              </w:rPr>
            </w:pPr>
            <w:r w:rsidRPr="00BB6AE5">
              <w:rPr>
                <w:lang w:eastAsia="en-AU"/>
              </w:rPr>
              <w:t>47</w:t>
            </w:r>
          </w:p>
        </w:tc>
      </w:tr>
      <w:tr w:rsidR="00D044B5" w:rsidRPr="00BB6AE5" w14:paraId="2FA70CA6" w14:textId="77777777" w:rsidTr="00C368DB">
        <w:trPr>
          <w:trHeight w:val="300"/>
        </w:trPr>
        <w:tc>
          <w:tcPr>
            <w:tcW w:w="5260" w:type="dxa"/>
            <w:tcBorders>
              <w:top w:val="nil"/>
              <w:left w:val="nil"/>
              <w:bottom w:val="nil"/>
              <w:right w:val="nil"/>
            </w:tcBorders>
            <w:shd w:val="clear" w:color="auto" w:fill="auto"/>
            <w:noWrap/>
            <w:vAlign w:val="bottom"/>
            <w:hideMark/>
          </w:tcPr>
          <w:p w14:paraId="0ED60D0B" w14:textId="77777777" w:rsidR="00D044B5" w:rsidRPr="00BB6AE5" w:rsidRDefault="00D044B5" w:rsidP="00203BA9">
            <w:pPr>
              <w:pStyle w:val="Tabletext"/>
              <w:rPr>
                <w:lang w:eastAsia="en-AU"/>
              </w:rPr>
            </w:pPr>
            <w:r w:rsidRPr="00BB6AE5">
              <w:rPr>
                <w:lang w:eastAsia="en-AU"/>
              </w:rPr>
              <w:t>School Teachers</w:t>
            </w:r>
          </w:p>
        </w:tc>
        <w:tc>
          <w:tcPr>
            <w:tcW w:w="1500" w:type="dxa"/>
            <w:tcBorders>
              <w:top w:val="nil"/>
              <w:left w:val="nil"/>
              <w:bottom w:val="nil"/>
              <w:right w:val="nil"/>
            </w:tcBorders>
            <w:shd w:val="clear" w:color="auto" w:fill="auto"/>
            <w:noWrap/>
            <w:vAlign w:val="center"/>
            <w:hideMark/>
          </w:tcPr>
          <w:p w14:paraId="44BF22F5" w14:textId="77777777" w:rsidR="00D044B5" w:rsidRPr="00BB6AE5" w:rsidRDefault="00D044B5" w:rsidP="00203BA9">
            <w:pPr>
              <w:pStyle w:val="Tabletext"/>
              <w:jc w:val="right"/>
              <w:rPr>
                <w:lang w:eastAsia="en-AU"/>
              </w:rPr>
            </w:pPr>
            <w:r w:rsidRPr="00BB6AE5">
              <w:rPr>
                <w:lang w:eastAsia="en-AU"/>
              </w:rPr>
              <w:t>49</w:t>
            </w:r>
          </w:p>
        </w:tc>
        <w:tc>
          <w:tcPr>
            <w:tcW w:w="1500" w:type="dxa"/>
            <w:tcBorders>
              <w:top w:val="nil"/>
              <w:left w:val="nil"/>
              <w:bottom w:val="nil"/>
              <w:right w:val="nil"/>
            </w:tcBorders>
            <w:shd w:val="clear" w:color="auto" w:fill="auto"/>
            <w:noWrap/>
            <w:vAlign w:val="center"/>
            <w:hideMark/>
          </w:tcPr>
          <w:p w14:paraId="73ACE12D" w14:textId="77777777" w:rsidR="00D044B5" w:rsidRPr="00BB6AE5" w:rsidRDefault="00D044B5" w:rsidP="00203BA9">
            <w:pPr>
              <w:pStyle w:val="Tabletext"/>
              <w:jc w:val="right"/>
              <w:rPr>
                <w:lang w:eastAsia="en-AU"/>
              </w:rPr>
            </w:pPr>
            <w:r w:rsidRPr="00BB6AE5">
              <w:rPr>
                <w:lang w:eastAsia="en-AU"/>
              </w:rPr>
              <w:t>121</w:t>
            </w:r>
          </w:p>
        </w:tc>
        <w:tc>
          <w:tcPr>
            <w:tcW w:w="1500" w:type="dxa"/>
            <w:tcBorders>
              <w:top w:val="nil"/>
              <w:left w:val="nil"/>
              <w:bottom w:val="nil"/>
              <w:right w:val="nil"/>
            </w:tcBorders>
            <w:shd w:val="clear" w:color="auto" w:fill="auto"/>
            <w:noWrap/>
            <w:vAlign w:val="center"/>
            <w:hideMark/>
          </w:tcPr>
          <w:p w14:paraId="4A4762D3" w14:textId="77777777" w:rsidR="00D044B5" w:rsidRPr="00BB6AE5" w:rsidRDefault="00D044B5" w:rsidP="00203BA9">
            <w:pPr>
              <w:pStyle w:val="Tabletext"/>
              <w:jc w:val="right"/>
              <w:rPr>
                <w:lang w:eastAsia="en-AU"/>
              </w:rPr>
            </w:pPr>
            <w:r w:rsidRPr="00BB6AE5">
              <w:rPr>
                <w:lang w:eastAsia="en-AU"/>
              </w:rPr>
              <w:t>195</w:t>
            </w:r>
          </w:p>
        </w:tc>
      </w:tr>
      <w:tr w:rsidR="00D044B5" w:rsidRPr="00BB6AE5" w14:paraId="2D183907" w14:textId="77777777" w:rsidTr="00C368DB">
        <w:trPr>
          <w:trHeight w:val="300"/>
        </w:trPr>
        <w:tc>
          <w:tcPr>
            <w:tcW w:w="5260" w:type="dxa"/>
            <w:tcBorders>
              <w:top w:val="nil"/>
              <w:left w:val="nil"/>
              <w:bottom w:val="nil"/>
              <w:right w:val="nil"/>
            </w:tcBorders>
            <w:shd w:val="clear" w:color="auto" w:fill="auto"/>
            <w:noWrap/>
            <w:vAlign w:val="bottom"/>
            <w:hideMark/>
          </w:tcPr>
          <w:p w14:paraId="369D0789" w14:textId="77777777" w:rsidR="00D044B5" w:rsidRPr="00BB6AE5" w:rsidRDefault="00D044B5" w:rsidP="00203BA9">
            <w:pPr>
              <w:pStyle w:val="Tabletext"/>
              <w:rPr>
                <w:lang w:eastAsia="en-AU"/>
              </w:rPr>
            </w:pPr>
            <w:r w:rsidRPr="00BB6AE5">
              <w:rPr>
                <w:lang w:eastAsia="en-AU"/>
              </w:rPr>
              <w:t>Tertiary Education Teachers</w:t>
            </w:r>
          </w:p>
        </w:tc>
        <w:tc>
          <w:tcPr>
            <w:tcW w:w="1500" w:type="dxa"/>
            <w:tcBorders>
              <w:top w:val="nil"/>
              <w:left w:val="nil"/>
              <w:bottom w:val="nil"/>
              <w:right w:val="nil"/>
            </w:tcBorders>
            <w:shd w:val="clear" w:color="auto" w:fill="auto"/>
            <w:noWrap/>
            <w:vAlign w:val="center"/>
            <w:hideMark/>
          </w:tcPr>
          <w:p w14:paraId="4136D455" w14:textId="77777777" w:rsidR="00D044B5" w:rsidRPr="00BB6AE5" w:rsidRDefault="00D044B5" w:rsidP="00203BA9">
            <w:pPr>
              <w:pStyle w:val="Tabletext"/>
              <w:jc w:val="right"/>
              <w:rPr>
                <w:lang w:eastAsia="en-AU"/>
              </w:rPr>
            </w:pPr>
            <w:r w:rsidRPr="00BB6AE5">
              <w:rPr>
                <w:lang w:eastAsia="en-AU"/>
              </w:rPr>
              <w:t>19</w:t>
            </w:r>
          </w:p>
        </w:tc>
        <w:tc>
          <w:tcPr>
            <w:tcW w:w="1500" w:type="dxa"/>
            <w:tcBorders>
              <w:top w:val="nil"/>
              <w:left w:val="nil"/>
              <w:bottom w:val="nil"/>
              <w:right w:val="nil"/>
            </w:tcBorders>
            <w:shd w:val="clear" w:color="auto" w:fill="auto"/>
            <w:noWrap/>
            <w:vAlign w:val="center"/>
            <w:hideMark/>
          </w:tcPr>
          <w:p w14:paraId="6F7C983E" w14:textId="77777777" w:rsidR="00D044B5" w:rsidRPr="00BB6AE5" w:rsidRDefault="00D044B5" w:rsidP="00203BA9">
            <w:pPr>
              <w:pStyle w:val="Tabletext"/>
              <w:jc w:val="right"/>
              <w:rPr>
                <w:lang w:eastAsia="en-AU"/>
              </w:rPr>
            </w:pPr>
            <w:r w:rsidRPr="00BB6AE5">
              <w:rPr>
                <w:lang w:eastAsia="en-AU"/>
              </w:rPr>
              <w:t>19</w:t>
            </w:r>
          </w:p>
        </w:tc>
        <w:tc>
          <w:tcPr>
            <w:tcW w:w="1500" w:type="dxa"/>
            <w:tcBorders>
              <w:top w:val="nil"/>
              <w:left w:val="nil"/>
              <w:bottom w:val="nil"/>
              <w:right w:val="nil"/>
            </w:tcBorders>
            <w:shd w:val="clear" w:color="auto" w:fill="auto"/>
            <w:noWrap/>
            <w:vAlign w:val="center"/>
            <w:hideMark/>
          </w:tcPr>
          <w:p w14:paraId="19E97AC9" w14:textId="77777777" w:rsidR="00D044B5" w:rsidRPr="00BB6AE5" w:rsidRDefault="00D044B5" w:rsidP="00203BA9">
            <w:pPr>
              <w:pStyle w:val="Tabletext"/>
              <w:jc w:val="right"/>
              <w:rPr>
                <w:lang w:eastAsia="en-AU"/>
              </w:rPr>
            </w:pPr>
            <w:r w:rsidRPr="00BB6AE5">
              <w:rPr>
                <w:lang w:eastAsia="en-AU"/>
              </w:rPr>
              <w:t>38</w:t>
            </w:r>
          </w:p>
        </w:tc>
      </w:tr>
      <w:tr w:rsidR="00D044B5" w:rsidRPr="00BB6AE5" w14:paraId="62489EF1" w14:textId="77777777" w:rsidTr="00C368DB">
        <w:trPr>
          <w:trHeight w:val="300"/>
        </w:trPr>
        <w:tc>
          <w:tcPr>
            <w:tcW w:w="5260" w:type="dxa"/>
            <w:tcBorders>
              <w:top w:val="nil"/>
              <w:left w:val="nil"/>
              <w:bottom w:val="nil"/>
              <w:right w:val="nil"/>
            </w:tcBorders>
            <w:shd w:val="clear" w:color="auto" w:fill="auto"/>
            <w:noWrap/>
            <w:vAlign w:val="bottom"/>
            <w:hideMark/>
          </w:tcPr>
          <w:p w14:paraId="15508A60" w14:textId="77777777" w:rsidR="00D044B5" w:rsidRPr="00BB6AE5" w:rsidRDefault="00D044B5" w:rsidP="00203BA9">
            <w:pPr>
              <w:pStyle w:val="Tabletext"/>
              <w:rPr>
                <w:lang w:eastAsia="en-AU"/>
              </w:rPr>
            </w:pPr>
            <w:r w:rsidRPr="00BB6AE5">
              <w:rPr>
                <w:lang w:eastAsia="en-AU"/>
              </w:rPr>
              <w:t>Health Diagnostic and Promotion Professionals</w:t>
            </w:r>
          </w:p>
        </w:tc>
        <w:tc>
          <w:tcPr>
            <w:tcW w:w="1500" w:type="dxa"/>
            <w:tcBorders>
              <w:top w:val="nil"/>
              <w:left w:val="nil"/>
              <w:bottom w:val="nil"/>
              <w:right w:val="nil"/>
            </w:tcBorders>
            <w:shd w:val="clear" w:color="auto" w:fill="auto"/>
            <w:noWrap/>
            <w:vAlign w:val="center"/>
            <w:hideMark/>
          </w:tcPr>
          <w:p w14:paraId="4DD94DA1" w14:textId="77777777" w:rsidR="00D044B5" w:rsidRPr="00BB6AE5" w:rsidRDefault="00D044B5" w:rsidP="00203BA9">
            <w:pPr>
              <w:pStyle w:val="Tabletext"/>
              <w:jc w:val="right"/>
              <w:rPr>
                <w:lang w:eastAsia="en-AU"/>
              </w:rPr>
            </w:pPr>
            <w:r w:rsidRPr="00BB6AE5">
              <w:rPr>
                <w:lang w:eastAsia="en-AU"/>
              </w:rPr>
              <w:t>15</w:t>
            </w:r>
          </w:p>
        </w:tc>
        <w:tc>
          <w:tcPr>
            <w:tcW w:w="1500" w:type="dxa"/>
            <w:tcBorders>
              <w:top w:val="nil"/>
              <w:left w:val="nil"/>
              <w:bottom w:val="nil"/>
              <w:right w:val="nil"/>
            </w:tcBorders>
            <w:shd w:val="clear" w:color="auto" w:fill="auto"/>
            <w:noWrap/>
            <w:vAlign w:val="center"/>
            <w:hideMark/>
          </w:tcPr>
          <w:p w14:paraId="248401A4" w14:textId="77777777" w:rsidR="00D044B5" w:rsidRPr="00BB6AE5" w:rsidRDefault="00D044B5" w:rsidP="00203BA9">
            <w:pPr>
              <w:pStyle w:val="Tabletext"/>
              <w:jc w:val="right"/>
              <w:rPr>
                <w:lang w:eastAsia="en-AU"/>
              </w:rPr>
            </w:pPr>
            <w:r w:rsidRPr="00BB6AE5">
              <w:rPr>
                <w:lang w:eastAsia="en-AU"/>
              </w:rPr>
              <w:t>16</w:t>
            </w:r>
          </w:p>
        </w:tc>
        <w:tc>
          <w:tcPr>
            <w:tcW w:w="1500" w:type="dxa"/>
            <w:tcBorders>
              <w:top w:val="nil"/>
              <w:left w:val="nil"/>
              <w:bottom w:val="nil"/>
              <w:right w:val="nil"/>
            </w:tcBorders>
            <w:shd w:val="clear" w:color="auto" w:fill="auto"/>
            <w:noWrap/>
            <w:vAlign w:val="center"/>
            <w:hideMark/>
          </w:tcPr>
          <w:p w14:paraId="773FB67C" w14:textId="77777777" w:rsidR="00D044B5" w:rsidRPr="00BB6AE5" w:rsidRDefault="00D044B5" w:rsidP="00203BA9">
            <w:pPr>
              <w:pStyle w:val="Tabletext"/>
              <w:jc w:val="right"/>
              <w:rPr>
                <w:lang w:eastAsia="en-AU"/>
              </w:rPr>
            </w:pPr>
            <w:r w:rsidRPr="00BB6AE5">
              <w:rPr>
                <w:lang w:eastAsia="en-AU"/>
              </w:rPr>
              <w:t>42</w:t>
            </w:r>
          </w:p>
        </w:tc>
      </w:tr>
      <w:tr w:rsidR="00D044B5" w:rsidRPr="00BB6AE5" w14:paraId="2F8EF37B" w14:textId="77777777" w:rsidTr="00C368DB">
        <w:trPr>
          <w:trHeight w:val="300"/>
        </w:trPr>
        <w:tc>
          <w:tcPr>
            <w:tcW w:w="5260" w:type="dxa"/>
            <w:tcBorders>
              <w:top w:val="nil"/>
              <w:left w:val="nil"/>
              <w:bottom w:val="nil"/>
              <w:right w:val="nil"/>
            </w:tcBorders>
            <w:shd w:val="clear" w:color="auto" w:fill="auto"/>
            <w:noWrap/>
            <w:vAlign w:val="bottom"/>
            <w:hideMark/>
          </w:tcPr>
          <w:p w14:paraId="170672F9" w14:textId="77777777" w:rsidR="00D044B5" w:rsidRPr="00BB6AE5" w:rsidRDefault="00D044B5" w:rsidP="00203BA9">
            <w:pPr>
              <w:pStyle w:val="Tabletext"/>
              <w:rPr>
                <w:lang w:eastAsia="en-AU"/>
              </w:rPr>
            </w:pPr>
            <w:r w:rsidRPr="00BB6AE5">
              <w:rPr>
                <w:lang w:eastAsia="en-AU"/>
              </w:rPr>
              <w:t>Midwifery and Nursing Professionals</w:t>
            </w:r>
          </w:p>
        </w:tc>
        <w:tc>
          <w:tcPr>
            <w:tcW w:w="1500" w:type="dxa"/>
            <w:tcBorders>
              <w:top w:val="nil"/>
              <w:left w:val="nil"/>
              <w:bottom w:val="nil"/>
              <w:right w:val="nil"/>
            </w:tcBorders>
            <w:shd w:val="clear" w:color="auto" w:fill="auto"/>
            <w:noWrap/>
            <w:vAlign w:val="center"/>
            <w:hideMark/>
          </w:tcPr>
          <w:p w14:paraId="6D7571C0" w14:textId="77777777" w:rsidR="00D044B5" w:rsidRPr="00BB6AE5" w:rsidRDefault="00D044B5" w:rsidP="00203BA9">
            <w:pPr>
              <w:pStyle w:val="Tabletext"/>
              <w:jc w:val="right"/>
              <w:rPr>
                <w:lang w:eastAsia="en-AU"/>
              </w:rPr>
            </w:pPr>
            <w:r w:rsidRPr="00BB6AE5">
              <w:rPr>
                <w:lang w:eastAsia="en-AU"/>
              </w:rPr>
              <w:t>23</w:t>
            </w:r>
          </w:p>
        </w:tc>
        <w:tc>
          <w:tcPr>
            <w:tcW w:w="1500" w:type="dxa"/>
            <w:tcBorders>
              <w:top w:val="nil"/>
              <w:left w:val="nil"/>
              <w:bottom w:val="nil"/>
              <w:right w:val="nil"/>
            </w:tcBorders>
            <w:shd w:val="clear" w:color="auto" w:fill="auto"/>
            <w:noWrap/>
            <w:vAlign w:val="center"/>
            <w:hideMark/>
          </w:tcPr>
          <w:p w14:paraId="4D99D4E6" w14:textId="77777777" w:rsidR="00D044B5" w:rsidRPr="00BB6AE5" w:rsidRDefault="00D044B5" w:rsidP="00203BA9">
            <w:pPr>
              <w:pStyle w:val="Tabletext"/>
              <w:jc w:val="right"/>
              <w:rPr>
                <w:lang w:eastAsia="en-AU"/>
              </w:rPr>
            </w:pPr>
            <w:r w:rsidRPr="00BB6AE5">
              <w:rPr>
                <w:lang w:eastAsia="en-AU"/>
              </w:rPr>
              <w:t>48</w:t>
            </w:r>
          </w:p>
        </w:tc>
        <w:tc>
          <w:tcPr>
            <w:tcW w:w="1500" w:type="dxa"/>
            <w:tcBorders>
              <w:top w:val="nil"/>
              <w:left w:val="nil"/>
              <w:bottom w:val="nil"/>
              <w:right w:val="nil"/>
            </w:tcBorders>
            <w:shd w:val="clear" w:color="auto" w:fill="auto"/>
            <w:noWrap/>
            <w:vAlign w:val="center"/>
            <w:hideMark/>
          </w:tcPr>
          <w:p w14:paraId="21896907" w14:textId="77777777" w:rsidR="00D044B5" w:rsidRPr="00BB6AE5" w:rsidRDefault="00D044B5" w:rsidP="00203BA9">
            <w:pPr>
              <w:pStyle w:val="Tabletext"/>
              <w:jc w:val="right"/>
              <w:rPr>
                <w:lang w:eastAsia="en-AU"/>
              </w:rPr>
            </w:pPr>
            <w:r w:rsidRPr="00BB6AE5">
              <w:rPr>
                <w:lang w:eastAsia="en-AU"/>
              </w:rPr>
              <w:t>113</w:t>
            </w:r>
          </w:p>
        </w:tc>
      </w:tr>
      <w:tr w:rsidR="00D044B5" w:rsidRPr="00BB6AE5" w14:paraId="58541793" w14:textId="77777777" w:rsidTr="00C368DB">
        <w:trPr>
          <w:trHeight w:val="300"/>
        </w:trPr>
        <w:tc>
          <w:tcPr>
            <w:tcW w:w="5260" w:type="dxa"/>
            <w:tcBorders>
              <w:top w:val="nil"/>
              <w:left w:val="nil"/>
              <w:bottom w:val="nil"/>
              <w:right w:val="nil"/>
            </w:tcBorders>
            <w:shd w:val="clear" w:color="auto" w:fill="auto"/>
            <w:noWrap/>
            <w:vAlign w:val="bottom"/>
            <w:hideMark/>
          </w:tcPr>
          <w:p w14:paraId="1A1F8988" w14:textId="77777777" w:rsidR="00D044B5" w:rsidRPr="00BB6AE5" w:rsidRDefault="00D044B5" w:rsidP="00203BA9">
            <w:pPr>
              <w:pStyle w:val="Tabletext"/>
              <w:rPr>
                <w:lang w:eastAsia="en-AU"/>
              </w:rPr>
            </w:pPr>
            <w:r w:rsidRPr="00BB6AE5">
              <w:rPr>
                <w:lang w:eastAsia="en-AU"/>
              </w:rPr>
              <w:t>Business and Systems Analysts, and Programmers</w:t>
            </w:r>
          </w:p>
        </w:tc>
        <w:tc>
          <w:tcPr>
            <w:tcW w:w="1500" w:type="dxa"/>
            <w:tcBorders>
              <w:top w:val="nil"/>
              <w:left w:val="nil"/>
              <w:bottom w:val="nil"/>
              <w:right w:val="nil"/>
            </w:tcBorders>
            <w:shd w:val="clear" w:color="auto" w:fill="auto"/>
            <w:noWrap/>
            <w:vAlign w:val="center"/>
            <w:hideMark/>
          </w:tcPr>
          <w:p w14:paraId="46EBE3B3" w14:textId="77777777" w:rsidR="00D044B5" w:rsidRPr="00BB6AE5" w:rsidRDefault="00D044B5" w:rsidP="00203BA9">
            <w:pPr>
              <w:pStyle w:val="Tabletext"/>
              <w:jc w:val="right"/>
              <w:rPr>
                <w:lang w:eastAsia="en-AU"/>
              </w:rPr>
            </w:pPr>
            <w:r w:rsidRPr="00BB6AE5">
              <w:rPr>
                <w:lang w:eastAsia="en-AU"/>
              </w:rPr>
              <w:t>16</w:t>
            </w:r>
          </w:p>
        </w:tc>
        <w:tc>
          <w:tcPr>
            <w:tcW w:w="1500" w:type="dxa"/>
            <w:tcBorders>
              <w:top w:val="nil"/>
              <w:left w:val="nil"/>
              <w:bottom w:val="nil"/>
              <w:right w:val="nil"/>
            </w:tcBorders>
            <w:shd w:val="clear" w:color="auto" w:fill="auto"/>
            <w:noWrap/>
            <w:vAlign w:val="center"/>
            <w:hideMark/>
          </w:tcPr>
          <w:p w14:paraId="628B13D4" w14:textId="77777777" w:rsidR="00D044B5" w:rsidRPr="00BB6AE5" w:rsidRDefault="00D044B5" w:rsidP="00203BA9">
            <w:pPr>
              <w:pStyle w:val="Tabletext"/>
              <w:jc w:val="right"/>
              <w:rPr>
                <w:lang w:eastAsia="en-AU"/>
              </w:rPr>
            </w:pPr>
            <w:r w:rsidRPr="00BB6AE5">
              <w:rPr>
                <w:lang w:eastAsia="en-AU"/>
              </w:rPr>
              <w:t>12</w:t>
            </w:r>
          </w:p>
        </w:tc>
        <w:tc>
          <w:tcPr>
            <w:tcW w:w="1500" w:type="dxa"/>
            <w:tcBorders>
              <w:top w:val="nil"/>
              <w:left w:val="nil"/>
              <w:bottom w:val="nil"/>
              <w:right w:val="nil"/>
            </w:tcBorders>
            <w:shd w:val="clear" w:color="auto" w:fill="auto"/>
            <w:noWrap/>
            <w:vAlign w:val="center"/>
            <w:hideMark/>
          </w:tcPr>
          <w:p w14:paraId="0C84A900" w14:textId="77777777" w:rsidR="00D044B5" w:rsidRPr="00BB6AE5" w:rsidRDefault="00D044B5" w:rsidP="00203BA9">
            <w:pPr>
              <w:pStyle w:val="Tabletext"/>
              <w:jc w:val="right"/>
              <w:rPr>
                <w:lang w:eastAsia="en-AU"/>
              </w:rPr>
            </w:pPr>
            <w:r w:rsidRPr="00BB6AE5">
              <w:rPr>
                <w:lang w:eastAsia="en-AU"/>
              </w:rPr>
              <w:t>64</w:t>
            </w:r>
          </w:p>
        </w:tc>
      </w:tr>
      <w:tr w:rsidR="00D044B5" w:rsidRPr="00BB6AE5" w14:paraId="1D511326" w14:textId="77777777" w:rsidTr="00C368DB">
        <w:trPr>
          <w:trHeight w:val="300"/>
        </w:trPr>
        <w:tc>
          <w:tcPr>
            <w:tcW w:w="5260" w:type="dxa"/>
            <w:tcBorders>
              <w:top w:val="nil"/>
              <w:left w:val="nil"/>
              <w:bottom w:val="nil"/>
              <w:right w:val="nil"/>
            </w:tcBorders>
            <w:shd w:val="clear" w:color="auto" w:fill="auto"/>
            <w:noWrap/>
            <w:vAlign w:val="bottom"/>
            <w:hideMark/>
          </w:tcPr>
          <w:p w14:paraId="2D19538C" w14:textId="77777777" w:rsidR="00D044B5" w:rsidRPr="00BB6AE5" w:rsidRDefault="00D044B5" w:rsidP="00203BA9">
            <w:pPr>
              <w:pStyle w:val="Tabletext"/>
              <w:rPr>
                <w:lang w:eastAsia="en-AU"/>
              </w:rPr>
            </w:pPr>
            <w:r w:rsidRPr="00BB6AE5">
              <w:rPr>
                <w:lang w:eastAsia="en-AU"/>
              </w:rPr>
              <w:t>Social and Welfare Professionals</w:t>
            </w:r>
          </w:p>
        </w:tc>
        <w:tc>
          <w:tcPr>
            <w:tcW w:w="1500" w:type="dxa"/>
            <w:tcBorders>
              <w:top w:val="nil"/>
              <w:left w:val="nil"/>
              <w:bottom w:val="nil"/>
              <w:right w:val="nil"/>
            </w:tcBorders>
            <w:shd w:val="clear" w:color="auto" w:fill="auto"/>
            <w:noWrap/>
            <w:vAlign w:val="center"/>
            <w:hideMark/>
          </w:tcPr>
          <w:p w14:paraId="3FA6DFFA" w14:textId="77777777" w:rsidR="00D044B5" w:rsidRPr="00BB6AE5" w:rsidRDefault="00D044B5" w:rsidP="00203BA9">
            <w:pPr>
              <w:pStyle w:val="Tabletext"/>
              <w:jc w:val="right"/>
              <w:rPr>
                <w:lang w:eastAsia="en-AU"/>
              </w:rPr>
            </w:pPr>
            <w:r w:rsidRPr="00BB6AE5">
              <w:rPr>
                <w:lang w:eastAsia="en-AU"/>
              </w:rPr>
              <w:t>23</w:t>
            </w:r>
          </w:p>
        </w:tc>
        <w:tc>
          <w:tcPr>
            <w:tcW w:w="1500" w:type="dxa"/>
            <w:tcBorders>
              <w:top w:val="nil"/>
              <w:left w:val="nil"/>
              <w:bottom w:val="nil"/>
              <w:right w:val="nil"/>
            </w:tcBorders>
            <w:shd w:val="clear" w:color="auto" w:fill="auto"/>
            <w:noWrap/>
            <w:vAlign w:val="center"/>
            <w:hideMark/>
          </w:tcPr>
          <w:p w14:paraId="7FEB438C" w14:textId="77777777" w:rsidR="00D044B5" w:rsidRPr="00BB6AE5" w:rsidRDefault="00D044B5" w:rsidP="00203BA9">
            <w:pPr>
              <w:pStyle w:val="Tabletext"/>
              <w:jc w:val="right"/>
              <w:rPr>
                <w:lang w:eastAsia="en-AU"/>
              </w:rPr>
            </w:pPr>
            <w:r w:rsidRPr="00BB6AE5">
              <w:rPr>
                <w:lang w:eastAsia="en-AU"/>
              </w:rPr>
              <w:t>32</w:t>
            </w:r>
          </w:p>
        </w:tc>
        <w:tc>
          <w:tcPr>
            <w:tcW w:w="1500" w:type="dxa"/>
            <w:tcBorders>
              <w:top w:val="nil"/>
              <w:left w:val="nil"/>
              <w:bottom w:val="nil"/>
              <w:right w:val="nil"/>
            </w:tcBorders>
            <w:shd w:val="clear" w:color="auto" w:fill="auto"/>
            <w:noWrap/>
            <w:vAlign w:val="center"/>
            <w:hideMark/>
          </w:tcPr>
          <w:p w14:paraId="7F8B47DE" w14:textId="77777777" w:rsidR="00D044B5" w:rsidRPr="00BB6AE5" w:rsidRDefault="00D044B5" w:rsidP="00203BA9">
            <w:pPr>
              <w:pStyle w:val="Tabletext"/>
              <w:jc w:val="right"/>
              <w:rPr>
                <w:lang w:eastAsia="en-AU"/>
              </w:rPr>
            </w:pPr>
            <w:r w:rsidRPr="00BB6AE5">
              <w:rPr>
                <w:lang w:eastAsia="en-AU"/>
              </w:rPr>
              <w:t>58</w:t>
            </w:r>
          </w:p>
        </w:tc>
      </w:tr>
      <w:tr w:rsidR="00D044B5" w:rsidRPr="00BB6AE5" w14:paraId="216C1114" w14:textId="77777777" w:rsidTr="00C368DB">
        <w:trPr>
          <w:trHeight w:val="300"/>
        </w:trPr>
        <w:tc>
          <w:tcPr>
            <w:tcW w:w="5260" w:type="dxa"/>
            <w:tcBorders>
              <w:top w:val="nil"/>
              <w:left w:val="nil"/>
              <w:bottom w:val="nil"/>
              <w:right w:val="nil"/>
            </w:tcBorders>
            <w:shd w:val="clear" w:color="auto" w:fill="auto"/>
            <w:noWrap/>
            <w:vAlign w:val="bottom"/>
            <w:hideMark/>
          </w:tcPr>
          <w:p w14:paraId="4A586A40" w14:textId="77777777" w:rsidR="00D044B5" w:rsidRPr="00BB6AE5" w:rsidRDefault="00D044B5" w:rsidP="00203BA9">
            <w:pPr>
              <w:pStyle w:val="Tabletext"/>
              <w:rPr>
                <w:lang w:eastAsia="en-AU"/>
              </w:rPr>
            </w:pPr>
            <w:r w:rsidRPr="00BB6AE5">
              <w:rPr>
                <w:lang w:eastAsia="en-AU"/>
              </w:rPr>
              <w:t>Health and Welfare Support Workers</w:t>
            </w:r>
          </w:p>
        </w:tc>
        <w:tc>
          <w:tcPr>
            <w:tcW w:w="1500" w:type="dxa"/>
            <w:tcBorders>
              <w:top w:val="nil"/>
              <w:left w:val="nil"/>
              <w:bottom w:val="nil"/>
              <w:right w:val="nil"/>
            </w:tcBorders>
            <w:shd w:val="clear" w:color="auto" w:fill="auto"/>
            <w:noWrap/>
            <w:vAlign w:val="center"/>
            <w:hideMark/>
          </w:tcPr>
          <w:p w14:paraId="3CF10419" w14:textId="77777777" w:rsidR="00D044B5" w:rsidRPr="00BB6AE5" w:rsidRDefault="00D044B5" w:rsidP="00203BA9">
            <w:pPr>
              <w:pStyle w:val="Tabletext"/>
              <w:jc w:val="right"/>
              <w:rPr>
                <w:lang w:eastAsia="en-AU"/>
              </w:rPr>
            </w:pPr>
            <w:r w:rsidRPr="00BB6AE5">
              <w:rPr>
                <w:lang w:eastAsia="en-AU"/>
              </w:rPr>
              <w:t>107</w:t>
            </w:r>
          </w:p>
        </w:tc>
        <w:tc>
          <w:tcPr>
            <w:tcW w:w="1500" w:type="dxa"/>
            <w:tcBorders>
              <w:top w:val="nil"/>
              <w:left w:val="nil"/>
              <w:bottom w:val="nil"/>
              <w:right w:val="nil"/>
            </w:tcBorders>
            <w:shd w:val="clear" w:color="auto" w:fill="auto"/>
            <w:noWrap/>
            <w:vAlign w:val="center"/>
            <w:hideMark/>
          </w:tcPr>
          <w:p w14:paraId="05370DAD" w14:textId="77777777" w:rsidR="00D044B5" w:rsidRPr="00BB6AE5" w:rsidRDefault="00D044B5" w:rsidP="00203BA9">
            <w:pPr>
              <w:pStyle w:val="Tabletext"/>
              <w:jc w:val="right"/>
              <w:rPr>
                <w:lang w:eastAsia="en-AU"/>
              </w:rPr>
            </w:pPr>
            <w:r w:rsidRPr="00BB6AE5">
              <w:rPr>
                <w:lang w:eastAsia="en-AU"/>
              </w:rPr>
              <w:t>21</w:t>
            </w:r>
          </w:p>
        </w:tc>
        <w:tc>
          <w:tcPr>
            <w:tcW w:w="1500" w:type="dxa"/>
            <w:tcBorders>
              <w:top w:val="nil"/>
              <w:left w:val="nil"/>
              <w:bottom w:val="nil"/>
              <w:right w:val="nil"/>
            </w:tcBorders>
            <w:shd w:val="clear" w:color="auto" w:fill="auto"/>
            <w:noWrap/>
            <w:vAlign w:val="center"/>
            <w:hideMark/>
          </w:tcPr>
          <w:p w14:paraId="2C144A1D" w14:textId="77777777" w:rsidR="00D044B5" w:rsidRPr="00BB6AE5" w:rsidRDefault="00D044B5" w:rsidP="00203BA9">
            <w:pPr>
              <w:pStyle w:val="Tabletext"/>
              <w:jc w:val="right"/>
              <w:rPr>
                <w:lang w:eastAsia="en-AU"/>
              </w:rPr>
            </w:pPr>
            <w:r w:rsidRPr="00BB6AE5">
              <w:rPr>
                <w:lang w:eastAsia="en-AU"/>
              </w:rPr>
              <w:t>12</w:t>
            </w:r>
          </w:p>
        </w:tc>
      </w:tr>
      <w:tr w:rsidR="00D044B5" w:rsidRPr="00BB6AE5" w14:paraId="750DD1FE" w14:textId="77777777" w:rsidTr="00C368DB">
        <w:trPr>
          <w:trHeight w:val="300"/>
        </w:trPr>
        <w:tc>
          <w:tcPr>
            <w:tcW w:w="5260" w:type="dxa"/>
            <w:tcBorders>
              <w:top w:val="nil"/>
              <w:left w:val="nil"/>
              <w:bottom w:val="nil"/>
              <w:right w:val="nil"/>
            </w:tcBorders>
            <w:shd w:val="clear" w:color="auto" w:fill="auto"/>
            <w:noWrap/>
            <w:vAlign w:val="bottom"/>
            <w:hideMark/>
          </w:tcPr>
          <w:p w14:paraId="49D7FE3D" w14:textId="77777777" w:rsidR="00D044B5" w:rsidRPr="00BB6AE5" w:rsidRDefault="00D044B5" w:rsidP="00203BA9">
            <w:pPr>
              <w:pStyle w:val="Tabletext"/>
              <w:rPr>
                <w:lang w:eastAsia="en-AU"/>
              </w:rPr>
            </w:pPr>
            <w:r w:rsidRPr="00BB6AE5">
              <w:rPr>
                <w:lang w:eastAsia="en-AU"/>
              </w:rPr>
              <w:t>Contract, Program and Project Administrators</w:t>
            </w:r>
          </w:p>
        </w:tc>
        <w:tc>
          <w:tcPr>
            <w:tcW w:w="1500" w:type="dxa"/>
            <w:tcBorders>
              <w:top w:val="nil"/>
              <w:left w:val="nil"/>
              <w:bottom w:val="nil"/>
              <w:right w:val="nil"/>
            </w:tcBorders>
            <w:shd w:val="clear" w:color="auto" w:fill="auto"/>
            <w:noWrap/>
            <w:vAlign w:val="center"/>
            <w:hideMark/>
          </w:tcPr>
          <w:p w14:paraId="7E41390E" w14:textId="77777777" w:rsidR="00D044B5" w:rsidRPr="00BB6AE5" w:rsidRDefault="00D044B5" w:rsidP="00203BA9">
            <w:pPr>
              <w:pStyle w:val="Tabletext"/>
              <w:jc w:val="right"/>
              <w:rPr>
                <w:lang w:eastAsia="en-AU"/>
              </w:rPr>
            </w:pPr>
            <w:r w:rsidRPr="00BB6AE5">
              <w:rPr>
                <w:lang w:eastAsia="en-AU"/>
              </w:rPr>
              <w:t>37</w:t>
            </w:r>
          </w:p>
        </w:tc>
        <w:tc>
          <w:tcPr>
            <w:tcW w:w="1500" w:type="dxa"/>
            <w:tcBorders>
              <w:top w:val="nil"/>
              <w:left w:val="nil"/>
              <w:bottom w:val="nil"/>
              <w:right w:val="nil"/>
            </w:tcBorders>
            <w:shd w:val="clear" w:color="auto" w:fill="auto"/>
            <w:noWrap/>
            <w:vAlign w:val="center"/>
            <w:hideMark/>
          </w:tcPr>
          <w:p w14:paraId="2736D88E" w14:textId="77777777" w:rsidR="00D044B5" w:rsidRPr="00BB6AE5" w:rsidRDefault="00D044B5" w:rsidP="00203BA9">
            <w:pPr>
              <w:pStyle w:val="Tabletext"/>
              <w:jc w:val="right"/>
              <w:rPr>
                <w:lang w:eastAsia="en-AU"/>
              </w:rPr>
            </w:pPr>
            <w:r w:rsidRPr="00BB6AE5">
              <w:rPr>
                <w:lang w:eastAsia="en-AU"/>
              </w:rPr>
              <w:t>21</w:t>
            </w:r>
          </w:p>
        </w:tc>
        <w:tc>
          <w:tcPr>
            <w:tcW w:w="1500" w:type="dxa"/>
            <w:tcBorders>
              <w:top w:val="nil"/>
              <w:left w:val="nil"/>
              <w:bottom w:val="nil"/>
              <w:right w:val="nil"/>
            </w:tcBorders>
            <w:shd w:val="clear" w:color="auto" w:fill="auto"/>
            <w:noWrap/>
            <w:vAlign w:val="center"/>
            <w:hideMark/>
          </w:tcPr>
          <w:p w14:paraId="7E1E8CD5" w14:textId="77777777" w:rsidR="00D044B5" w:rsidRPr="00BB6AE5" w:rsidRDefault="00D044B5" w:rsidP="00203BA9">
            <w:pPr>
              <w:pStyle w:val="Tabletext"/>
              <w:jc w:val="right"/>
              <w:rPr>
                <w:lang w:eastAsia="en-AU"/>
              </w:rPr>
            </w:pPr>
            <w:r w:rsidRPr="00BB6AE5">
              <w:rPr>
                <w:lang w:eastAsia="en-AU"/>
              </w:rPr>
              <w:t>36</w:t>
            </w:r>
          </w:p>
        </w:tc>
      </w:tr>
      <w:tr w:rsidR="00D044B5" w:rsidRPr="00BB6AE5" w14:paraId="360978E2" w14:textId="77777777" w:rsidTr="00C368DB">
        <w:trPr>
          <w:trHeight w:val="300"/>
        </w:trPr>
        <w:tc>
          <w:tcPr>
            <w:tcW w:w="5260" w:type="dxa"/>
            <w:tcBorders>
              <w:top w:val="nil"/>
              <w:left w:val="nil"/>
              <w:bottom w:val="nil"/>
              <w:right w:val="nil"/>
            </w:tcBorders>
            <w:shd w:val="clear" w:color="auto" w:fill="auto"/>
            <w:noWrap/>
            <w:vAlign w:val="bottom"/>
            <w:hideMark/>
          </w:tcPr>
          <w:p w14:paraId="2E3DFEFA" w14:textId="77777777" w:rsidR="00D044B5" w:rsidRPr="00BB6AE5" w:rsidRDefault="00D044B5" w:rsidP="00203BA9">
            <w:pPr>
              <w:pStyle w:val="Tabletext"/>
              <w:rPr>
                <w:lang w:eastAsia="en-AU"/>
              </w:rPr>
            </w:pPr>
            <w:r w:rsidRPr="00BB6AE5">
              <w:rPr>
                <w:lang w:eastAsia="en-AU"/>
              </w:rPr>
              <w:t>Miscellaneous Clerical and Administrative Workers</w:t>
            </w:r>
          </w:p>
        </w:tc>
        <w:tc>
          <w:tcPr>
            <w:tcW w:w="1500" w:type="dxa"/>
            <w:tcBorders>
              <w:top w:val="nil"/>
              <w:left w:val="nil"/>
              <w:bottom w:val="nil"/>
              <w:right w:val="nil"/>
            </w:tcBorders>
            <w:shd w:val="clear" w:color="auto" w:fill="auto"/>
            <w:noWrap/>
            <w:vAlign w:val="center"/>
            <w:hideMark/>
          </w:tcPr>
          <w:p w14:paraId="1B6B807C" w14:textId="77777777" w:rsidR="00D044B5" w:rsidRPr="00BB6AE5" w:rsidRDefault="00D044B5" w:rsidP="00203BA9">
            <w:pPr>
              <w:pStyle w:val="Tabletext"/>
              <w:jc w:val="right"/>
              <w:rPr>
                <w:lang w:eastAsia="en-AU"/>
              </w:rPr>
            </w:pPr>
            <w:r w:rsidRPr="00BB6AE5">
              <w:rPr>
                <w:lang w:eastAsia="en-AU"/>
              </w:rPr>
              <w:t>53</w:t>
            </w:r>
          </w:p>
        </w:tc>
        <w:tc>
          <w:tcPr>
            <w:tcW w:w="1500" w:type="dxa"/>
            <w:tcBorders>
              <w:top w:val="nil"/>
              <w:left w:val="nil"/>
              <w:bottom w:val="nil"/>
              <w:right w:val="nil"/>
            </w:tcBorders>
            <w:shd w:val="clear" w:color="auto" w:fill="auto"/>
            <w:noWrap/>
            <w:vAlign w:val="center"/>
            <w:hideMark/>
          </w:tcPr>
          <w:p w14:paraId="062CC95A" w14:textId="77777777" w:rsidR="00D044B5" w:rsidRPr="00BB6AE5" w:rsidRDefault="00D044B5" w:rsidP="00203BA9">
            <w:pPr>
              <w:pStyle w:val="Tabletext"/>
              <w:jc w:val="right"/>
              <w:rPr>
                <w:lang w:eastAsia="en-AU"/>
              </w:rPr>
            </w:pPr>
            <w:r w:rsidRPr="00BB6AE5">
              <w:rPr>
                <w:lang w:eastAsia="en-AU"/>
              </w:rPr>
              <w:t>13</w:t>
            </w:r>
          </w:p>
        </w:tc>
        <w:tc>
          <w:tcPr>
            <w:tcW w:w="1500" w:type="dxa"/>
            <w:tcBorders>
              <w:top w:val="nil"/>
              <w:left w:val="nil"/>
              <w:bottom w:val="nil"/>
              <w:right w:val="nil"/>
            </w:tcBorders>
            <w:shd w:val="clear" w:color="auto" w:fill="auto"/>
            <w:noWrap/>
            <w:vAlign w:val="center"/>
            <w:hideMark/>
          </w:tcPr>
          <w:p w14:paraId="7F352CED" w14:textId="77777777" w:rsidR="00D044B5" w:rsidRPr="00BB6AE5" w:rsidRDefault="00D044B5" w:rsidP="00203BA9">
            <w:pPr>
              <w:pStyle w:val="Tabletext"/>
              <w:jc w:val="right"/>
              <w:rPr>
                <w:lang w:eastAsia="en-AU"/>
              </w:rPr>
            </w:pPr>
            <w:r w:rsidRPr="00BB6AE5">
              <w:rPr>
                <w:lang w:eastAsia="en-AU"/>
              </w:rPr>
              <w:t>20</w:t>
            </w:r>
          </w:p>
        </w:tc>
      </w:tr>
      <w:tr w:rsidR="00D044B5" w:rsidRPr="00BB6AE5" w14:paraId="202A688E" w14:textId="77777777" w:rsidTr="00C368DB">
        <w:trPr>
          <w:trHeight w:val="300"/>
        </w:trPr>
        <w:tc>
          <w:tcPr>
            <w:tcW w:w="5260" w:type="dxa"/>
            <w:tcBorders>
              <w:top w:val="nil"/>
              <w:left w:val="nil"/>
              <w:bottom w:val="nil"/>
              <w:right w:val="nil"/>
            </w:tcBorders>
            <w:shd w:val="clear" w:color="auto" w:fill="auto"/>
            <w:noWrap/>
            <w:vAlign w:val="bottom"/>
            <w:hideMark/>
          </w:tcPr>
          <w:p w14:paraId="246F4873" w14:textId="77777777" w:rsidR="00D044B5" w:rsidRPr="00BB6AE5" w:rsidRDefault="00D044B5" w:rsidP="00203BA9">
            <w:pPr>
              <w:pStyle w:val="Tabletext"/>
              <w:rPr>
                <w:lang w:eastAsia="en-AU"/>
              </w:rPr>
            </w:pPr>
            <w:r w:rsidRPr="00BB6AE5">
              <w:rPr>
                <w:lang w:eastAsia="en-AU"/>
              </w:rPr>
              <w:t>Sales Assistants and Salespersons</w:t>
            </w:r>
          </w:p>
        </w:tc>
        <w:tc>
          <w:tcPr>
            <w:tcW w:w="1500" w:type="dxa"/>
            <w:tcBorders>
              <w:top w:val="nil"/>
              <w:left w:val="nil"/>
              <w:bottom w:val="nil"/>
              <w:right w:val="nil"/>
            </w:tcBorders>
            <w:shd w:val="clear" w:color="auto" w:fill="auto"/>
            <w:noWrap/>
            <w:vAlign w:val="center"/>
            <w:hideMark/>
          </w:tcPr>
          <w:p w14:paraId="5C3B2F27" w14:textId="77777777" w:rsidR="00D044B5" w:rsidRPr="00BB6AE5" w:rsidRDefault="00D044B5" w:rsidP="00203BA9">
            <w:pPr>
              <w:pStyle w:val="Tabletext"/>
              <w:jc w:val="right"/>
              <w:rPr>
                <w:lang w:eastAsia="en-AU"/>
              </w:rPr>
            </w:pPr>
            <w:r w:rsidRPr="00BB6AE5">
              <w:rPr>
                <w:lang w:eastAsia="en-AU"/>
              </w:rPr>
              <w:t>131</w:t>
            </w:r>
          </w:p>
        </w:tc>
        <w:tc>
          <w:tcPr>
            <w:tcW w:w="1500" w:type="dxa"/>
            <w:tcBorders>
              <w:top w:val="nil"/>
              <w:left w:val="nil"/>
              <w:bottom w:val="nil"/>
              <w:right w:val="nil"/>
            </w:tcBorders>
            <w:shd w:val="clear" w:color="auto" w:fill="auto"/>
            <w:noWrap/>
            <w:vAlign w:val="center"/>
            <w:hideMark/>
          </w:tcPr>
          <w:p w14:paraId="658CE107" w14:textId="77777777" w:rsidR="00D044B5" w:rsidRPr="00BB6AE5" w:rsidRDefault="00D044B5" w:rsidP="00203BA9">
            <w:pPr>
              <w:pStyle w:val="Tabletext"/>
              <w:jc w:val="right"/>
              <w:rPr>
                <w:lang w:eastAsia="en-AU"/>
              </w:rPr>
            </w:pPr>
            <w:r w:rsidRPr="00BB6AE5">
              <w:rPr>
                <w:lang w:eastAsia="en-AU"/>
              </w:rPr>
              <w:t>13</w:t>
            </w:r>
          </w:p>
        </w:tc>
        <w:tc>
          <w:tcPr>
            <w:tcW w:w="1500" w:type="dxa"/>
            <w:tcBorders>
              <w:top w:val="nil"/>
              <w:left w:val="nil"/>
              <w:bottom w:val="nil"/>
              <w:right w:val="nil"/>
            </w:tcBorders>
            <w:shd w:val="clear" w:color="auto" w:fill="auto"/>
            <w:noWrap/>
            <w:vAlign w:val="center"/>
            <w:hideMark/>
          </w:tcPr>
          <w:p w14:paraId="68A1BF07" w14:textId="77777777" w:rsidR="00D044B5" w:rsidRPr="00BB6AE5" w:rsidRDefault="00D044B5" w:rsidP="00203BA9">
            <w:pPr>
              <w:pStyle w:val="Tabletext"/>
              <w:jc w:val="right"/>
              <w:rPr>
                <w:lang w:eastAsia="en-AU"/>
              </w:rPr>
            </w:pPr>
            <w:r w:rsidRPr="00BB6AE5">
              <w:rPr>
                <w:lang w:eastAsia="en-AU"/>
              </w:rPr>
              <w:t>23</w:t>
            </w:r>
          </w:p>
        </w:tc>
      </w:tr>
      <w:tr w:rsidR="00D044B5" w:rsidRPr="00BB6AE5" w14:paraId="1B2E95E3" w14:textId="77777777" w:rsidTr="00C368DB">
        <w:trPr>
          <w:trHeight w:val="300"/>
        </w:trPr>
        <w:tc>
          <w:tcPr>
            <w:tcW w:w="5260" w:type="dxa"/>
            <w:tcBorders>
              <w:top w:val="dotted" w:sz="4" w:space="0" w:color="auto"/>
              <w:left w:val="nil"/>
              <w:bottom w:val="dotted" w:sz="4" w:space="0" w:color="auto"/>
              <w:right w:val="nil"/>
            </w:tcBorders>
            <w:shd w:val="clear" w:color="auto" w:fill="auto"/>
            <w:noWrap/>
            <w:vAlign w:val="bottom"/>
            <w:hideMark/>
          </w:tcPr>
          <w:p w14:paraId="15F9D07A" w14:textId="77777777" w:rsidR="00D044B5" w:rsidRPr="00BB6AE5" w:rsidRDefault="00D044B5" w:rsidP="00203BA9">
            <w:pPr>
              <w:pStyle w:val="Tabletext"/>
              <w:rPr>
                <w:lang w:eastAsia="en-AU"/>
              </w:rPr>
            </w:pPr>
            <w:r w:rsidRPr="00BB6AE5">
              <w:rPr>
                <w:lang w:eastAsia="en-AU"/>
              </w:rPr>
              <w:t>Total</w:t>
            </w:r>
          </w:p>
        </w:tc>
        <w:tc>
          <w:tcPr>
            <w:tcW w:w="1500" w:type="dxa"/>
            <w:tcBorders>
              <w:top w:val="dotted" w:sz="4" w:space="0" w:color="auto"/>
              <w:left w:val="nil"/>
              <w:bottom w:val="dotted" w:sz="4" w:space="0" w:color="auto"/>
              <w:right w:val="nil"/>
            </w:tcBorders>
            <w:shd w:val="clear" w:color="auto" w:fill="auto"/>
            <w:noWrap/>
            <w:vAlign w:val="center"/>
            <w:hideMark/>
          </w:tcPr>
          <w:p w14:paraId="2BBF9756" w14:textId="77777777" w:rsidR="00D044B5" w:rsidRPr="00BB6AE5" w:rsidRDefault="00D044B5" w:rsidP="00203BA9">
            <w:pPr>
              <w:pStyle w:val="Tabletext"/>
              <w:jc w:val="right"/>
              <w:rPr>
                <w:lang w:eastAsia="en-AU"/>
              </w:rPr>
            </w:pPr>
            <w:r w:rsidRPr="00BB6AE5">
              <w:rPr>
                <w:lang w:eastAsia="en-AU"/>
              </w:rPr>
              <w:t>929</w:t>
            </w:r>
          </w:p>
        </w:tc>
        <w:tc>
          <w:tcPr>
            <w:tcW w:w="1500" w:type="dxa"/>
            <w:tcBorders>
              <w:top w:val="dotted" w:sz="4" w:space="0" w:color="auto"/>
              <w:left w:val="nil"/>
              <w:bottom w:val="dotted" w:sz="4" w:space="0" w:color="auto"/>
              <w:right w:val="nil"/>
            </w:tcBorders>
            <w:shd w:val="clear" w:color="auto" w:fill="auto"/>
            <w:noWrap/>
            <w:vAlign w:val="center"/>
            <w:hideMark/>
          </w:tcPr>
          <w:p w14:paraId="701D8EDD" w14:textId="77777777" w:rsidR="00D044B5" w:rsidRPr="00BB6AE5" w:rsidRDefault="00D044B5" w:rsidP="00203BA9">
            <w:pPr>
              <w:pStyle w:val="Tabletext"/>
              <w:jc w:val="right"/>
              <w:rPr>
                <w:lang w:eastAsia="en-AU"/>
              </w:rPr>
            </w:pPr>
            <w:r w:rsidRPr="00BB6AE5">
              <w:rPr>
                <w:lang w:eastAsia="en-AU"/>
              </w:rPr>
              <w:t>595</w:t>
            </w:r>
          </w:p>
        </w:tc>
        <w:tc>
          <w:tcPr>
            <w:tcW w:w="1500" w:type="dxa"/>
            <w:tcBorders>
              <w:top w:val="dotted" w:sz="4" w:space="0" w:color="auto"/>
              <w:left w:val="nil"/>
              <w:bottom w:val="dotted" w:sz="4" w:space="0" w:color="auto"/>
              <w:right w:val="nil"/>
            </w:tcBorders>
            <w:shd w:val="clear" w:color="auto" w:fill="auto"/>
            <w:noWrap/>
            <w:vAlign w:val="center"/>
            <w:hideMark/>
          </w:tcPr>
          <w:p w14:paraId="38FE9F35" w14:textId="77777777" w:rsidR="00D044B5" w:rsidRPr="00BB6AE5" w:rsidRDefault="00D044B5" w:rsidP="00203BA9">
            <w:pPr>
              <w:pStyle w:val="Tabletext"/>
              <w:jc w:val="right"/>
              <w:rPr>
                <w:lang w:eastAsia="en-AU"/>
              </w:rPr>
            </w:pPr>
            <w:r w:rsidRPr="00BB6AE5">
              <w:rPr>
                <w:lang w:eastAsia="en-AU"/>
              </w:rPr>
              <w:t>1199</w:t>
            </w:r>
          </w:p>
        </w:tc>
      </w:tr>
      <w:tr w:rsidR="00D044B5" w:rsidRPr="00BB6AE5" w14:paraId="4CD976AB" w14:textId="77777777" w:rsidTr="00C368DB">
        <w:trPr>
          <w:trHeight w:val="300"/>
        </w:trPr>
        <w:tc>
          <w:tcPr>
            <w:tcW w:w="6760" w:type="dxa"/>
            <w:gridSpan w:val="2"/>
            <w:tcBorders>
              <w:top w:val="nil"/>
              <w:left w:val="nil"/>
              <w:bottom w:val="nil"/>
              <w:right w:val="nil"/>
            </w:tcBorders>
            <w:shd w:val="clear" w:color="auto" w:fill="auto"/>
            <w:noWrap/>
            <w:vAlign w:val="bottom"/>
            <w:hideMark/>
          </w:tcPr>
          <w:p w14:paraId="6538F2F0" w14:textId="570EED32" w:rsidR="00D044B5" w:rsidRPr="00107FE2" w:rsidRDefault="00D044B5" w:rsidP="00203BA9">
            <w:pPr>
              <w:pStyle w:val="Tablehead3"/>
              <w:rPr>
                <w:lang w:eastAsia="en-AU"/>
              </w:rPr>
            </w:pPr>
            <w:r w:rsidRPr="00BB6AE5">
              <w:rPr>
                <w:lang w:eastAsia="en-AU"/>
              </w:rPr>
              <w:t>Ex</w:t>
            </w:r>
            <w:r>
              <w:rPr>
                <w:lang w:eastAsia="en-AU"/>
              </w:rPr>
              <w:t>tra occupations in ex</w:t>
            </w:r>
            <w:r w:rsidRPr="00BB6AE5">
              <w:rPr>
                <w:lang w:eastAsia="en-AU"/>
              </w:rPr>
              <w:t>tended sample</w:t>
            </w:r>
            <w:r>
              <w:rPr>
                <w:lang w:eastAsia="en-AU"/>
              </w:rPr>
              <w:t xml:space="preserve"> (2-digit ANZSCO)</w:t>
            </w:r>
          </w:p>
        </w:tc>
        <w:tc>
          <w:tcPr>
            <w:tcW w:w="1500" w:type="dxa"/>
            <w:tcBorders>
              <w:top w:val="nil"/>
              <w:left w:val="nil"/>
              <w:bottom w:val="nil"/>
              <w:right w:val="nil"/>
            </w:tcBorders>
            <w:shd w:val="clear" w:color="auto" w:fill="auto"/>
            <w:noWrap/>
            <w:vAlign w:val="bottom"/>
            <w:hideMark/>
          </w:tcPr>
          <w:p w14:paraId="54CCDA58" w14:textId="77777777" w:rsidR="00D044B5" w:rsidRPr="00BB6AE5" w:rsidRDefault="00D044B5" w:rsidP="00C368DB">
            <w:pPr>
              <w:rPr>
                <w:rFonts w:ascii="Times New Roman" w:hAnsi="Times New Roman"/>
                <w:color w:val="000000"/>
                <w:sz w:val="22"/>
                <w:szCs w:val="22"/>
                <w:lang w:eastAsia="en-AU"/>
              </w:rPr>
            </w:pPr>
            <w:r w:rsidRPr="00BB6AE5">
              <w:rPr>
                <w:rFonts w:ascii="Times New Roman" w:hAnsi="Times New Roman"/>
                <w:color w:val="000000"/>
                <w:sz w:val="22"/>
                <w:szCs w:val="22"/>
                <w:lang w:eastAsia="en-AU"/>
              </w:rPr>
              <w:t> </w:t>
            </w:r>
          </w:p>
        </w:tc>
        <w:tc>
          <w:tcPr>
            <w:tcW w:w="1500" w:type="dxa"/>
            <w:tcBorders>
              <w:top w:val="nil"/>
              <w:left w:val="nil"/>
              <w:bottom w:val="nil"/>
              <w:right w:val="nil"/>
            </w:tcBorders>
            <w:shd w:val="clear" w:color="auto" w:fill="auto"/>
            <w:noWrap/>
            <w:vAlign w:val="bottom"/>
            <w:hideMark/>
          </w:tcPr>
          <w:p w14:paraId="51E15728" w14:textId="77777777" w:rsidR="00D044B5" w:rsidRPr="00BB6AE5" w:rsidRDefault="00D044B5" w:rsidP="00C368DB">
            <w:pPr>
              <w:rPr>
                <w:rFonts w:ascii="Times New Roman" w:hAnsi="Times New Roman"/>
                <w:color w:val="000000"/>
                <w:sz w:val="22"/>
                <w:szCs w:val="22"/>
                <w:lang w:eastAsia="en-AU"/>
              </w:rPr>
            </w:pPr>
            <w:r w:rsidRPr="00BB6AE5">
              <w:rPr>
                <w:rFonts w:ascii="Times New Roman" w:hAnsi="Times New Roman"/>
                <w:color w:val="000000"/>
                <w:sz w:val="22"/>
                <w:szCs w:val="22"/>
                <w:lang w:eastAsia="en-AU"/>
              </w:rPr>
              <w:t> </w:t>
            </w:r>
          </w:p>
        </w:tc>
      </w:tr>
      <w:tr w:rsidR="00D044B5" w:rsidRPr="00BB6AE5" w14:paraId="2E8B07D7" w14:textId="77777777" w:rsidTr="00C368DB">
        <w:trPr>
          <w:trHeight w:val="300"/>
        </w:trPr>
        <w:tc>
          <w:tcPr>
            <w:tcW w:w="5260" w:type="dxa"/>
            <w:tcBorders>
              <w:top w:val="nil"/>
              <w:left w:val="nil"/>
              <w:bottom w:val="nil"/>
              <w:right w:val="nil"/>
            </w:tcBorders>
            <w:shd w:val="clear" w:color="auto" w:fill="auto"/>
            <w:noWrap/>
            <w:vAlign w:val="bottom"/>
            <w:hideMark/>
          </w:tcPr>
          <w:p w14:paraId="4DAA4F7E" w14:textId="77777777" w:rsidR="00D044B5" w:rsidRPr="00BB6AE5" w:rsidRDefault="00D044B5" w:rsidP="00203BA9">
            <w:pPr>
              <w:pStyle w:val="Tabletext"/>
              <w:rPr>
                <w:lang w:eastAsia="en-AU"/>
              </w:rPr>
            </w:pPr>
            <w:r w:rsidRPr="00BB6AE5">
              <w:rPr>
                <w:lang w:eastAsia="en-AU"/>
              </w:rPr>
              <w:t>Hospitality, Retail and Service Managers</w:t>
            </w:r>
          </w:p>
        </w:tc>
        <w:tc>
          <w:tcPr>
            <w:tcW w:w="1500" w:type="dxa"/>
            <w:tcBorders>
              <w:top w:val="nil"/>
              <w:left w:val="nil"/>
              <w:bottom w:val="nil"/>
              <w:right w:val="nil"/>
            </w:tcBorders>
            <w:shd w:val="clear" w:color="auto" w:fill="auto"/>
            <w:noWrap/>
            <w:vAlign w:val="center"/>
            <w:hideMark/>
          </w:tcPr>
          <w:p w14:paraId="19B878A8" w14:textId="77777777" w:rsidR="00D044B5" w:rsidRPr="00BB6AE5" w:rsidRDefault="00D044B5" w:rsidP="00203BA9">
            <w:pPr>
              <w:pStyle w:val="Tabletext"/>
              <w:jc w:val="right"/>
              <w:rPr>
                <w:lang w:eastAsia="en-AU"/>
              </w:rPr>
            </w:pPr>
            <w:r w:rsidRPr="00BB6AE5">
              <w:rPr>
                <w:lang w:eastAsia="en-AU"/>
              </w:rPr>
              <w:t>118</w:t>
            </w:r>
          </w:p>
        </w:tc>
        <w:tc>
          <w:tcPr>
            <w:tcW w:w="1500" w:type="dxa"/>
            <w:tcBorders>
              <w:top w:val="nil"/>
              <w:left w:val="nil"/>
              <w:bottom w:val="nil"/>
              <w:right w:val="nil"/>
            </w:tcBorders>
            <w:shd w:val="clear" w:color="auto" w:fill="auto"/>
            <w:noWrap/>
            <w:vAlign w:val="center"/>
            <w:hideMark/>
          </w:tcPr>
          <w:p w14:paraId="54F97D60" w14:textId="77777777" w:rsidR="00D044B5" w:rsidRPr="00BB6AE5" w:rsidRDefault="00D044B5" w:rsidP="00203BA9">
            <w:pPr>
              <w:pStyle w:val="Tabletext"/>
              <w:jc w:val="right"/>
              <w:rPr>
                <w:lang w:eastAsia="en-AU"/>
              </w:rPr>
            </w:pPr>
            <w:r w:rsidRPr="00BB6AE5">
              <w:rPr>
                <w:lang w:eastAsia="en-AU"/>
              </w:rPr>
              <w:t>12</w:t>
            </w:r>
          </w:p>
        </w:tc>
        <w:tc>
          <w:tcPr>
            <w:tcW w:w="1500" w:type="dxa"/>
            <w:tcBorders>
              <w:top w:val="nil"/>
              <w:left w:val="nil"/>
              <w:bottom w:val="nil"/>
              <w:right w:val="nil"/>
            </w:tcBorders>
            <w:shd w:val="clear" w:color="auto" w:fill="auto"/>
            <w:noWrap/>
            <w:vAlign w:val="center"/>
            <w:hideMark/>
          </w:tcPr>
          <w:p w14:paraId="024BBC7F" w14:textId="77777777" w:rsidR="00D044B5" w:rsidRPr="00BB6AE5" w:rsidRDefault="00D044B5" w:rsidP="00203BA9">
            <w:pPr>
              <w:pStyle w:val="Tabletext"/>
              <w:jc w:val="right"/>
              <w:rPr>
                <w:lang w:eastAsia="en-AU"/>
              </w:rPr>
            </w:pPr>
            <w:r w:rsidRPr="00BB6AE5">
              <w:rPr>
                <w:lang w:eastAsia="en-AU"/>
              </w:rPr>
              <w:t>21</w:t>
            </w:r>
          </w:p>
        </w:tc>
      </w:tr>
      <w:tr w:rsidR="00D044B5" w:rsidRPr="00BB6AE5" w14:paraId="65164452" w14:textId="77777777" w:rsidTr="00C368DB">
        <w:trPr>
          <w:trHeight w:val="300"/>
        </w:trPr>
        <w:tc>
          <w:tcPr>
            <w:tcW w:w="5260" w:type="dxa"/>
            <w:tcBorders>
              <w:top w:val="nil"/>
              <w:left w:val="nil"/>
              <w:bottom w:val="nil"/>
              <w:right w:val="nil"/>
            </w:tcBorders>
            <w:shd w:val="clear" w:color="auto" w:fill="auto"/>
            <w:noWrap/>
            <w:vAlign w:val="bottom"/>
            <w:hideMark/>
          </w:tcPr>
          <w:p w14:paraId="26B88353" w14:textId="77777777" w:rsidR="00D044B5" w:rsidRPr="00BB6AE5" w:rsidRDefault="00D044B5" w:rsidP="00203BA9">
            <w:pPr>
              <w:pStyle w:val="Tabletext"/>
              <w:rPr>
                <w:lang w:eastAsia="en-AU"/>
              </w:rPr>
            </w:pPr>
            <w:r w:rsidRPr="00BB6AE5">
              <w:rPr>
                <w:lang w:eastAsia="en-AU"/>
              </w:rPr>
              <w:t>Arts and Media Professionals</w:t>
            </w:r>
          </w:p>
        </w:tc>
        <w:tc>
          <w:tcPr>
            <w:tcW w:w="1500" w:type="dxa"/>
            <w:tcBorders>
              <w:top w:val="nil"/>
              <w:left w:val="nil"/>
              <w:bottom w:val="nil"/>
              <w:right w:val="nil"/>
            </w:tcBorders>
            <w:shd w:val="clear" w:color="auto" w:fill="auto"/>
            <w:noWrap/>
            <w:vAlign w:val="center"/>
            <w:hideMark/>
          </w:tcPr>
          <w:p w14:paraId="0F92C4D2" w14:textId="77777777" w:rsidR="00D044B5" w:rsidRPr="00BB6AE5" w:rsidRDefault="00D044B5" w:rsidP="00203BA9">
            <w:pPr>
              <w:pStyle w:val="Tabletext"/>
              <w:jc w:val="right"/>
              <w:rPr>
                <w:lang w:eastAsia="en-AU"/>
              </w:rPr>
            </w:pPr>
            <w:r w:rsidRPr="00BB6AE5">
              <w:rPr>
                <w:lang w:eastAsia="en-AU"/>
              </w:rPr>
              <w:t>26</w:t>
            </w:r>
          </w:p>
        </w:tc>
        <w:tc>
          <w:tcPr>
            <w:tcW w:w="1500" w:type="dxa"/>
            <w:tcBorders>
              <w:top w:val="nil"/>
              <w:left w:val="nil"/>
              <w:bottom w:val="nil"/>
              <w:right w:val="nil"/>
            </w:tcBorders>
            <w:shd w:val="clear" w:color="auto" w:fill="auto"/>
            <w:noWrap/>
            <w:vAlign w:val="center"/>
            <w:hideMark/>
          </w:tcPr>
          <w:p w14:paraId="0C957293" w14:textId="77777777" w:rsidR="00D044B5" w:rsidRPr="00BB6AE5" w:rsidRDefault="00D044B5" w:rsidP="00203BA9">
            <w:pPr>
              <w:pStyle w:val="Tabletext"/>
              <w:jc w:val="right"/>
              <w:rPr>
                <w:lang w:eastAsia="en-AU"/>
              </w:rPr>
            </w:pPr>
            <w:r w:rsidRPr="00BB6AE5">
              <w:rPr>
                <w:lang w:eastAsia="en-AU"/>
              </w:rPr>
              <w:t>11</w:t>
            </w:r>
          </w:p>
        </w:tc>
        <w:tc>
          <w:tcPr>
            <w:tcW w:w="1500" w:type="dxa"/>
            <w:tcBorders>
              <w:top w:val="nil"/>
              <w:left w:val="nil"/>
              <w:bottom w:val="nil"/>
              <w:right w:val="nil"/>
            </w:tcBorders>
            <w:shd w:val="clear" w:color="auto" w:fill="auto"/>
            <w:noWrap/>
            <w:vAlign w:val="center"/>
            <w:hideMark/>
          </w:tcPr>
          <w:p w14:paraId="5C59336A" w14:textId="77777777" w:rsidR="00D044B5" w:rsidRPr="00BB6AE5" w:rsidRDefault="00D044B5" w:rsidP="00203BA9">
            <w:pPr>
              <w:pStyle w:val="Tabletext"/>
              <w:jc w:val="right"/>
              <w:rPr>
                <w:lang w:eastAsia="en-AU"/>
              </w:rPr>
            </w:pPr>
            <w:r w:rsidRPr="00BB6AE5">
              <w:rPr>
                <w:lang w:eastAsia="en-AU"/>
              </w:rPr>
              <w:t>30</w:t>
            </w:r>
          </w:p>
        </w:tc>
      </w:tr>
      <w:tr w:rsidR="00D044B5" w:rsidRPr="00BB6AE5" w14:paraId="591D102F" w14:textId="77777777" w:rsidTr="00C368DB">
        <w:trPr>
          <w:trHeight w:val="300"/>
        </w:trPr>
        <w:tc>
          <w:tcPr>
            <w:tcW w:w="5260" w:type="dxa"/>
            <w:tcBorders>
              <w:top w:val="nil"/>
              <w:left w:val="nil"/>
              <w:bottom w:val="nil"/>
              <w:right w:val="nil"/>
            </w:tcBorders>
            <w:shd w:val="clear" w:color="auto" w:fill="auto"/>
            <w:noWrap/>
            <w:vAlign w:val="bottom"/>
            <w:hideMark/>
          </w:tcPr>
          <w:p w14:paraId="2247DD53" w14:textId="77777777" w:rsidR="00D044B5" w:rsidRPr="00BB6AE5" w:rsidRDefault="00D044B5" w:rsidP="00203BA9">
            <w:pPr>
              <w:pStyle w:val="Tabletext"/>
              <w:rPr>
                <w:lang w:eastAsia="en-AU"/>
              </w:rPr>
            </w:pPr>
            <w:r w:rsidRPr="00BB6AE5">
              <w:rPr>
                <w:lang w:eastAsia="en-AU"/>
              </w:rPr>
              <w:t>Design, Engineering, Science and Transport Professionals</w:t>
            </w:r>
          </w:p>
        </w:tc>
        <w:tc>
          <w:tcPr>
            <w:tcW w:w="1500" w:type="dxa"/>
            <w:tcBorders>
              <w:top w:val="nil"/>
              <w:left w:val="nil"/>
              <w:bottom w:val="nil"/>
              <w:right w:val="nil"/>
            </w:tcBorders>
            <w:shd w:val="clear" w:color="auto" w:fill="auto"/>
            <w:noWrap/>
            <w:vAlign w:val="center"/>
            <w:hideMark/>
          </w:tcPr>
          <w:p w14:paraId="3A028355" w14:textId="77777777" w:rsidR="00D044B5" w:rsidRPr="00BB6AE5" w:rsidRDefault="00D044B5" w:rsidP="00203BA9">
            <w:pPr>
              <w:pStyle w:val="Tabletext"/>
              <w:jc w:val="right"/>
              <w:rPr>
                <w:lang w:eastAsia="en-AU"/>
              </w:rPr>
            </w:pPr>
            <w:r w:rsidRPr="00BB6AE5">
              <w:rPr>
                <w:lang w:eastAsia="en-AU"/>
              </w:rPr>
              <w:t>21</w:t>
            </w:r>
          </w:p>
        </w:tc>
        <w:tc>
          <w:tcPr>
            <w:tcW w:w="1500" w:type="dxa"/>
            <w:tcBorders>
              <w:top w:val="nil"/>
              <w:left w:val="nil"/>
              <w:bottom w:val="nil"/>
              <w:right w:val="nil"/>
            </w:tcBorders>
            <w:shd w:val="clear" w:color="auto" w:fill="auto"/>
            <w:noWrap/>
            <w:vAlign w:val="center"/>
            <w:hideMark/>
          </w:tcPr>
          <w:p w14:paraId="0D7526FA" w14:textId="77777777" w:rsidR="00D044B5" w:rsidRPr="00BB6AE5" w:rsidRDefault="00D044B5" w:rsidP="00203BA9">
            <w:pPr>
              <w:pStyle w:val="Tabletext"/>
              <w:jc w:val="right"/>
              <w:rPr>
                <w:lang w:eastAsia="en-AU"/>
              </w:rPr>
            </w:pPr>
            <w:r w:rsidRPr="00BB6AE5">
              <w:rPr>
                <w:lang w:eastAsia="en-AU"/>
              </w:rPr>
              <w:t>19</w:t>
            </w:r>
          </w:p>
        </w:tc>
        <w:tc>
          <w:tcPr>
            <w:tcW w:w="1500" w:type="dxa"/>
            <w:tcBorders>
              <w:top w:val="nil"/>
              <w:left w:val="nil"/>
              <w:bottom w:val="nil"/>
              <w:right w:val="nil"/>
            </w:tcBorders>
            <w:shd w:val="clear" w:color="auto" w:fill="auto"/>
            <w:noWrap/>
            <w:vAlign w:val="center"/>
            <w:hideMark/>
          </w:tcPr>
          <w:p w14:paraId="62650927" w14:textId="77777777" w:rsidR="00D044B5" w:rsidRPr="00BB6AE5" w:rsidRDefault="00D044B5" w:rsidP="00203BA9">
            <w:pPr>
              <w:pStyle w:val="Tabletext"/>
              <w:jc w:val="right"/>
              <w:rPr>
                <w:lang w:eastAsia="en-AU"/>
              </w:rPr>
            </w:pPr>
            <w:r w:rsidRPr="00BB6AE5">
              <w:rPr>
                <w:lang w:eastAsia="en-AU"/>
              </w:rPr>
              <w:t>76</w:t>
            </w:r>
          </w:p>
        </w:tc>
      </w:tr>
      <w:tr w:rsidR="00D044B5" w:rsidRPr="00BB6AE5" w14:paraId="0E25EA6C" w14:textId="77777777" w:rsidTr="00C368DB">
        <w:trPr>
          <w:trHeight w:val="300"/>
        </w:trPr>
        <w:tc>
          <w:tcPr>
            <w:tcW w:w="5260" w:type="dxa"/>
            <w:tcBorders>
              <w:top w:val="nil"/>
              <w:left w:val="nil"/>
              <w:bottom w:val="nil"/>
              <w:right w:val="nil"/>
            </w:tcBorders>
            <w:shd w:val="clear" w:color="auto" w:fill="auto"/>
            <w:noWrap/>
            <w:vAlign w:val="bottom"/>
            <w:hideMark/>
          </w:tcPr>
          <w:p w14:paraId="4B02ADF2" w14:textId="77777777" w:rsidR="00D044B5" w:rsidRPr="00BB6AE5" w:rsidRDefault="00D044B5" w:rsidP="00203BA9">
            <w:pPr>
              <w:pStyle w:val="Tabletext"/>
              <w:rPr>
                <w:lang w:eastAsia="en-AU"/>
              </w:rPr>
            </w:pPr>
            <w:r w:rsidRPr="00BB6AE5">
              <w:rPr>
                <w:lang w:eastAsia="en-AU"/>
              </w:rPr>
              <w:t>ICT Professionals</w:t>
            </w:r>
          </w:p>
        </w:tc>
        <w:tc>
          <w:tcPr>
            <w:tcW w:w="1500" w:type="dxa"/>
            <w:tcBorders>
              <w:top w:val="nil"/>
              <w:left w:val="nil"/>
              <w:bottom w:val="nil"/>
              <w:right w:val="nil"/>
            </w:tcBorders>
            <w:shd w:val="clear" w:color="auto" w:fill="auto"/>
            <w:noWrap/>
            <w:vAlign w:val="center"/>
            <w:hideMark/>
          </w:tcPr>
          <w:p w14:paraId="40D7F2B5" w14:textId="77777777" w:rsidR="00D044B5" w:rsidRPr="00BB6AE5" w:rsidRDefault="00D044B5" w:rsidP="00203BA9">
            <w:pPr>
              <w:pStyle w:val="Tabletext"/>
              <w:jc w:val="right"/>
              <w:rPr>
                <w:lang w:eastAsia="en-AU"/>
              </w:rPr>
            </w:pPr>
            <w:r w:rsidRPr="00BB6AE5">
              <w:rPr>
                <w:lang w:eastAsia="en-AU"/>
              </w:rPr>
              <w:t>30</w:t>
            </w:r>
          </w:p>
        </w:tc>
        <w:tc>
          <w:tcPr>
            <w:tcW w:w="1500" w:type="dxa"/>
            <w:tcBorders>
              <w:top w:val="nil"/>
              <w:left w:val="nil"/>
              <w:bottom w:val="nil"/>
              <w:right w:val="nil"/>
            </w:tcBorders>
            <w:shd w:val="clear" w:color="auto" w:fill="auto"/>
            <w:noWrap/>
            <w:vAlign w:val="center"/>
            <w:hideMark/>
          </w:tcPr>
          <w:p w14:paraId="3786E2C5" w14:textId="77777777" w:rsidR="00D044B5" w:rsidRPr="00BB6AE5" w:rsidRDefault="00D044B5" w:rsidP="00203BA9">
            <w:pPr>
              <w:pStyle w:val="Tabletext"/>
              <w:jc w:val="right"/>
              <w:rPr>
                <w:lang w:eastAsia="en-AU"/>
              </w:rPr>
            </w:pPr>
            <w:r w:rsidRPr="00BB6AE5">
              <w:rPr>
                <w:lang w:eastAsia="en-AU"/>
              </w:rPr>
              <w:t>15</w:t>
            </w:r>
          </w:p>
        </w:tc>
        <w:tc>
          <w:tcPr>
            <w:tcW w:w="1500" w:type="dxa"/>
            <w:tcBorders>
              <w:top w:val="nil"/>
              <w:left w:val="nil"/>
              <w:bottom w:val="nil"/>
              <w:right w:val="nil"/>
            </w:tcBorders>
            <w:shd w:val="clear" w:color="auto" w:fill="auto"/>
            <w:noWrap/>
            <w:vAlign w:val="center"/>
            <w:hideMark/>
          </w:tcPr>
          <w:p w14:paraId="4CB67150" w14:textId="77777777" w:rsidR="00D044B5" w:rsidRPr="00BB6AE5" w:rsidRDefault="00D044B5" w:rsidP="00203BA9">
            <w:pPr>
              <w:pStyle w:val="Tabletext"/>
              <w:jc w:val="right"/>
              <w:rPr>
                <w:lang w:eastAsia="en-AU"/>
              </w:rPr>
            </w:pPr>
            <w:r w:rsidRPr="00BB6AE5">
              <w:rPr>
                <w:lang w:eastAsia="en-AU"/>
              </w:rPr>
              <w:t>30</w:t>
            </w:r>
          </w:p>
        </w:tc>
      </w:tr>
      <w:tr w:rsidR="00D044B5" w:rsidRPr="00BB6AE5" w14:paraId="72933297" w14:textId="77777777" w:rsidTr="00C368DB">
        <w:trPr>
          <w:trHeight w:val="300"/>
        </w:trPr>
        <w:tc>
          <w:tcPr>
            <w:tcW w:w="5260" w:type="dxa"/>
            <w:tcBorders>
              <w:top w:val="nil"/>
              <w:left w:val="nil"/>
              <w:bottom w:val="nil"/>
              <w:right w:val="nil"/>
            </w:tcBorders>
            <w:shd w:val="clear" w:color="auto" w:fill="auto"/>
            <w:noWrap/>
            <w:vAlign w:val="bottom"/>
            <w:hideMark/>
          </w:tcPr>
          <w:p w14:paraId="5F9EFB56" w14:textId="77777777" w:rsidR="00D044B5" w:rsidRPr="00BB6AE5" w:rsidRDefault="00D044B5" w:rsidP="00203BA9">
            <w:pPr>
              <w:pStyle w:val="Tabletext"/>
              <w:rPr>
                <w:lang w:eastAsia="en-AU"/>
              </w:rPr>
            </w:pPr>
            <w:r w:rsidRPr="00BB6AE5">
              <w:rPr>
                <w:lang w:eastAsia="en-AU"/>
              </w:rPr>
              <w:t>Carers and Aides</w:t>
            </w:r>
          </w:p>
        </w:tc>
        <w:tc>
          <w:tcPr>
            <w:tcW w:w="1500" w:type="dxa"/>
            <w:tcBorders>
              <w:top w:val="nil"/>
              <w:left w:val="nil"/>
              <w:bottom w:val="nil"/>
              <w:right w:val="nil"/>
            </w:tcBorders>
            <w:shd w:val="clear" w:color="auto" w:fill="auto"/>
            <w:noWrap/>
            <w:vAlign w:val="center"/>
            <w:hideMark/>
          </w:tcPr>
          <w:p w14:paraId="711D04BB" w14:textId="77777777" w:rsidR="00D044B5" w:rsidRPr="00BB6AE5" w:rsidRDefault="00D044B5" w:rsidP="00203BA9">
            <w:pPr>
              <w:pStyle w:val="Tabletext"/>
              <w:jc w:val="right"/>
              <w:rPr>
                <w:lang w:eastAsia="en-AU"/>
              </w:rPr>
            </w:pPr>
            <w:r w:rsidRPr="00BB6AE5">
              <w:rPr>
                <w:lang w:eastAsia="en-AU"/>
              </w:rPr>
              <w:t>233</w:t>
            </w:r>
          </w:p>
        </w:tc>
        <w:tc>
          <w:tcPr>
            <w:tcW w:w="1500" w:type="dxa"/>
            <w:tcBorders>
              <w:top w:val="nil"/>
              <w:left w:val="nil"/>
              <w:bottom w:val="nil"/>
              <w:right w:val="nil"/>
            </w:tcBorders>
            <w:shd w:val="clear" w:color="auto" w:fill="auto"/>
            <w:noWrap/>
            <w:vAlign w:val="center"/>
            <w:hideMark/>
          </w:tcPr>
          <w:p w14:paraId="014B68C2" w14:textId="77777777" w:rsidR="00D044B5" w:rsidRPr="00BB6AE5" w:rsidRDefault="00D044B5" w:rsidP="00203BA9">
            <w:pPr>
              <w:pStyle w:val="Tabletext"/>
              <w:jc w:val="right"/>
              <w:rPr>
                <w:lang w:eastAsia="en-AU"/>
              </w:rPr>
            </w:pPr>
            <w:r w:rsidRPr="00BB6AE5">
              <w:rPr>
                <w:lang w:eastAsia="en-AU"/>
              </w:rPr>
              <w:t>14</w:t>
            </w:r>
          </w:p>
        </w:tc>
        <w:tc>
          <w:tcPr>
            <w:tcW w:w="1500" w:type="dxa"/>
            <w:tcBorders>
              <w:top w:val="nil"/>
              <w:left w:val="nil"/>
              <w:bottom w:val="nil"/>
              <w:right w:val="nil"/>
            </w:tcBorders>
            <w:shd w:val="clear" w:color="auto" w:fill="auto"/>
            <w:noWrap/>
            <w:vAlign w:val="center"/>
            <w:hideMark/>
          </w:tcPr>
          <w:p w14:paraId="44FE8077" w14:textId="77777777" w:rsidR="00D044B5" w:rsidRPr="00BB6AE5" w:rsidRDefault="00D044B5" w:rsidP="00203BA9">
            <w:pPr>
              <w:pStyle w:val="Tabletext"/>
              <w:jc w:val="right"/>
              <w:rPr>
                <w:lang w:eastAsia="en-AU"/>
              </w:rPr>
            </w:pPr>
            <w:r w:rsidRPr="00BB6AE5">
              <w:rPr>
                <w:lang w:eastAsia="en-AU"/>
              </w:rPr>
              <w:t>26</w:t>
            </w:r>
          </w:p>
        </w:tc>
      </w:tr>
      <w:tr w:rsidR="00D044B5" w:rsidRPr="00BB6AE5" w14:paraId="5DEB6122" w14:textId="77777777" w:rsidTr="00C368DB">
        <w:trPr>
          <w:trHeight w:val="300"/>
        </w:trPr>
        <w:tc>
          <w:tcPr>
            <w:tcW w:w="5260" w:type="dxa"/>
            <w:tcBorders>
              <w:top w:val="nil"/>
              <w:left w:val="nil"/>
              <w:bottom w:val="nil"/>
              <w:right w:val="nil"/>
            </w:tcBorders>
            <w:shd w:val="clear" w:color="auto" w:fill="auto"/>
            <w:noWrap/>
            <w:vAlign w:val="bottom"/>
            <w:hideMark/>
          </w:tcPr>
          <w:p w14:paraId="1408BC9A" w14:textId="77777777" w:rsidR="00D044B5" w:rsidRPr="00BB6AE5" w:rsidRDefault="00D044B5" w:rsidP="00203BA9">
            <w:pPr>
              <w:pStyle w:val="Tabletext"/>
              <w:rPr>
                <w:lang w:eastAsia="en-AU"/>
              </w:rPr>
            </w:pPr>
            <w:r w:rsidRPr="00BB6AE5">
              <w:rPr>
                <w:lang w:eastAsia="en-AU"/>
              </w:rPr>
              <w:t>Inquiry Clerks and Receptionists</w:t>
            </w:r>
          </w:p>
        </w:tc>
        <w:tc>
          <w:tcPr>
            <w:tcW w:w="1500" w:type="dxa"/>
            <w:tcBorders>
              <w:top w:val="nil"/>
              <w:left w:val="nil"/>
              <w:bottom w:val="nil"/>
              <w:right w:val="nil"/>
            </w:tcBorders>
            <w:shd w:val="clear" w:color="auto" w:fill="auto"/>
            <w:noWrap/>
            <w:vAlign w:val="center"/>
            <w:hideMark/>
          </w:tcPr>
          <w:p w14:paraId="2E38093B" w14:textId="77777777" w:rsidR="00D044B5" w:rsidRPr="00BB6AE5" w:rsidRDefault="00D044B5" w:rsidP="00203BA9">
            <w:pPr>
              <w:pStyle w:val="Tabletext"/>
              <w:jc w:val="right"/>
              <w:rPr>
                <w:lang w:eastAsia="en-AU"/>
              </w:rPr>
            </w:pPr>
            <w:r w:rsidRPr="00BB6AE5">
              <w:rPr>
                <w:lang w:eastAsia="en-AU"/>
              </w:rPr>
              <w:t>110</w:t>
            </w:r>
          </w:p>
        </w:tc>
        <w:tc>
          <w:tcPr>
            <w:tcW w:w="1500" w:type="dxa"/>
            <w:tcBorders>
              <w:top w:val="nil"/>
              <w:left w:val="nil"/>
              <w:bottom w:val="nil"/>
              <w:right w:val="nil"/>
            </w:tcBorders>
            <w:shd w:val="clear" w:color="auto" w:fill="auto"/>
            <w:noWrap/>
            <w:vAlign w:val="center"/>
            <w:hideMark/>
          </w:tcPr>
          <w:p w14:paraId="36C6F97F" w14:textId="77777777" w:rsidR="00D044B5" w:rsidRPr="00BB6AE5" w:rsidRDefault="00D044B5" w:rsidP="00203BA9">
            <w:pPr>
              <w:pStyle w:val="Tabletext"/>
              <w:jc w:val="right"/>
              <w:rPr>
                <w:lang w:eastAsia="en-AU"/>
              </w:rPr>
            </w:pPr>
            <w:r w:rsidRPr="00BB6AE5">
              <w:rPr>
                <w:lang w:eastAsia="en-AU"/>
              </w:rPr>
              <w:t>11</w:t>
            </w:r>
          </w:p>
        </w:tc>
        <w:tc>
          <w:tcPr>
            <w:tcW w:w="1500" w:type="dxa"/>
            <w:tcBorders>
              <w:top w:val="nil"/>
              <w:left w:val="nil"/>
              <w:bottom w:val="nil"/>
              <w:right w:val="nil"/>
            </w:tcBorders>
            <w:shd w:val="clear" w:color="auto" w:fill="auto"/>
            <w:noWrap/>
            <w:vAlign w:val="center"/>
            <w:hideMark/>
          </w:tcPr>
          <w:p w14:paraId="0A5E478B" w14:textId="77777777" w:rsidR="00D044B5" w:rsidRPr="00BB6AE5" w:rsidRDefault="00D044B5" w:rsidP="00203BA9">
            <w:pPr>
              <w:pStyle w:val="Tabletext"/>
              <w:jc w:val="right"/>
              <w:rPr>
                <w:lang w:eastAsia="en-AU"/>
              </w:rPr>
            </w:pPr>
            <w:r w:rsidRPr="00BB6AE5">
              <w:rPr>
                <w:lang w:eastAsia="en-AU"/>
              </w:rPr>
              <w:t>28</w:t>
            </w:r>
          </w:p>
        </w:tc>
      </w:tr>
      <w:tr w:rsidR="00D044B5" w:rsidRPr="00BB6AE5" w14:paraId="32E6E6B7" w14:textId="77777777" w:rsidTr="00C368DB">
        <w:trPr>
          <w:trHeight w:val="300"/>
        </w:trPr>
        <w:tc>
          <w:tcPr>
            <w:tcW w:w="5260" w:type="dxa"/>
            <w:tcBorders>
              <w:top w:val="nil"/>
              <w:left w:val="nil"/>
              <w:bottom w:val="nil"/>
              <w:right w:val="nil"/>
            </w:tcBorders>
            <w:shd w:val="clear" w:color="auto" w:fill="auto"/>
            <w:noWrap/>
            <w:vAlign w:val="bottom"/>
            <w:hideMark/>
          </w:tcPr>
          <w:p w14:paraId="29FA33B0" w14:textId="77777777" w:rsidR="00D044B5" w:rsidRPr="00BB6AE5" w:rsidRDefault="00D044B5" w:rsidP="00203BA9">
            <w:pPr>
              <w:pStyle w:val="Tabletext"/>
              <w:rPr>
                <w:lang w:eastAsia="en-AU"/>
              </w:rPr>
            </w:pPr>
            <w:r w:rsidRPr="00BB6AE5">
              <w:rPr>
                <w:lang w:eastAsia="en-AU"/>
              </w:rPr>
              <w:t>Numerical Clerks</w:t>
            </w:r>
          </w:p>
        </w:tc>
        <w:tc>
          <w:tcPr>
            <w:tcW w:w="1500" w:type="dxa"/>
            <w:tcBorders>
              <w:top w:val="nil"/>
              <w:left w:val="nil"/>
              <w:bottom w:val="nil"/>
              <w:right w:val="nil"/>
            </w:tcBorders>
            <w:shd w:val="clear" w:color="auto" w:fill="auto"/>
            <w:noWrap/>
            <w:vAlign w:val="center"/>
            <w:hideMark/>
          </w:tcPr>
          <w:p w14:paraId="7E9DB4B6" w14:textId="77777777" w:rsidR="00D044B5" w:rsidRPr="00BB6AE5" w:rsidRDefault="00D044B5" w:rsidP="00203BA9">
            <w:pPr>
              <w:pStyle w:val="Tabletext"/>
              <w:jc w:val="right"/>
              <w:rPr>
                <w:lang w:eastAsia="en-AU"/>
              </w:rPr>
            </w:pPr>
            <w:r w:rsidRPr="00BB6AE5">
              <w:rPr>
                <w:lang w:eastAsia="en-AU"/>
              </w:rPr>
              <w:t>144</w:t>
            </w:r>
          </w:p>
        </w:tc>
        <w:tc>
          <w:tcPr>
            <w:tcW w:w="1500" w:type="dxa"/>
            <w:tcBorders>
              <w:top w:val="nil"/>
              <w:left w:val="nil"/>
              <w:bottom w:val="nil"/>
              <w:right w:val="nil"/>
            </w:tcBorders>
            <w:shd w:val="clear" w:color="auto" w:fill="auto"/>
            <w:noWrap/>
            <w:vAlign w:val="center"/>
            <w:hideMark/>
          </w:tcPr>
          <w:p w14:paraId="032A98CA" w14:textId="77777777" w:rsidR="00D044B5" w:rsidRPr="00BB6AE5" w:rsidRDefault="00D044B5" w:rsidP="00203BA9">
            <w:pPr>
              <w:pStyle w:val="Tabletext"/>
              <w:jc w:val="right"/>
              <w:rPr>
                <w:lang w:eastAsia="en-AU"/>
              </w:rPr>
            </w:pPr>
            <w:r w:rsidRPr="00BB6AE5">
              <w:rPr>
                <w:lang w:eastAsia="en-AU"/>
              </w:rPr>
              <w:t>17</w:t>
            </w:r>
          </w:p>
        </w:tc>
        <w:tc>
          <w:tcPr>
            <w:tcW w:w="1500" w:type="dxa"/>
            <w:tcBorders>
              <w:top w:val="nil"/>
              <w:left w:val="nil"/>
              <w:bottom w:val="nil"/>
              <w:right w:val="nil"/>
            </w:tcBorders>
            <w:shd w:val="clear" w:color="auto" w:fill="auto"/>
            <w:noWrap/>
            <w:vAlign w:val="center"/>
            <w:hideMark/>
          </w:tcPr>
          <w:p w14:paraId="14343BCD" w14:textId="77777777" w:rsidR="00D044B5" w:rsidRPr="00BB6AE5" w:rsidRDefault="00D044B5" w:rsidP="00203BA9">
            <w:pPr>
              <w:pStyle w:val="Tabletext"/>
              <w:jc w:val="right"/>
              <w:rPr>
                <w:lang w:eastAsia="en-AU"/>
              </w:rPr>
            </w:pPr>
            <w:r w:rsidRPr="00BB6AE5">
              <w:rPr>
                <w:lang w:eastAsia="en-AU"/>
              </w:rPr>
              <w:t>30</w:t>
            </w:r>
          </w:p>
        </w:tc>
      </w:tr>
      <w:tr w:rsidR="00D044B5" w:rsidRPr="00BB6AE5" w14:paraId="63A26A8F" w14:textId="77777777" w:rsidTr="00C368DB">
        <w:trPr>
          <w:trHeight w:val="300"/>
        </w:trPr>
        <w:tc>
          <w:tcPr>
            <w:tcW w:w="5260" w:type="dxa"/>
            <w:tcBorders>
              <w:top w:val="single" w:sz="4" w:space="0" w:color="auto"/>
              <w:left w:val="nil"/>
              <w:bottom w:val="single" w:sz="4" w:space="0" w:color="auto"/>
              <w:right w:val="nil"/>
            </w:tcBorders>
            <w:shd w:val="clear" w:color="auto" w:fill="auto"/>
            <w:noWrap/>
            <w:vAlign w:val="bottom"/>
            <w:hideMark/>
          </w:tcPr>
          <w:p w14:paraId="5F2DD0A5" w14:textId="77777777" w:rsidR="00D044B5" w:rsidRPr="00BB6AE5" w:rsidRDefault="00D044B5" w:rsidP="00203BA9">
            <w:pPr>
              <w:pStyle w:val="Tabletext"/>
              <w:rPr>
                <w:lang w:eastAsia="en-AU"/>
              </w:rPr>
            </w:pPr>
            <w:r w:rsidRPr="00BB6AE5">
              <w:rPr>
                <w:lang w:eastAsia="en-AU"/>
              </w:rPr>
              <w:t>Total</w:t>
            </w:r>
          </w:p>
        </w:tc>
        <w:tc>
          <w:tcPr>
            <w:tcW w:w="1500" w:type="dxa"/>
            <w:tcBorders>
              <w:top w:val="single" w:sz="4" w:space="0" w:color="auto"/>
              <w:left w:val="nil"/>
              <w:bottom w:val="single" w:sz="4" w:space="0" w:color="auto"/>
              <w:right w:val="nil"/>
            </w:tcBorders>
            <w:shd w:val="clear" w:color="auto" w:fill="auto"/>
            <w:noWrap/>
            <w:vAlign w:val="center"/>
            <w:hideMark/>
          </w:tcPr>
          <w:p w14:paraId="7BAA45CB" w14:textId="77777777" w:rsidR="00D044B5" w:rsidRPr="00BB6AE5" w:rsidRDefault="00D044B5" w:rsidP="00203BA9">
            <w:pPr>
              <w:pStyle w:val="Tabletext"/>
              <w:jc w:val="right"/>
              <w:rPr>
                <w:lang w:eastAsia="en-AU"/>
              </w:rPr>
            </w:pPr>
            <w:r w:rsidRPr="00BB6AE5">
              <w:rPr>
                <w:lang w:eastAsia="en-AU"/>
              </w:rPr>
              <w:t>1,611</w:t>
            </w:r>
          </w:p>
        </w:tc>
        <w:tc>
          <w:tcPr>
            <w:tcW w:w="1500" w:type="dxa"/>
            <w:tcBorders>
              <w:top w:val="single" w:sz="4" w:space="0" w:color="auto"/>
              <w:left w:val="nil"/>
              <w:bottom w:val="single" w:sz="4" w:space="0" w:color="auto"/>
              <w:right w:val="nil"/>
            </w:tcBorders>
            <w:shd w:val="clear" w:color="auto" w:fill="auto"/>
            <w:noWrap/>
            <w:vAlign w:val="center"/>
            <w:hideMark/>
          </w:tcPr>
          <w:p w14:paraId="4E44869D" w14:textId="77777777" w:rsidR="00D044B5" w:rsidRPr="00BB6AE5" w:rsidRDefault="00D044B5" w:rsidP="00203BA9">
            <w:pPr>
              <w:pStyle w:val="Tabletext"/>
              <w:jc w:val="right"/>
              <w:rPr>
                <w:lang w:eastAsia="en-AU"/>
              </w:rPr>
            </w:pPr>
            <w:r w:rsidRPr="00BB6AE5">
              <w:rPr>
                <w:lang w:eastAsia="en-AU"/>
              </w:rPr>
              <w:t>694</w:t>
            </w:r>
          </w:p>
        </w:tc>
        <w:tc>
          <w:tcPr>
            <w:tcW w:w="1500" w:type="dxa"/>
            <w:tcBorders>
              <w:top w:val="single" w:sz="4" w:space="0" w:color="auto"/>
              <w:left w:val="nil"/>
              <w:bottom w:val="single" w:sz="4" w:space="0" w:color="auto"/>
              <w:right w:val="nil"/>
            </w:tcBorders>
            <w:shd w:val="clear" w:color="auto" w:fill="auto"/>
            <w:noWrap/>
            <w:vAlign w:val="center"/>
            <w:hideMark/>
          </w:tcPr>
          <w:p w14:paraId="35ED1744" w14:textId="77777777" w:rsidR="00D044B5" w:rsidRPr="00BB6AE5" w:rsidRDefault="00D044B5" w:rsidP="00203BA9">
            <w:pPr>
              <w:pStyle w:val="Tabletext"/>
              <w:jc w:val="right"/>
              <w:rPr>
                <w:lang w:eastAsia="en-AU"/>
              </w:rPr>
            </w:pPr>
            <w:r w:rsidRPr="00BB6AE5">
              <w:rPr>
                <w:lang w:eastAsia="en-AU"/>
              </w:rPr>
              <w:t>1,440</w:t>
            </w:r>
          </w:p>
        </w:tc>
      </w:tr>
    </w:tbl>
    <w:p w14:paraId="68DEEE80" w14:textId="77777777" w:rsidR="00D044B5" w:rsidRPr="001E01B5" w:rsidRDefault="00D044B5" w:rsidP="00203BA9">
      <w:pPr>
        <w:pStyle w:val="Source"/>
      </w:pPr>
      <w:r w:rsidRPr="001E01B5">
        <w:t>Source: HILDA wave 11, respondents aged 25-56 with non-missing occupation information and a VET and/or a HE qualification.</w:t>
      </w:r>
    </w:p>
    <w:p w14:paraId="443A726C" w14:textId="77777777" w:rsidR="00E8455B" w:rsidRDefault="00ED5BB5" w:rsidP="00E8455B">
      <w:pPr>
        <w:pStyle w:val="Heading1"/>
      </w:pPr>
      <w:r>
        <w:br w:type="page"/>
      </w:r>
      <w:bookmarkStart w:id="26" w:name="_Toc102040941"/>
      <w:r w:rsidR="00E8455B">
        <w:lastRenderedPageBreak/>
        <w:t>Results</w:t>
      </w:r>
      <w:bookmarkEnd w:id="26"/>
    </w:p>
    <w:p w14:paraId="08BAA031" w14:textId="77777777" w:rsidR="00E8455B" w:rsidRPr="00BD35C9" w:rsidRDefault="00E8455B" w:rsidP="00E8455B">
      <w:pPr>
        <w:pStyle w:val="Heading2"/>
      </w:pPr>
      <w:bookmarkStart w:id="27" w:name="_Toc102040942"/>
      <w:r w:rsidRPr="00BD35C9">
        <w:t>Descriptive analysis</w:t>
      </w:r>
      <w:bookmarkEnd w:id="27"/>
    </w:p>
    <w:p w14:paraId="7AA03025" w14:textId="77777777" w:rsidR="00E8455B" w:rsidRPr="00BD35C9" w:rsidRDefault="00E8455B" w:rsidP="00E8455B">
      <w:pPr>
        <w:pStyle w:val="Text"/>
      </w:pPr>
      <w:r w:rsidRPr="00BD35C9">
        <w:t>To describe our sample and how our respondents vary across the three qualification group</w:t>
      </w:r>
      <w:r>
        <w:t>s</w:t>
      </w:r>
      <w:r w:rsidRPr="00BD35C9">
        <w:t xml:space="preserve"> of interest, Table 3 present</w:t>
      </w:r>
      <w:r>
        <w:t>s the following average demographic characteristics (as at wave 11):</w:t>
      </w:r>
    </w:p>
    <w:p w14:paraId="6E63EC0E" w14:textId="77777777" w:rsidR="00E8455B" w:rsidRDefault="00E8455B" w:rsidP="0004720B">
      <w:pPr>
        <w:pStyle w:val="Dotpoint1"/>
      </w:pPr>
      <w:r>
        <w:t>gender: dummy=1 for male</w:t>
      </w:r>
    </w:p>
    <w:p w14:paraId="0A63D597" w14:textId="77777777" w:rsidR="00E8455B" w:rsidRDefault="00E8455B" w:rsidP="0004720B">
      <w:pPr>
        <w:pStyle w:val="Dotpoint1"/>
      </w:pPr>
      <w:r>
        <w:t xml:space="preserve">age: </w:t>
      </w:r>
      <w:proofErr w:type="gramStart"/>
      <w:r>
        <w:t>at</w:t>
      </w:r>
      <w:proofErr w:type="gramEnd"/>
      <w:r>
        <w:t xml:space="preserve"> 30 June 2011</w:t>
      </w:r>
    </w:p>
    <w:p w14:paraId="3305C91D" w14:textId="77777777" w:rsidR="00E8455B" w:rsidRDefault="00E8455B" w:rsidP="0004720B">
      <w:pPr>
        <w:pStyle w:val="Dotpoint1"/>
      </w:pPr>
      <w:r>
        <w:t>ATSI: dummy=1 for respondents who identify as Aboriginal or Torres Strait Islander</w:t>
      </w:r>
    </w:p>
    <w:p w14:paraId="00012D6A" w14:textId="77777777" w:rsidR="00E8455B" w:rsidRDefault="00E8455B" w:rsidP="0004720B">
      <w:pPr>
        <w:pStyle w:val="Dotpoint1"/>
      </w:pPr>
      <w:r>
        <w:t xml:space="preserve">Australia </w:t>
      </w:r>
      <w:proofErr w:type="gramStart"/>
      <w:r>
        <w:t>born:</w:t>
      </w:r>
      <w:proofErr w:type="gramEnd"/>
      <w:r>
        <w:t xml:space="preserve"> dummy=1 for being born in Australia</w:t>
      </w:r>
    </w:p>
    <w:p w14:paraId="4837E0BF" w14:textId="77777777" w:rsidR="00E8455B" w:rsidRDefault="00E8455B" w:rsidP="0004720B">
      <w:pPr>
        <w:pStyle w:val="Dotpoint1"/>
      </w:pPr>
      <w:r>
        <w:t>Speaks language other than English: dummy=1 for respondents who speak another language than English</w:t>
      </w:r>
    </w:p>
    <w:p w14:paraId="22B5E3CB" w14:textId="77777777" w:rsidR="00E8455B" w:rsidRDefault="00E8455B" w:rsidP="0004720B">
      <w:pPr>
        <w:pStyle w:val="Dotpoint1"/>
      </w:pPr>
      <w:r w:rsidRPr="00232EF8">
        <w:t>State/Territory of</w:t>
      </w:r>
      <w:r>
        <w:t xml:space="preserve"> residence: dummy for each State and Territory (in regressions, NSW is the reference)</w:t>
      </w:r>
    </w:p>
    <w:p w14:paraId="36F0B35F" w14:textId="77777777" w:rsidR="00E8455B" w:rsidRDefault="00E8455B" w:rsidP="0004720B">
      <w:pPr>
        <w:pStyle w:val="Dotpoint1"/>
      </w:pPr>
      <w:r>
        <w:t>remoteness indicator: dummies for whether place of residence is a major city, inner regional, other regional or remote location (in regressions, “major city” is the reference)</w:t>
      </w:r>
    </w:p>
    <w:p w14:paraId="4B1E0812" w14:textId="77777777" w:rsidR="00E8455B" w:rsidRDefault="00E8455B" w:rsidP="0004720B">
      <w:pPr>
        <w:pStyle w:val="Dotpoint1"/>
      </w:pPr>
      <w:r>
        <w:t>Number of children under 25 years old (including partner’s resident children)</w:t>
      </w:r>
    </w:p>
    <w:p w14:paraId="5A287C18" w14:textId="77777777" w:rsidR="00E8455B" w:rsidRDefault="00E8455B" w:rsidP="0004720B">
      <w:pPr>
        <w:pStyle w:val="Dotpoint1"/>
      </w:pPr>
      <w:r>
        <w:t>Number of years since left Full-Time education</w:t>
      </w:r>
    </w:p>
    <w:p w14:paraId="5E2D9197" w14:textId="77777777" w:rsidR="00E8455B" w:rsidRDefault="00E8455B" w:rsidP="0004720B">
      <w:pPr>
        <w:pStyle w:val="Dotpoint1"/>
      </w:pPr>
      <w:r>
        <w:t>P</w:t>
      </w:r>
      <w:r w:rsidRPr="00232EF8">
        <w:t>aren</w:t>
      </w:r>
      <w:r>
        <w:t>ts’ highest level of education: dummies for father (resp. mother) having completed University; VET; Y12; anything below or equal to Year 11; information being missing (in regressions, “University” is the reference)</w:t>
      </w:r>
    </w:p>
    <w:p w14:paraId="153724C6" w14:textId="77777777" w:rsidR="00E8455B" w:rsidRDefault="00E8455B" w:rsidP="0004720B">
      <w:pPr>
        <w:pStyle w:val="Dotpoint1"/>
      </w:pPr>
      <w:r>
        <w:t>Dummy for whether father (resp. mother) was</w:t>
      </w:r>
      <w:r w:rsidRPr="00232EF8">
        <w:t xml:space="preserve"> in paid emp</w:t>
      </w:r>
      <w:r>
        <w:t>loyment when respondent was 14</w:t>
      </w:r>
    </w:p>
    <w:p w14:paraId="7F8A8E60" w14:textId="77777777" w:rsidR="00E8455B" w:rsidRDefault="00E8455B" w:rsidP="0004720B">
      <w:pPr>
        <w:pStyle w:val="Dotpoint1"/>
      </w:pPr>
      <w:r>
        <w:t>Dummy for whether father was</w:t>
      </w:r>
      <w:r w:rsidRPr="00232EF8">
        <w:t xml:space="preserve"> unemployed more than 6 months while </w:t>
      </w:r>
      <w:r>
        <w:t>respondent was growing up (note that this information does not exist for mothers)</w:t>
      </w:r>
    </w:p>
    <w:p w14:paraId="0184FFE6" w14:textId="77777777" w:rsidR="00E8455B" w:rsidRDefault="00E8455B" w:rsidP="0004720B">
      <w:pPr>
        <w:pStyle w:val="Dotpoint1"/>
      </w:pPr>
      <w:r>
        <w:t>Father (resp. mother)</w:t>
      </w:r>
      <w:r w:rsidRPr="00232EF8">
        <w:t xml:space="preserve"> </w:t>
      </w:r>
      <w:r>
        <w:t>Australian Socio-Economic Index (</w:t>
      </w:r>
      <w:r w:rsidRPr="00232EF8">
        <w:t>AUS</w:t>
      </w:r>
      <w:r>
        <w:t xml:space="preserve">EI06): this is a 0 (low status)-100 (high status) scale capturing an occupational status score from the ANZSCO occupation codes. See </w:t>
      </w:r>
      <w:hyperlink r:id="rId21" w:history="1">
        <w:r w:rsidRPr="00855BC5">
          <w:rPr>
            <w:rStyle w:val="Hyperlink"/>
          </w:rPr>
          <w:t>https://www.acer.org/au/ausei06</w:t>
        </w:r>
      </w:hyperlink>
      <w:r>
        <w:t xml:space="preserve"> for more information.</w:t>
      </w:r>
    </w:p>
    <w:p w14:paraId="6659DA51" w14:textId="77777777" w:rsidR="00E8455B" w:rsidRPr="00232EF8" w:rsidRDefault="00E8455B" w:rsidP="0004720B">
      <w:pPr>
        <w:pStyle w:val="Dotpoint1"/>
      </w:pPr>
      <w:r w:rsidRPr="00232EF8">
        <w:t>Big 5 personality traits</w:t>
      </w:r>
      <w:r>
        <w:t>: agreeableness, conscientiousness, emotional stability, extroversion, openness to experience measured on a 0-7 scale for each item. This was measured in wave 13.</w:t>
      </w:r>
    </w:p>
    <w:p w14:paraId="4E17AF39" w14:textId="7B1D45B3" w:rsidR="00E8455B" w:rsidRDefault="00E8455B" w:rsidP="0004720B">
      <w:pPr>
        <w:pStyle w:val="tabletitle"/>
      </w:pPr>
      <w:bookmarkStart w:id="28" w:name="_Toc102041056"/>
      <w:r>
        <w:t>Table 3</w:t>
      </w:r>
      <w:r w:rsidR="00D3689E">
        <w:tab/>
      </w:r>
      <w:r>
        <w:t>Descriptive statistics by qualification group</w:t>
      </w:r>
      <w:bookmarkEnd w:id="28"/>
    </w:p>
    <w:tbl>
      <w:tblPr>
        <w:tblW w:w="8940" w:type="dxa"/>
        <w:tblLook w:val="04A0" w:firstRow="1" w:lastRow="0" w:firstColumn="1" w:lastColumn="0" w:noHBand="0" w:noVBand="1"/>
      </w:tblPr>
      <w:tblGrid>
        <w:gridCol w:w="4020"/>
        <w:gridCol w:w="1640"/>
        <w:gridCol w:w="1640"/>
        <w:gridCol w:w="1640"/>
      </w:tblGrid>
      <w:tr w:rsidR="00E8455B" w:rsidRPr="002E6C7E" w14:paraId="44576FB1" w14:textId="77777777" w:rsidTr="00C368DB">
        <w:trPr>
          <w:trHeight w:val="300"/>
        </w:trPr>
        <w:tc>
          <w:tcPr>
            <w:tcW w:w="4020" w:type="dxa"/>
            <w:tcBorders>
              <w:top w:val="single" w:sz="4" w:space="0" w:color="auto"/>
              <w:left w:val="nil"/>
              <w:bottom w:val="single" w:sz="4" w:space="0" w:color="auto"/>
              <w:right w:val="nil"/>
            </w:tcBorders>
            <w:shd w:val="clear" w:color="auto" w:fill="auto"/>
            <w:noWrap/>
            <w:vAlign w:val="bottom"/>
            <w:hideMark/>
          </w:tcPr>
          <w:p w14:paraId="7DA9FD03" w14:textId="77777777" w:rsidR="00E8455B" w:rsidRPr="002E6C7E" w:rsidRDefault="00E8455B" w:rsidP="0004720B">
            <w:pPr>
              <w:pStyle w:val="Tablehead1"/>
              <w:rPr>
                <w:lang w:eastAsia="en-GB"/>
              </w:rPr>
            </w:pPr>
            <w:r w:rsidRPr="002E6C7E">
              <w:rPr>
                <w:lang w:eastAsia="en-GB"/>
              </w:rPr>
              <w:t> </w:t>
            </w:r>
          </w:p>
        </w:tc>
        <w:tc>
          <w:tcPr>
            <w:tcW w:w="1640" w:type="dxa"/>
            <w:tcBorders>
              <w:top w:val="single" w:sz="4" w:space="0" w:color="auto"/>
              <w:left w:val="nil"/>
              <w:bottom w:val="single" w:sz="4" w:space="0" w:color="auto"/>
              <w:right w:val="nil"/>
            </w:tcBorders>
            <w:shd w:val="clear" w:color="auto" w:fill="auto"/>
            <w:hideMark/>
          </w:tcPr>
          <w:p w14:paraId="7D5C5E16" w14:textId="77777777" w:rsidR="00E8455B" w:rsidRPr="002E6C7E" w:rsidRDefault="00E8455B" w:rsidP="0004720B">
            <w:pPr>
              <w:pStyle w:val="Tablehead1"/>
              <w:jc w:val="right"/>
              <w:rPr>
                <w:lang w:eastAsia="en-GB"/>
              </w:rPr>
            </w:pPr>
            <w:r w:rsidRPr="002E6C7E">
              <w:rPr>
                <w:lang w:eastAsia="en-GB"/>
              </w:rPr>
              <w:t>VET</w:t>
            </w:r>
          </w:p>
        </w:tc>
        <w:tc>
          <w:tcPr>
            <w:tcW w:w="1640" w:type="dxa"/>
            <w:tcBorders>
              <w:top w:val="single" w:sz="4" w:space="0" w:color="auto"/>
              <w:left w:val="nil"/>
              <w:bottom w:val="single" w:sz="4" w:space="0" w:color="auto"/>
              <w:right w:val="nil"/>
            </w:tcBorders>
            <w:shd w:val="clear" w:color="auto" w:fill="auto"/>
            <w:hideMark/>
          </w:tcPr>
          <w:p w14:paraId="5B9277E3" w14:textId="77777777" w:rsidR="00E8455B" w:rsidRPr="002E6C7E" w:rsidRDefault="00E8455B" w:rsidP="0004720B">
            <w:pPr>
              <w:pStyle w:val="Tablehead1"/>
              <w:jc w:val="right"/>
              <w:rPr>
                <w:lang w:eastAsia="en-GB"/>
              </w:rPr>
            </w:pPr>
            <w:r w:rsidRPr="002E6C7E">
              <w:rPr>
                <w:lang w:eastAsia="en-GB"/>
              </w:rPr>
              <w:t>VET and HE</w:t>
            </w:r>
          </w:p>
        </w:tc>
        <w:tc>
          <w:tcPr>
            <w:tcW w:w="1640" w:type="dxa"/>
            <w:tcBorders>
              <w:top w:val="single" w:sz="4" w:space="0" w:color="auto"/>
              <w:left w:val="nil"/>
              <w:bottom w:val="single" w:sz="4" w:space="0" w:color="auto"/>
              <w:right w:val="nil"/>
            </w:tcBorders>
            <w:shd w:val="clear" w:color="auto" w:fill="auto"/>
            <w:hideMark/>
          </w:tcPr>
          <w:p w14:paraId="1D0E3016" w14:textId="77777777" w:rsidR="00E8455B" w:rsidRPr="002E6C7E" w:rsidRDefault="00E8455B" w:rsidP="0004720B">
            <w:pPr>
              <w:pStyle w:val="Tablehead1"/>
              <w:jc w:val="right"/>
              <w:rPr>
                <w:lang w:eastAsia="en-GB"/>
              </w:rPr>
            </w:pPr>
            <w:r w:rsidRPr="002E6C7E">
              <w:rPr>
                <w:lang w:eastAsia="en-GB"/>
              </w:rPr>
              <w:t>HE</w:t>
            </w:r>
          </w:p>
        </w:tc>
      </w:tr>
      <w:tr w:rsidR="00E8455B" w:rsidRPr="002E6C7E" w14:paraId="6CED0FD1" w14:textId="77777777" w:rsidTr="00C368DB">
        <w:trPr>
          <w:trHeight w:val="300"/>
        </w:trPr>
        <w:tc>
          <w:tcPr>
            <w:tcW w:w="4020" w:type="dxa"/>
            <w:tcBorders>
              <w:top w:val="nil"/>
              <w:left w:val="nil"/>
              <w:bottom w:val="nil"/>
              <w:right w:val="nil"/>
            </w:tcBorders>
            <w:shd w:val="clear" w:color="auto" w:fill="auto"/>
            <w:noWrap/>
            <w:vAlign w:val="bottom"/>
            <w:hideMark/>
          </w:tcPr>
          <w:p w14:paraId="6964BFE0" w14:textId="77777777" w:rsidR="00E8455B" w:rsidRPr="002E6C7E" w:rsidRDefault="00E8455B" w:rsidP="0004720B">
            <w:pPr>
              <w:pStyle w:val="Tabletext"/>
              <w:rPr>
                <w:lang w:eastAsia="en-GB"/>
              </w:rPr>
            </w:pPr>
            <w:r w:rsidRPr="002E6C7E">
              <w:rPr>
                <w:lang w:eastAsia="en-GB"/>
              </w:rPr>
              <w:t>Male</w:t>
            </w:r>
          </w:p>
        </w:tc>
        <w:tc>
          <w:tcPr>
            <w:tcW w:w="1640" w:type="dxa"/>
            <w:tcBorders>
              <w:top w:val="nil"/>
              <w:left w:val="nil"/>
              <w:bottom w:val="nil"/>
              <w:right w:val="nil"/>
            </w:tcBorders>
            <w:shd w:val="clear" w:color="auto" w:fill="auto"/>
            <w:hideMark/>
          </w:tcPr>
          <w:p w14:paraId="5921E7C3" w14:textId="77777777" w:rsidR="00E8455B" w:rsidRPr="002E6C7E" w:rsidRDefault="00E8455B" w:rsidP="0004720B">
            <w:pPr>
              <w:pStyle w:val="Tabletext"/>
              <w:jc w:val="right"/>
              <w:rPr>
                <w:lang w:eastAsia="en-GB"/>
              </w:rPr>
            </w:pPr>
            <w:r w:rsidRPr="002E6C7E">
              <w:rPr>
                <w:lang w:eastAsia="en-GB"/>
              </w:rPr>
              <w:t>0.492</w:t>
            </w:r>
          </w:p>
        </w:tc>
        <w:tc>
          <w:tcPr>
            <w:tcW w:w="1640" w:type="dxa"/>
            <w:tcBorders>
              <w:top w:val="nil"/>
              <w:left w:val="nil"/>
              <w:bottom w:val="nil"/>
              <w:right w:val="nil"/>
            </w:tcBorders>
            <w:shd w:val="clear" w:color="auto" w:fill="auto"/>
            <w:hideMark/>
          </w:tcPr>
          <w:p w14:paraId="04C5198E" w14:textId="77777777" w:rsidR="00E8455B" w:rsidRPr="002E6C7E" w:rsidRDefault="00E8455B" w:rsidP="0004720B">
            <w:pPr>
              <w:pStyle w:val="Tabletext"/>
              <w:jc w:val="right"/>
              <w:rPr>
                <w:lang w:eastAsia="en-GB"/>
              </w:rPr>
            </w:pPr>
            <w:r w:rsidRPr="002E6C7E">
              <w:rPr>
                <w:lang w:eastAsia="en-GB"/>
              </w:rPr>
              <w:t>0.387</w:t>
            </w:r>
          </w:p>
        </w:tc>
        <w:tc>
          <w:tcPr>
            <w:tcW w:w="1640" w:type="dxa"/>
            <w:tcBorders>
              <w:top w:val="nil"/>
              <w:left w:val="nil"/>
              <w:bottom w:val="nil"/>
              <w:right w:val="nil"/>
            </w:tcBorders>
            <w:shd w:val="clear" w:color="auto" w:fill="auto"/>
            <w:hideMark/>
          </w:tcPr>
          <w:p w14:paraId="18721DC7" w14:textId="77777777" w:rsidR="00E8455B" w:rsidRPr="002E6C7E" w:rsidRDefault="00E8455B" w:rsidP="0004720B">
            <w:pPr>
              <w:pStyle w:val="Tabletext"/>
              <w:jc w:val="right"/>
              <w:rPr>
                <w:lang w:eastAsia="en-GB"/>
              </w:rPr>
            </w:pPr>
            <w:r w:rsidRPr="002E6C7E">
              <w:rPr>
                <w:lang w:eastAsia="en-GB"/>
              </w:rPr>
              <w:t>0.470</w:t>
            </w:r>
          </w:p>
        </w:tc>
      </w:tr>
      <w:tr w:rsidR="00E8455B" w:rsidRPr="002E6C7E" w14:paraId="5028F613" w14:textId="77777777" w:rsidTr="00C368DB">
        <w:trPr>
          <w:trHeight w:val="300"/>
        </w:trPr>
        <w:tc>
          <w:tcPr>
            <w:tcW w:w="4020" w:type="dxa"/>
            <w:tcBorders>
              <w:top w:val="nil"/>
              <w:left w:val="nil"/>
              <w:bottom w:val="nil"/>
              <w:right w:val="nil"/>
            </w:tcBorders>
            <w:shd w:val="clear" w:color="auto" w:fill="auto"/>
            <w:noWrap/>
            <w:vAlign w:val="bottom"/>
            <w:hideMark/>
          </w:tcPr>
          <w:p w14:paraId="5D84AB6D" w14:textId="77777777" w:rsidR="00E8455B" w:rsidRPr="002E6C7E" w:rsidRDefault="00E8455B" w:rsidP="0004720B">
            <w:pPr>
              <w:pStyle w:val="Tabletext"/>
              <w:rPr>
                <w:lang w:eastAsia="en-GB"/>
              </w:rPr>
            </w:pPr>
            <w:r w:rsidRPr="002E6C7E">
              <w:rPr>
                <w:lang w:eastAsia="en-GB"/>
              </w:rPr>
              <w:t>Age</w:t>
            </w:r>
          </w:p>
        </w:tc>
        <w:tc>
          <w:tcPr>
            <w:tcW w:w="1640" w:type="dxa"/>
            <w:tcBorders>
              <w:top w:val="nil"/>
              <w:left w:val="nil"/>
              <w:bottom w:val="nil"/>
              <w:right w:val="nil"/>
            </w:tcBorders>
            <w:shd w:val="clear" w:color="auto" w:fill="auto"/>
            <w:hideMark/>
          </w:tcPr>
          <w:p w14:paraId="45B16105" w14:textId="77777777" w:rsidR="00E8455B" w:rsidRPr="002E6C7E" w:rsidRDefault="00E8455B" w:rsidP="0004720B">
            <w:pPr>
              <w:pStyle w:val="Tabletext"/>
              <w:jc w:val="right"/>
              <w:rPr>
                <w:lang w:eastAsia="en-GB"/>
              </w:rPr>
            </w:pPr>
            <w:r w:rsidRPr="002E6C7E">
              <w:rPr>
                <w:lang w:eastAsia="en-GB"/>
              </w:rPr>
              <w:t>42.0</w:t>
            </w:r>
          </w:p>
        </w:tc>
        <w:tc>
          <w:tcPr>
            <w:tcW w:w="1640" w:type="dxa"/>
            <w:tcBorders>
              <w:top w:val="nil"/>
              <w:left w:val="nil"/>
              <w:bottom w:val="nil"/>
              <w:right w:val="nil"/>
            </w:tcBorders>
            <w:shd w:val="clear" w:color="auto" w:fill="auto"/>
            <w:hideMark/>
          </w:tcPr>
          <w:p w14:paraId="40E3D049" w14:textId="77777777" w:rsidR="00E8455B" w:rsidRPr="002E6C7E" w:rsidRDefault="00E8455B" w:rsidP="0004720B">
            <w:pPr>
              <w:pStyle w:val="Tabletext"/>
              <w:jc w:val="right"/>
              <w:rPr>
                <w:lang w:eastAsia="en-GB"/>
              </w:rPr>
            </w:pPr>
            <w:r w:rsidRPr="002E6C7E">
              <w:rPr>
                <w:lang w:eastAsia="en-GB"/>
              </w:rPr>
              <w:t>42.2</w:t>
            </w:r>
          </w:p>
        </w:tc>
        <w:tc>
          <w:tcPr>
            <w:tcW w:w="1640" w:type="dxa"/>
            <w:tcBorders>
              <w:top w:val="nil"/>
              <w:left w:val="nil"/>
              <w:bottom w:val="nil"/>
              <w:right w:val="nil"/>
            </w:tcBorders>
            <w:shd w:val="clear" w:color="auto" w:fill="auto"/>
            <w:hideMark/>
          </w:tcPr>
          <w:p w14:paraId="7EBA67B1" w14:textId="77777777" w:rsidR="00E8455B" w:rsidRPr="002E6C7E" w:rsidRDefault="00E8455B" w:rsidP="0004720B">
            <w:pPr>
              <w:pStyle w:val="Tabletext"/>
              <w:jc w:val="right"/>
              <w:rPr>
                <w:lang w:eastAsia="en-GB"/>
              </w:rPr>
            </w:pPr>
            <w:r w:rsidRPr="002E6C7E">
              <w:rPr>
                <w:lang w:eastAsia="en-GB"/>
              </w:rPr>
              <w:t>38.9</w:t>
            </w:r>
          </w:p>
        </w:tc>
      </w:tr>
      <w:tr w:rsidR="00E8455B" w:rsidRPr="002E6C7E" w14:paraId="4BAD1698" w14:textId="77777777" w:rsidTr="00C368DB">
        <w:trPr>
          <w:trHeight w:val="300"/>
        </w:trPr>
        <w:tc>
          <w:tcPr>
            <w:tcW w:w="4020" w:type="dxa"/>
            <w:tcBorders>
              <w:top w:val="nil"/>
              <w:left w:val="nil"/>
              <w:bottom w:val="nil"/>
              <w:right w:val="nil"/>
            </w:tcBorders>
            <w:shd w:val="clear" w:color="auto" w:fill="auto"/>
            <w:noWrap/>
            <w:vAlign w:val="bottom"/>
            <w:hideMark/>
          </w:tcPr>
          <w:p w14:paraId="4E750BA5" w14:textId="77777777" w:rsidR="00E8455B" w:rsidRPr="002E6C7E" w:rsidRDefault="00E8455B" w:rsidP="0004720B">
            <w:pPr>
              <w:pStyle w:val="Tabletext"/>
              <w:rPr>
                <w:lang w:eastAsia="en-GB"/>
              </w:rPr>
            </w:pPr>
            <w:r w:rsidRPr="002E6C7E">
              <w:rPr>
                <w:lang w:eastAsia="en-GB"/>
              </w:rPr>
              <w:t>Aboriginal or Torres Strait Islander</w:t>
            </w:r>
          </w:p>
        </w:tc>
        <w:tc>
          <w:tcPr>
            <w:tcW w:w="1640" w:type="dxa"/>
            <w:tcBorders>
              <w:top w:val="nil"/>
              <w:left w:val="nil"/>
              <w:bottom w:val="nil"/>
              <w:right w:val="nil"/>
            </w:tcBorders>
            <w:shd w:val="clear" w:color="auto" w:fill="auto"/>
            <w:hideMark/>
          </w:tcPr>
          <w:p w14:paraId="7B4CA37C" w14:textId="77777777" w:rsidR="00E8455B" w:rsidRPr="002E6C7E" w:rsidRDefault="00E8455B" w:rsidP="0004720B">
            <w:pPr>
              <w:pStyle w:val="Tabletext"/>
              <w:jc w:val="right"/>
              <w:rPr>
                <w:lang w:eastAsia="en-GB"/>
              </w:rPr>
            </w:pPr>
            <w:r w:rsidRPr="002E6C7E">
              <w:rPr>
                <w:lang w:eastAsia="en-GB"/>
              </w:rPr>
              <w:t>0.023</w:t>
            </w:r>
          </w:p>
        </w:tc>
        <w:tc>
          <w:tcPr>
            <w:tcW w:w="1640" w:type="dxa"/>
            <w:tcBorders>
              <w:top w:val="nil"/>
              <w:left w:val="nil"/>
              <w:bottom w:val="nil"/>
              <w:right w:val="nil"/>
            </w:tcBorders>
            <w:shd w:val="clear" w:color="auto" w:fill="auto"/>
            <w:hideMark/>
          </w:tcPr>
          <w:p w14:paraId="4628D77D" w14:textId="77777777" w:rsidR="00E8455B" w:rsidRPr="002E6C7E" w:rsidRDefault="00E8455B" w:rsidP="0004720B">
            <w:pPr>
              <w:pStyle w:val="Tabletext"/>
              <w:jc w:val="right"/>
              <w:rPr>
                <w:lang w:eastAsia="en-GB"/>
              </w:rPr>
            </w:pPr>
            <w:r w:rsidRPr="002E6C7E">
              <w:rPr>
                <w:lang w:eastAsia="en-GB"/>
              </w:rPr>
              <w:t>0.008</w:t>
            </w:r>
          </w:p>
        </w:tc>
        <w:tc>
          <w:tcPr>
            <w:tcW w:w="1640" w:type="dxa"/>
            <w:tcBorders>
              <w:top w:val="nil"/>
              <w:left w:val="nil"/>
              <w:bottom w:val="nil"/>
              <w:right w:val="nil"/>
            </w:tcBorders>
            <w:shd w:val="clear" w:color="auto" w:fill="auto"/>
            <w:hideMark/>
          </w:tcPr>
          <w:p w14:paraId="27DFB19A" w14:textId="77777777" w:rsidR="00E8455B" w:rsidRPr="002E6C7E" w:rsidRDefault="00E8455B" w:rsidP="0004720B">
            <w:pPr>
              <w:pStyle w:val="Tabletext"/>
              <w:jc w:val="right"/>
              <w:rPr>
                <w:lang w:eastAsia="en-GB"/>
              </w:rPr>
            </w:pPr>
            <w:r w:rsidRPr="002E6C7E">
              <w:rPr>
                <w:lang w:eastAsia="en-GB"/>
              </w:rPr>
              <w:t>0.009</w:t>
            </w:r>
          </w:p>
        </w:tc>
      </w:tr>
      <w:tr w:rsidR="00E8455B" w:rsidRPr="002E6C7E" w14:paraId="0894C148" w14:textId="77777777" w:rsidTr="00C368DB">
        <w:trPr>
          <w:trHeight w:val="300"/>
        </w:trPr>
        <w:tc>
          <w:tcPr>
            <w:tcW w:w="4020" w:type="dxa"/>
            <w:tcBorders>
              <w:top w:val="nil"/>
              <w:left w:val="nil"/>
              <w:bottom w:val="nil"/>
              <w:right w:val="nil"/>
            </w:tcBorders>
            <w:shd w:val="clear" w:color="auto" w:fill="auto"/>
            <w:noWrap/>
            <w:vAlign w:val="bottom"/>
            <w:hideMark/>
          </w:tcPr>
          <w:p w14:paraId="4A48A128" w14:textId="77777777" w:rsidR="00E8455B" w:rsidRPr="002E6C7E" w:rsidRDefault="00E8455B" w:rsidP="0004720B">
            <w:pPr>
              <w:pStyle w:val="Tabletext"/>
              <w:rPr>
                <w:lang w:eastAsia="en-GB"/>
              </w:rPr>
            </w:pPr>
            <w:r w:rsidRPr="002E6C7E">
              <w:rPr>
                <w:lang w:eastAsia="en-GB"/>
              </w:rPr>
              <w:t>Australian-born</w:t>
            </w:r>
          </w:p>
        </w:tc>
        <w:tc>
          <w:tcPr>
            <w:tcW w:w="1640" w:type="dxa"/>
            <w:tcBorders>
              <w:top w:val="nil"/>
              <w:left w:val="nil"/>
              <w:bottom w:val="nil"/>
              <w:right w:val="nil"/>
            </w:tcBorders>
            <w:shd w:val="clear" w:color="auto" w:fill="auto"/>
            <w:hideMark/>
          </w:tcPr>
          <w:p w14:paraId="5F5B5080" w14:textId="77777777" w:rsidR="00E8455B" w:rsidRPr="002E6C7E" w:rsidRDefault="00E8455B" w:rsidP="0004720B">
            <w:pPr>
              <w:pStyle w:val="Tabletext"/>
              <w:jc w:val="right"/>
              <w:rPr>
                <w:lang w:eastAsia="en-GB"/>
              </w:rPr>
            </w:pPr>
            <w:r w:rsidRPr="002E6C7E">
              <w:rPr>
                <w:lang w:eastAsia="en-GB"/>
              </w:rPr>
              <w:t>0.816</w:t>
            </w:r>
          </w:p>
        </w:tc>
        <w:tc>
          <w:tcPr>
            <w:tcW w:w="1640" w:type="dxa"/>
            <w:tcBorders>
              <w:top w:val="nil"/>
              <w:left w:val="nil"/>
              <w:bottom w:val="nil"/>
              <w:right w:val="nil"/>
            </w:tcBorders>
            <w:shd w:val="clear" w:color="auto" w:fill="auto"/>
            <w:hideMark/>
          </w:tcPr>
          <w:p w14:paraId="4D2C1797" w14:textId="77777777" w:rsidR="00E8455B" w:rsidRPr="002E6C7E" w:rsidRDefault="00E8455B" w:rsidP="0004720B">
            <w:pPr>
              <w:pStyle w:val="Tabletext"/>
              <w:jc w:val="right"/>
              <w:rPr>
                <w:lang w:eastAsia="en-GB"/>
              </w:rPr>
            </w:pPr>
            <w:r w:rsidRPr="002E6C7E">
              <w:rPr>
                <w:lang w:eastAsia="en-GB"/>
              </w:rPr>
              <w:t>0.751</w:t>
            </w:r>
          </w:p>
        </w:tc>
        <w:tc>
          <w:tcPr>
            <w:tcW w:w="1640" w:type="dxa"/>
            <w:tcBorders>
              <w:top w:val="nil"/>
              <w:left w:val="nil"/>
              <w:bottom w:val="nil"/>
              <w:right w:val="nil"/>
            </w:tcBorders>
            <w:shd w:val="clear" w:color="auto" w:fill="auto"/>
            <w:hideMark/>
          </w:tcPr>
          <w:p w14:paraId="2F91D492" w14:textId="77777777" w:rsidR="00E8455B" w:rsidRPr="002E6C7E" w:rsidRDefault="00E8455B" w:rsidP="0004720B">
            <w:pPr>
              <w:pStyle w:val="Tabletext"/>
              <w:jc w:val="right"/>
              <w:rPr>
                <w:lang w:eastAsia="en-GB"/>
              </w:rPr>
            </w:pPr>
            <w:r w:rsidRPr="002E6C7E">
              <w:rPr>
                <w:lang w:eastAsia="en-GB"/>
              </w:rPr>
              <w:t>0.719</w:t>
            </w:r>
          </w:p>
        </w:tc>
      </w:tr>
      <w:tr w:rsidR="00E8455B" w:rsidRPr="002E6C7E" w14:paraId="75F44462" w14:textId="77777777" w:rsidTr="00C368DB">
        <w:trPr>
          <w:trHeight w:val="300"/>
        </w:trPr>
        <w:tc>
          <w:tcPr>
            <w:tcW w:w="4020" w:type="dxa"/>
            <w:tcBorders>
              <w:top w:val="nil"/>
              <w:left w:val="nil"/>
              <w:bottom w:val="nil"/>
              <w:right w:val="nil"/>
            </w:tcBorders>
            <w:shd w:val="clear" w:color="auto" w:fill="auto"/>
            <w:noWrap/>
            <w:vAlign w:val="bottom"/>
            <w:hideMark/>
          </w:tcPr>
          <w:p w14:paraId="4DC78B45" w14:textId="63E7EF36" w:rsidR="00E8455B" w:rsidRPr="002E6C7E" w:rsidRDefault="00E8455B" w:rsidP="0004720B">
            <w:pPr>
              <w:pStyle w:val="Tabletext"/>
              <w:rPr>
                <w:lang w:eastAsia="en-GB"/>
              </w:rPr>
            </w:pPr>
            <w:r w:rsidRPr="002E6C7E">
              <w:rPr>
                <w:lang w:eastAsia="en-GB"/>
              </w:rPr>
              <w:t xml:space="preserve">Language other than </w:t>
            </w:r>
            <w:r w:rsidR="0004720B">
              <w:rPr>
                <w:lang w:eastAsia="en-GB"/>
              </w:rPr>
              <w:t>E</w:t>
            </w:r>
            <w:r w:rsidRPr="002E6C7E">
              <w:rPr>
                <w:lang w:eastAsia="en-GB"/>
              </w:rPr>
              <w:t>nglish</w:t>
            </w:r>
          </w:p>
        </w:tc>
        <w:tc>
          <w:tcPr>
            <w:tcW w:w="1640" w:type="dxa"/>
            <w:tcBorders>
              <w:top w:val="nil"/>
              <w:left w:val="nil"/>
              <w:bottom w:val="nil"/>
              <w:right w:val="nil"/>
            </w:tcBorders>
            <w:shd w:val="clear" w:color="auto" w:fill="auto"/>
            <w:hideMark/>
          </w:tcPr>
          <w:p w14:paraId="7B36C508" w14:textId="77777777" w:rsidR="00E8455B" w:rsidRPr="002E6C7E" w:rsidRDefault="00E8455B" w:rsidP="0004720B">
            <w:pPr>
              <w:pStyle w:val="Tabletext"/>
              <w:jc w:val="right"/>
              <w:rPr>
                <w:lang w:eastAsia="en-GB"/>
              </w:rPr>
            </w:pPr>
            <w:r w:rsidRPr="002E6C7E">
              <w:rPr>
                <w:lang w:eastAsia="en-GB"/>
              </w:rPr>
              <w:t>0.079</w:t>
            </w:r>
          </w:p>
        </w:tc>
        <w:tc>
          <w:tcPr>
            <w:tcW w:w="1640" w:type="dxa"/>
            <w:tcBorders>
              <w:top w:val="nil"/>
              <w:left w:val="nil"/>
              <w:bottom w:val="nil"/>
              <w:right w:val="nil"/>
            </w:tcBorders>
            <w:shd w:val="clear" w:color="auto" w:fill="auto"/>
            <w:hideMark/>
          </w:tcPr>
          <w:p w14:paraId="7F31C47B" w14:textId="77777777" w:rsidR="00E8455B" w:rsidRPr="002E6C7E" w:rsidRDefault="00E8455B" w:rsidP="0004720B">
            <w:pPr>
              <w:pStyle w:val="Tabletext"/>
              <w:jc w:val="right"/>
              <w:rPr>
                <w:lang w:eastAsia="en-GB"/>
              </w:rPr>
            </w:pPr>
            <w:r w:rsidRPr="002E6C7E">
              <w:rPr>
                <w:lang w:eastAsia="en-GB"/>
              </w:rPr>
              <w:t>0.131</w:t>
            </w:r>
          </w:p>
        </w:tc>
        <w:tc>
          <w:tcPr>
            <w:tcW w:w="1640" w:type="dxa"/>
            <w:tcBorders>
              <w:top w:val="nil"/>
              <w:left w:val="nil"/>
              <w:bottom w:val="nil"/>
              <w:right w:val="nil"/>
            </w:tcBorders>
            <w:shd w:val="clear" w:color="auto" w:fill="auto"/>
            <w:hideMark/>
          </w:tcPr>
          <w:p w14:paraId="334B9733" w14:textId="77777777" w:rsidR="00E8455B" w:rsidRPr="002E6C7E" w:rsidRDefault="00E8455B" w:rsidP="0004720B">
            <w:pPr>
              <w:pStyle w:val="Tabletext"/>
              <w:jc w:val="right"/>
              <w:rPr>
                <w:lang w:eastAsia="en-GB"/>
              </w:rPr>
            </w:pPr>
            <w:r w:rsidRPr="002E6C7E">
              <w:rPr>
                <w:lang w:eastAsia="en-GB"/>
              </w:rPr>
              <w:t>0.169</w:t>
            </w:r>
          </w:p>
        </w:tc>
      </w:tr>
      <w:tr w:rsidR="00E8455B" w:rsidRPr="002E6C7E" w14:paraId="74D72BB4" w14:textId="77777777" w:rsidTr="00C368DB">
        <w:trPr>
          <w:trHeight w:val="300"/>
        </w:trPr>
        <w:tc>
          <w:tcPr>
            <w:tcW w:w="4020" w:type="dxa"/>
            <w:tcBorders>
              <w:top w:val="nil"/>
              <w:left w:val="nil"/>
              <w:bottom w:val="nil"/>
              <w:right w:val="nil"/>
            </w:tcBorders>
            <w:shd w:val="clear" w:color="auto" w:fill="auto"/>
            <w:noWrap/>
            <w:vAlign w:val="bottom"/>
            <w:hideMark/>
          </w:tcPr>
          <w:p w14:paraId="36F06108" w14:textId="77777777" w:rsidR="00E8455B" w:rsidRPr="002E6C7E" w:rsidRDefault="00E8455B" w:rsidP="0004720B">
            <w:pPr>
              <w:pStyle w:val="Tabletext"/>
              <w:rPr>
                <w:lang w:eastAsia="en-GB"/>
              </w:rPr>
            </w:pPr>
            <w:r w:rsidRPr="002E6C7E">
              <w:rPr>
                <w:lang w:eastAsia="en-GB"/>
              </w:rPr>
              <w:t>State/Territory</w:t>
            </w:r>
          </w:p>
        </w:tc>
        <w:tc>
          <w:tcPr>
            <w:tcW w:w="1640" w:type="dxa"/>
            <w:tcBorders>
              <w:top w:val="nil"/>
              <w:left w:val="nil"/>
              <w:bottom w:val="nil"/>
              <w:right w:val="nil"/>
            </w:tcBorders>
            <w:shd w:val="clear" w:color="auto" w:fill="auto"/>
            <w:noWrap/>
            <w:vAlign w:val="bottom"/>
            <w:hideMark/>
          </w:tcPr>
          <w:p w14:paraId="3EC74C71"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7ECC7166"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04275AE8" w14:textId="77777777" w:rsidR="00E8455B" w:rsidRPr="002E6C7E" w:rsidRDefault="00E8455B" w:rsidP="0004720B">
            <w:pPr>
              <w:pStyle w:val="Tabletext"/>
              <w:jc w:val="right"/>
              <w:rPr>
                <w:lang w:eastAsia="en-GB"/>
              </w:rPr>
            </w:pPr>
          </w:p>
        </w:tc>
      </w:tr>
      <w:tr w:rsidR="00E8455B" w:rsidRPr="002E6C7E" w14:paraId="77BD4B10" w14:textId="77777777" w:rsidTr="00C368DB">
        <w:trPr>
          <w:trHeight w:val="300"/>
        </w:trPr>
        <w:tc>
          <w:tcPr>
            <w:tcW w:w="4020" w:type="dxa"/>
            <w:tcBorders>
              <w:top w:val="nil"/>
              <w:left w:val="nil"/>
              <w:bottom w:val="nil"/>
              <w:right w:val="nil"/>
            </w:tcBorders>
            <w:shd w:val="clear" w:color="auto" w:fill="auto"/>
            <w:noWrap/>
            <w:vAlign w:val="bottom"/>
            <w:hideMark/>
          </w:tcPr>
          <w:p w14:paraId="7DB485C8" w14:textId="77777777" w:rsidR="00E8455B" w:rsidRPr="002E6C7E" w:rsidRDefault="00E8455B" w:rsidP="0004720B">
            <w:pPr>
              <w:pStyle w:val="Tabletext"/>
              <w:rPr>
                <w:i/>
                <w:iCs/>
                <w:lang w:eastAsia="en-GB"/>
              </w:rPr>
            </w:pPr>
            <w:r w:rsidRPr="002E6C7E">
              <w:rPr>
                <w:i/>
                <w:iCs/>
                <w:lang w:eastAsia="en-GB"/>
              </w:rPr>
              <w:t xml:space="preserve">    New South Wales</w:t>
            </w:r>
          </w:p>
        </w:tc>
        <w:tc>
          <w:tcPr>
            <w:tcW w:w="1640" w:type="dxa"/>
            <w:tcBorders>
              <w:top w:val="nil"/>
              <w:left w:val="nil"/>
              <w:bottom w:val="nil"/>
              <w:right w:val="nil"/>
            </w:tcBorders>
            <w:shd w:val="clear" w:color="auto" w:fill="auto"/>
            <w:hideMark/>
          </w:tcPr>
          <w:p w14:paraId="117D515B" w14:textId="77777777" w:rsidR="00E8455B" w:rsidRPr="002E6C7E" w:rsidRDefault="00E8455B" w:rsidP="0004720B">
            <w:pPr>
              <w:pStyle w:val="Tabletext"/>
              <w:jc w:val="right"/>
              <w:rPr>
                <w:lang w:eastAsia="en-GB"/>
              </w:rPr>
            </w:pPr>
            <w:r w:rsidRPr="002E6C7E">
              <w:rPr>
                <w:lang w:eastAsia="en-GB"/>
              </w:rPr>
              <w:t>0.291</w:t>
            </w:r>
          </w:p>
        </w:tc>
        <w:tc>
          <w:tcPr>
            <w:tcW w:w="1640" w:type="dxa"/>
            <w:tcBorders>
              <w:top w:val="nil"/>
              <w:left w:val="nil"/>
              <w:bottom w:val="nil"/>
              <w:right w:val="nil"/>
            </w:tcBorders>
            <w:shd w:val="clear" w:color="auto" w:fill="auto"/>
            <w:hideMark/>
          </w:tcPr>
          <w:p w14:paraId="0FA6C1BD" w14:textId="77777777" w:rsidR="00E8455B" w:rsidRPr="002E6C7E" w:rsidRDefault="00E8455B" w:rsidP="0004720B">
            <w:pPr>
              <w:pStyle w:val="Tabletext"/>
              <w:jc w:val="right"/>
              <w:rPr>
                <w:lang w:eastAsia="en-GB"/>
              </w:rPr>
            </w:pPr>
            <w:r w:rsidRPr="002E6C7E">
              <w:rPr>
                <w:lang w:eastAsia="en-GB"/>
              </w:rPr>
              <w:t>0.351</w:t>
            </w:r>
          </w:p>
        </w:tc>
        <w:tc>
          <w:tcPr>
            <w:tcW w:w="1640" w:type="dxa"/>
            <w:tcBorders>
              <w:top w:val="nil"/>
              <w:left w:val="nil"/>
              <w:bottom w:val="nil"/>
              <w:right w:val="nil"/>
            </w:tcBorders>
            <w:shd w:val="clear" w:color="auto" w:fill="auto"/>
            <w:hideMark/>
          </w:tcPr>
          <w:p w14:paraId="0B63338C" w14:textId="77777777" w:rsidR="00E8455B" w:rsidRPr="002E6C7E" w:rsidRDefault="00E8455B" w:rsidP="0004720B">
            <w:pPr>
              <w:pStyle w:val="Tabletext"/>
              <w:jc w:val="right"/>
              <w:rPr>
                <w:lang w:eastAsia="en-GB"/>
              </w:rPr>
            </w:pPr>
            <w:r w:rsidRPr="002E6C7E">
              <w:rPr>
                <w:lang w:eastAsia="en-GB"/>
              </w:rPr>
              <w:t>0.298</w:t>
            </w:r>
          </w:p>
        </w:tc>
      </w:tr>
      <w:tr w:rsidR="00E8455B" w:rsidRPr="002E6C7E" w14:paraId="4503083B" w14:textId="77777777" w:rsidTr="00C368DB">
        <w:trPr>
          <w:trHeight w:val="300"/>
        </w:trPr>
        <w:tc>
          <w:tcPr>
            <w:tcW w:w="4020" w:type="dxa"/>
            <w:tcBorders>
              <w:top w:val="nil"/>
              <w:left w:val="nil"/>
              <w:bottom w:val="nil"/>
              <w:right w:val="nil"/>
            </w:tcBorders>
            <w:shd w:val="clear" w:color="auto" w:fill="auto"/>
            <w:noWrap/>
            <w:vAlign w:val="bottom"/>
            <w:hideMark/>
          </w:tcPr>
          <w:p w14:paraId="33F59069" w14:textId="77777777" w:rsidR="00E8455B" w:rsidRPr="002E6C7E" w:rsidRDefault="00E8455B" w:rsidP="0004720B">
            <w:pPr>
              <w:pStyle w:val="Tabletext"/>
              <w:rPr>
                <w:i/>
                <w:iCs/>
                <w:lang w:eastAsia="en-GB"/>
              </w:rPr>
            </w:pPr>
            <w:r w:rsidRPr="002E6C7E">
              <w:rPr>
                <w:i/>
                <w:iCs/>
                <w:lang w:eastAsia="en-GB"/>
              </w:rPr>
              <w:t xml:space="preserve">    Victoria</w:t>
            </w:r>
          </w:p>
        </w:tc>
        <w:tc>
          <w:tcPr>
            <w:tcW w:w="1640" w:type="dxa"/>
            <w:tcBorders>
              <w:top w:val="nil"/>
              <w:left w:val="nil"/>
              <w:bottom w:val="nil"/>
              <w:right w:val="nil"/>
            </w:tcBorders>
            <w:shd w:val="clear" w:color="auto" w:fill="auto"/>
            <w:hideMark/>
          </w:tcPr>
          <w:p w14:paraId="6EB1DFB0" w14:textId="77777777" w:rsidR="00E8455B" w:rsidRPr="002E6C7E" w:rsidRDefault="00E8455B" w:rsidP="0004720B">
            <w:pPr>
              <w:pStyle w:val="Tabletext"/>
              <w:jc w:val="right"/>
              <w:rPr>
                <w:lang w:eastAsia="en-GB"/>
              </w:rPr>
            </w:pPr>
            <w:r w:rsidRPr="002E6C7E">
              <w:rPr>
                <w:lang w:eastAsia="en-GB"/>
              </w:rPr>
              <w:t>0.254</w:t>
            </w:r>
          </w:p>
        </w:tc>
        <w:tc>
          <w:tcPr>
            <w:tcW w:w="1640" w:type="dxa"/>
            <w:tcBorders>
              <w:top w:val="nil"/>
              <w:left w:val="nil"/>
              <w:bottom w:val="nil"/>
              <w:right w:val="nil"/>
            </w:tcBorders>
            <w:shd w:val="clear" w:color="auto" w:fill="auto"/>
            <w:hideMark/>
          </w:tcPr>
          <w:p w14:paraId="38DF5115" w14:textId="77777777" w:rsidR="00E8455B" w:rsidRPr="002E6C7E" w:rsidRDefault="00E8455B" w:rsidP="0004720B">
            <w:pPr>
              <w:pStyle w:val="Tabletext"/>
              <w:jc w:val="right"/>
              <w:rPr>
                <w:lang w:eastAsia="en-GB"/>
              </w:rPr>
            </w:pPr>
            <w:r w:rsidRPr="002E6C7E">
              <w:rPr>
                <w:lang w:eastAsia="en-GB"/>
              </w:rPr>
              <w:t>0.266</w:t>
            </w:r>
          </w:p>
        </w:tc>
        <w:tc>
          <w:tcPr>
            <w:tcW w:w="1640" w:type="dxa"/>
            <w:tcBorders>
              <w:top w:val="nil"/>
              <w:left w:val="nil"/>
              <w:bottom w:val="nil"/>
              <w:right w:val="nil"/>
            </w:tcBorders>
            <w:shd w:val="clear" w:color="auto" w:fill="auto"/>
            <w:hideMark/>
          </w:tcPr>
          <w:p w14:paraId="6A366D11" w14:textId="77777777" w:rsidR="00E8455B" w:rsidRPr="002E6C7E" w:rsidRDefault="00E8455B" w:rsidP="0004720B">
            <w:pPr>
              <w:pStyle w:val="Tabletext"/>
              <w:jc w:val="right"/>
              <w:rPr>
                <w:lang w:eastAsia="en-GB"/>
              </w:rPr>
            </w:pPr>
            <w:r w:rsidRPr="002E6C7E">
              <w:rPr>
                <w:lang w:eastAsia="en-GB"/>
              </w:rPr>
              <w:t>0.319</w:t>
            </w:r>
          </w:p>
        </w:tc>
      </w:tr>
      <w:tr w:rsidR="00E8455B" w:rsidRPr="002E6C7E" w14:paraId="1643215A" w14:textId="77777777" w:rsidTr="00C368DB">
        <w:trPr>
          <w:trHeight w:val="300"/>
        </w:trPr>
        <w:tc>
          <w:tcPr>
            <w:tcW w:w="4020" w:type="dxa"/>
            <w:tcBorders>
              <w:top w:val="nil"/>
              <w:left w:val="nil"/>
              <w:bottom w:val="nil"/>
              <w:right w:val="nil"/>
            </w:tcBorders>
            <w:shd w:val="clear" w:color="auto" w:fill="auto"/>
            <w:noWrap/>
            <w:vAlign w:val="bottom"/>
            <w:hideMark/>
          </w:tcPr>
          <w:p w14:paraId="205F9E38" w14:textId="77777777" w:rsidR="00E8455B" w:rsidRPr="002E6C7E" w:rsidRDefault="00E8455B" w:rsidP="0004720B">
            <w:pPr>
              <w:pStyle w:val="Tabletext"/>
              <w:rPr>
                <w:i/>
                <w:iCs/>
                <w:lang w:eastAsia="en-GB"/>
              </w:rPr>
            </w:pPr>
            <w:r w:rsidRPr="002E6C7E">
              <w:rPr>
                <w:i/>
                <w:iCs/>
                <w:lang w:eastAsia="en-GB"/>
              </w:rPr>
              <w:t xml:space="preserve">    Queensland</w:t>
            </w:r>
          </w:p>
        </w:tc>
        <w:tc>
          <w:tcPr>
            <w:tcW w:w="1640" w:type="dxa"/>
            <w:tcBorders>
              <w:top w:val="nil"/>
              <w:left w:val="nil"/>
              <w:bottom w:val="nil"/>
              <w:right w:val="nil"/>
            </w:tcBorders>
            <w:shd w:val="clear" w:color="auto" w:fill="auto"/>
            <w:hideMark/>
          </w:tcPr>
          <w:p w14:paraId="0F459B92" w14:textId="77777777" w:rsidR="00E8455B" w:rsidRPr="002E6C7E" w:rsidRDefault="00E8455B" w:rsidP="0004720B">
            <w:pPr>
              <w:pStyle w:val="Tabletext"/>
              <w:jc w:val="right"/>
              <w:rPr>
                <w:lang w:eastAsia="en-GB"/>
              </w:rPr>
            </w:pPr>
            <w:r w:rsidRPr="002E6C7E">
              <w:rPr>
                <w:lang w:eastAsia="en-GB"/>
              </w:rPr>
              <w:t>0.211</w:t>
            </w:r>
          </w:p>
        </w:tc>
        <w:tc>
          <w:tcPr>
            <w:tcW w:w="1640" w:type="dxa"/>
            <w:tcBorders>
              <w:top w:val="nil"/>
              <w:left w:val="nil"/>
              <w:bottom w:val="nil"/>
              <w:right w:val="nil"/>
            </w:tcBorders>
            <w:shd w:val="clear" w:color="auto" w:fill="auto"/>
            <w:hideMark/>
          </w:tcPr>
          <w:p w14:paraId="7C6DDF9D" w14:textId="77777777" w:rsidR="00E8455B" w:rsidRPr="002E6C7E" w:rsidRDefault="00E8455B" w:rsidP="0004720B">
            <w:pPr>
              <w:pStyle w:val="Tabletext"/>
              <w:jc w:val="right"/>
              <w:rPr>
                <w:lang w:eastAsia="en-GB"/>
              </w:rPr>
            </w:pPr>
            <w:r w:rsidRPr="002E6C7E">
              <w:rPr>
                <w:lang w:eastAsia="en-GB"/>
              </w:rPr>
              <w:t>0.175</w:t>
            </w:r>
          </w:p>
        </w:tc>
        <w:tc>
          <w:tcPr>
            <w:tcW w:w="1640" w:type="dxa"/>
            <w:tcBorders>
              <w:top w:val="nil"/>
              <w:left w:val="nil"/>
              <w:bottom w:val="nil"/>
              <w:right w:val="nil"/>
            </w:tcBorders>
            <w:shd w:val="clear" w:color="auto" w:fill="auto"/>
            <w:hideMark/>
          </w:tcPr>
          <w:p w14:paraId="1E28975A" w14:textId="77777777" w:rsidR="00E8455B" w:rsidRPr="002E6C7E" w:rsidRDefault="00E8455B" w:rsidP="0004720B">
            <w:pPr>
              <w:pStyle w:val="Tabletext"/>
              <w:jc w:val="right"/>
              <w:rPr>
                <w:lang w:eastAsia="en-GB"/>
              </w:rPr>
            </w:pPr>
            <w:r w:rsidRPr="002E6C7E">
              <w:rPr>
                <w:lang w:eastAsia="en-GB"/>
              </w:rPr>
              <w:t>0.159</w:t>
            </w:r>
          </w:p>
        </w:tc>
      </w:tr>
      <w:tr w:rsidR="00E8455B" w:rsidRPr="002E6C7E" w14:paraId="2FC7100D" w14:textId="77777777" w:rsidTr="00C368DB">
        <w:trPr>
          <w:trHeight w:val="300"/>
        </w:trPr>
        <w:tc>
          <w:tcPr>
            <w:tcW w:w="4020" w:type="dxa"/>
            <w:tcBorders>
              <w:top w:val="nil"/>
              <w:left w:val="nil"/>
              <w:bottom w:val="nil"/>
              <w:right w:val="nil"/>
            </w:tcBorders>
            <w:shd w:val="clear" w:color="auto" w:fill="auto"/>
            <w:noWrap/>
            <w:vAlign w:val="bottom"/>
            <w:hideMark/>
          </w:tcPr>
          <w:p w14:paraId="28634261" w14:textId="77777777" w:rsidR="00E8455B" w:rsidRPr="002E6C7E" w:rsidRDefault="00E8455B" w:rsidP="0004720B">
            <w:pPr>
              <w:pStyle w:val="Tabletext"/>
              <w:rPr>
                <w:i/>
                <w:iCs/>
                <w:lang w:eastAsia="en-GB"/>
              </w:rPr>
            </w:pPr>
            <w:r w:rsidRPr="002E6C7E">
              <w:rPr>
                <w:i/>
                <w:iCs/>
                <w:lang w:eastAsia="en-GB"/>
              </w:rPr>
              <w:lastRenderedPageBreak/>
              <w:t xml:space="preserve">    South Australia</w:t>
            </w:r>
          </w:p>
        </w:tc>
        <w:tc>
          <w:tcPr>
            <w:tcW w:w="1640" w:type="dxa"/>
            <w:tcBorders>
              <w:top w:val="nil"/>
              <w:left w:val="nil"/>
              <w:bottom w:val="nil"/>
              <w:right w:val="nil"/>
            </w:tcBorders>
            <w:shd w:val="clear" w:color="auto" w:fill="auto"/>
            <w:hideMark/>
          </w:tcPr>
          <w:p w14:paraId="02F63E10" w14:textId="77777777" w:rsidR="00E8455B" w:rsidRPr="002E6C7E" w:rsidRDefault="00E8455B" w:rsidP="0004720B">
            <w:pPr>
              <w:pStyle w:val="Tabletext"/>
              <w:jc w:val="right"/>
              <w:rPr>
                <w:lang w:eastAsia="en-GB"/>
              </w:rPr>
            </w:pPr>
            <w:r w:rsidRPr="002E6C7E">
              <w:rPr>
                <w:lang w:eastAsia="en-GB"/>
              </w:rPr>
              <w:t>0.091</w:t>
            </w:r>
          </w:p>
        </w:tc>
        <w:tc>
          <w:tcPr>
            <w:tcW w:w="1640" w:type="dxa"/>
            <w:tcBorders>
              <w:top w:val="nil"/>
              <w:left w:val="nil"/>
              <w:bottom w:val="nil"/>
              <w:right w:val="nil"/>
            </w:tcBorders>
            <w:shd w:val="clear" w:color="auto" w:fill="auto"/>
            <w:hideMark/>
          </w:tcPr>
          <w:p w14:paraId="3BB78F7B" w14:textId="77777777" w:rsidR="00E8455B" w:rsidRPr="002E6C7E" w:rsidRDefault="00E8455B" w:rsidP="0004720B">
            <w:pPr>
              <w:pStyle w:val="Tabletext"/>
              <w:jc w:val="right"/>
              <w:rPr>
                <w:lang w:eastAsia="en-GB"/>
              </w:rPr>
            </w:pPr>
            <w:r w:rsidRPr="002E6C7E">
              <w:rPr>
                <w:lang w:eastAsia="en-GB"/>
              </w:rPr>
              <w:t>0.074</w:t>
            </w:r>
          </w:p>
        </w:tc>
        <w:tc>
          <w:tcPr>
            <w:tcW w:w="1640" w:type="dxa"/>
            <w:tcBorders>
              <w:top w:val="nil"/>
              <w:left w:val="nil"/>
              <w:bottom w:val="nil"/>
              <w:right w:val="nil"/>
            </w:tcBorders>
            <w:shd w:val="clear" w:color="auto" w:fill="auto"/>
            <w:hideMark/>
          </w:tcPr>
          <w:p w14:paraId="0C0826D9" w14:textId="77777777" w:rsidR="00E8455B" w:rsidRPr="002E6C7E" w:rsidRDefault="00E8455B" w:rsidP="0004720B">
            <w:pPr>
              <w:pStyle w:val="Tabletext"/>
              <w:jc w:val="right"/>
              <w:rPr>
                <w:lang w:eastAsia="en-GB"/>
              </w:rPr>
            </w:pPr>
            <w:r w:rsidRPr="002E6C7E">
              <w:rPr>
                <w:lang w:eastAsia="en-GB"/>
              </w:rPr>
              <w:t>0.064</w:t>
            </w:r>
          </w:p>
        </w:tc>
      </w:tr>
      <w:tr w:rsidR="00E8455B" w:rsidRPr="002E6C7E" w14:paraId="6150E643" w14:textId="77777777" w:rsidTr="00C368DB">
        <w:trPr>
          <w:trHeight w:val="300"/>
        </w:trPr>
        <w:tc>
          <w:tcPr>
            <w:tcW w:w="4020" w:type="dxa"/>
            <w:tcBorders>
              <w:top w:val="nil"/>
              <w:left w:val="nil"/>
              <w:bottom w:val="nil"/>
              <w:right w:val="nil"/>
            </w:tcBorders>
            <w:shd w:val="clear" w:color="auto" w:fill="auto"/>
            <w:noWrap/>
            <w:vAlign w:val="bottom"/>
            <w:hideMark/>
          </w:tcPr>
          <w:p w14:paraId="02BF8590" w14:textId="77777777" w:rsidR="00E8455B" w:rsidRPr="002E6C7E" w:rsidRDefault="00E8455B" w:rsidP="0004720B">
            <w:pPr>
              <w:pStyle w:val="Tabletext"/>
              <w:rPr>
                <w:i/>
                <w:iCs/>
                <w:lang w:eastAsia="en-GB"/>
              </w:rPr>
            </w:pPr>
            <w:r w:rsidRPr="002E6C7E">
              <w:rPr>
                <w:i/>
                <w:iCs/>
                <w:lang w:eastAsia="en-GB"/>
              </w:rPr>
              <w:t xml:space="preserve">    Western Australia</w:t>
            </w:r>
          </w:p>
        </w:tc>
        <w:tc>
          <w:tcPr>
            <w:tcW w:w="1640" w:type="dxa"/>
            <w:tcBorders>
              <w:top w:val="nil"/>
              <w:left w:val="nil"/>
              <w:bottom w:val="nil"/>
              <w:right w:val="nil"/>
            </w:tcBorders>
            <w:shd w:val="clear" w:color="auto" w:fill="auto"/>
            <w:hideMark/>
          </w:tcPr>
          <w:p w14:paraId="087399B1" w14:textId="77777777" w:rsidR="00E8455B" w:rsidRPr="002E6C7E" w:rsidRDefault="00E8455B" w:rsidP="0004720B">
            <w:pPr>
              <w:pStyle w:val="Tabletext"/>
              <w:jc w:val="right"/>
              <w:rPr>
                <w:lang w:eastAsia="en-GB"/>
              </w:rPr>
            </w:pPr>
            <w:r w:rsidRPr="002E6C7E">
              <w:rPr>
                <w:lang w:eastAsia="en-GB"/>
              </w:rPr>
              <w:t>0.085</w:t>
            </w:r>
          </w:p>
        </w:tc>
        <w:tc>
          <w:tcPr>
            <w:tcW w:w="1640" w:type="dxa"/>
            <w:tcBorders>
              <w:top w:val="nil"/>
              <w:left w:val="nil"/>
              <w:bottom w:val="nil"/>
              <w:right w:val="nil"/>
            </w:tcBorders>
            <w:shd w:val="clear" w:color="auto" w:fill="auto"/>
            <w:hideMark/>
          </w:tcPr>
          <w:p w14:paraId="55DBCD81" w14:textId="77777777" w:rsidR="00E8455B" w:rsidRPr="002E6C7E" w:rsidRDefault="00E8455B" w:rsidP="0004720B">
            <w:pPr>
              <w:pStyle w:val="Tabletext"/>
              <w:jc w:val="right"/>
              <w:rPr>
                <w:lang w:eastAsia="en-GB"/>
              </w:rPr>
            </w:pPr>
            <w:r w:rsidRPr="002E6C7E">
              <w:rPr>
                <w:lang w:eastAsia="en-GB"/>
              </w:rPr>
              <w:t>0.064</w:t>
            </w:r>
          </w:p>
        </w:tc>
        <w:tc>
          <w:tcPr>
            <w:tcW w:w="1640" w:type="dxa"/>
            <w:tcBorders>
              <w:top w:val="nil"/>
              <w:left w:val="nil"/>
              <w:bottom w:val="nil"/>
              <w:right w:val="nil"/>
            </w:tcBorders>
            <w:shd w:val="clear" w:color="auto" w:fill="auto"/>
            <w:hideMark/>
          </w:tcPr>
          <w:p w14:paraId="6C67B328" w14:textId="77777777" w:rsidR="00E8455B" w:rsidRPr="002E6C7E" w:rsidRDefault="00E8455B" w:rsidP="0004720B">
            <w:pPr>
              <w:pStyle w:val="Tabletext"/>
              <w:jc w:val="right"/>
              <w:rPr>
                <w:lang w:eastAsia="en-GB"/>
              </w:rPr>
            </w:pPr>
            <w:r w:rsidRPr="002E6C7E">
              <w:rPr>
                <w:lang w:eastAsia="en-GB"/>
              </w:rPr>
              <w:t>0.084</w:t>
            </w:r>
          </w:p>
        </w:tc>
      </w:tr>
      <w:tr w:rsidR="00E8455B" w:rsidRPr="002E6C7E" w14:paraId="32C43A7F" w14:textId="77777777" w:rsidTr="00C368DB">
        <w:trPr>
          <w:trHeight w:val="300"/>
        </w:trPr>
        <w:tc>
          <w:tcPr>
            <w:tcW w:w="4020" w:type="dxa"/>
            <w:tcBorders>
              <w:top w:val="nil"/>
              <w:left w:val="nil"/>
              <w:bottom w:val="nil"/>
              <w:right w:val="nil"/>
            </w:tcBorders>
            <w:shd w:val="clear" w:color="auto" w:fill="auto"/>
            <w:noWrap/>
            <w:vAlign w:val="bottom"/>
            <w:hideMark/>
          </w:tcPr>
          <w:p w14:paraId="779E855C" w14:textId="77777777" w:rsidR="00E8455B" w:rsidRPr="002E6C7E" w:rsidRDefault="00E8455B" w:rsidP="0004720B">
            <w:pPr>
              <w:pStyle w:val="Tabletext"/>
              <w:rPr>
                <w:i/>
                <w:iCs/>
                <w:lang w:eastAsia="en-GB"/>
              </w:rPr>
            </w:pPr>
            <w:r w:rsidRPr="002E6C7E">
              <w:rPr>
                <w:i/>
                <w:iCs/>
                <w:lang w:eastAsia="en-GB"/>
              </w:rPr>
              <w:t xml:space="preserve">    Tasmania</w:t>
            </w:r>
          </w:p>
        </w:tc>
        <w:tc>
          <w:tcPr>
            <w:tcW w:w="1640" w:type="dxa"/>
            <w:tcBorders>
              <w:top w:val="nil"/>
              <w:left w:val="nil"/>
              <w:bottom w:val="nil"/>
              <w:right w:val="nil"/>
            </w:tcBorders>
            <w:shd w:val="clear" w:color="auto" w:fill="auto"/>
            <w:hideMark/>
          </w:tcPr>
          <w:p w14:paraId="176EFF47" w14:textId="77777777" w:rsidR="00E8455B" w:rsidRPr="002E6C7E" w:rsidRDefault="00E8455B" w:rsidP="0004720B">
            <w:pPr>
              <w:pStyle w:val="Tabletext"/>
              <w:jc w:val="right"/>
              <w:rPr>
                <w:lang w:eastAsia="en-GB"/>
              </w:rPr>
            </w:pPr>
            <w:r w:rsidRPr="002E6C7E">
              <w:rPr>
                <w:lang w:eastAsia="en-GB"/>
              </w:rPr>
              <w:t>0.030</w:t>
            </w:r>
          </w:p>
        </w:tc>
        <w:tc>
          <w:tcPr>
            <w:tcW w:w="1640" w:type="dxa"/>
            <w:tcBorders>
              <w:top w:val="nil"/>
              <w:left w:val="nil"/>
              <w:bottom w:val="nil"/>
              <w:right w:val="nil"/>
            </w:tcBorders>
            <w:shd w:val="clear" w:color="auto" w:fill="auto"/>
            <w:hideMark/>
          </w:tcPr>
          <w:p w14:paraId="18440D27" w14:textId="77777777" w:rsidR="00E8455B" w:rsidRPr="002E6C7E" w:rsidRDefault="00E8455B" w:rsidP="0004720B">
            <w:pPr>
              <w:pStyle w:val="Tabletext"/>
              <w:jc w:val="right"/>
              <w:rPr>
                <w:lang w:eastAsia="en-GB"/>
              </w:rPr>
            </w:pPr>
            <w:r w:rsidRPr="002E6C7E">
              <w:rPr>
                <w:lang w:eastAsia="en-GB"/>
              </w:rPr>
              <w:t>0.022</w:t>
            </w:r>
          </w:p>
        </w:tc>
        <w:tc>
          <w:tcPr>
            <w:tcW w:w="1640" w:type="dxa"/>
            <w:tcBorders>
              <w:top w:val="nil"/>
              <w:left w:val="nil"/>
              <w:bottom w:val="nil"/>
              <w:right w:val="nil"/>
            </w:tcBorders>
            <w:shd w:val="clear" w:color="auto" w:fill="auto"/>
            <w:hideMark/>
          </w:tcPr>
          <w:p w14:paraId="05B95A27" w14:textId="77777777" w:rsidR="00E8455B" w:rsidRPr="002E6C7E" w:rsidRDefault="00E8455B" w:rsidP="0004720B">
            <w:pPr>
              <w:pStyle w:val="Tabletext"/>
              <w:jc w:val="right"/>
              <w:rPr>
                <w:lang w:eastAsia="en-GB"/>
              </w:rPr>
            </w:pPr>
            <w:r w:rsidRPr="002E6C7E">
              <w:rPr>
                <w:lang w:eastAsia="en-GB"/>
              </w:rPr>
              <w:t>0.026</w:t>
            </w:r>
          </w:p>
        </w:tc>
      </w:tr>
      <w:tr w:rsidR="00E8455B" w:rsidRPr="002E6C7E" w14:paraId="64AD38B0" w14:textId="77777777" w:rsidTr="00C368DB">
        <w:trPr>
          <w:trHeight w:val="300"/>
        </w:trPr>
        <w:tc>
          <w:tcPr>
            <w:tcW w:w="4020" w:type="dxa"/>
            <w:tcBorders>
              <w:top w:val="nil"/>
              <w:left w:val="nil"/>
              <w:bottom w:val="nil"/>
              <w:right w:val="nil"/>
            </w:tcBorders>
            <w:shd w:val="clear" w:color="auto" w:fill="auto"/>
            <w:noWrap/>
            <w:vAlign w:val="bottom"/>
            <w:hideMark/>
          </w:tcPr>
          <w:p w14:paraId="2D04FA0C" w14:textId="77777777" w:rsidR="00E8455B" w:rsidRPr="002E6C7E" w:rsidRDefault="00E8455B" w:rsidP="0004720B">
            <w:pPr>
              <w:pStyle w:val="Tabletext"/>
              <w:rPr>
                <w:i/>
                <w:iCs/>
                <w:lang w:eastAsia="en-GB"/>
              </w:rPr>
            </w:pPr>
            <w:r w:rsidRPr="002E6C7E">
              <w:rPr>
                <w:i/>
                <w:iCs/>
                <w:lang w:eastAsia="en-GB"/>
              </w:rPr>
              <w:t xml:space="preserve">    Australian Capital Territory</w:t>
            </w:r>
          </w:p>
        </w:tc>
        <w:tc>
          <w:tcPr>
            <w:tcW w:w="1640" w:type="dxa"/>
            <w:tcBorders>
              <w:top w:val="nil"/>
              <w:left w:val="nil"/>
              <w:bottom w:val="nil"/>
              <w:right w:val="nil"/>
            </w:tcBorders>
            <w:shd w:val="clear" w:color="auto" w:fill="auto"/>
            <w:hideMark/>
          </w:tcPr>
          <w:p w14:paraId="32F96505" w14:textId="77777777" w:rsidR="00E8455B" w:rsidRPr="002E6C7E" w:rsidRDefault="00E8455B" w:rsidP="0004720B">
            <w:pPr>
              <w:pStyle w:val="Tabletext"/>
              <w:jc w:val="right"/>
              <w:rPr>
                <w:lang w:eastAsia="en-GB"/>
              </w:rPr>
            </w:pPr>
            <w:r w:rsidRPr="002E6C7E">
              <w:rPr>
                <w:lang w:eastAsia="en-GB"/>
              </w:rPr>
              <w:t>0.006</w:t>
            </w:r>
          </w:p>
        </w:tc>
        <w:tc>
          <w:tcPr>
            <w:tcW w:w="1640" w:type="dxa"/>
            <w:tcBorders>
              <w:top w:val="nil"/>
              <w:left w:val="nil"/>
              <w:bottom w:val="nil"/>
              <w:right w:val="nil"/>
            </w:tcBorders>
            <w:shd w:val="clear" w:color="auto" w:fill="auto"/>
            <w:hideMark/>
          </w:tcPr>
          <w:p w14:paraId="24A52F4F" w14:textId="77777777" w:rsidR="00E8455B" w:rsidRPr="002E6C7E" w:rsidRDefault="00E8455B" w:rsidP="0004720B">
            <w:pPr>
              <w:pStyle w:val="Tabletext"/>
              <w:jc w:val="right"/>
              <w:rPr>
                <w:lang w:eastAsia="en-GB"/>
              </w:rPr>
            </w:pPr>
            <w:r w:rsidRPr="002E6C7E">
              <w:rPr>
                <w:lang w:eastAsia="en-GB"/>
              </w:rPr>
              <w:t>0.008</w:t>
            </w:r>
          </w:p>
        </w:tc>
        <w:tc>
          <w:tcPr>
            <w:tcW w:w="1640" w:type="dxa"/>
            <w:tcBorders>
              <w:top w:val="nil"/>
              <w:left w:val="nil"/>
              <w:bottom w:val="nil"/>
              <w:right w:val="nil"/>
            </w:tcBorders>
            <w:shd w:val="clear" w:color="auto" w:fill="auto"/>
            <w:hideMark/>
          </w:tcPr>
          <w:p w14:paraId="7014AFE8" w14:textId="77777777" w:rsidR="00E8455B" w:rsidRPr="002E6C7E" w:rsidRDefault="00E8455B" w:rsidP="0004720B">
            <w:pPr>
              <w:pStyle w:val="Tabletext"/>
              <w:jc w:val="right"/>
              <w:rPr>
                <w:lang w:eastAsia="en-GB"/>
              </w:rPr>
            </w:pPr>
            <w:r w:rsidRPr="002E6C7E">
              <w:rPr>
                <w:lang w:eastAsia="en-GB"/>
              </w:rPr>
              <w:t>0.010</w:t>
            </w:r>
          </w:p>
        </w:tc>
      </w:tr>
      <w:tr w:rsidR="00E8455B" w:rsidRPr="002E6C7E" w14:paraId="142FAF43" w14:textId="77777777" w:rsidTr="00C368DB">
        <w:trPr>
          <w:trHeight w:val="300"/>
        </w:trPr>
        <w:tc>
          <w:tcPr>
            <w:tcW w:w="4020" w:type="dxa"/>
            <w:tcBorders>
              <w:top w:val="nil"/>
              <w:left w:val="nil"/>
              <w:bottom w:val="nil"/>
              <w:right w:val="nil"/>
            </w:tcBorders>
            <w:shd w:val="clear" w:color="auto" w:fill="auto"/>
            <w:noWrap/>
            <w:vAlign w:val="bottom"/>
            <w:hideMark/>
          </w:tcPr>
          <w:p w14:paraId="646496DF" w14:textId="77777777" w:rsidR="00E8455B" w:rsidRPr="002E6C7E" w:rsidRDefault="00E8455B" w:rsidP="0004720B">
            <w:pPr>
              <w:pStyle w:val="Tabletext"/>
              <w:rPr>
                <w:i/>
                <w:iCs/>
                <w:lang w:eastAsia="en-GB"/>
              </w:rPr>
            </w:pPr>
            <w:r w:rsidRPr="002E6C7E">
              <w:rPr>
                <w:i/>
                <w:iCs/>
                <w:lang w:eastAsia="en-GB"/>
              </w:rPr>
              <w:t xml:space="preserve">    Northern Territory</w:t>
            </w:r>
          </w:p>
        </w:tc>
        <w:tc>
          <w:tcPr>
            <w:tcW w:w="1640" w:type="dxa"/>
            <w:tcBorders>
              <w:top w:val="nil"/>
              <w:left w:val="nil"/>
              <w:bottom w:val="nil"/>
              <w:right w:val="nil"/>
            </w:tcBorders>
            <w:shd w:val="clear" w:color="auto" w:fill="auto"/>
            <w:hideMark/>
          </w:tcPr>
          <w:p w14:paraId="01FCC82D" w14:textId="77777777" w:rsidR="00E8455B" w:rsidRPr="002E6C7E" w:rsidRDefault="00E8455B" w:rsidP="0004720B">
            <w:pPr>
              <w:pStyle w:val="Tabletext"/>
              <w:jc w:val="right"/>
              <w:rPr>
                <w:lang w:eastAsia="en-GB"/>
              </w:rPr>
            </w:pPr>
            <w:r w:rsidRPr="002E6C7E">
              <w:rPr>
                <w:lang w:eastAsia="en-GB"/>
              </w:rPr>
              <w:t>0.031</w:t>
            </w:r>
          </w:p>
        </w:tc>
        <w:tc>
          <w:tcPr>
            <w:tcW w:w="1640" w:type="dxa"/>
            <w:tcBorders>
              <w:top w:val="nil"/>
              <w:left w:val="nil"/>
              <w:bottom w:val="nil"/>
              <w:right w:val="nil"/>
            </w:tcBorders>
            <w:shd w:val="clear" w:color="auto" w:fill="auto"/>
            <w:hideMark/>
          </w:tcPr>
          <w:p w14:paraId="59980DAF" w14:textId="77777777" w:rsidR="00E8455B" w:rsidRPr="002E6C7E" w:rsidRDefault="00E8455B" w:rsidP="0004720B">
            <w:pPr>
              <w:pStyle w:val="Tabletext"/>
              <w:jc w:val="right"/>
              <w:rPr>
                <w:lang w:eastAsia="en-GB"/>
              </w:rPr>
            </w:pPr>
            <w:r w:rsidRPr="002E6C7E">
              <w:rPr>
                <w:lang w:eastAsia="en-GB"/>
              </w:rPr>
              <w:t>0.040</w:t>
            </w:r>
          </w:p>
        </w:tc>
        <w:tc>
          <w:tcPr>
            <w:tcW w:w="1640" w:type="dxa"/>
            <w:tcBorders>
              <w:top w:val="nil"/>
              <w:left w:val="nil"/>
              <w:bottom w:val="nil"/>
              <w:right w:val="nil"/>
            </w:tcBorders>
            <w:shd w:val="clear" w:color="auto" w:fill="auto"/>
            <w:hideMark/>
          </w:tcPr>
          <w:p w14:paraId="3951DA47" w14:textId="77777777" w:rsidR="00E8455B" w:rsidRPr="002E6C7E" w:rsidRDefault="00E8455B" w:rsidP="0004720B">
            <w:pPr>
              <w:pStyle w:val="Tabletext"/>
              <w:jc w:val="right"/>
              <w:rPr>
                <w:lang w:eastAsia="en-GB"/>
              </w:rPr>
            </w:pPr>
            <w:r w:rsidRPr="002E6C7E">
              <w:rPr>
                <w:lang w:eastAsia="en-GB"/>
              </w:rPr>
              <w:t>0.040</w:t>
            </w:r>
          </w:p>
        </w:tc>
      </w:tr>
      <w:tr w:rsidR="00E8455B" w:rsidRPr="002E6C7E" w14:paraId="2A9C1752" w14:textId="77777777" w:rsidTr="00C368DB">
        <w:trPr>
          <w:trHeight w:val="300"/>
        </w:trPr>
        <w:tc>
          <w:tcPr>
            <w:tcW w:w="4020" w:type="dxa"/>
            <w:tcBorders>
              <w:top w:val="nil"/>
              <w:left w:val="nil"/>
              <w:bottom w:val="nil"/>
              <w:right w:val="nil"/>
            </w:tcBorders>
            <w:shd w:val="clear" w:color="auto" w:fill="auto"/>
            <w:noWrap/>
            <w:vAlign w:val="bottom"/>
            <w:hideMark/>
          </w:tcPr>
          <w:p w14:paraId="04634C2D" w14:textId="77777777" w:rsidR="00E8455B" w:rsidRPr="002E6C7E" w:rsidRDefault="00E8455B" w:rsidP="0004720B">
            <w:pPr>
              <w:pStyle w:val="Tabletext"/>
              <w:rPr>
                <w:lang w:eastAsia="en-GB"/>
              </w:rPr>
            </w:pPr>
            <w:r w:rsidRPr="002E6C7E">
              <w:rPr>
                <w:lang w:eastAsia="en-GB"/>
              </w:rPr>
              <w:t>Region</w:t>
            </w:r>
          </w:p>
        </w:tc>
        <w:tc>
          <w:tcPr>
            <w:tcW w:w="1640" w:type="dxa"/>
            <w:tcBorders>
              <w:top w:val="nil"/>
              <w:left w:val="nil"/>
              <w:bottom w:val="nil"/>
              <w:right w:val="nil"/>
            </w:tcBorders>
            <w:shd w:val="clear" w:color="auto" w:fill="auto"/>
            <w:noWrap/>
            <w:vAlign w:val="bottom"/>
            <w:hideMark/>
          </w:tcPr>
          <w:p w14:paraId="706DFB9D"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465AA8C0"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1F08AB30" w14:textId="77777777" w:rsidR="00E8455B" w:rsidRPr="002E6C7E" w:rsidRDefault="00E8455B" w:rsidP="0004720B">
            <w:pPr>
              <w:pStyle w:val="Tabletext"/>
              <w:jc w:val="right"/>
              <w:rPr>
                <w:lang w:eastAsia="en-GB"/>
              </w:rPr>
            </w:pPr>
          </w:p>
        </w:tc>
      </w:tr>
      <w:tr w:rsidR="00E8455B" w:rsidRPr="002E6C7E" w14:paraId="352D1D68" w14:textId="77777777" w:rsidTr="00C368DB">
        <w:trPr>
          <w:trHeight w:val="300"/>
        </w:trPr>
        <w:tc>
          <w:tcPr>
            <w:tcW w:w="4020" w:type="dxa"/>
            <w:tcBorders>
              <w:top w:val="nil"/>
              <w:left w:val="nil"/>
              <w:bottom w:val="nil"/>
              <w:right w:val="nil"/>
            </w:tcBorders>
            <w:shd w:val="clear" w:color="auto" w:fill="auto"/>
            <w:noWrap/>
            <w:vAlign w:val="bottom"/>
            <w:hideMark/>
          </w:tcPr>
          <w:p w14:paraId="4137782F" w14:textId="77777777" w:rsidR="00E8455B" w:rsidRPr="002E6C7E" w:rsidRDefault="00E8455B" w:rsidP="0004720B">
            <w:pPr>
              <w:pStyle w:val="Tabletext"/>
              <w:rPr>
                <w:i/>
                <w:iCs/>
                <w:lang w:eastAsia="en-GB"/>
              </w:rPr>
            </w:pPr>
            <w:r w:rsidRPr="002E6C7E">
              <w:rPr>
                <w:i/>
                <w:iCs/>
                <w:lang w:eastAsia="en-GB"/>
              </w:rPr>
              <w:t xml:space="preserve">    Major city</w:t>
            </w:r>
          </w:p>
        </w:tc>
        <w:tc>
          <w:tcPr>
            <w:tcW w:w="1640" w:type="dxa"/>
            <w:tcBorders>
              <w:top w:val="nil"/>
              <w:left w:val="nil"/>
              <w:bottom w:val="nil"/>
              <w:right w:val="nil"/>
            </w:tcBorders>
            <w:shd w:val="clear" w:color="auto" w:fill="auto"/>
            <w:hideMark/>
          </w:tcPr>
          <w:p w14:paraId="080A8349" w14:textId="77777777" w:rsidR="00E8455B" w:rsidRPr="002E6C7E" w:rsidRDefault="00E8455B" w:rsidP="0004720B">
            <w:pPr>
              <w:pStyle w:val="Tabletext"/>
              <w:jc w:val="right"/>
              <w:rPr>
                <w:lang w:eastAsia="en-GB"/>
              </w:rPr>
            </w:pPr>
            <w:r w:rsidRPr="002E6C7E">
              <w:rPr>
                <w:lang w:eastAsia="en-GB"/>
              </w:rPr>
              <w:t>0.661</w:t>
            </w:r>
          </w:p>
        </w:tc>
        <w:tc>
          <w:tcPr>
            <w:tcW w:w="1640" w:type="dxa"/>
            <w:tcBorders>
              <w:top w:val="nil"/>
              <w:left w:val="nil"/>
              <w:bottom w:val="nil"/>
              <w:right w:val="nil"/>
            </w:tcBorders>
            <w:shd w:val="clear" w:color="auto" w:fill="auto"/>
            <w:hideMark/>
          </w:tcPr>
          <w:p w14:paraId="165B43B1" w14:textId="77777777" w:rsidR="00E8455B" w:rsidRPr="002E6C7E" w:rsidRDefault="00E8455B" w:rsidP="0004720B">
            <w:pPr>
              <w:pStyle w:val="Tabletext"/>
              <w:jc w:val="right"/>
              <w:rPr>
                <w:lang w:eastAsia="en-GB"/>
              </w:rPr>
            </w:pPr>
            <w:r w:rsidRPr="002E6C7E">
              <w:rPr>
                <w:lang w:eastAsia="en-GB"/>
              </w:rPr>
              <w:t>0.736</w:t>
            </w:r>
          </w:p>
        </w:tc>
        <w:tc>
          <w:tcPr>
            <w:tcW w:w="1640" w:type="dxa"/>
            <w:tcBorders>
              <w:top w:val="nil"/>
              <w:left w:val="nil"/>
              <w:bottom w:val="nil"/>
              <w:right w:val="nil"/>
            </w:tcBorders>
            <w:shd w:val="clear" w:color="auto" w:fill="auto"/>
            <w:hideMark/>
          </w:tcPr>
          <w:p w14:paraId="46408B4F" w14:textId="77777777" w:rsidR="00E8455B" w:rsidRPr="002E6C7E" w:rsidRDefault="00E8455B" w:rsidP="0004720B">
            <w:pPr>
              <w:pStyle w:val="Tabletext"/>
              <w:jc w:val="right"/>
              <w:rPr>
                <w:lang w:eastAsia="en-GB"/>
              </w:rPr>
            </w:pPr>
            <w:r w:rsidRPr="002E6C7E">
              <w:rPr>
                <w:lang w:eastAsia="en-GB"/>
              </w:rPr>
              <w:t>0.829</w:t>
            </w:r>
          </w:p>
        </w:tc>
      </w:tr>
      <w:tr w:rsidR="00E8455B" w:rsidRPr="002E6C7E" w14:paraId="303B1068" w14:textId="77777777" w:rsidTr="00C368DB">
        <w:trPr>
          <w:trHeight w:val="300"/>
        </w:trPr>
        <w:tc>
          <w:tcPr>
            <w:tcW w:w="4020" w:type="dxa"/>
            <w:tcBorders>
              <w:top w:val="nil"/>
              <w:left w:val="nil"/>
              <w:bottom w:val="nil"/>
              <w:right w:val="nil"/>
            </w:tcBorders>
            <w:shd w:val="clear" w:color="auto" w:fill="auto"/>
            <w:noWrap/>
            <w:vAlign w:val="bottom"/>
            <w:hideMark/>
          </w:tcPr>
          <w:p w14:paraId="1ECDF21B" w14:textId="77777777" w:rsidR="00E8455B" w:rsidRPr="002E6C7E" w:rsidRDefault="00E8455B" w:rsidP="0004720B">
            <w:pPr>
              <w:pStyle w:val="Tabletext"/>
              <w:rPr>
                <w:i/>
                <w:iCs/>
                <w:lang w:eastAsia="en-GB"/>
              </w:rPr>
            </w:pPr>
            <w:r w:rsidRPr="002E6C7E">
              <w:rPr>
                <w:i/>
                <w:iCs/>
                <w:lang w:eastAsia="en-GB"/>
              </w:rPr>
              <w:t xml:space="preserve">    Inner regional</w:t>
            </w:r>
          </w:p>
        </w:tc>
        <w:tc>
          <w:tcPr>
            <w:tcW w:w="1640" w:type="dxa"/>
            <w:tcBorders>
              <w:top w:val="nil"/>
              <w:left w:val="nil"/>
              <w:bottom w:val="nil"/>
              <w:right w:val="nil"/>
            </w:tcBorders>
            <w:shd w:val="clear" w:color="auto" w:fill="auto"/>
            <w:hideMark/>
          </w:tcPr>
          <w:p w14:paraId="5DCDA8AF" w14:textId="77777777" w:rsidR="00E8455B" w:rsidRPr="002E6C7E" w:rsidRDefault="00E8455B" w:rsidP="0004720B">
            <w:pPr>
              <w:pStyle w:val="Tabletext"/>
              <w:jc w:val="right"/>
              <w:rPr>
                <w:lang w:eastAsia="en-GB"/>
              </w:rPr>
            </w:pPr>
            <w:r w:rsidRPr="002E6C7E">
              <w:rPr>
                <w:lang w:eastAsia="en-GB"/>
              </w:rPr>
              <w:t>0.241</w:t>
            </w:r>
          </w:p>
        </w:tc>
        <w:tc>
          <w:tcPr>
            <w:tcW w:w="1640" w:type="dxa"/>
            <w:tcBorders>
              <w:top w:val="nil"/>
              <w:left w:val="nil"/>
              <w:bottom w:val="nil"/>
              <w:right w:val="nil"/>
            </w:tcBorders>
            <w:shd w:val="clear" w:color="auto" w:fill="auto"/>
            <w:hideMark/>
          </w:tcPr>
          <w:p w14:paraId="35CD283A" w14:textId="77777777" w:rsidR="00E8455B" w:rsidRPr="002E6C7E" w:rsidRDefault="00E8455B" w:rsidP="0004720B">
            <w:pPr>
              <w:pStyle w:val="Tabletext"/>
              <w:jc w:val="right"/>
              <w:rPr>
                <w:lang w:eastAsia="en-GB"/>
              </w:rPr>
            </w:pPr>
            <w:r w:rsidRPr="002E6C7E">
              <w:rPr>
                <w:lang w:eastAsia="en-GB"/>
              </w:rPr>
              <w:t>0.203</w:t>
            </w:r>
          </w:p>
        </w:tc>
        <w:tc>
          <w:tcPr>
            <w:tcW w:w="1640" w:type="dxa"/>
            <w:tcBorders>
              <w:top w:val="nil"/>
              <w:left w:val="nil"/>
              <w:bottom w:val="nil"/>
              <w:right w:val="nil"/>
            </w:tcBorders>
            <w:shd w:val="clear" w:color="auto" w:fill="auto"/>
            <w:hideMark/>
          </w:tcPr>
          <w:p w14:paraId="1A8D0D11" w14:textId="77777777" w:rsidR="00E8455B" w:rsidRPr="002E6C7E" w:rsidRDefault="00E8455B" w:rsidP="0004720B">
            <w:pPr>
              <w:pStyle w:val="Tabletext"/>
              <w:jc w:val="right"/>
              <w:rPr>
                <w:lang w:eastAsia="en-GB"/>
              </w:rPr>
            </w:pPr>
            <w:r w:rsidRPr="002E6C7E">
              <w:rPr>
                <w:lang w:eastAsia="en-GB"/>
              </w:rPr>
              <w:t>0.108</w:t>
            </w:r>
          </w:p>
        </w:tc>
      </w:tr>
      <w:tr w:rsidR="00E8455B" w:rsidRPr="002E6C7E" w14:paraId="61B1A4F3" w14:textId="77777777" w:rsidTr="00C368DB">
        <w:trPr>
          <w:trHeight w:val="300"/>
        </w:trPr>
        <w:tc>
          <w:tcPr>
            <w:tcW w:w="4020" w:type="dxa"/>
            <w:tcBorders>
              <w:top w:val="nil"/>
              <w:left w:val="nil"/>
              <w:bottom w:val="nil"/>
              <w:right w:val="nil"/>
            </w:tcBorders>
            <w:shd w:val="clear" w:color="auto" w:fill="auto"/>
            <w:noWrap/>
            <w:vAlign w:val="bottom"/>
            <w:hideMark/>
          </w:tcPr>
          <w:p w14:paraId="64F12757" w14:textId="77777777" w:rsidR="00E8455B" w:rsidRPr="002E6C7E" w:rsidRDefault="00E8455B" w:rsidP="0004720B">
            <w:pPr>
              <w:pStyle w:val="Tabletext"/>
              <w:rPr>
                <w:i/>
                <w:iCs/>
                <w:lang w:eastAsia="en-GB"/>
              </w:rPr>
            </w:pPr>
            <w:r w:rsidRPr="002E6C7E">
              <w:rPr>
                <w:i/>
                <w:iCs/>
                <w:lang w:eastAsia="en-GB"/>
              </w:rPr>
              <w:t xml:space="preserve">    Outer regional</w:t>
            </w:r>
          </w:p>
        </w:tc>
        <w:tc>
          <w:tcPr>
            <w:tcW w:w="1640" w:type="dxa"/>
            <w:tcBorders>
              <w:top w:val="nil"/>
              <w:left w:val="nil"/>
              <w:bottom w:val="nil"/>
              <w:right w:val="nil"/>
            </w:tcBorders>
            <w:shd w:val="clear" w:color="auto" w:fill="auto"/>
            <w:hideMark/>
          </w:tcPr>
          <w:p w14:paraId="127F3257" w14:textId="77777777" w:rsidR="00E8455B" w:rsidRPr="002E6C7E" w:rsidRDefault="00E8455B" w:rsidP="0004720B">
            <w:pPr>
              <w:pStyle w:val="Tabletext"/>
              <w:jc w:val="right"/>
              <w:rPr>
                <w:lang w:eastAsia="en-GB"/>
              </w:rPr>
            </w:pPr>
            <w:r w:rsidRPr="002E6C7E">
              <w:rPr>
                <w:lang w:eastAsia="en-GB"/>
              </w:rPr>
              <w:t>0.088</w:t>
            </w:r>
          </w:p>
        </w:tc>
        <w:tc>
          <w:tcPr>
            <w:tcW w:w="1640" w:type="dxa"/>
            <w:tcBorders>
              <w:top w:val="nil"/>
              <w:left w:val="nil"/>
              <w:bottom w:val="nil"/>
              <w:right w:val="nil"/>
            </w:tcBorders>
            <w:shd w:val="clear" w:color="auto" w:fill="auto"/>
            <w:hideMark/>
          </w:tcPr>
          <w:p w14:paraId="34BADF24" w14:textId="77777777" w:rsidR="00E8455B" w:rsidRPr="002E6C7E" w:rsidRDefault="00E8455B" w:rsidP="0004720B">
            <w:pPr>
              <w:pStyle w:val="Tabletext"/>
              <w:jc w:val="right"/>
              <w:rPr>
                <w:lang w:eastAsia="en-GB"/>
              </w:rPr>
            </w:pPr>
            <w:r w:rsidRPr="002E6C7E">
              <w:rPr>
                <w:lang w:eastAsia="en-GB"/>
              </w:rPr>
              <w:t>0.042</w:t>
            </w:r>
          </w:p>
        </w:tc>
        <w:tc>
          <w:tcPr>
            <w:tcW w:w="1640" w:type="dxa"/>
            <w:tcBorders>
              <w:top w:val="nil"/>
              <w:left w:val="nil"/>
              <w:bottom w:val="nil"/>
              <w:right w:val="nil"/>
            </w:tcBorders>
            <w:shd w:val="clear" w:color="auto" w:fill="auto"/>
            <w:hideMark/>
          </w:tcPr>
          <w:p w14:paraId="000F3003" w14:textId="77777777" w:rsidR="00E8455B" w:rsidRPr="002E6C7E" w:rsidRDefault="00E8455B" w:rsidP="0004720B">
            <w:pPr>
              <w:pStyle w:val="Tabletext"/>
              <w:jc w:val="right"/>
              <w:rPr>
                <w:lang w:eastAsia="en-GB"/>
              </w:rPr>
            </w:pPr>
            <w:r w:rsidRPr="002E6C7E">
              <w:rPr>
                <w:lang w:eastAsia="en-GB"/>
              </w:rPr>
              <w:t>0.054</w:t>
            </w:r>
          </w:p>
        </w:tc>
      </w:tr>
      <w:tr w:rsidR="00E8455B" w:rsidRPr="002E6C7E" w14:paraId="741E7212" w14:textId="77777777" w:rsidTr="00C368DB">
        <w:trPr>
          <w:trHeight w:val="300"/>
        </w:trPr>
        <w:tc>
          <w:tcPr>
            <w:tcW w:w="4020" w:type="dxa"/>
            <w:tcBorders>
              <w:top w:val="nil"/>
              <w:left w:val="nil"/>
              <w:bottom w:val="nil"/>
              <w:right w:val="nil"/>
            </w:tcBorders>
            <w:shd w:val="clear" w:color="auto" w:fill="auto"/>
            <w:noWrap/>
            <w:vAlign w:val="bottom"/>
            <w:hideMark/>
          </w:tcPr>
          <w:p w14:paraId="7711F184" w14:textId="77777777" w:rsidR="00E8455B" w:rsidRPr="002E6C7E" w:rsidRDefault="00E8455B" w:rsidP="0004720B">
            <w:pPr>
              <w:pStyle w:val="Tabletext"/>
              <w:rPr>
                <w:i/>
                <w:iCs/>
                <w:lang w:eastAsia="en-GB"/>
              </w:rPr>
            </w:pPr>
            <w:r w:rsidRPr="002E6C7E">
              <w:rPr>
                <w:i/>
                <w:iCs/>
                <w:lang w:eastAsia="en-GB"/>
              </w:rPr>
              <w:t xml:space="preserve">    Remote</w:t>
            </w:r>
          </w:p>
        </w:tc>
        <w:tc>
          <w:tcPr>
            <w:tcW w:w="1640" w:type="dxa"/>
            <w:tcBorders>
              <w:top w:val="nil"/>
              <w:left w:val="nil"/>
              <w:bottom w:val="nil"/>
              <w:right w:val="nil"/>
            </w:tcBorders>
            <w:shd w:val="clear" w:color="auto" w:fill="auto"/>
            <w:hideMark/>
          </w:tcPr>
          <w:p w14:paraId="066B4A5F" w14:textId="77777777" w:rsidR="00E8455B" w:rsidRPr="002E6C7E" w:rsidRDefault="00E8455B" w:rsidP="0004720B">
            <w:pPr>
              <w:pStyle w:val="Tabletext"/>
              <w:jc w:val="right"/>
              <w:rPr>
                <w:lang w:eastAsia="en-GB"/>
              </w:rPr>
            </w:pPr>
            <w:r w:rsidRPr="002E6C7E">
              <w:rPr>
                <w:lang w:eastAsia="en-GB"/>
              </w:rPr>
              <w:t>0.010</w:t>
            </w:r>
          </w:p>
        </w:tc>
        <w:tc>
          <w:tcPr>
            <w:tcW w:w="1640" w:type="dxa"/>
            <w:tcBorders>
              <w:top w:val="nil"/>
              <w:left w:val="nil"/>
              <w:bottom w:val="nil"/>
              <w:right w:val="nil"/>
            </w:tcBorders>
            <w:shd w:val="clear" w:color="auto" w:fill="auto"/>
            <w:hideMark/>
          </w:tcPr>
          <w:p w14:paraId="5D10C3E6" w14:textId="77777777" w:rsidR="00E8455B" w:rsidRPr="002E6C7E" w:rsidRDefault="00E8455B" w:rsidP="0004720B">
            <w:pPr>
              <w:pStyle w:val="Tabletext"/>
              <w:jc w:val="right"/>
              <w:rPr>
                <w:lang w:eastAsia="en-GB"/>
              </w:rPr>
            </w:pPr>
            <w:r w:rsidRPr="002E6C7E">
              <w:rPr>
                <w:lang w:eastAsia="en-GB"/>
              </w:rPr>
              <w:t>0.018</w:t>
            </w:r>
          </w:p>
        </w:tc>
        <w:tc>
          <w:tcPr>
            <w:tcW w:w="1640" w:type="dxa"/>
            <w:tcBorders>
              <w:top w:val="nil"/>
              <w:left w:val="nil"/>
              <w:bottom w:val="nil"/>
              <w:right w:val="nil"/>
            </w:tcBorders>
            <w:shd w:val="clear" w:color="auto" w:fill="auto"/>
            <w:hideMark/>
          </w:tcPr>
          <w:p w14:paraId="673840E5" w14:textId="77777777" w:rsidR="00E8455B" w:rsidRPr="002E6C7E" w:rsidRDefault="00E8455B" w:rsidP="0004720B">
            <w:pPr>
              <w:pStyle w:val="Tabletext"/>
              <w:jc w:val="right"/>
              <w:rPr>
                <w:lang w:eastAsia="en-GB"/>
              </w:rPr>
            </w:pPr>
            <w:r w:rsidRPr="002E6C7E">
              <w:rPr>
                <w:lang w:eastAsia="en-GB"/>
              </w:rPr>
              <w:t>0.008</w:t>
            </w:r>
          </w:p>
        </w:tc>
      </w:tr>
      <w:tr w:rsidR="00E8455B" w:rsidRPr="002E6C7E" w14:paraId="11213C5C" w14:textId="77777777" w:rsidTr="00C368DB">
        <w:trPr>
          <w:trHeight w:val="300"/>
        </w:trPr>
        <w:tc>
          <w:tcPr>
            <w:tcW w:w="4020" w:type="dxa"/>
            <w:tcBorders>
              <w:top w:val="nil"/>
              <w:left w:val="nil"/>
              <w:bottom w:val="nil"/>
              <w:right w:val="nil"/>
            </w:tcBorders>
            <w:shd w:val="clear" w:color="auto" w:fill="auto"/>
            <w:noWrap/>
            <w:vAlign w:val="bottom"/>
            <w:hideMark/>
          </w:tcPr>
          <w:p w14:paraId="4F0B176C" w14:textId="77777777" w:rsidR="00E8455B" w:rsidRPr="002E6C7E" w:rsidRDefault="00E8455B" w:rsidP="0004720B">
            <w:pPr>
              <w:pStyle w:val="Tabletext"/>
              <w:rPr>
                <w:lang w:eastAsia="en-GB"/>
              </w:rPr>
            </w:pPr>
            <w:r w:rsidRPr="002E6C7E">
              <w:rPr>
                <w:lang w:eastAsia="en-GB"/>
              </w:rPr>
              <w:t>Number of dependent children</w:t>
            </w:r>
          </w:p>
        </w:tc>
        <w:tc>
          <w:tcPr>
            <w:tcW w:w="1640" w:type="dxa"/>
            <w:tcBorders>
              <w:top w:val="nil"/>
              <w:left w:val="nil"/>
              <w:bottom w:val="nil"/>
              <w:right w:val="nil"/>
            </w:tcBorders>
            <w:shd w:val="clear" w:color="auto" w:fill="auto"/>
            <w:hideMark/>
          </w:tcPr>
          <w:p w14:paraId="778E5FE0" w14:textId="77777777" w:rsidR="00E8455B" w:rsidRPr="002E6C7E" w:rsidRDefault="00E8455B" w:rsidP="0004720B">
            <w:pPr>
              <w:pStyle w:val="Tabletext"/>
              <w:jc w:val="right"/>
              <w:rPr>
                <w:lang w:eastAsia="en-GB"/>
              </w:rPr>
            </w:pPr>
            <w:r w:rsidRPr="002E6C7E">
              <w:rPr>
                <w:lang w:eastAsia="en-GB"/>
              </w:rPr>
              <w:t>1.05</w:t>
            </w:r>
          </w:p>
        </w:tc>
        <w:tc>
          <w:tcPr>
            <w:tcW w:w="1640" w:type="dxa"/>
            <w:tcBorders>
              <w:top w:val="nil"/>
              <w:left w:val="nil"/>
              <w:bottom w:val="nil"/>
              <w:right w:val="nil"/>
            </w:tcBorders>
            <w:shd w:val="clear" w:color="auto" w:fill="auto"/>
            <w:hideMark/>
          </w:tcPr>
          <w:p w14:paraId="2C0105D1" w14:textId="77777777" w:rsidR="00E8455B" w:rsidRPr="002E6C7E" w:rsidRDefault="00E8455B" w:rsidP="0004720B">
            <w:pPr>
              <w:pStyle w:val="Tabletext"/>
              <w:jc w:val="right"/>
              <w:rPr>
                <w:lang w:eastAsia="en-GB"/>
              </w:rPr>
            </w:pPr>
            <w:r w:rsidRPr="002E6C7E">
              <w:rPr>
                <w:lang w:eastAsia="en-GB"/>
              </w:rPr>
              <w:t>1.04</w:t>
            </w:r>
          </w:p>
        </w:tc>
        <w:tc>
          <w:tcPr>
            <w:tcW w:w="1640" w:type="dxa"/>
            <w:tcBorders>
              <w:top w:val="nil"/>
              <w:left w:val="nil"/>
              <w:bottom w:val="nil"/>
              <w:right w:val="nil"/>
            </w:tcBorders>
            <w:shd w:val="clear" w:color="auto" w:fill="auto"/>
            <w:hideMark/>
          </w:tcPr>
          <w:p w14:paraId="3E48FD11" w14:textId="77777777" w:rsidR="00E8455B" w:rsidRPr="002E6C7E" w:rsidRDefault="00E8455B" w:rsidP="0004720B">
            <w:pPr>
              <w:pStyle w:val="Tabletext"/>
              <w:jc w:val="right"/>
              <w:rPr>
                <w:lang w:eastAsia="en-GB"/>
              </w:rPr>
            </w:pPr>
            <w:r w:rsidRPr="002E6C7E">
              <w:rPr>
                <w:lang w:eastAsia="en-GB"/>
              </w:rPr>
              <w:t>1.07</w:t>
            </w:r>
          </w:p>
        </w:tc>
      </w:tr>
      <w:tr w:rsidR="00E8455B" w:rsidRPr="002E6C7E" w14:paraId="7C79F800" w14:textId="77777777" w:rsidTr="00C368DB">
        <w:trPr>
          <w:trHeight w:val="300"/>
        </w:trPr>
        <w:tc>
          <w:tcPr>
            <w:tcW w:w="4020" w:type="dxa"/>
            <w:tcBorders>
              <w:top w:val="nil"/>
              <w:left w:val="nil"/>
              <w:bottom w:val="nil"/>
              <w:right w:val="nil"/>
            </w:tcBorders>
            <w:shd w:val="clear" w:color="auto" w:fill="auto"/>
            <w:noWrap/>
            <w:vAlign w:val="bottom"/>
            <w:hideMark/>
          </w:tcPr>
          <w:p w14:paraId="43155E54" w14:textId="77777777" w:rsidR="00E8455B" w:rsidRPr="002E6C7E" w:rsidRDefault="00E8455B" w:rsidP="0004720B">
            <w:pPr>
              <w:pStyle w:val="Tabletext"/>
              <w:rPr>
                <w:lang w:eastAsia="en-GB"/>
              </w:rPr>
            </w:pPr>
            <w:r w:rsidRPr="002E6C7E">
              <w:rPr>
                <w:lang w:eastAsia="en-GB"/>
              </w:rPr>
              <w:t>Number of years since left full-time education</w:t>
            </w:r>
          </w:p>
        </w:tc>
        <w:tc>
          <w:tcPr>
            <w:tcW w:w="1640" w:type="dxa"/>
            <w:tcBorders>
              <w:top w:val="nil"/>
              <w:left w:val="nil"/>
              <w:bottom w:val="nil"/>
              <w:right w:val="nil"/>
            </w:tcBorders>
            <w:shd w:val="clear" w:color="auto" w:fill="auto"/>
            <w:hideMark/>
          </w:tcPr>
          <w:p w14:paraId="25D08C3E" w14:textId="77777777" w:rsidR="00E8455B" w:rsidRPr="002E6C7E" w:rsidRDefault="00E8455B" w:rsidP="0004720B">
            <w:pPr>
              <w:pStyle w:val="Tabletext"/>
              <w:jc w:val="right"/>
              <w:rPr>
                <w:lang w:eastAsia="en-GB"/>
              </w:rPr>
            </w:pPr>
            <w:r w:rsidRPr="002E6C7E">
              <w:rPr>
                <w:lang w:eastAsia="en-GB"/>
              </w:rPr>
              <w:t>24.9</w:t>
            </w:r>
          </w:p>
        </w:tc>
        <w:tc>
          <w:tcPr>
            <w:tcW w:w="1640" w:type="dxa"/>
            <w:tcBorders>
              <w:top w:val="nil"/>
              <w:left w:val="nil"/>
              <w:bottom w:val="nil"/>
              <w:right w:val="nil"/>
            </w:tcBorders>
            <w:shd w:val="clear" w:color="auto" w:fill="auto"/>
            <w:hideMark/>
          </w:tcPr>
          <w:p w14:paraId="4CA0E430" w14:textId="77777777" w:rsidR="00E8455B" w:rsidRPr="002E6C7E" w:rsidRDefault="00E8455B" w:rsidP="0004720B">
            <w:pPr>
              <w:pStyle w:val="Tabletext"/>
              <w:jc w:val="right"/>
              <w:rPr>
                <w:lang w:eastAsia="en-GB"/>
              </w:rPr>
            </w:pPr>
            <w:r w:rsidRPr="002E6C7E">
              <w:rPr>
                <w:lang w:eastAsia="en-GB"/>
              </w:rPr>
              <w:t>23.5</w:t>
            </w:r>
          </w:p>
        </w:tc>
        <w:tc>
          <w:tcPr>
            <w:tcW w:w="1640" w:type="dxa"/>
            <w:tcBorders>
              <w:top w:val="nil"/>
              <w:left w:val="nil"/>
              <w:bottom w:val="nil"/>
              <w:right w:val="nil"/>
            </w:tcBorders>
            <w:shd w:val="clear" w:color="auto" w:fill="auto"/>
            <w:hideMark/>
          </w:tcPr>
          <w:p w14:paraId="535EF215" w14:textId="77777777" w:rsidR="00E8455B" w:rsidRPr="002E6C7E" w:rsidRDefault="00E8455B" w:rsidP="0004720B">
            <w:pPr>
              <w:pStyle w:val="Tabletext"/>
              <w:jc w:val="right"/>
              <w:rPr>
                <w:lang w:eastAsia="en-GB"/>
              </w:rPr>
            </w:pPr>
            <w:r w:rsidRPr="002E6C7E">
              <w:rPr>
                <w:lang w:eastAsia="en-GB"/>
              </w:rPr>
              <w:t>19.3</w:t>
            </w:r>
          </w:p>
        </w:tc>
      </w:tr>
      <w:tr w:rsidR="00E8455B" w:rsidRPr="002E6C7E" w14:paraId="150256D7" w14:textId="77777777" w:rsidTr="00C368DB">
        <w:trPr>
          <w:trHeight w:val="300"/>
        </w:trPr>
        <w:tc>
          <w:tcPr>
            <w:tcW w:w="4020" w:type="dxa"/>
            <w:tcBorders>
              <w:top w:val="nil"/>
              <w:left w:val="nil"/>
              <w:bottom w:val="nil"/>
              <w:right w:val="nil"/>
            </w:tcBorders>
            <w:shd w:val="clear" w:color="auto" w:fill="auto"/>
            <w:noWrap/>
            <w:vAlign w:val="bottom"/>
            <w:hideMark/>
          </w:tcPr>
          <w:p w14:paraId="6E2C192D" w14:textId="77777777" w:rsidR="00E8455B" w:rsidRPr="002E6C7E" w:rsidRDefault="00E8455B" w:rsidP="0004720B">
            <w:pPr>
              <w:pStyle w:val="Tabletext"/>
              <w:rPr>
                <w:lang w:eastAsia="en-GB"/>
              </w:rPr>
            </w:pPr>
            <w:r w:rsidRPr="002E6C7E">
              <w:rPr>
                <w:lang w:eastAsia="en-GB"/>
              </w:rPr>
              <w:t>Father's highest education level</w:t>
            </w:r>
          </w:p>
        </w:tc>
        <w:tc>
          <w:tcPr>
            <w:tcW w:w="1640" w:type="dxa"/>
            <w:tcBorders>
              <w:top w:val="nil"/>
              <w:left w:val="nil"/>
              <w:bottom w:val="nil"/>
              <w:right w:val="nil"/>
            </w:tcBorders>
            <w:shd w:val="clear" w:color="auto" w:fill="auto"/>
            <w:noWrap/>
            <w:vAlign w:val="bottom"/>
            <w:hideMark/>
          </w:tcPr>
          <w:p w14:paraId="2CCEB2E2"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10B1525C"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7DB1471E" w14:textId="77777777" w:rsidR="00E8455B" w:rsidRPr="002E6C7E" w:rsidRDefault="00E8455B" w:rsidP="0004720B">
            <w:pPr>
              <w:pStyle w:val="Tabletext"/>
              <w:jc w:val="right"/>
              <w:rPr>
                <w:lang w:eastAsia="en-GB"/>
              </w:rPr>
            </w:pPr>
          </w:p>
        </w:tc>
      </w:tr>
      <w:tr w:rsidR="00E8455B" w:rsidRPr="002E6C7E" w14:paraId="111AECB1" w14:textId="77777777" w:rsidTr="00C368DB">
        <w:trPr>
          <w:trHeight w:val="300"/>
        </w:trPr>
        <w:tc>
          <w:tcPr>
            <w:tcW w:w="4020" w:type="dxa"/>
            <w:tcBorders>
              <w:top w:val="nil"/>
              <w:left w:val="nil"/>
              <w:bottom w:val="nil"/>
              <w:right w:val="nil"/>
            </w:tcBorders>
            <w:shd w:val="clear" w:color="auto" w:fill="auto"/>
            <w:noWrap/>
            <w:vAlign w:val="bottom"/>
            <w:hideMark/>
          </w:tcPr>
          <w:p w14:paraId="15CA4336" w14:textId="77777777" w:rsidR="00E8455B" w:rsidRPr="002E6C7E" w:rsidRDefault="00E8455B" w:rsidP="0004720B">
            <w:pPr>
              <w:pStyle w:val="Tabletext"/>
              <w:rPr>
                <w:i/>
                <w:iCs/>
                <w:lang w:eastAsia="en-GB"/>
              </w:rPr>
            </w:pPr>
            <w:r w:rsidRPr="002E6C7E">
              <w:rPr>
                <w:i/>
                <w:iCs/>
                <w:lang w:eastAsia="en-GB"/>
              </w:rPr>
              <w:t xml:space="preserve">    University degree</w:t>
            </w:r>
          </w:p>
        </w:tc>
        <w:tc>
          <w:tcPr>
            <w:tcW w:w="1640" w:type="dxa"/>
            <w:tcBorders>
              <w:top w:val="nil"/>
              <w:left w:val="nil"/>
              <w:bottom w:val="nil"/>
              <w:right w:val="nil"/>
            </w:tcBorders>
            <w:shd w:val="clear" w:color="auto" w:fill="auto"/>
            <w:hideMark/>
          </w:tcPr>
          <w:p w14:paraId="0B811E93" w14:textId="77777777" w:rsidR="00E8455B" w:rsidRPr="002E6C7E" w:rsidRDefault="00E8455B" w:rsidP="0004720B">
            <w:pPr>
              <w:pStyle w:val="Tabletext"/>
              <w:jc w:val="right"/>
              <w:rPr>
                <w:lang w:eastAsia="en-GB"/>
              </w:rPr>
            </w:pPr>
            <w:r w:rsidRPr="002E6C7E">
              <w:rPr>
                <w:lang w:eastAsia="en-GB"/>
              </w:rPr>
              <w:t>0.117</w:t>
            </w:r>
          </w:p>
        </w:tc>
        <w:tc>
          <w:tcPr>
            <w:tcW w:w="1640" w:type="dxa"/>
            <w:tcBorders>
              <w:top w:val="nil"/>
              <w:left w:val="nil"/>
              <w:bottom w:val="nil"/>
              <w:right w:val="nil"/>
            </w:tcBorders>
            <w:shd w:val="clear" w:color="auto" w:fill="auto"/>
            <w:hideMark/>
          </w:tcPr>
          <w:p w14:paraId="737EAA77" w14:textId="77777777" w:rsidR="00E8455B" w:rsidRPr="002E6C7E" w:rsidRDefault="00E8455B" w:rsidP="0004720B">
            <w:pPr>
              <w:pStyle w:val="Tabletext"/>
              <w:jc w:val="right"/>
              <w:rPr>
                <w:lang w:eastAsia="en-GB"/>
              </w:rPr>
            </w:pPr>
            <w:r w:rsidRPr="002E6C7E">
              <w:rPr>
                <w:lang w:eastAsia="en-GB"/>
              </w:rPr>
              <w:t>0.287</w:t>
            </w:r>
          </w:p>
        </w:tc>
        <w:tc>
          <w:tcPr>
            <w:tcW w:w="1640" w:type="dxa"/>
            <w:tcBorders>
              <w:top w:val="nil"/>
              <w:left w:val="nil"/>
              <w:bottom w:val="nil"/>
              <w:right w:val="nil"/>
            </w:tcBorders>
            <w:shd w:val="clear" w:color="auto" w:fill="auto"/>
            <w:hideMark/>
          </w:tcPr>
          <w:p w14:paraId="5D5E98DB" w14:textId="77777777" w:rsidR="00E8455B" w:rsidRPr="002E6C7E" w:rsidRDefault="00E8455B" w:rsidP="0004720B">
            <w:pPr>
              <w:pStyle w:val="Tabletext"/>
              <w:jc w:val="right"/>
              <w:rPr>
                <w:lang w:eastAsia="en-GB"/>
              </w:rPr>
            </w:pPr>
            <w:r w:rsidRPr="002E6C7E">
              <w:rPr>
                <w:lang w:eastAsia="en-GB"/>
              </w:rPr>
              <w:t>0.333</w:t>
            </w:r>
          </w:p>
        </w:tc>
      </w:tr>
      <w:tr w:rsidR="00E8455B" w:rsidRPr="002E6C7E" w14:paraId="791BCAE8" w14:textId="77777777" w:rsidTr="00C368DB">
        <w:trPr>
          <w:trHeight w:val="300"/>
        </w:trPr>
        <w:tc>
          <w:tcPr>
            <w:tcW w:w="4020" w:type="dxa"/>
            <w:tcBorders>
              <w:top w:val="nil"/>
              <w:left w:val="nil"/>
              <w:bottom w:val="nil"/>
              <w:right w:val="nil"/>
            </w:tcBorders>
            <w:shd w:val="clear" w:color="auto" w:fill="auto"/>
            <w:noWrap/>
            <w:vAlign w:val="bottom"/>
            <w:hideMark/>
          </w:tcPr>
          <w:p w14:paraId="50F701B0" w14:textId="77777777" w:rsidR="00E8455B" w:rsidRPr="002E6C7E" w:rsidRDefault="00E8455B" w:rsidP="0004720B">
            <w:pPr>
              <w:pStyle w:val="Tabletext"/>
              <w:rPr>
                <w:i/>
                <w:iCs/>
                <w:lang w:eastAsia="en-GB"/>
              </w:rPr>
            </w:pPr>
            <w:r w:rsidRPr="002E6C7E">
              <w:rPr>
                <w:i/>
                <w:iCs/>
                <w:lang w:eastAsia="en-GB"/>
              </w:rPr>
              <w:t xml:space="preserve">    VET degree</w:t>
            </w:r>
          </w:p>
        </w:tc>
        <w:tc>
          <w:tcPr>
            <w:tcW w:w="1640" w:type="dxa"/>
            <w:tcBorders>
              <w:top w:val="nil"/>
              <w:left w:val="nil"/>
              <w:bottom w:val="nil"/>
              <w:right w:val="nil"/>
            </w:tcBorders>
            <w:shd w:val="clear" w:color="auto" w:fill="auto"/>
            <w:hideMark/>
          </w:tcPr>
          <w:p w14:paraId="2F08B067" w14:textId="77777777" w:rsidR="00E8455B" w:rsidRPr="002E6C7E" w:rsidRDefault="00E8455B" w:rsidP="0004720B">
            <w:pPr>
              <w:pStyle w:val="Tabletext"/>
              <w:jc w:val="right"/>
              <w:rPr>
                <w:lang w:eastAsia="en-GB"/>
              </w:rPr>
            </w:pPr>
            <w:r w:rsidRPr="002E6C7E">
              <w:rPr>
                <w:lang w:eastAsia="en-GB"/>
              </w:rPr>
              <w:t>0.381</w:t>
            </w:r>
          </w:p>
        </w:tc>
        <w:tc>
          <w:tcPr>
            <w:tcW w:w="1640" w:type="dxa"/>
            <w:tcBorders>
              <w:top w:val="nil"/>
              <w:left w:val="nil"/>
              <w:bottom w:val="nil"/>
              <w:right w:val="nil"/>
            </w:tcBorders>
            <w:shd w:val="clear" w:color="auto" w:fill="auto"/>
            <w:hideMark/>
          </w:tcPr>
          <w:p w14:paraId="7B6435BB" w14:textId="77777777" w:rsidR="00E8455B" w:rsidRPr="002E6C7E" w:rsidRDefault="00E8455B" w:rsidP="0004720B">
            <w:pPr>
              <w:pStyle w:val="Tabletext"/>
              <w:jc w:val="right"/>
              <w:rPr>
                <w:lang w:eastAsia="en-GB"/>
              </w:rPr>
            </w:pPr>
            <w:r w:rsidRPr="002E6C7E">
              <w:rPr>
                <w:lang w:eastAsia="en-GB"/>
              </w:rPr>
              <w:t>0.338</w:t>
            </w:r>
          </w:p>
        </w:tc>
        <w:tc>
          <w:tcPr>
            <w:tcW w:w="1640" w:type="dxa"/>
            <w:tcBorders>
              <w:top w:val="nil"/>
              <w:left w:val="nil"/>
              <w:bottom w:val="nil"/>
              <w:right w:val="nil"/>
            </w:tcBorders>
            <w:shd w:val="clear" w:color="auto" w:fill="auto"/>
            <w:hideMark/>
          </w:tcPr>
          <w:p w14:paraId="4E6E50BA" w14:textId="77777777" w:rsidR="00E8455B" w:rsidRPr="002E6C7E" w:rsidRDefault="00E8455B" w:rsidP="0004720B">
            <w:pPr>
              <w:pStyle w:val="Tabletext"/>
              <w:jc w:val="right"/>
              <w:rPr>
                <w:lang w:eastAsia="en-GB"/>
              </w:rPr>
            </w:pPr>
            <w:r w:rsidRPr="002E6C7E">
              <w:rPr>
                <w:lang w:eastAsia="en-GB"/>
              </w:rPr>
              <w:t>0.287</w:t>
            </w:r>
          </w:p>
        </w:tc>
      </w:tr>
      <w:tr w:rsidR="00E8455B" w:rsidRPr="002E6C7E" w14:paraId="20F261C0" w14:textId="77777777" w:rsidTr="00C368DB">
        <w:trPr>
          <w:trHeight w:val="300"/>
        </w:trPr>
        <w:tc>
          <w:tcPr>
            <w:tcW w:w="4020" w:type="dxa"/>
            <w:tcBorders>
              <w:top w:val="nil"/>
              <w:left w:val="nil"/>
              <w:bottom w:val="nil"/>
              <w:right w:val="nil"/>
            </w:tcBorders>
            <w:shd w:val="clear" w:color="auto" w:fill="auto"/>
            <w:noWrap/>
            <w:vAlign w:val="bottom"/>
            <w:hideMark/>
          </w:tcPr>
          <w:p w14:paraId="3A44103B" w14:textId="77777777" w:rsidR="00E8455B" w:rsidRPr="002E6C7E" w:rsidRDefault="00E8455B" w:rsidP="0004720B">
            <w:pPr>
              <w:pStyle w:val="Tabletext"/>
              <w:rPr>
                <w:i/>
                <w:iCs/>
                <w:lang w:eastAsia="en-GB"/>
              </w:rPr>
            </w:pPr>
            <w:r w:rsidRPr="002E6C7E">
              <w:rPr>
                <w:i/>
                <w:iCs/>
                <w:lang w:eastAsia="en-GB"/>
              </w:rPr>
              <w:t xml:space="preserve">    Year 12</w:t>
            </w:r>
          </w:p>
        </w:tc>
        <w:tc>
          <w:tcPr>
            <w:tcW w:w="1640" w:type="dxa"/>
            <w:tcBorders>
              <w:top w:val="nil"/>
              <w:left w:val="nil"/>
              <w:bottom w:val="nil"/>
              <w:right w:val="nil"/>
            </w:tcBorders>
            <w:shd w:val="clear" w:color="auto" w:fill="auto"/>
            <w:hideMark/>
          </w:tcPr>
          <w:p w14:paraId="602F7B47" w14:textId="77777777" w:rsidR="00E8455B" w:rsidRPr="002E6C7E" w:rsidRDefault="00E8455B" w:rsidP="0004720B">
            <w:pPr>
              <w:pStyle w:val="Tabletext"/>
              <w:jc w:val="right"/>
              <w:rPr>
                <w:lang w:eastAsia="en-GB"/>
              </w:rPr>
            </w:pPr>
            <w:r w:rsidRPr="002E6C7E">
              <w:rPr>
                <w:lang w:eastAsia="en-GB"/>
              </w:rPr>
              <w:t>0.059</w:t>
            </w:r>
          </w:p>
        </w:tc>
        <w:tc>
          <w:tcPr>
            <w:tcW w:w="1640" w:type="dxa"/>
            <w:tcBorders>
              <w:top w:val="nil"/>
              <w:left w:val="nil"/>
              <w:bottom w:val="nil"/>
              <w:right w:val="nil"/>
            </w:tcBorders>
            <w:shd w:val="clear" w:color="auto" w:fill="auto"/>
            <w:hideMark/>
          </w:tcPr>
          <w:p w14:paraId="18993673" w14:textId="77777777" w:rsidR="00E8455B" w:rsidRPr="002E6C7E" w:rsidRDefault="00E8455B" w:rsidP="0004720B">
            <w:pPr>
              <w:pStyle w:val="Tabletext"/>
              <w:jc w:val="right"/>
              <w:rPr>
                <w:lang w:eastAsia="en-GB"/>
              </w:rPr>
            </w:pPr>
            <w:r w:rsidRPr="002E6C7E">
              <w:rPr>
                <w:lang w:eastAsia="en-GB"/>
              </w:rPr>
              <w:t>0.061</w:t>
            </w:r>
          </w:p>
        </w:tc>
        <w:tc>
          <w:tcPr>
            <w:tcW w:w="1640" w:type="dxa"/>
            <w:tcBorders>
              <w:top w:val="nil"/>
              <w:left w:val="nil"/>
              <w:bottom w:val="nil"/>
              <w:right w:val="nil"/>
            </w:tcBorders>
            <w:shd w:val="clear" w:color="auto" w:fill="auto"/>
            <w:hideMark/>
          </w:tcPr>
          <w:p w14:paraId="48CAA395" w14:textId="77777777" w:rsidR="00E8455B" w:rsidRPr="002E6C7E" w:rsidRDefault="00E8455B" w:rsidP="0004720B">
            <w:pPr>
              <w:pStyle w:val="Tabletext"/>
              <w:jc w:val="right"/>
              <w:rPr>
                <w:lang w:eastAsia="en-GB"/>
              </w:rPr>
            </w:pPr>
            <w:r w:rsidRPr="002E6C7E">
              <w:rPr>
                <w:lang w:eastAsia="en-GB"/>
              </w:rPr>
              <w:t>0.078</w:t>
            </w:r>
          </w:p>
        </w:tc>
      </w:tr>
      <w:tr w:rsidR="00E8455B" w:rsidRPr="002E6C7E" w14:paraId="4F4C519F" w14:textId="77777777" w:rsidTr="00C368DB">
        <w:trPr>
          <w:trHeight w:val="300"/>
        </w:trPr>
        <w:tc>
          <w:tcPr>
            <w:tcW w:w="4020" w:type="dxa"/>
            <w:tcBorders>
              <w:top w:val="nil"/>
              <w:left w:val="nil"/>
              <w:bottom w:val="nil"/>
              <w:right w:val="nil"/>
            </w:tcBorders>
            <w:shd w:val="clear" w:color="auto" w:fill="auto"/>
            <w:noWrap/>
            <w:vAlign w:val="bottom"/>
            <w:hideMark/>
          </w:tcPr>
          <w:p w14:paraId="0D9CB554" w14:textId="77777777" w:rsidR="00E8455B" w:rsidRPr="002E6C7E" w:rsidRDefault="00E8455B" w:rsidP="0004720B">
            <w:pPr>
              <w:pStyle w:val="Tabletext"/>
              <w:rPr>
                <w:i/>
                <w:iCs/>
                <w:lang w:eastAsia="en-GB"/>
              </w:rPr>
            </w:pPr>
            <w:r w:rsidRPr="002E6C7E">
              <w:rPr>
                <w:i/>
                <w:iCs/>
                <w:lang w:eastAsia="en-GB"/>
              </w:rPr>
              <w:t xml:space="preserve">    Year 11 or lower</w:t>
            </w:r>
          </w:p>
        </w:tc>
        <w:tc>
          <w:tcPr>
            <w:tcW w:w="1640" w:type="dxa"/>
            <w:tcBorders>
              <w:top w:val="nil"/>
              <w:left w:val="nil"/>
              <w:bottom w:val="nil"/>
              <w:right w:val="nil"/>
            </w:tcBorders>
            <w:shd w:val="clear" w:color="auto" w:fill="auto"/>
            <w:hideMark/>
          </w:tcPr>
          <w:p w14:paraId="4FE5224B" w14:textId="77777777" w:rsidR="00E8455B" w:rsidRPr="002E6C7E" w:rsidRDefault="00E8455B" w:rsidP="0004720B">
            <w:pPr>
              <w:pStyle w:val="Tabletext"/>
              <w:jc w:val="right"/>
              <w:rPr>
                <w:lang w:eastAsia="en-GB"/>
              </w:rPr>
            </w:pPr>
            <w:r w:rsidRPr="002E6C7E">
              <w:rPr>
                <w:lang w:eastAsia="en-GB"/>
              </w:rPr>
              <w:t>0.334</w:t>
            </w:r>
          </w:p>
        </w:tc>
        <w:tc>
          <w:tcPr>
            <w:tcW w:w="1640" w:type="dxa"/>
            <w:tcBorders>
              <w:top w:val="nil"/>
              <w:left w:val="nil"/>
              <w:bottom w:val="nil"/>
              <w:right w:val="nil"/>
            </w:tcBorders>
            <w:shd w:val="clear" w:color="auto" w:fill="auto"/>
            <w:hideMark/>
          </w:tcPr>
          <w:p w14:paraId="24617BBA" w14:textId="77777777" w:rsidR="00E8455B" w:rsidRPr="002E6C7E" w:rsidRDefault="00E8455B" w:rsidP="0004720B">
            <w:pPr>
              <w:pStyle w:val="Tabletext"/>
              <w:jc w:val="right"/>
              <w:rPr>
                <w:lang w:eastAsia="en-GB"/>
              </w:rPr>
            </w:pPr>
            <w:r w:rsidRPr="002E6C7E">
              <w:rPr>
                <w:lang w:eastAsia="en-GB"/>
              </w:rPr>
              <w:t>0.271</w:t>
            </w:r>
          </w:p>
        </w:tc>
        <w:tc>
          <w:tcPr>
            <w:tcW w:w="1640" w:type="dxa"/>
            <w:tcBorders>
              <w:top w:val="nil"/>
              <w:left w:val="nil"/>
              <w:bottom w:val="nil"/>
              <w:right w:val="nil"/>
            </w:tcBorders>
            <w:shd w:val="clear" w:color="auto" w:fill="auto"/>
            <w:hideMark/>
          </w:tcPr>
          <w:p w14:paraId="4AD4584D" w14:textId="77777777" w:rsidR="00E8455B" w:rsidRPr="002E6C7E" w:rsidRDefault="00E8455B" w:rsidP="0004720B">
            <w:pPr>
              <w:pStyle w:val="Tabletext"/>
              <w:jc w:val="right"/>
              <w:rPr>
                <w:lang w:eastAsia="en-GB"/>
              </w:rPr>
            </w:pPr>
            <w:r w:rsidRPr="002E6C7E">
              <w:rPr>
                <w:lang w:eastAsia="en-GB"/>
              </w:rPr>
              <w:t>0.247</w:t>
            </w:r>
          </w:p>
        </w:tc>
      </w:tr>
      <w:tr w:rsidR="00E8455B" w:rsidRPr="002E6C7E" w14:paraId="1B86294B" w14:textId="77777777" w:rsidTr="00C368DB">
        <w:trPr>
          <w:trHeight w:val="300"/>
        </w:trPr>
        <w:tc>
          <w:tcPr>
            <w:tcW w:w="4020" w:type="dxa"/>
            <w:tcBorders>
              <w:top w:val="nil"/>
              <w:left w:val="nil"/>
              <w:bottom w:val="nil"/>
              <w:right w:val="nil"/>
            </w:tcBorders>
            <w:shd w:val="clear" w:color="auto" w:fill="auto"/>
            <w:noWrap/>
            <w:vAlign w:val="bottom"/>
            <w:hideMark/>
          </w:tcPr>
          <w:p w14:paraId="3DE41DD3" w14:textId="77777777" w:rsidR="00E8455B" w:rsidRPr="002E6C7E" w:rsidRDefault="00E8455B" w:rsidP="0004720B">
            <w:pPr>
              <w:pStyle w:val="Tabletext"/>
              <w:rPr>
                <w:i/>
                <w:iCs/>
                <w:lang w:eastAsia="en-GB"/>
              </w:rPr>
            </w:pPr>
            <w:r w:rsidRPr="002E6C7E">
              <w:rPr>
                <w:i/>
                <w:iCs/>
                <w:lang w:eastAsia="en-GB"/>
              </w:rPr>
              <w:t xml:space="preserve">    Missing</w:t>
            </w:r>
          </w:p>
        </w:tc>
        <w:tc>
          <w:tcPr>
            <w:tcW w:w="1640" w:type="dxa"/>
            <w:tcBorders>
              <w:top w:val="nil"/>
              <w:left w:val="nil"/>
              <w:bottom w:val="nil"/>
              <w:right w:val="nil"/>
            </w:tcBorders>
            <w:shd w:val="clear" w:color="auto" w:fill="auto"/>
            <w:hideMark/>
          </w:tcPr>
          <w:p w14:paraId="7358F20E" w14:textId="77777777" w:rsidR="00E8455B" w:rsidRPr="002E6C7E" w:rsidRDefault="00E8455B" w:rsidP="0004720B">
            <w:pPr>
              <w:pStyle w:val="Tabletext"/>
              <w:jc w:val="right"/>
              <w:rPr>
                <w:lang w:eastAsia="en-GB"/>
              </w:rPr>
            </w:pPr>
            <w:r w:rsidRPr="002E6C7E">
              <w:rPr>
                <w:lang w:eastAsia="en-GB"/>
              </w:rPr>
              <w:t>0.109</w:t>
            </w:r>
          </w:p>
        </w:tc>
        <w:tc>
          <w:tcPr>
            <w:tcW w:w="1640" w:type="dxa"/>
            <w:tcBorders>
              <w:top w:val="nil"/>
              <w:left w:val="nil"/>
              <w:bottom w:val="nil"/>
              <w:right w:val="nil"/>
            </w:tcBorders>
            <w:shd w:val="clear" w:color="auto" w:fill="auto"/>
            <w:hideMark/>
          </w:tcPr>
          <w:p w14:paraId="364AEB16" w14:textId="77777777" w:rsidR="00E8455B" w:rsidRPr="002E6C7E" w:rsidRDefault="00E8455B" w:rsidP="0004720B">
            <w:pPr>
              <w:pStyle w:val="Tabletext"/>
              <w:jc w:val="right"/>
              <w:rPr>
                <w:lang w:eastAsia="en-GB"/>
              </w:rPr>
            </w:pPr>
            <w:r w:rsidRPr="002E6C7E">
              <w:rPr>
                <w:lang w:eastAsia="en-GB"/>
              </w:rPr>
              <w:t>0.044</w:t>
            </w:r>
          </w:p>
        </w:tc>
        <w:tc>
          <w:tcPr>
            <w:tcW w:w="1640" w:type="dxa"/>
            <w:tcBorders>
              <w:top w:val="nil"/>
              <w:left w:val="nil"/>
              <w:bottom w:val="nil"/>
              <w:right w:val="nil"/>
            </w:tcBorders>
            <w:shd w:val="clear" w:color="auto" w:fill="auto"/>
            <w:hideMark/>
          </w:tcPr>
          <w:p w14:paraId="73298953" w14:textId="77777777" w:rsidR="00E8455B" w:rsidRPr="002E6C7E" w:rsidRDefault="00E8455B" w:rsidP="0004720B">
            <w:pPr>
              <w:pStyle w:val="Tabletext"/>
              <w:jc w:val="right"/>
              <w:rPr>
                <w:lang w:eastAsia="en-GB"/>
              </w:rPr>
            </w:pPr>
            <w:r w:rsidRPr="002E6C7E">
              <w:rPr>
                <w:lang w:eastAsia="en-GB"/>
              </w:rPr>
              <w:t>0.056</w:t>
            </w:r>
          </w:p>
        </w:tc>
      </w:tr>
      <w:tr w:rsidR="00E8455B" w:rsidRPr="002E6C7E" w14:paraId="4B95C90D" w14:textId="77777777" w:rsidTr="00C368DB">
        <w:trPr>
          <w:trHeight w:val="300"/>
        </w:trPr>
        <w:tc>
          <w:tcPr>
            <w:tcW w:w="4020" w:type="dxa"/>
            <w:tcBorders>
              <w:top w:val="nil"/>
              <w:left w:val="nil"/>
              <w:bottom w:val="nil"/>
              <w:right w:val="nil"/>
            </w:tcBorders>
            <w:shd w:val="clear" w:color="auto" w:fill="auto"/>
            <w:noWrap/>
            <w:vAlign w:val="bottom"/>
            <w:hideMark/>
          </w:tcPr>
          <w:p w14:paraId="04EAEAB5" w14:textId="77777777" w:rsidR="00E8455B" w:rsidRPr="002E6C7E" w:rsidRDefault="00E8455B" w:rsidP="0004720B">
            <w:pPr>
              <w:pStyle w:val="Tabletext"/>
              <w:rPr>
                <w:lang w:eastAsia="en-GB"/>
              </w:rPr>
            </w:pPr>
            <w:r w:rsidRPr="002E6C7E">
              <w:rPr>
                <w:lang w:eastAsia="en-GB"/>
              </w:rPr>
              <w:t>Father in paid employment when 14</w:t>
            </w:r>
          </w:p>
        </w:tc>
        <w:tc>
          <w:tcPr>
            <w:tcW w:w="1640" w:type="dxa"/>
            <w:tcBorders>
              <w:top w:val="nil"/>
              <w:left w:val="nil"/>
              <w:bottom w:val="nil"/>
              <w:right w:val="nil"/>
            </w:tcBorders>
            <w:shd w:val="clear" w:color="auto" w:fill="auto"/>
            <w:hideMark/>
          </w:tcPr>
          <w:p w14:paraId="433AC7AB" w14:textId="77777777" w:rsidR="00E8455B" w:rsidRPr="002E6C7E" w:rsidRDefault="00E8455B" w:rsidP="0004720B">
            <w:pPr>
              <w:pStyle w:val="Tabletext"/>
              <w:jc w:val="right"/>
              <w:rPr>
                <w:lang w:eastAsia="en-GB"/>
              </w:rPr>
            </w:pPr>
            <w:r w:rsidRPr="002E6C7E">
              <w:rPr>
                <w:lang w:eastAsia="en-GB"/>
              </w:rPr>
              <w:t>0.910</w:t>
            </w:r>
          </w:p>
        </w:tc>
        <w:tc>
          <w:tcPr>
            <w:tcW w:w="1640" w:type="dxa"/>
            <w:tcBorders>
              <w:top w:val="nil"/>
              <w:left w:val="nil"/>
              <w:bottom w:val="nil"/>
              <w:right w:val="nil"/>
            </w:tcBorders>
            <w:shd w:val="clear" w:color="auto" w:fill="auto"/>
            <w:hideMark/>
          </w:tcPr>
          <w:p w14:paraId="410AC184" w14:textId="77777777" w:rsidR="00E8455B" w:rsidRPr="002E6C7E" w:rsidRDefault="00E8455B" w:rsidP="0004720B">
            <w:pPr>
              <w:pStyle w:val="Tabletext"/>
              <w:jc w:val="right"/>
              <w:rPr>
                <w:lang w:eastAsia="en-GB"/>
              </w:rPr>
            </w:pPr>
            <w:r w:rsidRPr="002E6C7E">
              <w:rPr>
                <w:lang w:eastAsia="en-GB"/>
              </w:rPr>
              <w:t>0.914</w:t>
            </w:r>
          </w:p>
        </w:tc>
        <w:tc>
          <w:tcPr>
            <w:tcW w:w="1640" w:type="dxa"/>
            <w:tcBorders>
              <w:top w:val="nil"/>
              <w:left w:val="nil"/>
              <w:bottom w:val="nil"/>
              <w:right w:val="nil"/>
            </w:tcBorders>
            <w:shd w:val="clear" w:color="auto" w:fill="auto"/>
            <w:hideMark/>
          </w:tcPr>
          <w:p w14:paraId="54AEA8FD" w14:textId="77777777" w:rsidR="00E8455B" w:rsidRPr="002E6C7E" w:rsidRDefault="00E8455B" w:rsidP="0004720B">
            <w:pPr>
              <w:pStyle w:val="Tabletext"/>
              <w:jc w:val="right"/>
              <w:rPr>
                <w:lang w:eastAsia="en-GB"/>
              </w:rPr>
            </w:pPr>
            <w:r w:rsidRPr="002E6C7E">
              <w:rPr>
                <w:lang w:eastAsia="en-GB"/>
              </w:rPr>
              <w:t>0.925</w:t>
            </w:r>
          </w:p>
        </w:tc>
      </w:tr>
      <w:tr w:rsidR="00E8455B" w:rsidRPr="002E6C7E" w14:paraId="66C92D1F" w14:textId="77777777" w:rsidTr="00C368DB">
        <w:trPr>
          <w:trHeight w:val="300"/>
        </w:trPr>
        <w:tc>
          <w:tcPr>
            <w:tcW w:w="4020" w:type="dxa"/>
            <w:tcBorders>
              <w:top w:val="nil"/>
              <w:left w:val="nil"/>
              <w:bottom w:val="nil"/>
              <w:right w:val="nil"/>
            </w:tcBorders>
            <w:shd w:val="clear" w:color="auto" w:fill="auto"/>
            <w:noWrap/>
            <w:vAlign w:val="bottom"/>
            <w:hideMark/>
          </w:tcPr>
          <w:p w14:paraId="4C4EDB14" w14:textId="77777777" w:rsidR="00E8455B" w:rsidRPr="002E6C7E" w:rsidRDefault="00E8455B" w:rsidP="0004720B">
            <w:pPr>
              <w:pStyle w:val="Tabletext"/>
              <w:rPr>
                <w:lang w:eastAsia="en-GB"/>
              </w:rPr>
            </w:pPr>
            <w:r w:rsidRPr="002E6C7E">
              <w:rPr>
                <w:lang w:eastAsia="en-GB"/>
              </w:rPr>
              <w:t xml:space="preserve">Father </w:t>
            </w:r>
            <w:proofErr w:type="spellStart"/>
            <w:r w:rsidRPr="002E6C7E">
              <w:rPr>
                <w:lang w:eastAsia="en-GB"/>
              </w:rPr>
              <w:t>unemployd</w:t>
            </w:r>
            <w:proofErr w:type="spellEnd"/>
            <w:r w:rsidRPr="002E6C7E">
              <w:rPr>
                <w:lang w:eastAsia="en-GB"/>
              </w:rPr>
              <w:t xml:space="preserve"> for more than 6 months</w:t>
            </w:r>
          </w:p>
        </w:tc>
        <w:tc>
          <w:tcPr>
            <w:tcW w:w="1640" w:type="dxa"/>
            <w:tcBorders>
              <w:top w:val="nil"/>
              <w:left w:val="nil"/>
              <w:bottom w:val="nil"/>
              <w:right w:val="nil"/>
            </w:tcBorders>
            <w:shd w:val="clear" w:color="auto" w:fill="auto"/>
            <w:hideMark/>
          </w:tcPr>
          <w:p w14:paraId="08376290" w14:textId="77777777" w:rsidR="00E8455B" w:rsidRPr="002E6C7E" w:rsidRDefault="00E8455B" w:rsidP="0004720B">
            <w:pPr>
              <w:pStyle w:val="Tabletext"/>
              <w:jc w:val="right"/>
              <w:rPr>
                <w:lang w:eastAsia="en-GB"/>
              </w:rPr>
            </w:pPr>
            <w:r w:rsidRPr="002E6C7E">
              <w:rPr>
                <w:lang w:eastAsia="en-GB"/>
              </w:rPr>
              <w:t>0.096</w:t>
            </w:r>
          </w:p>
        </w:tc>
        <w:tc>
          <w:tcPr>
            <w:tcW w:w="1640" w:type="dxa"/>
            <w:tcBorders>
              <w:top w:val="nil"/>
              <w:left w:val="nil"/>
              <w:bottom w:val="nil"/>
              <w:right w:val="nil"/>
            </w:tcBorders>
            <w:shd w:val="clear" w:color="auto" w:fill="auto"/>
            <w:hideMark/>
          </w:tcPr>
          <w:p w14:paraId="4FCCEF0D" w14:textId="77777777" w:rsidR="00E8455B" w:rsidRPr="002E6C7E" w:rsidRDefault="00E8455B" w:rsidP="0004720B">
            <w:pPr>
              <w:pStyle w:val="Tabletext"/>
              <w:jc w:val="right"/>
              <w:rPr>
                <w:lang w:eastAsia="en-GB"/>
              </w:rPr>
            </w:pPr>
            <w:r w:rsidRPr="002E6C7E">
              <w:rPr>
                <w:lang w:eastAsia="en-GB"/>
              </w:rPr>
              <w:t>0.099</w:t>
            </w:r>
          </w:p>
        </w:tc>
        <w:tc>
          <w:tcPr>
            <w:tcW w:w="1640" w:type="dxa"/>
            <w:tcBorders>
              <w:top w:val="nil"/>
              <w:left w:val="nil"/>
              <w:bottom w:val="nil"/>
              <w:right w:val="nil"/>
            </w:tcBorders>
            <w:shd w:val="clear" w:color="auto" w:fill="auto"/>
            <w:hideMark/>
          </w:tcPr>
          <w:p w14:paraId="03FB9D2B" w14:textId="77777777" w:rsidR="00E8455B" w:rsidRPr="002E6C7E" w:rsidRDefault="00E8455B" w:rsidP="0004720B">
            <w:pPr>
              <w:pStyle w:val="Tabletext"/>
              <w:jc w:val="right"/>
              <w:rPr>
                <w:lang w:eastAsia="en-GB"/>
              </w:rPr>
            </w:pPr>
            <w:r w:rsidRPr="002E6C7E">
              <w:rPr>
                <w:lang w:eastAsia="en-GB"/>
              </w:rPr>
              <w:t>0.114</w:t>
            </w:r>
          </w:p>
        </w:tc>
      </w:tr>
      <w:tr w:rsidR="00E8455B" w:rsidRPr="002E6C7E" w14:paraId="4442985E" w14:textId="77777777" w:rsidTr="00C368DB">
        <w:trPr>
          <w:trHeight w:val="300"/>
        </w:trPr>
        <w:tc>
          <w:tcPr>
            <w:tcW w:w="4020" w:type="dxa"/>
            <w:tcBorders>
              <w:top w:val="nil"/>
              <w:left w:val="nil"/>
              <w:bottom w:val="nil"/>
              <w:right w:val="nil"/>
            </w:tcBorders>
            <w:shd w:val="clear" w:color="auto" w:fill="auto"/>
            <w:noWrap/>
            <w:vAlign w:val="bottom"/>
            <w:hideMark/>
          </w:tcPr>
          <w:p w14:paraId="4ED4E86F" w14:textId="77777777" w:rsidR="00E8455B" w:rsidRPr="002E6C7E" w:rsidRDefault="00E8455B" w:rsidP="0004720B">
            <w:pPr>
              <w:pStyle w:val="Tabletext"/>
              <w:rPr>
                <w:lang w:eastAsia="en-GB"/>
              </w:rPr>
            </w:pPr>
            <w:r w:rsidRPr="002E6C7E">
              <w:rPr>
                <w:lang w:eastAsia="en-GB"/>
              </w:rPr>
              <w:t>Father occupational status</w:t>
            </w:r>
          </w:p>
        </w:tc>
        <w:tc>
          <w:tcPr>
            <w:tcW w:w="1640" w:type="dxa"/>
            <w:tcBorders>
              <w:top w:val="nil"/>
              <w:left w:val="nil"/>
              <w:bottom w:val="nil"/>
              <w:right w:val="nil"/>
            </w:tcBorders>
            <w:shd w:val="clear" w:color="auto" w:fill="auto"/>
            <w:noWrap/>
            <w:vAlign w:val="bottom"/>
            <w:hideMark/>
          </w:tcPr>
          <w:p w14:paraId="58E5D2EC"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03D99775"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4D94104F" w14:textId="77777777" w:rsidR="00E8455B" w:rsidRPr="002E6C7E" w:rsidRDefault="00E8455B" w:rsidP="0004720B">
            <w:pPr>
              <w:pStyle w:val="Tabletext"/>
              <w:jc w:val="right"/>
              <w:rPr>
                <w:lang w:eastAsia="en-GB"/>
              </w:rPr>
            </w:pPr>
          </w:p>
        </w:tc>
      </w:tr>
      <w:tr w:rsidR="00E8455B" w:rsidRPr="002E6C7E" w14:paraId="3C256903" w14:textId="77777777" w:rsidTr="00C368DB">
        <w:trPr>
          <w:trHeight w:val="300"/>
        </w:trPr>
        <w:tc>
          <w:tcPr>
            <w:tcW w:w="4020" w:type="dxa"/>
            <w:tcBorders>
              <w:top w:val="nil"/>
              <w:left w:val="nil"/>
              <w:bottom w:val="nil"/>
              <w:right w:val="nil"/>
            </w:tcBorders>
            <w:shd w:val="clear" w:color="auto" w:fill="auto"/>
            <w:noWrap/>
            <w:vAlign w:val="bottom"/>
            <w:hideMark/>
          </w:tcPr>
          <w:p w14:paraId="49DC16AE" w14:textId="77777777" w:rsidR="00E8455B" w:rsidRPr="002E6C7E" w:rsidRDefault="00E8455B" w:rsidP="0004720B">
            <w:pPr>
              <w:pStyle w:val="Tabletext"/>
              <w:rPr>
                <w:i/>
                <w:iCs/>
                <w:lang w:eastAsia="en-GB"/>
              </w:rPr>
            </w:pPr>
            <w:r w:rsidRPr="002E6C7E">
              <w:rPr>
                <w:i/>
                <w:iCs/>
                <w:lang w:eastAsia="en-GB"/>
              </w:rPr>
              <w:t xml:space="preserve">    AUSEI06 occupational status</w:t>
            </w:r>
          </w:p>
        </w:tc>
        <w:tc>
          <w:tcPr>
            <w:tcW w:w="1640" w:type="dxa"/>
            <w:tcBorders>
              <w:top w:val="nil"/>
              <w:left w:val="nil"/>
              <w:bottom w:val="nil"/>
              <w:right w:val="nil"/>
            </w:tcBorders>
            <w:shd w:val="clear" w:color="auto" w:fill="auto"/>
            <w:hideMark/>
          </w:tcPr>
          <w:p w14:paraId="1B5EE475" w14:textId="77777777" w:rsidR="00E8455B" w:rsidRPr="002E6C7E" w:rsidRDefault="00E8455B" w:rsidP="0004720B">
            <w:pPr>
              <w:pStyle w:val="Tabletext"/>
              <w:jc w:val="right"/>
              <w:rPr>
                <w:lang w:eastAsia="en-GB"/>
              </w:rPr>
            </w:pPr>
            <w:r w:rsidRPr="002E6C7E">
              <w:rPr>
                <w:lang w:eastAsia="en-GB"/>
              </w:rPr>
              <w:t>42.5</w:t>
            </w:r>
          </w:p>
        </w:tc>
        <w:tc>
          <w:tcPr>
            <w:tcW w:w="1640" w:type="dxa"/>
            <w:tcBorders>
              <w:top w:val="nil"/>
              <w:left w:val="nil"/>
              <w:bottom w:val="nil"/>
              <w:right w:val="nil"/>
            </w:tcBorders>
            <w:shd w:val="clear" w:color="auto" w:fill="auto"/>
            <w:hideMark/>
          </w:tcPr>
          <w:p w14:paraId="226F2EC7" w14:textId="77777777" w:rsidR="00E8455B" w:rsidRPr="002E6C7E" w:rsidRDefault="00E8455B" w:rsidP="0004720B">
            <w:pPr>
              <w:pStyle w:val="Tabletext"/>
              <w:jc w:val="right"/>
              <w:rPr>
                <w:lang w:eastAsia="en-GB"/>
              </w:rPr>
            </w:pPr>
            <w:r w:rsidRPr="002E6C7E">
              <w:rPr>
                <w:lang w:eastAsia="en-GB"/>
              </w:rPr>
              <w:t>51.5</w:t>
            </w:r>
          </w:p>
        </w:tc>
        <w:tc>
          <w:tcPr>
            <w:tcW w:w="1640" w:type="dxa"/>
            <w:tcBorders>
              <w:top w:val="nil"/>
              <w:left w:val="nil"/>
              <w:bottom w:val="nil"/>
              <w:right w:val="nil"/>
            </w:tcBorders>
            <w:shd w:val="clear" w:color="auto" w:fill="auto"/>
            <w:hideMark/>
          </w:tcPr>
          <w:p w14:paraId="1E624CB4" w14:textId="77777777" w:rsidR="00E8455B" w:rsidRPr="002E6C7E" w:rsidRDefault="00E8455B" w:rsidP="0004720B">
            <w:pPr>
              <w:pStyle w:val="Tabletext"/>
              <w:jc w:val="right"/>
              <w:rPr>
                <w:lang w:eastAsia="en-GB"/>
              </w:rPr>
            </w:pPr>
            <w:r w:rsidRPr="002E6C7E">
              <w:rPr>
                <w:lang w:eastAsia="en-GB"/>
              </w:rPr>
              <w:t>54.3</w:t>
            </w:r>
          </w:p>
        </w:tc>
      </w:tr>
      <w:tr w:rsidR="00E8455B" w:rsidRPr="002E6C7E" w14:paraId="291809B1" w14:textId="77777777" w:rsidTr="00C368DB">
        <w:trPr>
          <w:trHeight w:val="300"/>
        </w:trPr>
        <w:tc>
          <w:tcPr>
            <w:tcW w:w="4020" w:type="dxa"/>
            <w:tcBorders>
              <w:top w:val="nil"/>
              <w:left w:val="nil"/>
              <w:bottom w:val="nil"/>
              <w:right w:val="nil"/>
            </w:tcBorders>
            <w:shd w:val="clear" w:color="auto" w:fill="auto"/>
            <w:noWrap/>
            <w:vAlign w:val="bottom"/>
            <w:hideMark/>
          </w:tcPr>
          <w:p w14:paraId="023A66D8" w14:textId="77777777" w:rsidR="00E8455B" w:rsidRPr="002E6C7E" w:rsidRDefault="00E8455B" w:rsidP="0004720B">
            <w:pPr>
              <w:pStyle w:val="Tabletext"/>
              <w:rPr>
                <w:i/>
                <w:iCs/>
                <w:lang w:eastAsia="en-GB"/>
              </w:rPr>
            </w:pPr>
            <w:r w:rsidRPr="002E6C7E">
              <w:rPr>
                <w:i/>
                <w:iCs/>
                <w:lang w:eastAsia="en-GB"/>
              </w:rPr>
              <w:t xml:space="preserve">    Missing</w:t>
            </w:r>
          </w:p>
        </w:tc>
        <w:tc>
          <w:tcPr>
            <w:tcW w:w="1640" w:type="dxa"/>
            <w:tcBorders>
              <w:top w:val="nil"/>
              <w:left w:val="nil"/>
              <w:bottom w:val="nil"/>
              <w:right w:val="nil"/>
            </w:tcBorders>
            <w:shd w:val="clear" w:color="auto" w:fill="auto"/>
            <w:hideMark/>
          </w:tcPr>
          <w:p w14:paraId="15881C47" w14:textId="77777777" w:rsidR="00E8455B" w:rsidRPr="002E6C7E" w:rsidRDefault="00E8455B" w:rsidP="0004720B">
            <w:pPr>
              <w:pStyle w:val="Tabletext"/>
              <w:jc w:val="right"/>
              <w:rPr>
                <w:lang w:eastAsia="en-GB"/>
              </w:rPr>
            </w:pPr>
            <w:r w:rsidRPr="002E6C7E">
              <w:rPr>
                <w:lang w:eastAsia="en-GB"/>
              </w:rPr>
              <w:t>0.051</w:t>
            </w:r>
          </w:p>
        </w:tc>
        <w:tc>
          <w:tcPr>
            <w:tcW w:w="1640" w:type="dxa"/>
            <w:tcBorders>
              <w:top w:val="nil"/>
              <w:left w:val="nil"/>
              <w:bottom w:val="nil"/>
              <w:right w:val="nil"/>
            </w:tcBorders>
            <w:shd w:val="clear" w:color="auto" w:fill="auto"/>
            <w:hideMark/>
          </w:tcPr>
          <w:p w14:paraId="21B17EED" w14:textId="77777777" w:rsidR="00E8455B" w:rsidRPr="002E6C7E" w:rsidRDefault="00E8455B" w:rsidP="0004720B">
            <w:pPr>
              <w:pStyle w:val="Tabletext"/>
              <w:jc w:val="right"/>
              <w:rPr>
                <w:lang w:eastAsia="en-GB"/>
              </w:rPr>
            </w:pPr>
            <w:r w:rsidRPr="002E6C7E">
              <w:rPr>
                <w:lang w:eastAsia="en-GB"/>
              </w:rPr>
              <w:t>0.049</w:t>
            </w:r>
          </w:p>
        </w:tc>
        <w:tc>
          <w:tcPr>
            <w:tcW w:w="1640" w:type="dxa"/>
            <w:tcBorders>
              <w:top w:val="nil"/>
              <w:left w:val="nil"/>
              <w:bottom w:val="nil"/>
              <w:right w:val="nil"/>
            </w:tcBorders>
            <w:shd w:val="clear" w:color="auto" w:fill="auto"/>
            <w:hideMark/>
          </w:tcPr>
          <w:p w14:paraId="315F1E3E" w14:textId="77777777" w:rsidR="00E8455B" w:rsidRPr="002E6C7E" w:rsidRDefault="00E8455B" w:rsidP="0004720B">
            <w:pPr>
              <w:pStyle w:val="Tabletext"/>
              <w:jc w:val="right"/>
              <w:rPr>
                <w:lang w:eastAsia="en-GB"/>
              </w:rPr>
            </w:pPr>
            <w:r w:rsidRPr="002E6C7E">
              <w:rPr>
                <w:lang w:eastAsia="en-GB"/>
              </w:rPr>
              <w:t>0.050</w:t>
            </w:r>
          </w:p>
        </w:tc>
      </w:tr>
      <w:tr w:rsidR="00E8455B" w:rsidRPr="002E6C7E" w14:paraId="2CD77EF2" w14:textId="77777777" w:rsidTr="00C368DB">
        <w:trPr>
          <w:trHeight w:val="300"/>
        </w:trPr>
        <w:tc>
          <w:tcPr>
            <w:tcW w:w="4020" w:type="dxa"/>
            <w:tcBorders>
              <w:top w:val="nil"/>
              <w:left w:val="nil"/>
              <w:bottom w:val="nil"/>
              <w:right w:val="nil"/>
            </w:tcBorders>
            <w:shd w:val="clear" w:color="auto" w:fill="auto"/>
            <w:noWrap/>
            <w:vAlign w:val="bottom"/>
            <w:hideMark/>
          </w:tcPr>
          <w:p w14:paraId="1A3884A0" w14:textId="77777777" w:rsidR="00E8455B" w:rsidRPr="002E6C7E" w:rsidRDefault="00E8455B" w:rsidP="0004720B">
            <w:pPr>
              <w:pStyle w:val="Tabletext"/>
              <w:rPr>
                <w:lang w:eastAsia="en-GB"/>
              </w:rPr>
            </w:pPr>
            <w:r w:rsidRPr="002E6C7E">
              <w:rPr>
                <w:lang w:eastAsia="en-GB"/>
              </w:rPr>
              <w:t>Mother's highest education level</w:t>
            </w:r>
          </w:p>
        </w:tc>
        <w:tc>
          <w:tcPr>
            <w:tcW w:w="1640" w:type="dxa"/>
            <w:tcBorders>
              <w:top w:val="nil"/>
              <w:left w:val="nil"/>
              <w:bottom w:val="nil"/>
              <w:right w:val="nil"/>
            </w:tcBorders>
            <w:shd w:val="clear" w:color="auto" w:fill="auto"/>
            <w:hideMark/>
          </w:tcPr>
          <w:p w14:paraId="05449FE2"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hideMark/>
          </w:tcPr>
          <w:p w14:paraId="34B64598"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hideMark/>
          </w:tcPr>
          <w:p w14:paraId="4F989D4D" w14:textId="77777777" w:rsidR="00E8455B" w:rsidRPr="002E6C7E" w:rsidRDefault="00E8455B" w:rsidP="0004720B">
            <w:pPr>
              <w:pStyle w:val="Tabletext"/>
              <w:jc w:val="right"/>
              <w:rPr>
                <w:lang w:eastAsia="en-GB"/>
              </w:rPr>
            </w:pPr>
          </w:p>
        </w:tc>
      </w:tr>
      <w:tr w:rsidR="00E8455B" w:rsidRPr="002E6C7E" w14:paraId="4ABFB0ED" w14:textId="77777777" w:rsidTr="00C368DB">
        <w:trPr>
          <w:trHeight w:val="300"/>
        </w:trPr>
        <w:tc>
          <w:tcPr>
            <w:tcW w:w="4020" w:type="dxa"/>
            <w:tcBorders>
              <w:top w:val="nil"/>
              <w:left w:val="nil"/>
              <w:bottom w:val="nil"/>
              <w:right w:val="nil"/>
            </w:tcBorders>
            <w:shd w:val="clear" w:color="auto" w:fill="auto"/>
            <w:noWrap/>
            <w:vAlign w:val="bottom"/>
            <w:hideMark/>
          </w:tcPr>
          <w:p w14:paraId="622DD9F0" w14:textId="77777777" w:rsidR="00E8455B" w:rsidRPr="002E6C7E" w:rsidRDefault="00E8455B" w:rsidP="0004720B">
            <w:pPr>
              <w:pStyle w:val="Tabletext"/>
              <w:rPr>
                <w:i/>
                <w:iCs/>
                <w:lang w:eastAsia="en-GB"/>
              </w:rPr>
            </w:pPr>
            <w:r w:rsidRPr="002E6C7E">
              <w:rPr>
                <w:i/>
                <w:iCs/>
                <w:lang w:eastAsia="en-GB"/>
              </w:rPr>
              <w:t xml:space="preserve">    University degree</w:t>
            </w:r>
          </w:p>
        </w:tc>
        <w:tc>
          <w:tcPr>
            <w:tcW w:w="1640" w:type="dxa"/>
            <w:tcBorders>
              <w:top w:val="nil"/>
              <w:left w:val="nil"/>
              <w:bottom w:val="nil"/>
              <w:right w:val="nil"/>
            </w:tcBorders>
            <w:shd w:val="clear" w:color="auto" w:fill="auto"/>
            <w:hideMark/>
          </w:tcPr>
          <w:p w14:paraId="140EA5BB" w14:textId="77777777" w:rsidR="00E8455B" w:rsidRPr="002E6C7E" w:rsidRDefault="00E8455B" w:rsidP="0004720B">
            <w:pPr>
              <w:pStyle w:val="Tabletext"/>
              <w:jc w:val="right"/>
              <w:rPr>
                <w:lang w:eastAsia="en-GB"/>
              </w:rPr>
            </w:pPr>
            <w:r w:rsidRPr="002E6C7E">
              <w:rPr>
                <w:lang w:eastAsia="en-GB"/>
              </w:rPr>
              <w:t>0.116</w:t>
            </w:r>
          </w:p>
        </w:tc>
        <w:tc>
          <w:tcPr>
            <w:tcW w:w="1640" w:type="dxa"/>
            <w:tcBorders>
              <w:top w:val="nil"/>
              <w:left w:val="nil"/>
              <w:bottom w:val="nil"/>
              <w:right w:val="nil"/>
            </w:tcBorders>
            <w:shd w:val="clear" w:color="auto" w:fill="auto"/>
            <w:hideMark/>
          </w:tcPr>
          <w:p w14:paraId="10F8ACBC" w14:textId="77777777" w:rsidR="00E8455B" w:rsidRPr="002E6C7E" w:rsidRDefault="00E8455B" w:rsidP="0004720B">
            <w:pPr>
              <w:pStyle w:val="Tabletext"/>
              <w:jc w:val="right"/>
              <w:rPr>
                <w:lang w:eastAsia="en-GB"/>
              </w:rPr>
            </w:pPr>
            <w:r w:rsidRPr="002E6C7E">
              <w:rPr>
                <w:lang w:eastAsia="en-GB"/>
              </w:rPr>
              <w:t>0.222</w:t>
            </w:r>
          </w:p>
        </w:tc>
        <w:tc>
          <w:tcPr>
            <w:tcW w:w="1640" w:type="dxa"/>
            <w:tcBorders>
              <w:top w:val="nil"/>
              <w:left w:val="nil"/>
              <w:bottom w:val="nil"/>
              <w:right w:val="nil"/>
            </w:tcBorders>
            <w:shd w:val="clear" w:color="auto" w:fill="auto"/>
            <w:hideMark/>
          </w:tcPr>
          <w:p w14:paraId="2F076BCF" w14:textId="77777777" w:rsidR="00E8455B" w:rsidRPr="002E6C7E" w:rsidRDefault="00E8455B" w:rsidP="0004720B">
            <w:pPr>
              <w:pStyle w:val="Tabletext"/>
              <w:jc w:val="right"/>
              <w:rPr>
                <w:lang w:eastAsia="en-GB"/>
              </w:rPr>
            </w:pPr>
            <w:r w:rsidRPr="002E6C7E">
              <w:rPr>
                <w:lang w:eastAsia="en-GB"/>
              </w:rPr>
              <w:t>0.314</w:t>
            </w:r>
          </w:p>
        </w:tc>
      </w:tr>
      <w:tr w:rsidR="00E8455B" w:rsidRPr="002E6C7E" w14:paraId="17527FA3" w14:textId="77777777" w:rsidTr="00C368DB">
        <w:trPr>
          <w:trHeight w:val="300"/>
        </w:trPr>
        <w:tc>
          <w:tcPr>
            <w:tcW w:w="4020" w:type="dxa"/>
            <w:tcBorders>
              <w:top w:val="nil"/>
              <w:left w:val="nil"/>
              <w:bottom w:val="nil"/>
              <w:right w:val="nil"/>
            </w:tcBorders>
            <w:shd w:val="clear" w:color="auto" w:fill="auto"/>
            <w:noWrap/>
            <w:vAlign w:val="bottom"/>
            <w:hideMark/>
          </w:tcPr>
          <w:p w14:paraId="36F34DF0" w14:textId="77777777" w:rsidR="00E8455B" w:rsidRPr="002E6C7E" w:rsidRDefault="00E8455B" w:rsidP="0004720B">
            <w:pPr>
              <w:pStyle w:val="Tabletext"/>
              <w:rPr>
                <w:i/>
                <w:iCs/>
                <w:lang w:eastAsia="en-GB"/>
              </w:rPr>
            </w:pPr>
            <w:r w:rsidRPr="002E6C7E">
              <w:rPr>
                <w:i/>
                <w:iCs/>
                <w:lang w:eastAsia="en-GB"/>
              </w:rPr>
              <w:t xml:space="preserve">    VET degree</w:t>
            </w:r>
          </w:p>
        </w:tc>
        <w:tc>
          <w:tcPr>
            <w:tcW w:w="1640" w:type="dxa"/>
            <w:tcBorders>
              <w:top w:val="nil"/>
              <w:left w:val="nil"/>
              <w:bottom w:val="nil"/>
              <w:right w:val="nil"/>
            </w:tcBorders>
            <w:shd w:val="clear" w:color="auto" w:fill="auto"/>
            <w:hideMark/>
          </w:tcPr>
          <w:p w14:paraId="2F01C1DC" w14:textId="77777777" w:rsidR="00E8455B" w:rsidRPr="002E6C7E" w:rsidRDefault="00E8455B" w:rsidP="0004720B">
            <w:pPr>
              <w:pStyle w:val="Tabletext"/>
              <w:jc w:val="right"/>
              <w:rPr>
                <w:lang w:eastAsia="en-GB"/>
              </w:rPr>
            </w:pPr>
            <w:r w:rsidRPr="002E6C7E">
              <w:rPr>
                <w:lang w:eastAsia="en-GB"/>
              </w:rPr>
              <w:t>0.206</w:t>
            </w:r>
          </w:p>
        </w:tc>
        <w:tc>
          <w:tcPr>
            <w:tcW w:w="1640" w:type="dxa"/>
            <w:tcBorders>
              <w:top w:val="nil"/>
              <w:left w:val="nil"/>
              <w:bottom w:val="nil"/>
              <w:right w:val="nil"/>
            </w:tcBorders>
            <w:shd w:val="clear" w:color="auto" w:fill="auto"/>
            <w:hideMark/>
          </w:tcPr>
          <w:p w14:paraId="7176EE4F" w14:textId="77777777" w:rsidR="00E8455B" w:rsidRPr="002E6C7E" w:rsidRDefault="00E8455B" w:rsidP="0004720B">
            <w:pPr>
              <w:pStyle w:val="Tabletext"/>
              <w:jc w:val="right"/>
              <w:rPr>
                <w:lang w:eastAsia="en-GB"/>
              </w:rPr>
            </w:pPr>
            <w:r w:rsidRPr="002E6C7E">
              <w:rPr>
                <w:lang w:eastAsia="en-GB"/>
              </w:rPr>
              <w:t>0.255</w:t>
            </w:r>
          </w:p>
        </w:tc>
        <w:tc>
          <w:tcPr>
            <w:tcW w:w="1640" w:type="dxa"/>
            <w:tcBorders>
              <w:top w:val="nil"/>
              <w:left w:val="nil"/>
              <w:bottom w:val="nil"/>
              <w:right w:val="nil"/>
            </w:tcBorders>
            <w:shd w:val="clear" w:color="auto" w:fill="auto"/>
            <w:hideMark/>
          </w:tcPr>
          <w:p w14:paraId="7AA14149" w14:textId="77777777" w:rsidR="00E8455B" w:rsidRPr="002E6C7E" w:rsidRDefault="00E8455B" w:rsidP="0004720B">
            <w:pPr>
              <w:pStyle w:val="Tabletext"/>
              <w:jc w:val="right"/>
              <w:rPr>
                <w:lang w:eastAsia="en-GB"/>
              </w:rPr>
            </w:pPr>
            <w:r w:rsidRPr="002E6C7E">
              <w:rPr>
                <w:lang w:eastAsia="en-GB"/>
              </w:rPr>
              <w:t>0.181</w:t>
            </w:r>
          </w:p>
        </w:tc>
      </w:tr>
      <w:tr w:rsidR="00E8455B" w:rsidRPr="002E6C7E" w14:paraId="3D259A1A" w14:textId="77777777" w:rsidTr="00C368DB">
        <w:trPr>
          <w:trHeight w:val="300"/>
        </w:trPr>
        <w:tc>
          <w:tcPr>
            <w:tcW w:w="4020" w:type="dxa"/>
            <w:tcBorders>
              <w:top w:val="nil"/>
              <w:left w:val="nil"/>
              <w:bottom w:val="nil"/>
              <w:right w:val="nil"/>
            </w:tcBorders>
            <w:shd w:val="clear" w:color="auto" w:fill="auto"/>
            <w:noWrap/>
            <w:vAlign w:val="bottom"/>
            <w:hideMark/>
          </w:tcPr>
          <w:p w14:paraId="52F75C44" w14:textId="77777777" w:rsidR="00E8455B" w:rsidRPr="002E6C7E" w:rsidRDefault="00E8455B" w:rsidP="0004720B">
            <w:pPr>
              <w:pStyle w:val="Tabletext"/>
              <w:rPr>
                <w:i/>
                <w:iCs/>
                <w:lang w:eastAsia="en-GB"/>
              </w:rPr>
            </w:pPr>
            <w:r w:rsidRPr="002E6C7E">
              <w:rPr>
                <w:i/>
                <w:iCs/>
                <w:lang w:eastAsia="en-GB"/>
              </w:rPr>
              <w:t xml:space="preserve">    Year 12</w:t>
            </w:r>
          </w:p>
        </w:tc>
        <w:tc>
          <w:tcPr>
            <w:tcW w:w="1640" w:type="dxa"/>
            <w:tcBorders>
              <w:top w:val="nil"/>
              <w:left w:val="nil"/>
              <w:bottom w:val="nil"/>
              <w:right w:val="nil"/>
            </w:tcBorders>
            <w:shd w:val="clear" w:color="auto" w:fill="auto"/>
            <w:hideMark/>
          </w:tcPr>
          <w:p w14:paraId="769B848D" w14:textId="77777777" w:rsidR="00E8455B" w:rsidRPr="002E6C7E" w:rsidRDefault="00E8455B" w:rsidP="0004720B">
            <w:pPr>
              <w:pStyle w:val="Tabletext"/>
              <w:jc w:val="right"/>
              <w:rPr>
                <w:lang w:eastAsia="en-GB"/>
              </w:rPr>
            </w:pPr>
            <w:r w:rsidRPr="002E6C7E">
              <w:rPr>
                <w:lang w:eastAsia="en-GB"/>
              </w:rPr>
              <w:t>0.090</w:t>
            </w:r>
          </w:p>
        </w:tc>
        <w:tc>
          <w:tcPr>
            <w:tcW w:w="1640" w:type="dxa"/>
            <w:tcBorders>
              <w:top w:val="nil"/>
              <w:left w:val="nil"/>
              <w:bottom w:val="nil"/>
              <w:right w:val="nil"/>
            </w:tcBorders>
            <w:shd w:val="clear" w:color="auto" w:fill="auto"/>
            <w:hideMark/>
          </w:tcPr>
          <w:p w14:paraId="47390BFC" w14:textId="77777777" w:rsidR="00E8455B" w:rsidRPr="002E6C7E" w:rsidRDefault="00E8455B" w:rsidP="0004720B">
            <w:pPr>
              <w:pStyle w:val="Tabletext"/>
              <w:jc w:val="right"/>
              <w:rPr>
                <w:lang w:eastAsia="en-GB"/>
              </w:rPr>
            </w:pPr>
            <w:r w:rsidRPr="002E6C7E">
              <w:rPr>
                <w:lang w:eastAsia="en-GB"/>
              </w:rPr>
              <w:t>0.104</w:t>
            </w:r>
          </w:p>
        </w:tc>
        <w:tc>
          <w:tcPr>
            <w:tcW w:w="1640" w:type="dxa"/>
            <w:tcBorders>
              <w:top w:val="nil"/>
              <w:left w:val="nil"/>
              <w:bottom w:val="nil"/>
              <w:right w:val="nil"/>
            </w:tcBorders>
            <w:shd w:val="clear" w:color="auto" w:fill="auto"/>
            <w:hideMark/>
          </w:tcPr>
          <w:p w14:paraId="728D98A3" w14:textId="77777777" w:rsidR="00E8455B" w:rsidRPr="002E6C7E" w:rsidRDefault="00E8455B" w:rsidP="0004720B">
            <w:pPr>
              <w:pStyle w:val="Tabletext"/>
              <w:jc w:val="right"/>
              <w:rPr>
                <w:lang w:eastAsia="en-GB"/>
              </w:rPr>
            </w:pPr>
            <w:r w:rsidRPr="002E6C7E">
              <w:rPr>
                <w:lang w:eastAsia="en-GB"/>
              </w:rPr>
              <w:t>0.089</w:t>
            </w:r>
          </w:p>
        </w:tc>
      </w:tr>
      <w:tr w:rsidR="00E8455B" w:rsidRPr="002E6C7E" w14:paraId="04193632" w14:textId="77777777" w:rsidTr="00C368DB">
        <w:trPr>
          <w:trHeight w:val="300"/>
        </w:trPr>
        <w:tc>
          <w:tcPr>
            <w:tcW w:w="4020" w:type="dxa"/>
            <w:tcBorders>
              <w:top w:val="nil"/>
              <w:left w:val="nil"/>
              <w:bottom w:val="nil"/>
              <w:right w:val="nil"/>
            </w:tcBorders>
            <w:shd w:val="clear" w:color="auto" w:fill="auto"/>
            <w:noWrap/>
            <w:vAlign w:val="bottom"/>
            <w:hideMark/>
          </w:tcPr>
          <w:p w14:paraId="6695BF12" w14:textId="77777777" w:rsidR="00E8455B" w:rsidRPr="002E6C7E" w:rsidRDefault="00E8455B" w:rsidP="0004720B">
            <w:pPr>
              <w:pStyle w:val="Tabletext"/>
              <w:rPr>
                <w:i/>
                <w:iCs/>
                <w:lang w:eastAsia="en-GB"/>
              </w:rPr>
            </w:pPr>
            <w:r w:rsidRPr="002E6C7E">
              <w:rPr>
                <w:i/>
                <w:iCs/>
                <w:lang w:eastAsia="en-GB"/>
              </w:rPr>
              <w:t xml:space="preserve">    Year 11 or lower</w:t>
            </w:r>
          </w:p>
        </w:tc>
        <w:tc>
          <w:tcPr>
            <w:tcW w:w="1640" w:type="dxa"/>
            <w:tcBorders>
              <w:top w:val="nil"/>
              <w:left w:val="nil"/>
              <w:bottom w:val="nil"/>
              <w:right w:val="nil"/>
            </w:tcBorders>
            <w:shd w:val="clear" w:color="auto" w:fill="auto"/>
            <w:hideMark/>
          </w:tcPr>
          <w:p w14:paraId="19CFF766" w14:textId="77777777" w:rsidR="00E8455B" w:rsidRPr="002E6C7E" w:rsidRDefault="00E8455B" w:rsidP="0004720B">
            <w:pPr>
              <w:pStyle w:val="Tabletext"/>
              <w:jc w:val="right"/>
              <w:rPr>
                <w:lang w:eastAsia="en-GB"/>
              </w:rPr>
            </w:pPr>
            <w:r w:rsidRPr="002E6C7E">
              <w:rPr>
                <w:lang w:eastAsia="en-GB"/>
              </w:rPr>
              <w:t>0.481</w:t>
            </w:r>
          </w:p>
        </w:tc>
        <w:tc>
          <w:tcPr>
            <w:tcW w:w="1640" w:type="dxa"/>
            <w:tcBorders>
              <w:top w:val="nil"/>
              <w:left w:val="nil"/>
              <w:bottom w:val="nil"/>
              <w:right w:val="nil"/>
            </w:tcBorders>
            <w:shd w:val="clear" w:color="auto" w:fill="auto"/>
            <w:hideMark/>
          </w:tcPr>
          <w:p w14:paraId="5A52C012" w14:textId="77777777" w:rsidR="00E8455B" w:rsidRPr="002E6C7E" w:rsidRDefault="00E8455B" w:rsidP="0004720B">
            <w:pPr>
              <w:pStyle w:val="Tabletext"/>
              <w:jc w:val="right"/>
              <w:rPr>
                <w:lang w:eastAsia="en-GB"/>
              </w:rPr>
            </w:pPr>
            <w:r w:rsidRPr="002E6C7E">
              <w:rPr>
                <w:lang w:eastAsia="en-GB"/>
              </w:rPr>
              <w:t>0.380</w:t>
            </w:r>
          </w:p>
        </w:tc>
        <w:tc>
          <w:tcPr>
            <w:tcW w:w="1640" w:type="dxa"/>
            <w:tcBorders>
              <w:top w:val="nil"/>
              <w:left w:val="nil"/>
              <w:bottom w:val="nil"/>
              <w:right w:val="nil"/>
            </w:tcBorders>
            <w:shd w:val="clear" w:color="auto" w:fill="auto"/>
            <w:hideMark/>
          </w:tcPr>
          <w:p w14:paraId="339F5F56" w14:textId="77777777" w:rsidR="00E8455B" w:rsidRPr="002E6C7E" w:rsidRDefault="00E8455B" w:rsidP="0004720B">
            <w:pPr>
              <w:pStyle w:val="Tabletext"/>
              <w:jc w:val="right"/>
              <w:rPr>
                <w:lang w:eastAsia="en-GB"/>
              </w:rPr>
            </w:pPr>
            <w:r w:rsidRPr="002E6C7E">
              <w:rPr>
                <w:lang w:eastAsia="en-GB"/>
              </w:rPr>
              <w:t>0.365</w:t>
            </w:r>
          </w:p>
        </w:tc>
      </w:tr>
      <w:tr w:rsidR="00E8455B" w:rsidRPr="002E6C7E" w14:paraId="425734CC" w14:textId="77777777" w:rsidTr="00C368DB">
        <w:trPr>
          <w:trHeight w:val="300"/>
        </w:trPr>
        <w:tc>
          <w:tcPr>
            <w:tcW w:w="4020" w:type="dxa"/>
            <w:tcBorders>
              <w:top w:val="nil"/>
              <w:left w:val="nil"/>
              <w:bottom w:val="nil"/>
              <w:right w:val="nil"/>
            </w:tcBorders>
            <w:shd w:val="clear" w:color="auto" w:fill="auto"/>
            <w:noWrap/>
            <w:vAlign w:val="bottom"/>
            <w:hideMark/>
          </w:tcPr>
          <w:p w14:paraId="5640C85F" w14:textId="77777777" w:rsidR="00E8455B" w:rsidRPr="002E6C7E" w:rsidRDefault="00E8455B" w:rsidP="0004720B">
            <w:pPr>
              <w:pStyle w:val="Tabletext"/>
              <w:rPr>
                <w:i/>
                <w:iCs/>
                <w:lang w:eastAsia="en-GB"/>
              </w:rPr>
            </w:pPr>
            <w:r w:rsidRPr="002E6C7E">
              <w:rPr>
                <w:i/>
                <w:iCs/>
                <w:lang w:eastAsia="en-GB"/>
              </w:rPr>
              <w:t xml:space="preserve">    Missing</w:t>
            </w:r>
          </w:p>
        </w:tc>
        <w:tc>
          <w:tcPr>
            <w:tcW w:w="1640" w:type="dxa"/>
            <w:tcBorders>
              <w:top w:val="nil"/>
              <w:left w:val="nil"/>
              <w:bottom w:val="nil"/>
              <w:right w:val="nil"/>
            </w:tcBorders>
            <w:shd w:val="clear" w:color="auto" w:fill="auto"/>
            <w:hideMark/>
          </w:tcPr>
          <w:p w14:paraId="0E53C4CC" w14:textId="77777777" w:rsidR="00E8455B" w:rsidRPr="002E6C7E" w:rsidRDefault="00E8455B" w:rsidP="0004720B">
            <w:pPr>
              <w:pStyle w:val="Tabletext"/>
              <w:jc w:val="right"/>
              <w:rPr>
                <w:lang w:eastAsia="en-GB"/>
              </w:rPr>
            </w:pPr>
            <w:r w:rsidRPr="002E6C7E">
              <w:rPr>
                <w:lang w:eastAsia="en-GB"/>
              </w:rPr>
              <w:t>0.107</w:t>
            </w:r>
          </w:p>
        </w:tc>
        <w:tc>
          <w:tcPr>
            <w:tcW w:w="1640" w:type="dxa"/>
            <w:tcBorders>
              <w:top w:val="nil"/>
              <w:left w:val="nil"/>
              <w:bottom w:val="nil"/>
              <w:right w:val="nil"/>
            </w:tcBorders>
            <w:shd w:val="clear" w:color="auto" w:fill="auto"/>
            <w:hideMark/>
          </w:tcPr>
          <w:p w14:paraId="3EB1893F" w14:textId="77777777" w:rsidR="00E8455B" w:rsidRPr="002E6C7E" w:rsidRDefault="00E8455B" w:rsidP="0004720B">
            <w:pPr>
              <w:pStyle w:val="Tabletext"/>
              <w:jc w:val="right"/>
              <w:rPr>
                <w:lang w:eastAsia="en-GB"/>
              </w:rPr>
            </w:pPr>
            <w:r w:rsidRPr="002E6C7E">
              <w:rPr>
                <w:lang w:eastAsia="en-GB"/>
              </w:rPr>
              <w:t>0.039</w:t>
            </w:r>
          </w:p>
        </w:tc>
        <w:tc>
          <w:tcPr>
            <w:tcW w:w="1640" w:type="dxa"/>
            <w:tcBorders>
              <w:top w:val="nil"/>
              <w:left w:val="nil"/>
              <w:bottom w:val="nil"/>
              <w:right w:val="nil"/>
            </w:tcBorders>
            <w:shd w:val="clear" w:color="auto" w:fill="auto"/>
            <w:hideMark/>
          </w:tcPr>
          <w:p w14:paraId="3BEB0623" w14:textId="77777777" w:rsidR="00E8455B" w:rsidRPr="002E6C7E" w:rsidRDefault="00E8455B" w:rsidP="0004720B">
            <w:pPr>
              <w:pStyle w:val="Tabletext"/>
              <w:jc w:val="right"/>
              <w:rPr>
                <w:lang w:eastAsia="en-GB"/>
              </w:rPr>
            </w:pPr>
            <w:r w:rsidRPr="002E6C7E">
              <w:rPr>
                <w:lang w:eastAsia="en-GB"/>
              </w:rPr>
              <w:t>0.051</w:t>
            </w:r>
          </w:p>
        </w:tc>
      </w:tr>
      <w:tr w:rsidR="00E8455B" w:rsidRPr="002E6C7E" w14:paraId="5BD09DA3" w14:textId="77777777" w:rsidTr="00C368DB">
        <w:trPr>
          <w:trHeight w:val="300"/>
        </w:trPr>
        <w:tc>
          <w:tcPr>
            <w:tcW w:w="4020" w:type="dxa"/>
            <w:tcBorders>
              <w:top w:val="nil"/>
              <w:left w:val="nil"/>
              <w:bottom w:val="nil"/>
              <w:right w:val="nil"/>
            </w:tcBorders>
            <w:shd w:val="clear" w:color="auto" w:fill="auto"/>
            <w:noWrap/>
            <w:vAlign w:val="bottom"/>
            <w:hideMark/>
          </w:tcPr>
          <w:p w14:paraId="269145E9" w14:textId="77777777" w:rsidR="00E8455B" w:rsidRPr="002E6C7E" w:rsidRDefault="00E8455B" w:rsidP="0004720B">
            <w:pPr>
              <w:pStyle w:val="Tabletext"/>
              <w:rPr>
                <w:lang w:eastAsia="en-GB"/>
              </w:rPr>
            </w:pPr>
            <w:r w:rsidRPr="002E6C7E">
              <w:rPr>
                <w:lang w:eastAsia="en-GB"/>
              </w:rPr>
              <w:t>Mother in paid employment when 14</w:t>
            </w:r>
          </w:p>
        </w:tc>
        <w:tc>
          <w:tcPr>
            <w:tcW w:w="1640" w:type="dxa"/>
            <w:tcBorders>
              <w:top w:val="nil"/>
              <w:left w:val="nil"/>
              <w:bottom w:val="nil"/>
              <w:right w:val="nil"/>
            </w:tcBorders>
            <w:shd w:val="clear" w:color="auto" w:fill="auto"/>
            <w:hideMark/>
          </w:tcPr>
          <w:p w14:paraId="2E33C048" w14:textId="77777777" w:rsidR="00E8455B" w:rsidRPr="002E6C7E" w:rsidRDefault="00E8455B" w:rsidP="0004720B">
            <w:pPr>
              <w:pStyle w:val="Tabletext"/>
              <w:jc w:val="right"/>
              <w:rPr>
                <w:lang w:eastAsia="en-GB"/>
              </w:rPr>
            </w:pPr>
            <w:r w:rsidRPr="002E6C7E">
              <w:rPr>
                <w:lang w:eastAsia="en-GB"/>
              </w:rPr>
              <w:t>0.583</w:t>
            </w:r>
          </w:p>
        </w:tc>
        <w:tc>
          <w:tcPr>
            <w:tcW w:w="1640" w:type="dxa"/>
            <w:tcBorders>
              <w:top w:val="nil"/>
              <w:left w:val="nil"/>
              <w:bottom w:val="nil"/>
              <w:right w:val="nil"/>
            </w:tcBorders>
            <w:shd w:val="clear" w:color="auto" w:fill="auto"/>
            <w:hideMark/>
          </w:tcPr>
          <w:p w14:paraId="12644C52" w14:textId="77777777" w:rsidR="00E8455B" w:rsidRPr="002E6C7E" w:rsidRDefault="00E8455B" w:rsidP="0004720B">
            <w:pPr>
              <w:pStyle w:val="Tabletext"/>
              <w:jc w:val="right"/>
              <w:rPr>
                <w:lang w:eastAsia="en-GB"/>
              </w:rPr>
            </w:pPr>
            <w:r w:rsidRPr="002E6C7E">
              <w:rPr>
                <w:lang w:eastAsia="en-GB"/>
              </w:rPr>
              <w:t>0.608</w:t>
            </w:r>
          </w:p>
        </w:tc>
        <w:tc>
          <w:tcPr>
            <w:tcW w:w="1640" w:type="dxa"/>
            <w:tcBorders>
              <w:top w:val="nil"/>
              <w:left w:val="nil"/>
              <w:bottom w:val="nil"/>
              <w:right w:val="nil"/>
            </w:tcBorders>
            <w:shd w:val="clear" w:color="auto" w:fill="auto"/>
            <w:hideMark/>
          </w:tcPr>
          <w:p w14:paraId="2CD0A82D" w14:textId="77777777" w:rsidR="00E8455B" w:rsidRPr="002E6C7E" w:rsidRDefault="00E8455B" w:rsidP="0004720B">
            <w:pPr>
              <w:pStyle w:val="Tabletext"/>
              <w:jc w:val="right"/>
              <w:rPr>
                <w:lang w:eastAsia="en-GB"/>
              </w:rPr>
            </w:pPr>
            <w:r w:rsidRPr="002E6C7E">
              <w:rPr>
                <w:lang w:eastAsia="en-GB"/>
              </w:rPr>
              <w:t>0.599</w:t>
            </w:r>
          </w:p>
        </w:tc>
      </w:tr>
      <w:tr w:rsidR="00E8455B" w:rsidRPr="002E6C7E" w14:paraId="747508A9" w14:textId="77777777" w:rsidTr="00C368DB">
        <w:trPr>
          <w:trHeight w:val="300"/>
        </w:trPr>
        <w:tc>
          <w:tcPr>
            <w:tcW w:w="4020" w:type="dxa"/>
            <w:tcBorders>
              <w:top w:val="nil"/>
              <w:left w:val="nil"/>
              <w:bottom w:val="nil"/>
              <w:right w:val="nil"/>
            </w:tcBorders>
            <w:shd w:val="clear" w:color="auto" w:fill="auto"/>
            <w:noWrap/>
            <w:vAlign w:val="bottom"/>
            <w:hideMark/>
          </w:tcPr>
          <w:p w14:paraId="6D3C6781" w14:textId="77777777" w:rsidR="00E8455B" w:rsidRPr="002E6C7E" w:rsidRDefault="00E8455B" w:rsidP="0004720B">
            <w:pPr>
              <w:pStyle w:val="Tabletext"/>
              <w:rPr>
                <w:lang w:eastAsia="en-GB"/>
              </w:rPr>
            </w:pPr>
            <w:r w:rsidRPr="002E6C7E">
              <w:rPr>
                <w:lang w:eastAsia="en-GB"/>
              </w:rPr>
              <w:t>Mother occupational status</w:t>
            </w:r>
          </w:p>
        </w:tc>
        <w:tc>
          <w:tcPr>
            <w:tcW w:w="1640" w:type="dxa"/>
            <w:tcBorders>
              <w:top w:val="nil"/>
              <w:left w:val="nil"/>
              <w:bottom w:val="nil"/>
              <w:right w:val="nil"/>
            </w:tcBorders>
            <w:shd w:val="clear" w:color="auto" w:fill="auto"/>
            <w:noWrap/>
            <w:vAlign w:val="bottom"/>
            <w:hideMark/>
          </w:tcPr>
          <w:p w14:paraId="415BB247"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75D335B7"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noWrap/>
            <w:vAlign w:val="bottom"/>
            <w:hideMark/>
          </w:tcPr>
          <w:p w14:paraId="42C0AB36" w14:textId="77777777" w:rsidR="00E8455B" w:rsidRPr="002E6C7E" w:rsidRDefault="00E8455B" w:rsidP="0004720B">
            <w:pPr>
              <w:pStyle w:val="Tabletext"/>
              <w:jc w:val="right"/>
              <w:rPr>
                <w:lang w:eastAsia="en-GB"/>
              </w:rPr>
            </w:pPr>
          </w:p>
        </w:tc>
      </w:tr>
      <w:tr w:rsidR="00E8455B" w:rsidRPr="002E6C7E" w14:paraId="276B4F33" w14:textId="77777777" w:rsidTr="00C368DB">
        <w:trPr>
          <w:trHeight w:val="300"/>
        </w:trPr>
        <w:tc>
          <w:tcPr>
            <w:tcW w:w="4020" w:type="dxa"/>
            <w:tcBorders>
              <w:top w:val="nil"/>
              <w:left w:val="nil"/>
              <w:bottom w:val="nil"/>
              <w:right w:val="nil"/>
            </w:tcBorders>
            <w:shd w:val="clear" w:color="auto" w:fill="auto"/>
            <w:noWrap/>
            <w:vAlign w:val="bottom"/>
            <w:hideMark/>
          </w:tcPr>
          <w:p w14:paraId="48DA37A0" w14:textId="77777777" w:rsidR="00E8455B" w:rsidRPr="002E6C7E" w:rsidRDefault="00E8455B" w:rsidP="0004720B">
            <w:pPr>
              <w:pStyle w:val="Tabletext"/>
              <w:rPr>
                <w:i/>
                <w:iCs/>
                <w:lang w:eastAsia="en-GB"/>
              </w:rPr>
            </w:pPr>
            <w:r w:rsidRPr="002E6C7E">
              <w:rPr>
                <w:i/>
                <w:iCs/>
                <w:lang w:eastAsia="en-GB"/>
              </w:rPr>
              <w:t xml:space="preserve">    AUSEI06 occupational status</w:t>
            </w:r>
          </w:p>
        </w:tc>
        <w:tc>
          <w:tcPr>
            <w:tcW w:w="1640" w:type="dxa"/>
            <w:tcBorders>
              <w:top w:val="nil"/>
              <w:left w:val="nil"/>
              <w:bottom w:val="nil"/>
              <w:right w:val="nil"/>
            </w:tcBorders>
            <w:shd w:val="clear" w:color="auto" w:fill="auto"/>
            <w:hideMark/>
          </w:tcPr>
          <w:p w14:paraId="7694D541" w14:textId="77777777" w:rsidR="00E8455B" w:rsidRPr="002E6C7E" w:rsidRDefault="00E8455B" w:rsidP="0004720B">
            <w:pPr>
              <w:pStyle w:val="Tabletext"/>
              <w:jc w:val="right"/>
              <w:rPr>
                <w:lang w:eastAsia="en-GB"/>
              </w:rPr>
            </w:pPr>
            <w:r w:rsidRPr="002E6C7E">
              <w:rPr>
                <w:lang w:eastAsia="en-GB"/>
              </w:rPr>
              <w:t>33.1</w:t>
            </w:r>
          </w:p>
        </w:tc>
        <w:tc>
          <w:tcPr>
            <w:tcW w:w="1640" w:type="dxa"/>
            <w:tcBorders>
              <w:top w:val="nil"/>
              <w:left w:val="nil"/>
              <w:bottom w:val="nil"/>
              <w:right w:val="nil"/>
            </w:tcBorders>
            <w:shd w:val="clear" w:color="auto" w:fill="auto"/>
            <w:hideMark/>
          </w:tcPr>
          <w:p w14:paraId="46C6208A" w14:textId="77777777" w:rsidR="00E8455B" w:rsidRPr="002E6C7E" w:rsidRDefault="00E8455B" w:rsidP="0004720B">
            <w:pPr>
              <w:pStyle w:val="Tabletext"/>
              <w:jc w:val="right"/>
              <w:rPr>
                <w:lang w:eastAsia="en-GB"/>
              </w:rPr>
            </w:pPr>
            <w:r w:rsidRPr="002E6C7E">
              <w:rPr>
                <w:lang w:eastAsia="en-GB"/>
              </w:rPr>
              <w:t>42.3</w:t>
            </w:r>
          </w:p>
        </w:tc>
        <w:tc>
          <w:tcPr>
            <w:tcW w:w="1640" w:type="dxa"/>
            <w:tcBorders>
              <w:top w:val="nil"/>
              <w:left w:val="nil"/>
              <w:bottom w:val="nil"/>
              <w:right w:val="nil"/>
            </w:tcBorders>
            <w:shd w:val="clear" w:color="auto" w:fill="auto"/>
            <w:hideMark/>
          </w:tcPr>
          <w:p w14:paraId="39DB26C6" w14:textId="77777777" w:rsidR="00E8455B" w:rsidRPr="002E6C7E" w:rsidRDefault="00E8455B" w:rsidP="0004720B">
            <w:pPr>
              <w:pStyle w:val="Tabletext"/>
              <w:jc w:val="right"/>
              <w:rPr>
                <w:lang w:eastAsia="en-GB"/>
              </w:rPr>
            </w:pPr>
            <w:r w:rsidRPr="002E6C7E">
              <w:rPr>
                <w:lang w:eastAsia="en-GB"/>
              </w:rPr>
              <w:t>45.5</w:t>
            </w:r>
          </w:p>
        </w:tc>
      </w:tr>
      <w:tr w:rsidR="00E8455B" w:rsidRPr="002E6C7E" w14:paraId="61C53D3D" w14:textId="77777777" w:rsidTr="00C368DB">
        <w:trPr>
          <w:trHeight w:val="300"/>
        </w:trPr>
        <w:tc>
          <w:tcPr>
            <w:tcW w:w="4020" w:type="dxa"/>
            <w:tcBorders>
              <w:top w:val="nil"/>
              <w:left w:val="nil"/>
              <w:bottom w:val="nil"/>
              <w:right w:val="nil"/>
            </w:tcBorders>
            <w:shd w:val="clear" w:color="auto" w:fill="auto"/>
            <w:noWrap/>
            <w:vAlign w:val="bottom"/>
            <w:hideMark/>
          </w:tcPr>
          <w:p w14:paraId="5ACA2620" w14:textId="77777777" w:rsidR="00E8455B" w:rsidRPr="002E6C7E" w:rsidRDefault="00E8455B" w:rsidP="0004720B">
            <w:pPr>
              <w:pStyle w:val="Tabletext"/>
              <w:rPr>
                <w:i/>
                <w:iCs/>
                <w:lang w:eastAsia="en-GB"/>
              </w:rPr>
            </w:pPr>
            <w:r w:rsidRPr="002E6C7E">
              <w:rPr>
                <w:i/>
                <w:iCs/>
                <w:lang w:eastAsia="en-GB"/>
              </w:rPr>
              <w:t xml:space="preserve">    Missing</w:t>
            </w:r>
          </w:p>
        </w:tc>
        <w:tc>
          <w:tcPr>
            <w:tcW w:w="1640" w:type="dxa"/>
            <w:tcBorders>
              <w:top w:val="nil"/>
              <w:left w:val="nil"/>
              <w:bottom w:val="nil"/>
              <w:right w:val="nil"/>
            </w:tcBorders>
            <w:shd w:val="clear" w:color="auto" w:fill="auto"/>
            <w:hideMark/>
          </w:tcPr>
          <w:p w14:paraId="18258839" w14:textId="77777777" w:rsidR="00E8455B" w:rsidRPr="002E6C7E" w:rsidRDefault="00E8455B" w:rsidP="0004720B">
            <w:pPr>
              <w:pStyle w:val="Tabletext"/>
              <w:jc w:val="right"/>
              <w:rPr>
                <w:lang w:eastAsia="en-GB"/>
              </w:rPr>
            </w:pPr>
            <w:r w:rsidRPr="002E6C7E">
              <w:rPr>
                <w:lang w:eastAsia="en-GB"/>
              </w:rPr>
              <w:t>0.191</w:t>
            </w:r>
          </w:p>
        </w:tc>
        <w:tc>
          <w:tcPr>
            <w:tcW w:w="1640" w:type="dxa"/>
            <w:tcBorders>
              <w:top w:val="nil"/>
              <w:left w:val="nil"/>
              <w:bottom w:val="nil"/>
              <w:right w:val="nil"/>
            </w:tcBorders>
            <w:shd w:val="clear" w:color="auto" w:fill="auto"/>
            <w:hideMark/>
          </w:tcPr>
          <w:p w14:paraId="72E7AA14" w14:textId="77777777" w:rsidR="00E8455B" w:rsidRPr="002E6C7E" w:rsidRDefault="00E8455B" w:rsidP="0004720B">
            <w:pPr>
              <w:pStyle w:val="Tabletext"/>
              <w:jc w:val="right"/>
              <w:rPr>
                <w:lang w:eastAsia="en-GB"/>
              </w:rPr>
            </w:pPr>
            <w:r w:rsidRPr="002E6C7E">
              <w:rPr>
                <w:lang w:eastAsia="en-GB"/>
              </w:rPr>
              <w:t>0.153</w:t>
            </w:r>
          </w:p>
        </w:tc>
        <w:tc>
          <w:tcPr>
            <w:tcW w:w="1640" w:type="dxa"/>
            <w:tcBorders>
              <w:top w:val="nil"/>
              <w:left w:val="nil"/>
              <w:bottom w:val="nil"/>
              <w:right w:val="nil"/>
            </w:tcBorders>
            <w:shd w:val="clear" w:color="auto" w:fill="auto"/>
            <w:hideMark/>
          </w:tcPr>
          <w:p w14:paraId="3C74A406" w14:textId="77777777" w:rsidR="00E8455B" w:rsidRPr="002E6C7E" w:rsidRDefault="00E8455B" w:rsidP="0004720B">
            <w:pPr>
              <w:pStyle w:val="Tabletext"/>
              <w:jc w:val="right"/>
              <w:rPr>
                <w:lang w:eastAsia="en-GB"/>
              </w:rPr>
            </w:pPr>
            <w:r w:rsidRPr="002E6C7E">
              <w:rPr>
                <w:lang w:eastAsia="en-GB"/>
              </w:rPr>
              <w:t>0.169</w:t>
            </w:r>
          </w:p>
        </w:tc>
      </w:tr>
      <w:tr w:rsidR="00E8455B" w:rsidRPr="002E6C7E" w14:paraId="31B4F627" w14:textId="77777777" w:rsidTr="00C368DB">
        <w:trPr>
          <w:trHeight w:val="300"/>
        </w:trPr>
        <w:tc>
          <w:tcPr>
            <w:tcW w:w="4020" w:type="dxa"/>
            <w:tcBorders>
              <w:top w:val="nil"/>
              <w:left w:val="nil"/>
              <w:bottom w:val="nil"/>
              <w:right w:val="nil"/>
            </w:tcBorders>
            <w:shd w:val="clear" w:color="auto" w:fill="auto"/>
            <w:noWrap/>
            <w:vAlign w:val="bottom"/>
            <w:hideMark/>
          </w:tcPr>
          <w:p w14:paraId="66CB3CCD" w14:textId="77777777" w:rsidR="00E8455B" w:rsidRPr="002E6C7E" w:rsidRDefault="00E8455B" w:rsidP="0004720B">
            <w:pPr>
              <w:pStyle w:val="Tabletext"/>
              <w:rPr>
                <w:lang w:eastAsia="en-GB"/>
              </w:rPr>
            </w:pPr>
            <w:r w:rsidRPr="002E6C7E">
              <w:rPr>
                <w:lang w:eastAsia="en-GB"/>
              </w:rPr>
              <w:t>Big 5</w:t>
            </w:r>
          </w:p>
        </w:tc>
        <w:tc>
          <w:tcPr>
            <w:tcW w:w="1640" w:type="dxa"/>
            <w:tcBorders>
              <w:top w:val="nil"/>
              <w:left w:val="nil"/>
              <w:bottom w:val="nil"/>
              <w:right w:val="nil"/>
            </w:tcBorders>
            <w:shd w:val="clear" w:color="auto" w:fill="auto"/>
            <w:hideMark/>
          </w:tcPr>
          <w:p w14:paraId="1DE8770A"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hideMark/>
          </w:tcPr>
          <w:p w14:paraId="7A2B8A0E" w14:textId="77777777" w:rsidR="00E8455B" w:rsidRPr="002E6C7E" w:rsidRDefault="00E8455B" w:rsidP="0004720B">
            <w:pPr>
              <w:pStyle w:val="Tabletext"/>
              <w:jc w:val="right"/>
              <w:rPr>
                <w:lang w:eastAsia="en-GB"/>
              </w:rPr>
            </w:pPr>
          </w:p>
        </w:tc>
        <w:tc>
          <w:tcPr>
            <w:tcW w:w="1640" w:type="dxa"/>
            <w:tcBorders>
              <w:top w:val="nil"/>
              <w:left w:val="nil"/>
              <w:bottom w:val="nil"/>
              <w:right w:val="nil"/>
            </w:tcBorders>
            <w:shd w:val="clear" w:color="auto" w:fill="auto"/>
            <w:hideMark/>
          </w:tcPr>
          <w:p w14:paraId="735C299A" w14:textId="77777777" w:rsidR="00E8455B" w:rsidRPr="002E6C7E" w:rsidRDefault="00E8455B" w:rsidP="0004720B">
            <w:pPr>
              <w:pStyle w:val="Tabletext"/>
              <w:jc w:val="right"/>
              <w:rPr>
                <w:lang w:eastAsia="en-GB"/>
              </w:rPr>
            </w:pPr>
          </w:p>
        </w:tc>
      </w:tr>
      <w:tr w:rsidR="00E8455B" w:rsidRPr="002E6C7E" w14:paraId="7D58E84B" w14:textId="77777777" w:rsidTr="00C368DB">
        <w:trPr>
          <w:trHeight w:val="300"/>
        </w:trPr>
        <w:tc>
          <w:tcPr>
            <w:tcW w:w="4020" w:type="dxa"/>
            <w:tcBorders>
              <w:top w:val="nil"/>
              <w:left w:val="nil"/>
              <w:bottom w:val="nil"/>
              <w:right w:val="nil"/>
            </w:tcBorders>
            <w:shd w:val="clear" w:color="auto" w:fill="auto"/>
            <w:noWrap/>
            <w:vAlign w:val="bottom"/>
            <w:hideMark/>
          </w:tcPr>
          <w:p w14:paraId="0653FDBA" w14:textId="77777777" w:rsidR="00E8455B" w:rsidRPr="002E6C7E" w:rsidRDefault="00E8455B" w:rsidP="0004720B">
            <w:pPr>
              <w:pStyle w:val="Tabletext"/>
              <w:rPr>
                <w:i/>
                <w:iCs/>
                <w:lang w:eastAsia="en-GB"/>
              </w:rPr>
            </w:pPr>
            <w:r w:rsidRPr="002E6C7E">
              <w:rPr>
                <w:i/>
                <w:iCs/>
                <w:lang w:eastAsia="en-GB"/>
              </w:rPr>
              <w:t xml:space="preserve">    Agreeableness</w:t>
            </w:r>
          </w:p>
        </w:tc>
        <w:tc>
          <w:tcPr>
            <w:tcW w:w="1640" w:type="dxa"/>
            <w:tcBorders>
              <w:top w:val="nil"/>
              <w:left w:val="nil"/>
              <w:bottom w:val="nil"/>
              <w:right w:val="nil"/>
            </w:tcBorders>
            <w:shd w:val="clear" w:color="auto" w:fill="auto"/>
            <w:hideMark/>
          </w:tcPr>
          <w:p w14:paraId="5F398DF4" w14:textId="77777777" w:rsidR="00E8455B" w:rsidRPr="002E6C7E" w:rsidRDefault="00E8455B" w:rsidP="0004720B">
            <w:pPr>
              <w:pStyle w:val="Tabletext"/>
              <w:jc w:val="right"/>
              <w:rPr>
                <w:lang w:eastAsia="en-GB"/>
              </w:rPr>
            </w:pPr>
            <w:r w:rsidRPr="002E6C7E">
              <w:rPr>
                <w:lang w:eastAsia="en-GB"/>
              </w:rPr>
              <w:t>4.46</w:t>
            </w:r>
          </w:p>
        </w:tc>
        <w:tc>
          <w:tcPr>
            <w:tcW w:w="1640" w:type="dxa"/>
            <w:tcBorders>
              <w:top w:val="nil"/>
              <w:left w:val="nil"/>
              <w:bottom w:val="nil"/>
              <w:right w:val="nil"/>
            </w:tcBorders>
            <w:shd w:val="clear" w:color="auto" w:fill="auto"/>
            <w:hideMark/>
          </w:tcPr>
          <w:p w14:paraId="3E07AB1F" w14:textId="77777777" w:rsidR="00E8455B" w:rsidRPr="002E6C7E" w:rsidRDefault="00E8455B" w:rsidP="0004720B">
            <w:pPr>
              <w:pStyle w:val="Tabletext"/>
              <w:jc w:val="right"/>
              <w:rPr>
                <w:lang w:eastAsia="en-GB"/>
              </w:rPr>
            </w:pPr>
            <w:r w:rsidRPr="002E6C7E">
              <w:rPr>
                <w:lang w:eastAsia="en-GB"/>
              </w:rPr>
              <w:t>4.68</w:t>
            </w:r>
          </w:p>
        </w:tc>
        <w:tc>
          <w:tcPr>
            <w:tcW w:w="1640" w:type="dxa"/>
            <w:tcBorders>
              <w:top w:val="nil"/>
              <w:left w:val="nil"/>
              <w:bottom w:val="nil"/>
              <w:right w:val="nil"/>
            </w:tcBorders>
            <w:shd w:val="clear" w:color="auto" w:fill="auto"/>
            <w:hideMark/>
          </w:tcPr>
          <w:p w14:paraId="473CAA2A" w14:textId="77777777" w:rsidR="00E8455B" w:rsidRPr="002E6C7E" w:rsidRDefault="00E8455B" w:rsidP="0004720B">
            <w:pPr>
              <w:pStyle w:val="Tabletext"/>
              <w:jc w:val="right"/>
              <w:rPr>
                <w:lang w:eastAsia="en-GB"/>
              </w:rPr>
            </w:pPr>
            <w:r w:rsidRPr="002E6C7E">
              <w:rPr>
                <w:lang w:eastAsia="en-GB"/>
              </w:rPr>
              <w:t>4.48</w:t>
            </w:r>
          </w:p>
        </w:tc>
      </w:tr>
      <w:tr w:rsidR="00E8455B" w:rsidRPr="002E6C7E" w14:paraId="2B5B120F" w14:textId="77777777" w:rsidTr="00C368DB">
        <w:trPr>
          <w:trHeight w:val="300"/>
        </w:trPr>
        <w:tc>
          <w:tcPr>
            <w:tcW w:w="4020" w:type="dxa"/>
            <w:tcBorders>
              <w:top w:val="nil"/>
              <w:left w:val="nil"/>
              <w:bottom w:val="nil"/>
              <w:right w:val="nil"/>
            </w:tcBorders>
            <w:shd w:val="clear" w:color="auto" w:fill="auto"/>
            <w:noWrap/>
            <w:vAlign w:val="bottom"/>
            <w:hideMark/>
          </w:tcPr>
          <w:p w14:paraId="56D479AF" w14:textId="77777777" w:rsidR="00E8455B" w:rsidRPr="002E6C7E" w:rsidRDefault="00E8455B" w:rsidP="0004720B">
            <w:pPr>
              <w:pStyle w:val="Tabletext"/>
              <w:rPr>
                <w:i/>
                <w:iCs/>
                <w:lang w:eastAsia="en-GB"/>
              </w:rPr>
            </w:pPr>
            <w:r w:rsidRPr="002E6C7E">
              <w:rPr>
                <w:i/>
                <w:iCs/>
                <w:lang w:eastAsia="en-GB"/>
              </w:rPr>
              <w:t xml:space="preserve">    Conscientiousness</w:t>
            </w:r>
          </w:p>
        </w:tc>
        <w:tc>
          <w:tcPr>
            <w:tcW w:w="1640" w:type="dxa"/>
            <w:tcBorders>
              <w:top w:val="nil"/>
              <w:left w:val="nil"/>
              <w:bottom w:val="nil"/>
              <w:right w:val="nil"/>
            </w:tcBorders>
            <w:shd w:val="clear" w:color="auto" w:fill="auto"/>
            <w:hideMark/>
          </w:tcPr>
          <w:p w14:paraId="304D12E8" w14:textId="77777777" w:rsidR="00E8455B" w:rsidRPr="002E6C7E" w:rsidRDefault="00E8455B" w:rsidP="0004720B">
            <w:pPr>
              <w:pStyle w:val="Tabletext"/>
              <w:jc w:val="right"/>
              <w:rPr>
                <w:lang w:eastAsia="en-GB"/>
              </w:rPr>
            </w:pPr>
            <w:r w:rsidRPr="002E6C7E">
              <w:rPr>
                <w:lang w:eastAsia="en-GB"/>
              </w:rPr>
              <w:t>4.25</w:t>
            </w:r>
          </w:p>
        </w:tc>
        <w:tc>
          <w:tcPr>
            <w:tcW w:w="1640" w:type="dxa"/>
            <w:tcBorders>
              <w:top w:val="nil"/>
              <w:left w:val="nil"/>
              <w:bottom w:val="nil"/>
              <w:right w:val="nil"/>
            </w:tcBorders>
            <w:shd w:val="clear" w:color="auto" w:fill="auto"/>
            <w:hideMark/>
          </w:tcPr>
          <w:p w14:paraId="17DB0A14" w14:textId="77777777" w:rsidR="00E8455B" w:rsidRPr="002E6C7E" w:rsidRDefault="00E8455B" w:rsidP="0004720B">
            <w:pPr>
              <w:pStyle w:val="Tabletext"/>
              <w:jc w:val="right"/>
              <w:rPr>
                <w:lang w:eastAsia="en-GB"/>
              </w:rPr>
            </w:pPr>
            <w:r w:rsidRPr="002E6C7E">
              <w:rPr>
                <w:lang w:eastAsia="en-GB"/>
              </w:rPr>
              <w:t>4.48</w:t>
            </w:r>
          </w:p>
        </w:tc>
        <w:tc>
          <w:tcPr>
            <w:tcW w:w="1640" w:type="dxa"/>
            <w:tcBorders>
              <w:top w:val="nil"/>
              <w:left w:val="nil"/>
              <w:bottom w:val="nil"/>
              <w:right w:val="nil"/>
            </w:tcBorders>
            <w:shd w:val="clear" w:color="auto" w:fill="auto"/>
            <w:hideMark/>
          </w:tcPr>
          <w:p w14:paraId="491E52CB" w14:textId="77777777" w:rsidR="00E8455B" w:rsidRPr="002E6C7E" w:rsidRDefault="00E8455B" w:rsidP="0004720B">
            <w:pPr>
              <w:pStyle w:val="Tabletext"/>
              <w:jc w:val="right"/>
              <w:rPr>
                <w:lang w:eastAsia="en-GB"/>
              </w:rPr>
            </w:pPr>
            <w:r w:rsidRPr="002E6C7E">
              <w:rPr>
                <w:lang w:eastAsia="en-GB"/>
              </w:rPr>
              <w:t>4.32</w:t>
            </w:r>
          </w:p>
        </w:tc>
      </w:tr>
      <w:tr w:rsidR="00E8455B" w:rsidRPr="002E6C7E" w14:paraId="633E2AC8" w14:textId="77777777" w:rsidTr="00C368DB">
        <w:trPr>
          <w:trHeight w:val="300"/>
        </w:trPr>
        <w:tc>
          <w:tcPr>
            <w:tcW w:w="4020" w:type="dxa"/>
            <w:tcBorders>
              <w:top w:val="nil"/>
              <w:left w:val="nil"/>
              <w:bottom w:val="nil"/>
              <w:right w:val="nil"/>
            </w:tcBorders>
            <w:shd w:val="clear" w:color="auto" w:fill="auto"/>
            <w:noWrap/>
            <w:vAlign w:val="bottom"/>
            <w:hideMark/>
          </w:tcPr>
          <w:p w14:paraId="5FD09AE5" w14:textId="77777777" w:rsidR="00E8455B" w:rsidRPr="002E6C7E" w:rsidRDefault="00E8455B" w:rsidP="0004720B">
            <w:pPr>
              <w:pStyle w:val="Tabletext"/>
              <w:rPr>
                <w:i/>
                <w:iCs/>
                <w:lang w:eastAsia="en-GB"/>
              </w:rPr>
            </w:pPr>
            <w:r w:rsidRPr="002E6C7E">
              <w:rPr>
                <w:i/>
                <w:iCs/>
                <w:lang w:eastAsia="en-GB"/>
              </w:rPr>
              <w:t xml:space="preserve">    Emotional stability</w:t>
            </w:r>
          </w:p>
        </w:tc>
        <w:tc>
          <w:tcPr>
            <w:tcW w:w="1640" w:type="dxa"/>
            <w:tcBorders>
              <w:top w:val="nil"/>
              <w:left w:val="nil"/>
              <w:bottom w:val="nil"/>
              <w:right w:val="nil"/>
            </w:tcBorders>
            <w:shd w:val="clear" w:color="auto" w:fill="auto"/>
            <w:hideMark/>
          </w:tcPr>
          <w:p w14:paraId="60D32E0A" w14:textId="77777777" w:rsidR="00E8455B" w:rsidRPr="002E6C7E" w:rsidRDefault="00E8455B" w:rsidP="0004720B">
            <w:pPr>
              <w:pStyle w:val="Tabletext"/>
              <w:jc w:val="right"/>
              <w:rPr>
                <w:lang w:eastAsia="en-GB"/>
              </w:rPr>
            </w:pPr>
            <w:r w:rsidRPr="002E6C7E">
              <w:rPr>
                <w:lang w:eastAsia="en-GB"/>
              </w:rPr>
              <w:t>4.20</w:t>
            </w:r>
          </w:p>
        </w:tc>
        <w:tc>
          <w:tcPr>
            <w:tcW w:w="1640" w:type="dxa"/>
            <w:tcBorders>
              <w:top w:val="nil"/>
              <w:left w:val="nil"/>
              <w:bottom w:val="nil"/>
              <w:right w:val="nil"/>
            </w:tcBorders>
            <w:shd w:val="clear" w:color="auto" w:fill="auto"/>
            <w:hideMark/>
          </w:tcPr>
          <w:p w14:paraId="209A1039" w14:textId="77777777" w:rsidR="00E8455B" w:rsidRPr="002E6C7E" w:rsidRDefault="00E8455B" w:rsidP="0004720B">
            <w:pPr>
              <w:pStyle w:val="Tabletext"/>
              <w:jc w:val="right"/>
              <w:rPr>
                <w:lang w:eastAsia="en-GB"/>
              </w:rPr>
            </w:pPr>
            <w:r w:rsidRPr="002E6C7E">
              <w:rPr>
                <w:lang w:eastAsia="en-GB"/>
              </w:rPr>
              <w:t>4.39</w:t>
            </w:r>
          </w:p>
        </w:tc>
        <w:tc>
          <w:tcPr>
            <w:tcW w:w="1640" w:type="dxa"/>
            <w:tcBorders>
              <w:top w:val="nil"/>
              <w:left w:val="nil"/>
              <w:bottom w:val="nil"/>
              <w:right w:val="nil"/>
            </w:tcBorders>
            <w:shd w:val="clear" w:color="auto" w:fill="auto"/>
            <w:hideMark/>
          </w:tcPr>
          <w:p w14:paraId="516D2556" w14:textId="77777777" w:rsidR="00E8455B" w:rsidRPr="002E6C7E" w:rsidRDefault="00E8455B" w:rsidP="0004720B">
            <w:pPr>
              <w:pStyle w:val="Tabletext"/>
              <w:jc w:val="right"/>
              <w:rPr>
                <w:lang w:eastAsia="en-GB"/>
              </w:rPr>
            </w:pPr>
            <w:r w:rsidRPr="002E6C7E">
              <w:rPr>
                <w:lang w:eastAsia="en-GB"/>
              </w:rPr>
              <w:t>4.27</w:t>
            </w:r>
          </w:p>
        </w:tc>
      </w:tr>
      <w:tr w:rsidR="00E8455B" w:rsidRPr="002E6C7E" w14:paraId="1D7698F4" w14:textId="77777777" w:rsidTr="00C368DB">
        <w:trPr>
          <w:trHeight w:val="300"/>
        </w:trPr>
        <w:tc>
          <w:tcPr>
            <w:tcW w:w="4020" w:type="dxa"/>
            <w:tcBorders>
              <w:top w:val="nil"/>
              <w:left w:val="nil"/>
              <w:bottom w:val="nil"/>
              <w:right w:val="nil"/>
            </w:tcBorders>
            <w:shd w:val="clear" w:color="auto" w:fill="auto"/>
            <w:noWrap/>
            <w:vAlign w:val="bottom"/>
            <w:hideMark/>
          </w:tcPr>
          <w:p w14:paraId="62FC32FD" w14:textId="77777777" w:rsidR="00E8455B" w:rsidRPr="002E6C7E" w:rsidRDefault="00E8455B" w:rsidP="0004720B">
            <w:pPr>
              <w:pStyle w:val="Tabletext"/>
              <w:rPr>
                <w:i/>
                <w:iCs/>
                <w:lang w:eastAsia="en-GB"/>
              </w:rPr>
            </w:pPr>
            <w:r w:rsidRPr="002E6C7E">
              <w:rPr>
                <w:i/>
                <w:iCs/>
                <w:lang w:eastAsia="en-GB"/>
              </w:rPr>
              <w:t xml:space="preserve">    Extroversion</w:t>
            </w:r>
          </w:p>
        </w:tc>
        <w:tc>
          <w:tcPr>
            <w:tcW w:w="1640" w:type="dxa"/>
            <w:tcBorders>
              <w:top w:val="nil"/>
              <w:left w:val="nil"/>
              <w:bottom w:val="nil"/>
              <w:right w:val="nil"/>
            </w:tcBorders>
            <w:shd w:val="clear" w:color="auto" w:fill="auto"/>
            <w:hideMark/>
          </w:tcPr>
          <w:p w14:paraId="003D092D" w14:textId="77777777" w:rsidR="00E8455B" w:rsidRPr="002E6C7E" w:rsidRDefault="00E8455B" w:rsidP="0004720B">
            <w:pPr>
              <w:pStyle w:val="Tabletext"/>
              <w:jc w:val="right"/>
              <w:rPr>
                <w:lang w:eastAsia="en-GB"/>
              </w:rPr>
            </w:pPr>
            <w:r w:rsidRPr="002E6C7E">
              <w:rPr>
                <w:lang w:eastAsia="en-GB"/>
              </w:rPr>
              <w:t>3.67</w:t>
            </w:r>
          </w:p>
        </w:tc>
        <w:tc>
          <w:tcPr>
            <w:tcW w:w="1640" w:type="dxa"/>
            <w:tcBorders>
              <w:top w:val="nil"/>
              <w:left w:val="nil"/>
              <w:bottom w:val="nil"/>
              <w:right w:val="nil"/>
            </w:tcBorders>
            <w:shd w:val="clear" w:color="auto" w:fill="auto"/>
            <w:hideMark/>
          </w:tcPr>
          <w:p w14:paraId="4095C117" w14:textId="77777777" w:rsidR="00E8455B" w:rsidRPr="002E6C7E" w:rsidRDefault="00E8455B" w:rsidP="0004720B">
            <w:pPr>
              <w:pStyle w:val="Tabletext"/>
              <w:jc w:val="right"/>
              <w:rPr>
                <w:lang w:eastAsia="en-GB"/>
              </w:rPr>
            </w:pPr>
            <w:r w:rsidRPr="002E6C7E">
              <w:rPr>
                <w:lang w:eastAsia="en-GB"/>
              </w:rPr>
              <w:t>3.82</w:t>
            </w:r>
          </w:p>
        </w:tc>
        <w:tc>
          <w:tcPr>
            <w:tcW w:w="1640" w:type="dxa"/>
            <w:tcBorders>
              <w:top w:val="nil"/>
              <w:left w:val="nil"/>
              <w:bottom w:val="nil"/>
              <w:right w:val="nil"/>
            </w:tcBorders>
            <w:shd w:val="clear" w:color="auto" w:fill="auto"/>
            <w:hideMark/>
          </w:tcPr>
          <w:p w14:paraId="4C1D5C9C" w14:textId="77777777" w:rsidR="00E8455B" w:rsidRPr="002E6C7E" w:rsidRDefault="00E8455B" w:rsidP="0004720B">
            <w:pPr>
              <w:pStyle w:val="Tabletext"/>
              <w:jc w:val="right"/>
              <w:rPr>
                <w:lang w:eastAsia="en-GB"/>
              </w:rPr>
            </w:pPr>
            <w:r w:rsidRPr="002E6C7E">
              <w:rPr>
                <w:lang w:eastAsia="en-GB"/>
              </w:rPr>
              <w:t>3.61</w:t>
            </w:r>
          </w:p>
        </w:tc>
      </w:tr>
      <w:tr w:rsidR="00E8455B" w:rsidRPr="002E6C7E" w14:paraId="06390238" w14:textId="77777777" w:rsidTr="00C368DB">
        <w:trPr>
          <w:trHeight w:val="300"/>
        </w:trPr>
        <w:tc>
          <w:tcPr>
            <w:tcW w:w="4020" w:type="dxa"/>
            <w:tcBorders>
              <w:top w:val="nil"/>
              <w:left w:val="nil"/>
              <w:bottom w:val="nil"/>
              <w:right w:val="nil"/>
            </w:tcBorders>
            <w:shd w:val="clear" w:color="auto" w:fill="auto"/>
            <w:noWrap/>
            <w:vAlign w:val="bottom"/>
            <w:hideMark/>
          </w:tcPr>
          <w:p w14:paraId="69D678AB" w14:textId="77777777" w:rsidR="00E8455B" w:rsidRPr="002E6C7E" w:rsidRDefault="00E8455B" w:rsidP="0004720B">
            <w:pPr>
              <w:pStyle w:val="Tabletext"/>
              <w:rPr>
                <w:i/>
                <w:iCs/>
                <w:lang w:eastAsia="en-GB"/>
              </w:rPr>
            </w:pPr>
            <w:r w:rsidRPr="002E6C7E">
              <w:rPr>
                <w:i/>
                <w:iCs/>
                <w:lang w:eastAsia="en-GB"/>
              </w:rPr>
              <w:t xml:space="preserve">    Openness to experience</w:t>
            </w:r>
          </w:p>
        </w:tc>
        <w:tc>
          <w:tcPr>
            <w:tcW w:w="1640" w:type="dxa"/>
            <w:tcBorders>
              <w:top w:val="nil"/>
              <w:left w:val="nil"/>
              <w:bottom w:val="nil"/>
              <w:right w:val="nil"/>
            </w:tcBorders>
            <w:shd w:val="clear" w:color="auto" w:fill="auto"/>
            <w:hideMark/>
          </w:tcPr>
          <w:p w14:paraId="63E02284" w14:textId="77777777" w:rsidR="00E8455B" w:rsidRPr="002E6C7E" w:rsidRDefault="00E8455B" w:rsidP="0004720B">
            <w:pPr>
              <w:pStyle w:val="Tabletext"/>
              <w:jc w:val="right"/>
              <w:rPr>
                <w:lang w:eastAsia="en-GB"/>
              </w:rPr>
            </w:pPr>
            <w:r w:rsidRPr="002E6C7E">
              <w:rPr>
                <w:lang w:eastAsia="en-GB"/>
              </w:rPr>
              <w:t>3.54</w:t>
            </w:r>
          </w:p>
        </w:tc>
        <w:tc>
          <w:tcPr>
            <w:tcW w:w="1640" w:type="dxa"/>
            <w:tcBorders>
              <w:top w:val="nil"/>
              <w:left w:val="nil"/>
              <w:bottom w:val="nil"/>
              <w:right w:val="nil"/>
            </w:tcBorders>
            <w:shd w:val="clear" w:color="auto" w:fill="auto"/>
            <w:hideMark/>
          </w:tcPr>
          <w:p w14:paraId="28991F76" w14:textId="77777777" w:rsidR="00E8455B" w:rsidRPr="002E6C7E" w:rsidRDefault="00E8455B" w:rsidP="0004720B">
            <w:pPr>
              <w:pStyle w:val="Tabletext"/>
              <w:jc w:val="right"/>
              <w:rPr>
                <w:lang w:eastAsia="en-GB"/>
              </w:rPr>
            </w:pPr>
            <w:r w:rsidRPr="002E6C7E">
              <w:rPr>
                <w:lang w:eastAsia="en-GB"/>
              </w:rPr>
              <w:t>3.86</w:t>
            </w:r>
          </w:p>
        </w:tc>
        <w:tc>
          <w:tcPr>
            <w:tcW w:w="1640" w:type="dxa"/>
            <w:tcBorders>
              <w:top w:val="nil"/>
              <w:left w:val="nil"/>
              <w:bottom w:val="nil"/>
              <w:right w:val="nil"/>
            </w:tcBorders>
            <w:shd w:val="clear" w:color="auto" w:fill="auto"/>
            <w:hideMark/>
          </w:tcPr>
          <w:p w14:paraId="1558AEDD" w14:textId="77777777" w:rsidR="00E8455B" w:rsidRPr="002E6C7E" w:rsidRDefault="00E8455B" w:rsidP="0004720B">
            <w:pPr>
              <w:pStyle w:val="Tabletext"/>
              <w:jc w:val="right"/>
              <w:rPr>
                <w:lang w:eastAsia="en-GB"/>
              </w:rPr>
            </w:pPr>
            <w:r w:rsidRPr="002E6C7E">
              <w:rPr>
                <w:lang w:eastAsia="en-GB"/>
              </w:rPr>
              <w:t>3.72</w:t>
            </w:r>
          </w:p>
        </w:tc>
      </w:tr>
      <w:tr w:rsidR="00E8455B" w:rsidRPr="002E6C7E" w14:paraId="5DD60174" w14:textId="77777777" w:rsidTr="00C368DB">
        <w:trPr>
          <w:trHeight w:val="300"/>
        </w:trPr>
        <w:tc>
          <w:tcPr>
            <w:tcW w:w="4020" w:type="dxa"/>
            <w:tcBorders>
              <w:top w:val="nil"/>
              <w:left w:val="nil"/>
              <w:bottom w:val="nil"/>
              <w:right w:val="nil"/>
            </w:tcBorders>
            <w:shd w:val="clear" w:color="auto" w:fill="auto"/>
            <w:noWrap/>
            <w:vAlign w:val="bottom"/>
            <w:hideMark/>
          </w:tcPr>
          <w:p w14:paraId="5416DF15" w14:textId="77777777" w:rsidR="00E8455B" w:rsidRPr="002E6C7E" w:rsidRDefault="00E8455B" w:rsidP="0004720B">
            <w:pPr>
              <w:pStyle w:val="Tabletext"/>
              <w:rPr>
                <w:i/>
                <w:iCs/>
                <w:lang w:eastAsia="en-GB"/>
              </w:rPr>
            </w:pPr>
            <w:r w:rsidRPr="002E6C7E">
              <w:rPr>
                <w:i/>
                <w:iCs/>
                <w:lang w:eastAsia="en-GB"/>
              </w:rPr>
              <w:t xml:space="preserve">    Missing</w:t>
            </w:r>
          </w:p>
        </w:tc>
        <w:tc>
          <w:tcPr>
            <w:tcW w:w="1640" w:type="dxa"/>
            <w:tcBorders>
              <w:top w:val="nil"/>
              <w:left w:val="nil"/>
              <w:bottom w:val="nil"/>
              <w:right w:val="nil"/>
            </w:tcBorders>
            <w:shd w:val="clear" w:color="auto" w:fill="auto"/>
            <w:hideMark/>
          </w:tcPr>
          <w:p w14:paraId="0C790013" w14:textId="77777777" w:rsidR="00E8455B" w:rsidRPr="002E6C7E" w:rsidRDefault="00E8455B" w:rsidP="0004720B">
            <w:pPr>
              <w:pStyle w:val="Tabletext"/>
              <w:jc w:val="right"/>
              <w:rPr>
                <w:lang w:eastAsia="en-GB"/>
              </w:rPr>
            </w:pPr>
            <w:r w:rsidRPr="002E6C7E">
              <w:rPr>
                <w:lang w:eastAsia="en-GB"/>
              </w:rPr>
              <w:t>0.188</w:t>
            </w:r>
          </w:p>
        </w:tc>
        <w:tc>
          <w:tcPr>
            <w:tcW w:w="1640" w:type="dxa"/>
            <w:tcBorders>
              <w:top w:val="nil"/>
              <w:left w:val="nil"/>
              <w:bottom w:val="nil"/>
              <w:right w:val="nil"/>
            </w:tcBorders>
            <w:shd w:val="clear" w:color="auto" w:fill="auto"/>
            <w:hideMark/>
          </w:tcPr>
          <w:p w14:paraId="19048B68" w14:textId="77777777" w:rsidR="00E8455B" w:rsidRPr="002E6C7E" w:rsidRDefault="00E8455B" w:rsidP="0004720B">
            <w:pPr>
              <w:pStyle w:val="Tabletext"/>
              <w:jc w:val="right"/>
              <w:rPr>
                <w:lang w:eastAsia="en-GB"/>
              </w:rPr>
            </w:pPr>
            <w:r w:rsidRPr="002E6C7E">
              <w:rPr>
                <w:lang w:eastAsia="en-GB"/>
              </w:rPr>
              <w:t>0.158</w:t>
            </w:r>
          </w:p>
        </w:tc>
        <w:tc>
          <w:tcPr>
            <w:tcW w:w="1640" w:type="dxa"/>
            <w:tcBorders>
              <w:top w:val="nil"/>
              <w:left w:val="nil"/>
              <w:bottom w:val="nil"/>
              <w:right w:val="nil"/>
            </w:tcBorders>
            <w:shd w:val="clear" w:color="auto" w:fill="auto"/>
            <w:hideMark/>
          </w:tcPr>
          <w:p w14:paraId="5E64D897" w14:textId="77777777" w:rsidR="00E8455B" w:rsidRPr="002E6C7E" w:rsidRDefault="00E8455B" w:rsidP="0004720B">
            <w:pPr>
              <w:pStyle w:val="Tabletext"/>
              <w:jc w:val="right"/>
              <w:rPr>
                <w:lang w:eastAsia="en-GB"/>
              </w:rPr>
            </w:pPr>
            <w:r w:rsidRPr="002E6C7E">
              <w:rPr>
                <w:lang w:eastAsia="en-GB"/>
              </w:rPr>
              <w:t>0.185</w:t>
            </w:r>
          </w:p>
        </w:tc>
      </w:tr>
      <w:tr w:rsidR="00E8455B" w:rsidRPr="002E6C7E" w14:paraId="14E2AC26" w14:textId="77777777" w:rsidTr="00C368DB">
        <w:trPr>
          <w:trHeight w:val="300"/>
        </w:trPr>
        <w:tc>
          <w:tcPr>
            <w:tcW w:w="4020" w:type="dxa"/>
            <w:tcBorders>
              <w:top w:val="nil"/>
              <w:left w:val="nil"/>
              <w:bottom w:val="single" w:sz="4" w:space="0" w:color="auto"/>
              <w:right w:val="nil"/>
            </w:tcBorders>
            <w:shd w:val="clear" w:color="auto" w:fill="auto"/>
            <w:noWrap/>
            <w:vAlign w:val="bottom"/>
            <w:hideMark/>
          </w:tcPr>
          <w:p w14:paraId="7602AEDB" w14:textId="77777777" w:rsidR="00E8455B" w:rsidRPr="002E6C7E" w:rsidRDefault="00E8455B" w:rsidP="0004720B">
            <w:pPr>
              <w:pStyle w:val="Tabletext"/>
              <w:rPr>
                <w:lang w:eastAsia="en-GB"/>
              </w:rPr>
            </w:pPr>
            <w:r w:rsidRPr="002E6C7E">
              <w:rPr>
                <w:lang w:eastAsia="en-GB"/>
              </w:rPr>
              <w:t>Number of observations</w:t>
            </w:r>
          </w:p>
        </w:tc>
        <w:tc>
          <w:tcPr>
            <w:tcW w:w="1640" w:type="dxa"/>
            <w:tcBorders>
              <w:top w:val="nil"/>
              <w:left w:val="nil"/>
              <w:bottom w:val="single" w:sz="4" w:space="0" w:color="auto"/>
              <w:right w:val="nil"/>
            </w:tcBorders>
            <w:shd w:val="clear" w:color="auto" w:fill="auto"/>
            <w:noWrap/>
            <w:vAlign w:val="bottom"/>
            <w:hideMark/>
          </w:tcPr>
          <w:p w14:paraId="5FFB0117" w14:textId="77777777" w:rsidR="00E8455B" w:rsidRPr="002E6C7E" w:rsidRDefault="00E8455B" w:rsidP="0004720B">
            <w:pPr>
              <w:pStyle w:val="Tabletext"/>
              <w:jc w:val="right"/>
              <w:rPr>
                <w:lang w:eastAsia="en-GB"/>
              </w:rPr>
            </w:pPr>
            <w:r w:rsidRPr="002E6C7E">
              <w:rPr>
                <w:lang w:eastAsia="en-GB"/>
              </w:rPr>
              <w:t>929</w:t>
            </w:r>
          </w:p>
        </w:tc>
        <w:tc>
          <w:tcPr>
            <w:tcW w:w="1640" w:type="dxa"/>
            <w:tcBorders>
              <w:top w:val="nil"/>
              <w:left w:val="nil"/>
              <w:bottom w:val="single" w:sz="4" w:space="0" w:color="auto"/>
              <w:right w:val="nil"/>
            </w:tcBorders>
            <w:shd w:val="clear" w:color="auto" w:fill="auto"/>
            <w:noWrap/>
            <w:vAlign w:val="bottom"/>
            <w:hideMark/>
          </w:tcPr>
          <w:p w14:paraId="3B65C12C" w14:textId="77777777" w:rsidR="00E8455B" w:rsidRPr="002E6C7E" w:rsidRDefault="00E8455B" w:rsidP="0004720B">
            <w:pPr>
              <w:pStyle w:val="Tabletext"/>
              <w:jc w:val="right"/>
              <w:rPr>
                <w:lang w:eastAsia="en-GB"/>
              </w:rPr>
            </w:pPr>
            <w:r w:rsidRPr="002E6C7E">
              <w:rPr>
                <w:lang w:eastAsia="en-GB"/>
              </w:rPr>
              <w:t>595</w:t>
            </w:r>
          </w:p>
        </w:tc>
        <w:tc>
          <w:tcPr>
            <w:tcW w:w="1640" w:type="dxa"/>
            <w:tcBorders>
              <w:top w:val="nil"/>
              <w:left w:val="nil"/>
              <w:bottom w:val="single" w:sz="4" w:space="0" w:color="auto"/>
              <w:right w:val="nil"/>
            </w:tcBorders>
            <w:shd w:val="clear" w:color="auto" w:fill="auto"/>
            <w:noWrap/>
            <w:vAlign w:val="bottom"/>
            <w:hideMark/>
          </w:tcPr>
          <w:p w14:paraId="49B08B74" w14:textId="77777777" w:rsidR="00E8455B" w:rsidRPr="002E6C7E" w:rsidRDefault="00E8455B" w:rsidP="0004720B">
            <w:pPr>
              <w:pStyle w:val="Tabletext"/>
              <w:jc w:val="right"/>
              <w:rPr>
                <w:lang w:eastAsia="en-GB"/>
              </w:rPr>
            </w:pPr>
            <w:r w:rsidRPr="002E6C7E">
              <w:rPr>
                <w:lang w:eastAsia="en-GB"/>
              </w:rPr>
              <w:t>1,199</w:t>
            </w:r>
          </w:p>
        </w:tc>
      </w:tr>
    </w:tbl>
    <w:p w14:paraId="56F2DA76" w14:textId="77777777" w:rsidR="00E8455B" w:rsidRPr="001E01B5" w:rsidRDefault="00E8455B" w:rsidP="0004720B">
      <w:pPr>
        <w:pStyle w:val="Source"/>
      </w:pPr>
      <w:r w:rsidRPr="001E01B5">
        <w:t>Interpretation example: Among respondents with a VET qualification only, 49.2% are male.</w:t>
      </w:r>
    </w:p>
    <w:p w14:paraId="3DB3C499" w14:textId="77777777" w:rsidR="00E8455B" w:rsidRPr="001E01B5" w:rsidRDefault="00E8455B" w:rsidP="0004720B">
      <w:pPr>
        <w:pStyle w:val="Source"/>
      </w:pPr>
      <w:r w:rsidRPr="001E01B5">
        <w:t>Note: Sum of categorical variables (e.g. State of residence) may not sum to 100% because of rounding.</w:t>
      </w:r>
    </w:p>
    <w:p w14:paraId="3489F25B" w14:textId="77777777" w:rsidR="00E8455B" w:rsidRPr="001E01B5" w:rsidRDefault="00E8455B" w:rsidP="0004720B">
      <w:pPr>
        <w:pStyle w:val="Source"/>
      </w:pPr>
      <w:r w:rsidRPr="001E01B5">
        <w:t>Source: HILDA wave 11, respondents aged 25-56 with non-missing occupation information and a VET and/or a HE qualification.</w:t>
      </w:r>
    </w:p>
    <w:p w14:paraId="0715A3E7" w14:textId="15E849E1" w:rsidR="00E8455B" w:rsidRPr="00BD35C9" w:rsidRDefault="0004720B" w:rsidP="0004720B">
      <w:pPr>
        <w:pStyle w:val="Text"/>
      </w:pPr>
      <w:r>
        <w:t>The main features of the Table are that:</w:t>
      </w:r>
    </w:p>
    <w:p w14:paraId="643D9C2C" w14:textId="77777777" w:rsidR="00E8455B" w:rsidRDefault="00E8455B" w:rsidP="002A3629">
      <w:pPr>
        <w:pStyle w:val="Dotpoint1"/>
      </w:pPr>
      <w:r>
        <w:t xml:space="preserve">Relatively more females have a combination of VET &amp; HE qualifications: among respondents with a VET &amp; </w:t>
      </w:r>
      <w:proofErr w:type="gramStart"/>
      <w:r>
        <w:t>HE</w:t>
      </w:r>
      <w:proofErr w:type="gramEnd"/>
      <w:r>
        <w:t xml:space="preserve"> qualification, 61.3% are female vs 53% for HE and 50.8% for VET). Note that our sample has </w:t>
      </w:r>
      <w:r>
        <w:lastRenderedPageBreak/>
        <w:t>more females than males suggesting that the occupations with a balance of qualifications may be more female-dominated occupations.</w:t>
      </w:r>
    </w:p>
    <w:p w14:paraId="2A9D3A39" w14:textId="77777777" w:rsidR="00E8455B" w:rsidRDefault="00E8455B" w:rsidP="002A3629">
      <w:pPr>
        <w:pStyle w:val="Dotpoint1"/>
      </w:pPr>
      <w:r>
        <w:t>Respondents with a HE qualification are on average younger (38.9 years old).</w:t>
      </w:r>
    </w:p>
    <w:p w14:paraId="6CCF684F" w14:textId="77777777" w:rsidR="00E8455B" w:rsidRDefault="00E8455B" w:rsidP="002A3629">
      <w:pPr>
        <w:pStyle w:val="Dotpoint1"/>
      </w:pPr>
      <w:r>
        <w:t>Qualifications that include any HE (VET &amp; HE or HE alone) have less than 1% ATSI Australians.</w:t>
      </w:r>
    </w:p>
    <w:p w14:paraId="6BE1831A" w14:textId="77777777" w:rsidR="00E8455B" w:rsidRDefault="00E8455B" w:rsidP="002A3629">
      <w:pPr>
        <w:pStyle w:val="Dotpoint1"/>
      </w:pPr>
      <w:r>
        <w:t>Australian-born respondents and respondents without a language other than English both do more VET (respectively 81.6% and 92.1%) possibly reflecting selective migration in Australia.</w:t>
      </w:r>
    </w:p>
    <w:p w14:paraId="456F6592" w14:textId="77777777" w:rsidR="00E8455B" w:rsidRDefault="00E8455B" w:rsidP="002A3629">
      <w:pPr>
        <w:pStyle w:val="Dotpoint1"/>
      </w:pPr>
      <w:r>
        <w:t xml:space="preserve">Respondents in Victoria and the ACT are over-represented in the HE qualification group, while NSW are over-represented in the </w:t>
      </w:r>
      <w:proofErr w:type="gramStart"/>
      <w:r>
        <w:t>VET</w:t>
      </w:r>
      <w:proofErr w:type="gramEnd"/>
      <w:r>
        <w:t xml:space="preserve"> and HE group and Queensland and South Australia are over-represented in the VET group.</w:t>
      </w:r>
    </w:p>
    <w:p w14:paraId="5D9865E2" w14:textId="77777777" w:rsidR="00E8455B" w:rsidRDefault="00E8455B" w:rsidP="002A3629">
      <w:pPr>
        <w:pStyle w:val="Dotpoint1"/>
      </w:pPr>
      <w:r>
        <w:t>Respondents from major cities are over-represented in the HE group, while respondents from inner and outer regional are over represented in VET. Perhaps surprisingly, residents in remote Australia are over represented in the VET &amp; HE group.</w:t>
      </w:r>
    </w:p>
    <w:p w14:paraId="3A8972C2" w14:textId="77777777" w:rsidR="00E8455B" w:rsidRDefault="00E8455B" w:rsidP="002A3629">
      <w:pPr>
        <w:pStyle w:val="Dotpoint1"/>
      </w:pPr>
      <w:r>
        <w:t>Consistently with being younger, respondents with HE qualifications have also left the education system more recently (19.3 years on average).</w:t>
      </w:r>
    </w:p>
    <w:p w14:paraId="46044648" w14:textId="77777777" w:rsidR="00E8455B" w:rsidRDefault="00E8455B" w:rsidP="002A3629">
      <w:pPr>
        <w:pStyle w:val="Dotpoint1"/>
      </w:pPr>
      <w:r>
        <w:t xml:space="preserve">There is a clear intergenerational pattern by which children are more likely to go to </w:t>
      </w:r>
      <w:proofErr w:type="gramStart"/>
      <w:r>
        <w:t>University</w:t>
      </w:r>
      <w:proofErr w:type="gramEnd"/>
      <w:r>
        <w:t xml:space="preserve"> if their father or mother did, and do a VET degree if their father or mother did.</w:t>
      </w:r>
    </w:p>
    <w:p w14:paraId="2D090EC6" w14:textId="77777777" w:rsidR="00E8455B" w:rsidRPr="00A532D1" w:rsidRDefault="00E8455B" w:rsidP="002A3629">
      <w:pPr>
        <w:pStyle w:val="Dotpoint1"/>
      </w:pPr>
      <w:r>
        <w:t xml:space="preserve">Respondents’ likelihood to have a HE qualification also increases with the occupational status of their mother and father. </w:t>
      </w:r>
    </w:p>
    <w:p w14:paraId="46AA27CA" w14:textId="77777777" w:rsidR="00E8455B" w:rsidRPr="00162AE7" w:rsidRDefault="00E8455B" w:rsidP="002A3629">
      <w:pPr>
        <w:pStyle w:val="Text"/>
      </w:pPr>
      <w:r>
        <w:t>The characteristics presented in Table 3 are used in the regression analysis of labour market outcomes t</w:t>
      </w:r>
      <w:r w:rsidRPr="00BD35C9">
        <w:t>o control for t</w:t>
      </w:r>
      <w:r>
        <w:t>he drivers of</w:t>
      </w:r>
      <w:r w:rsidRPr="00BD35C9">
        <w:t xml:space="preserve"> the decision between a VET and HE pathway </w:t>
      </w:r>
      <w:r>
        <w:t>(</w:t>
      </w:r>
      <w:r w:rsidRPr="00BD35C9">
        <w:t xml:space="preserve">and may be correlated with </w:t>
      </w:r>
      <w:r>
        <w:t xml:space="preserve">labour market </w:t>
      </w:r>
      <w:r w:rsidRPr="00BD35C9">
        <w:t>outcomes</w:t>
      </w:r>
      <w:r>
        <w:t>)</w:t>
      </w:r>
      <w:r w:rsidRPr="00BD35C9">
        <w:t xml:space="preserve">. </w:t>
      </w:r>
      <w:r>
        <w:t>To analyse the drivers of the decision to undertake a VET and/or HE qualification, table 4 presents regressions of these characteristics on: (</w:t>
      </w:r>
      <w:proofErr w:type="spellStart"/>
      <w:r>
        <w:t>i</w:t>
      </w:r>
      <w:proofErr w:type="spellEnd"/>
      <w:r>
        <w:t xml:space="preserve">) having a VET qualification (vs the reference category of having a HE qualification; (ii) having a VET+HE qualification (vs the reference category of having a HE qualification. </w:t>
      </w:r>
    </w:p>
    <w:p w14:paraId="131A4CA2" w14:textId="352B5AED" w:rsidR="00E8455B" w:rsidRDefault="00E8455B" w:rsidP="007F39BA">
      <w:pPr>
        <w:pStyle w:val="tabletitle"/>
      </w:pPr>
      <w:bookmarkStart w:id="29" w:name="_Toc102041057"/>
      <w:r>
        <w:t>Table 4</w:t>
      </w:r>
      <w:r w:rsidR="009E4AB9">
        <w:tab/>
      </w:r>
      <w:r>
        <w:t>Drivers of qualifying with a VET, or VET and HE versus a HE qualification</w:t>
      </w:r>
      <w:bookmarkEnd w:id="29"/>
    </w:p>
    <w:tbl>
      <w:tblPr>
        <w:tblW w:w="9820" w:type="dxa"/>
        <w:tblLook w:val="04A0" w:firstRow="1" w:lastRow="0" w:firstColumn="1" w:lastColumn="0" w:noHBand="0" w:noVBand="1"/>
      </w:tblPr>
      <w:tblGrid>
        <w:gridCol w:w="4780"/>
        <w:gridCol w:w="1260"/>
        <w:gridCol w:w="1260"/>
        <w:gridCol w:w="1260"/>
        <w:gridCol w:w="1260"/>
      </w:tblGrid>
      <w:tr w:rsidR="00E8455B" w:rsidRPr="00FC0457" w14:paraId="2119E170" w14:textId="77777777" w:rsidTr="00C368DB">
        <w:trPr>
          <w:trHeight w:val="600"/>
        </w:trPr>
        <w:tc>
          <w:tcPr>
            <w:tcW w:w="4780" w:type="dxa"/>
            <w:tcBorders>
              <w:top w:val="single" w:sz="4" w:space="0" w:color="auto"/>
              <w:left w:val="nil"/>
              <w:bottom w:val="nil"/>
              <w:right w:val="nil"/>
            </w:tcBorders>
            <w:shd w:val="clear" w:color="auto" w:fill="auto"/>
            <w:noWrap/>
            <w:vAlign w:val="bottom"/>
            <w:hideMark/>
          </w:tcPr>
          <w:p w14:paraId="72FAA47C" w14:textId="77777777" w:rsidR="00E8455B" w:rsidRPr="00FC0457" w:rsidRDefault="00E8455B" w:rsidP="007F39BA">
            <w:pPr>
              <w:pStyle w:val="Tablehead2"/>
              <w:rPr>
                <w:lang w:eastAsia="en-GB"/>
              </w:rPr>
            </w:pPr>
            <w:r w:rsidRPr="00FC0457">
              <w:rPr>
                <w:lang w:eastAsia="en-GB"/>
              </w:rPr>
              <w:t> </w:t>
            </w:r>
          </w:p>
        </w:tc>
        <w:tc>
          <w:tcPr>
            <w:tcW w:w="2520" w:type="dxa"/>
            <w:gridSpan w:val="2"/>
            <w:tcBorders>
              <w:top w:val="single" w:sz="4" w:space="0" w:color="auto"/>
              <w:left w:val="nil"/>
              <w:bottom w:val="nil"/>
              <w:right w:val="nil"/>
            </w:tcBorders>
            <w:shd w:val="clear" w:color="auto" w:fill="auto"/>
            <w:hideMark/>
          </w:tcPr>
          <w:p w14:paraId="14852DBF" w14:textId="77777777" w:rsidR="00E8455B" w:rsidRPr="00FC0457" w:rsidRDefault="00E8455B" w:rsidP="000A5C58">
            <w:pPr>
              <w:pStyle w:val="Tablehead2"/>
              <w:jc w:val="right"/>
              <w:rPr>
                <w:lang w:eastAsia="en-GB"/>
              </w:rPr>
            </w:pPr>
            <w:r w:rsidRPr="00FC0457">
              <w:rPr>
                <w:lang w:eastAsia="en-GB"/>
              </w:rPr>
              <w:t>VET</w:t>
            </w:r>
          </w:p>
        </w:tc>
        <w:tc>
          <w:tcPr>
            <w:tcW w:w="2520" w:type="dxa"/>
            <w:gridSpan w:val="2"/>
            <w:tcBorders>
              <w:top w:val="single" w:sz="4" w:space="0" w:color="auto"/>
              <w:left w:val="nil"/>
              <w:bottom w:val="nil"/>
              <w:right w:val="nil"/>
            </w:tcBorders>
            <w:shd w:val="clear" w:color="auto" w:fill="auto"/>
            <w:hideMark/>
          </w:tcPr>
          <w:p w14:paraId="5438C63C" w14:textId="77777777" w:rsidR="00E8455B" w:rsidRPr="00FC0457" w:rsidRDefault="00E8455B" w:rsidP="000A5C58">
            <w:pPr>
              <w:pStyle w:val="Tablehead2"/>
              <w:jc w:val="right"/>
              <w:rPr>
                <w:lang w:eastAsia="en-GB"/>
              </w:rPr>
            </w:pPr>
            <w:r w:rsidRPr="00FC0457">
              <w:rPr>
                <w:lang w:eastAsia="en-GB"/>
              </w:rPr>
              <w:t>VET and HE</w:t>
            </w:r>
          </w:p>
        </w:tc>
      </w:tr>
      <w:tr w:rsidR="00E8455B" w:rsidRPr="00FC0457" w14:paraId="48B2FE48" w14:textId="77777777" w:rsidTr="00C368DB">
        <w:trPr>
          <w:trHeight w:val="300"/>
        </w:trPr>
        <w:tc>
          <w:tcPr>
            <w:tcW w:w="4780" w:type="dxa"/>
            <w:tcBorders>
              <w:top w:val="nil"/>
              <w:left w:val="nil"/>
              <w:bottom w:val="single" w:sz="4" w:space="0" w:color="auto"/>
              <w:right w:val="nil"/>
            </w:tcBorders>
            <w:shd w:val="clear" w:color="auto" w:fill="auto"/>
            <w:noWrap/>
            <w:vAlign w:val="bottom"/>
            <w:hideMark/>
          </w:tcPr>
          <w:p w14:paraId="78EA3FE7" w14:textId="77777777" w:rsidR="00E8455B" w:rsidRPr="00FC0457" w:rsidRDefault="00E8455B" w:rsidP="007F39BA">
            <w:pPr>
              <w:pStyle w:val="Tablehead2"/>
              <w:rPr>
                <w:lang w:eastAsia="en-GB"/>
              </w:rPr>
            </w:pPr>
            <w:r w:rsidRPr="00FC0457">
              <w:rPr>
                <w:lang w:eastAsia="en-GB"/>
              </w:rPr>
              <w:t> </w:t>
            </w:r>
          </w:p>
        </w:tc>
        <w:tc>
          <w:tcPr>
            <w:tcW w:w="1260" w:type="dxa"/>
            <w:tcBorders>
              <w:top w:val="nil"/>
              <w:left w:val="nil"/>
              <w:bottom w:val="single" w:sz="4" w:space="0" w:color="auto"/>
              <w:right w:val="nil"/>
            </w:tcBorders>
            <w:shd w:val="clear" w:color="auto" w:fill="auto"/>
            <w:hideMark/>
          </w:tcPr>
          <w:p w14:paraId="4DA2864A" w14:textId="77777777" w:rsidR="00E8455B" w:rsidRPr="00FC0457" w:rsidRDefault="00E8455B" w:rsidP="000A5C58">
            <w:pPr>
              <w:pStyle w:val="Tablehead2"/>
              <w:jc w:val="right"/>
              <w:rPr>
                <w:lang w:eastAsia="en-GB"/>
              </w:rPr>
            </w:pPr>
            <w:r w:rsidRPr="00FC0457">
              <w:rPr>
                <w:lang w:eastAsia="en-GB"/>
              </w:rPr>
              <w:t>Coefficient</w:t>
            </w:r>
          </w:p>
        </w:tc>
        <w:tc>
          <w:tcPr>
            <w:tcW w:w="1260" w:type="dxa"/>
            <w:tcBorders>
              <w:top w:val="nil"/>
              <w:left w:val="nil"/>
              <w:bottom w:val="single" w:sz="4" w:space="0" w:color="auto"/>
              <w:right w:val="nil"/>
            </w:tcBorders>
            <w:shd w:val="clear" w:color="auto" w:fill="auto"/>
            <w:noWrap/>
            <w:vAlign w:val="bottom"/>
            <w:hideMark/>
          </w:tcPr>
          <w:p w14:paraId="6F06AB02" w14:textId="615A674F" w:rsidR="00E8455B" w:rsidRPr="00FC0457" w:rsidRDefault="00E8455B" w:rsidP="000A5C58">
            <w:pPr>
              <w:pStyle w:val="Tablehead2"/>
              <w:jc w:val="right"/>
              <w:rPr>
                <w:lang w:eastAsia="en-GB"/>
              </w:rPr>
            </w:pPr>
            <w:r w:rsidRPr="00FC0457">
              <w:rPr>
                <w:lang w:eastAsia="en-GB"/>
              </w:rPr>
              <w:t>S</w:t>
            </w:r>
            <w:r w:rsidR="00087E74">
              <w:rPr>
                <w:lang w:eastAsia="en-GB"/>
              </w:rPr>
              <w:t>tandard errors</w:t>
            </w:r>
          </w:p>
        </w:tc>
        <w:tc>
          <w:tcPr>
            <w:tcW w:w="1260" w:type="dxa"/>
            <w:tcBorders>
              <w:top w:val="nil"/>
              <w:left w:val="nil"/>
              <w:bottom w:val="single" w:sz="4" w:space="0" w:color="auto"/>
              <w:right w:val="nil"/>
            </w:tcBorders>
            <w:shd w:val="clear" w:color="auto" w:fill="auto"/>
            <w:hideMark/>
          </w:tcPr>
          <w:p w14:paraId="6DDB5BAB" w14:textId="77777777" w:rsidR="00E8455B" w:rsidRPr="00FC0457" w:rsidRDefault="00E8455B" w:rsidP="000A5C58">
            <w:pPr>
              <w:pStyle w:val="Tablehead2"/>
              <w:jc w:val="right"/>
              <w:rPr>
                <w:lang w:eastAsia="en-GB"/>
              </w:rPr>
            </w:pPr>
            <w:r w:rsidRPr="00FC0457">
              <w:rPr>
                <w:lang w:eastAsia="en-GB"/>
              </w:rPr>
              <w:t>Coefficient</w:t>
            </w:r>
          </w:p>
        </w:tc>
        <w:tc>
          <w:tcPr>
            <w:tcW w:w="1260" w:type="dxa"/>
            <w:tcBorders>
              <w:top w:val="nil"/>
              <w:left w:val="nil"/>
              <w:bottom w:val="single" w:sz="4" w:space="0" w:color="auto"/>
              <w:right w:val="nil"/>
            </w:tcBorders>
            <w:shd w:val="clear" w:color="auto" w:fill="auto"/>
            <w:noWrap/>
            <w:vAlign w:val="bottom"/>
            <w:hideMark/>
          </w:tcPr>
          <w:p w14:paraId="13589759" w14:textId="78A3F6FF" w:rsidR="00E8455B" w:rsidRPr="00FC0457" w:rsidRDefault="00E8455B" w:rsidP="000A5C58">
            <w:pPr>
              <w:pStyle w:val="Tablehead2"/>
              <w:jc w:val="right"/>
              <w:rPr>
                <w:lang w:eastAsia="en-GB"/>
              </w:rPr>
            </w:pPr>
            <w:r w:rsidRPr="00FC0457">
              <w:rPr>
                <w:lang w:eastAsia="en-GB"/>
              </w:rPr>
              <w:t>S</w:t>
            </w:r>
            <w:r w:rsidR="00087E74">
              <w:rPr>
                <w:lang w:eastAsia="en-GB"/>
              </w:rPr>
              <w:t>tandard errors</w:t>
            </w:r>
          </w:p>
        </w:tc>
      </w:tr>
      <w:tr w:rsidR="00E8455B" w:rsidRPr="00FC0457" w14:paraId="6A4DC4F9" w14:textId="77777777" w:rsidTr="00C368DB">
        <w:trPr>
          <w:trHeight w:val="285"/>
        </w:trPr>
        <w:tc>
          <w:tcPr>
            <w:tcW w:w="4780" w:type="dxa"/>
            <w:tcBorders>
              <w:top w:val="nil"/>
              <w:left w:val="nil"/>
              <w:bottom w:val="nil"/>
              <w:right w:val="nil"/>
            </w:tcBorders>
            <w:shd w:val="clear" w:color="auto" w:fill="auto"/>
            <w:noWrap/>
            <w:vAlign w:val="bottom"/>
            <w:hideMark/>
          </w:tcPr>
          <w:p w14:paraId="15D1FEE7" w14:textId="77777777" w:rsidR="00E8455B" w:rsidRPr="00FC0457" w:rsidRDefault="00E8455B" w:rsidP="007F39BA">
            <w:pPr>
              <w:pStyle w:val="Tabletext"/>
              <w:rPr>
                <w:lang w:eastAsia="en-GB"/>
              </w:rPr>
            </w:pPr>
            <w:r w:rsidRPr="00FC0457">
              <w:rPr>
                <w:lang w:eastAsia="en-GB"/>
              </w:rPr>
              <w:t>Male</w:t>
            </w:r>
          </w:p>
        </w:tc>
        <w:tc>
          <w:tcPr>
            <w:tcW w:w="1260" w:type="dxa"/>
            <w:tcBorders>
              <w:top w:val="nil"/>
              <w:left w:val="nil"/>
              <w:bottom w:val="nil"/>
              <w:right w:val="nil"/>
            </w:tcBorders>
            <w:shd w:val="clear" w:color="auto" w:fill="auto"/>
            <w:hideMark/>
          </w:tcPr>
          <w:p w14:paraId="342CA93A" w14:textId="77777777" w:rsidR="00E8455B" w:rsidRPr="00FC0457" w:rsidRDefault="00E8455B" w:rsidP="000A5C58">
            <w:pPr>
              <w:pStyle w:val="Tabletext"/>
              <w:jc w:val="right"/>
              <w:rPr>
                <w:lang w:eastAsia="en-GB"/>
              </w:rPr>
            </w:pPr>
            <w:r w:rsidRPr="00FC0457">
              <w:rPr>
                <w:lang w:eastAsia="en-GB"/>
              </w:rPr>
              <w:t>0.048**</w:t>
            </w:r>
          </w:p>
        </w:tc>
        <w:tc>
          <w:tcPr>
            <w:tcW w:w="1260" w:type="dxa"/>
            <w:tcBorders>
              <w:top w:val="nil"/>
              <w:left w:val="nil"/>
              <w:bottom w:val="nil"/>
              <w:right w:val="nil"/>
            </w:tcBorders>
            <w:shd w:val="clear" w:color="auto" w:fill="auto"/>
            <w:hideMark/>
          </w:tcPr>
          <w:p w14:paraId="3064F096" w14:textId="77777777" w:rsidR="00E8455B" w:rsidRPr="00FC0457" w:rsidRDefault="00E8455B" w:rsidP="000A5C58">
            <w:pPr>
              <w:pStyle w:val="Tabletext"/>
              <w:jc w:val="right"/>
              <w:rPr>
                <w:lang w:eastAsia="en-GB"/>
              </w:rPr>
            </w:pPr>
            <w:r w:rsidRPr="00FC0457">
              <w:rPr>
                <w:lang w:eastAsia="en-GB"/>
              </w:rPr>
              <w:t>(0.020)</w:t>
            </w:r>
          </w:p>
        </w:tc>
        <w:tc>
          <w:tcPr>
            <w:tcW w:w="1260" w:type="dxa"/>
            <w:tcBorders>
              <w:top w:val="nil"/>
              <w:left w:val="nil"/>
              <w:bottom w:val="nil"/>
              <w:right w:val="nil"/>
            </w:tcBorders>
            <w:shd w:val="clear" w:color="auto" w:fill="auto"/>
            <w:hideMark/>
          </w:tcPr>
          <w:p w14:paraId="2B6E6E27" w14:textId="77777777" w:rsidR="00E8455B" w:rsidRPr="00FC0457" w:rsidRDefault="00E8455B" w:rsidP="000A5C58">
            <w:pPr>
              <w:pStyle w:val="Tabletext"/>
              <w:jc w:val="right"/>
              <w:rPr>
                <w:lang w:eastAsia="en-GB"/>
              </w:rPr>
            </w:pPr>
            <w:r w:rsidRPr="00FC0457">
              <w:rPr>
                <w:lang w:eastAsia="en-GB"/>
              </w:rPr>
              <w:t>-0.049**</w:t>
            </w:r>
          </w:p>
        </w:tc>
        <w:tc>
          <w:tcPr>
            <w:tcW w:w="1260" w:type="dxa"/>
            <w:tcBorders>
              <w:top w:val="nil"/>
              <w:left w:val="nil"/>
              <w:bottom w:val="nil"/>
              <w:right w:val="nil"/>
            </w:tcBorders>
            <w:shd w:val="clear" w:color="auto" w:fill="auto"/>
            <w:hideMark/>
          </w:tcPr>
          <w:p w14:paraId="4684A8D5" w14:textId="77777777" w:rsidR="00E8455B" w:rsidRPr="00FC0457" w:rsidRDefault="00E8455B" w:rsidP="000A5C58">
            <w:pPr>
              <w:pStyle w:val="Tabletext"/>
              <w:jc w:val="right"/>
              <w:rPr>
                <w:lang w:eastAsia="en-GB"/>
              </w:rPr>
            </w:pPr>
            <w:r w:rsidRPr="00FC0457">
              <w:rPr>
                <w:lang w:eastAsia="en-GB"/>
              </w:rPr>
              <w:t>(0.023)</w:t>
            </w:r>
          </w:p>
        </w:tc>
      </w:tr>
      <w:tr w:rsidR="00E8455B" w:rsidRPr="00FC0457" w14:paraId="1F5701BA" w14:textId="77777777" w:rsidTr="00C368DB">
        <w:trPr>
          <w:trHeight w:val="300"/>
        </w:trPr>
        <w:tc>
          <w:tcPr>
            <w:tcW w:w="4780" w:type="dxa"/>
            <w:tcBorders>
              <w:top w:val="nil"/>
              <w:left w:val="nil"/>
              <w:bottom w:val="nil"/>
              <w:right w:val="nil"/>
            </w:tcBorders>
            <w:shd w:val="clear" w:color="auto" w:fill="auto"/>
            <w:noWrap/>
            <w:vAlign w:val="bottom"/>
            <w:hideMark/>
          </w:tcPr>
          <w:p w14:paraId="448A7D3E" w14:textId="77777777" w:rsidR="00E8455B" w:rsidRPr="00FC0457" w:rsidRDefault="00E8455B" w:rsidP="007F39BA">
            <w:pPr>
              <w:pStyle w:val="Tabletext"/>
              <w:rPr>
                <w:lang w:eastAsia="en-GB"/>
              </w:rPr>
            </w:pPr>
            <w:r w:rsidRPr="00FC0457">
              <w:rPr>
                <w:lang w:eastAsia="en-GB"/>
              </w:rPr>
              <w:t>Age</w:t>
            </w:r>
          </w:p>
        </w:tc>
        <w:tc>
          <w:tcPr>
            <w:tcW w:w="1260" w:type="dxa"/>
            <w:tcBorders>
              <w:top w:val="nil"/>
              <w:left w:val="nil"/>
              <w:bottom w:val="nil"/>
              <w:right w:val="nil"/>
            </w:tcBorders>
            <w:shd w:val="clear" w:color="auto" w:fill="auto"/>
            <w:hideMark/>
          </w:tcPr>
          <w:p w14:paraId="0FF385DF" w14:textId="77777777" w:rsidR="00E8455B" w:rsidRPr="00FC0457" w:rsidRDefault="00E8455B" w:rsidP="000A5C58">
            <w:pPr>
              <w:pStyle w:val="Tabletext"/>
              <w:jc w:val="right"/>
              <w:rPr>
                <w:lang w:eastAsia="en-GB"/>
              </w:rPr>
            </w:pPr>
            <w:r w:rsidRPr="00FC0457">
              <w:rPr>
                <w:lang w:eastAsia="en-GB"/>
              </w:rPr>
              <w:t>-0.043***</w:t>
            </w:r>
          </w:p>
        </w:tc>
        <w:tc>
          <w:tcPr>
            <w:tcW w:w="1260" w:type="dxa"/>
            <w:tcBorders>
              <w:top w:val="nil"/>
              <w:left w:val="nil"/>
              <w:bottom w:val="nil"/>
              <w:right w:val="nil"/>
            </w:tcBorders>
            <w:shd w:val="clear" w:color="auto" w:fill="auto"/>
            <w:hideMark/>
          </w:tcPr>
          <w:p w14:paraId="0C638765" w14:textId="77777777" w:rsidR="00E8455B" w:rsidRPr="00FC0457" w:rsidRDefault="00E8455B" w:rsidP="000A5C58">
            <w:pPr>
              <w:pStyle w:val="Tabletext"/>
              <w:jc w:val="right"/>
              <w:rPr>
                <w:lang w:eastAsia="en-GB"/>
              </w:rPr>
            </w:pPr>
            <w:r w:rsidRPr="00FC0457">
              <w:rPr>
                <w:lang w:eastAsia="en-GB"/>
              </w:rPr>
              <w:t>(0.012)</w:t>
            </w:r>
          </w:p>
        </w:tc>
        <w:tc>
          <w:tcPr>
            <w:tcW w:w="1260" w:type="dxa"/>
            <w:tcBorders>
              <w:top w:val="nil"/>
              <w:left w:val="nil"/>
              <w:bottom w:val="nil"/>
              <w:right w:val="nil"/>
            </w:tcBorders>
            <w:shd w:val="clear" w:color="auto" w:fill="auto"/>
            <w:hideMark/>
          </w:tcPr>
          <w:p w14:paraId="614DD6D3" w14:textId="77777777" w:rsidR="00E8455B" w:rsidRPr="00FC0457" w:rsidRDefault="00E8455B" w:rsidP="000A5C58">
            <w:pPr>
              <w:pStyle w:val="Tabletext"/>
              <w:jc w:val="right"/>
              <w:rPr>
                <w:lang w:eastAsia="en-GB"/>
              </w:rPr>
            </w:pPr>
            <w:r w:rsidRPr="00FC0457">
              <w:rPr>
                <w:lang w:eastAsia="en-GB"/>
              </w:rPr>
              <w:t>-0.003</w:t>
            </w:r>
          </w:p>
        </w:tc>
        <w:tc>
          <w:tcPr>
            <w:tcW w:w="1260" w:type="dxa"/>
            <w:tcBorders>
              <w:top w:val="nil"/>
              <w:left w:val="nil"/>
              <w:bottom w:val="nil"/>
              <w:right w:val="nil"/>
            </w:tcBorders>
            <w:shd w:val="clear" w:color="auto" w:fill="auto"/>
            <w:hideMark/>
          </w:tcPr>
          <w:p w14:paraId="02375225" w14:textId="77777777" w:rsidR="00E8455B" w:rsidRPr="00FC0457" w:rsidRDefault="00E8455B" w:rsidP="000A5C58">
            <w:pPr>
              <w:pStyle w:val="Tabletext"/>
              <w:jc w:val="right"/>
              <w:rPr>
                <w:lang w:eastAsia="en-GB"/>
              </w:rPr>
            </w:pPr>
            <w:r w:rsidRPr="00FC0457">
              <w:rPr>
                <w:lang w:eastAsia="en-GB"/>
              </w:rPr>
              <w:t>(0.014)</w:t>
            </w:r>
          </w:p>
        </w:tc>
      </w:tr>
      <w:tr w:rsidR="00E8455B" w:rsidRPr="00FC0457" w14:paraId="23C30EA7" w14:textId="77777777" w:rsidTr="00C368DB">
        <w:trPr>
          <w:trHeight w:val="300"/>
        </w:trPr>
        <w:tc>
          <w:tcPr>
            <w:tcW w:w="4780" w:type="dxa"/>
            <w:tcBorders>
              <w:top w:val="nil"/>
              <w:left w:val="nil"/>
              <w:bottom w:val="nil"/>
              <w:right w:val="nil"/>
            </w:tcBorders>
            <w:shd w:val="clear" w:color="auto" w:fill="auto"/>
            <w:noWrap/>
            <w:vAlign w:val="bottom"/>
            <w:hideMark/>
          </w:tcPr>
          <w:p w14:paraId="67E9FD75" w14:textId="77777777" w:rsidR="00E8455B" w:rsidRPr="00FC0457" w:rsidRDefault="00E8455B" w:rsidP="007F39BA">
            <w:pPr>
              <w:pStyle w:val="Tabletext"/>
              <w:rPr>
                <w:lang w:eastAsia="en-GB"/>
              </w:rPr>
            </w:pPr>
            <w:r w:rsidRPr="00FC0457">
              <w:rPr>
                <w:lang w:eastAsia="en-GB"/>
              </w:rPr>
              <w:t>Age squared</w:t>
            </w:r>
          </w:p>
        </w:tc>
        <w:tc>
          <w:tcPr>
            <w:tcW w:w="1260" w:type="dxa"/>
            <w:tcBorders>
              <w:top w:val="nil"/>
              <w:left w:val="nil"/>
              <w:bottom w:val="nil"/>
              <w:right w:val="nil"/>
            </w:tcBorders>
            <w:shd w:val="clear" w:color="auto" w:fill="auto"/>
            <w:hideMark/>
          </w:tcPr>
          <w:p w14:paraId="16AD6DE3" w14:textId="77777777" w:rsidR="00E8455B" w:rsidRPr="00FC0457" w:rsidRDefault="00E8455B" w:rsidP="000A5C58">
            <w:pPr>
              <w:pStyle w:val="Tabletext"/>
              <w:jc w:val="right"/>
              <w:rPr>
                <w:lang w:eastAsia="en-GB"/>
              </w:rPr>
            </w:pPr>
            <w:r w:rsidRPr="00FC0457">
              <w:rPr>
                <w:lang w:eastAsia="en-GB"/>
              </w:rPr>
              <w:t>0.000</w:t>
            </w:r>
          </w:p>
        </w:tc>
        <w:tc>
          <w:tcPr>
            <w:tcW w:w="1260" w:type="dxa"/>
            <w:tcBorders>
              <w:top w:val="nil"/>
              <w:left w:val="nil"/>
              <w:bottom w:val="nil"/>
              <w:right w:val="nil"/>
            </w:tcBorders>
            <w:shd w:val="clear" w:color="auto" w:fill="auto"/>
            <w:hideMark/>
          </w:tcPr>
          <w:p w14:paraId="165D6506" w14:textId="77777777" w:rsidR="00E8455B" w:rsidRPr="00FC0457" w:rsidRDefault="00E8455B" w:rsidP="000A5C58">
            <w:pPr>
              <w:pStyle w:val="Tabletext"/>
              <w:jc w:val="right"/>
              <w:rPr>
                <w:lang w:eastAsia="en-GB"/>
              </w:rPr>
            </w:pPr>
            <w:r w:rsidRPr="00FC0457">
              <w:rPr>
                <w:lang w:eastAsia="en-GB"/>
              </w:rPr>
              <w:t>(0.000)</w:t>
            </w:r>
          </w:p>
        </w:tc>
        <w:tc>
          <w:tcPr>
            <w:tcW w:w="1260" w:type="dxa"/>
            <w:tcBorders>
              <w:top w:val="nil"/>
              <w:left w:val="nil"/>
              <w:bottom w:val="nil"/>
              <w:right w:val="nil"/>
            </w:tcBorders>
            <w:shd w:val="clear" w:color="auto" w:fill="auto"/>
            <w:hideMark/>
          </w:tcPr>
          <w:p w14:paraId="17F95C91" w14:textId="77777777" w:rsidR="00E8455B" w:rsidRPr="00FC0457" w:rsidRDefault="00E8455B" w:rsidP="000A5C58">
            <w:pPr>
              <w:pStyle w:val="Tabletext"/>
              <w:jc w:val="right"/>
              <w:rPr>
                <w:lang w:eastAsia="en-GB"/>
              </w:rPr>
            </w:pPr>
            <w:r w:rsidRPr="00FC0457">
              <w:rPr>
                <w:lang w:eastAsia="en-GB"/>
              </w:rPr>
              <w:t>0.000</w:t>
            </w:r>
          </w:p>
        </w:tc>
        <w:tc>
          <w:tcPr>
            <w:tcW w:w="1260" w:type="dxa"/>
            <w:tcBorders>
              <w:top w:val="nil"/>
              <w:left w:val="nil"/>
              <w:bottom w:val="nil"/>
              <w:right w:val="nil"/>
            </w:tcBorders>
            <w:shd w:val="clear" w:color="auto" w:fill="auto"/>
            <w:hideMark/>
          </w:tcPr>
          <w:p w14:paraId="5460E1CB" w14:textId="77777777" w:rsidR="00E8455B" w:rsidRPr="00FC0457" w:rsidRDefault="00E8455B" w:rsidP="000A5C58">
            <w:pPr>
              <w:pStyle w:val="Tabletext"/>
              <w:jc w:val="right"/>
              <w:rPr>
                <w:lang w:eastAsia="en-GB"/>
              </w:rPr>
            </w:pPr>
            <w:r w:rsidRPr="00FC0457">
              <w:rPr>
                <w:lang w:eastAsia="en-GB"/>
              </w:rPr>
              <w:t>(0.000)</w:t>
            </w:r>
          </w:p>
        </w:tc>
      </w:tr>
      <w:tr w:rsidR="00E8455B" w:rsidRPr="00FC0457" w14:paraId="63F301C2" w14:textId="77777777" w:rsidTr="00C368DB">
        <w:trPr>
          <w:trHeight w:val="300"/>
        </w:trPr>
        <w:tc>
          <w:tcPr>
            <w:tcW w:w="4780" w:type="dxa"/>
            <w:tcBorders>
              <w:top w:val="nil"/>
              <w:left w:val="nil"/>
              <w:bottom w:val="nil"/>
              <w:right w:val="nil"/>
            </w:tcBorders>
            <w:shd w:val="clear" w:color="auto" w:fill="auto"/>
            <w:noWrap/>
            <w:vAlign w:val="bottom"/>
            <w:hideMark/>
          </w:tcPr>
          <w:p w14:paraId="0D15D159" w14:textId="77777777" w:rsidR="00E8455B" w:rsidRPr="00FC0457" w:rsidRDefault="00E8455B" w:rsidP="007F39BA">
            <w:pPr>
              <w:pStyle w:val="Tabletext"/>
              <w:rPr>
                <w:lang w:eastAsia="en-GB"/>
              </w:rPr>
            </w:pPr>
            <w:r w:rsidRPr="00FC0457">
              <w:rPr>
                <w:lang w:eastAsia="en-GB"/>
              </w:rPr>
              <w:t>Aboriginal or Torres Strait Islander</w:t>
            </w:r>
          </w:p>
        </w:tc>
        <w:tc>
          <w:tcPr>
            <w:tcW w:w="1260" w:type="dxa"/>
            <w:tcBorders>
              <w:top w:val="nil"/>
              <w:left w:val="nil"/>
              <w:bottom w:val="nil"/>
              <w:right w:val="nil"/>
            </w:tcBorders>
            <w:shd w:val="clear" w:color="auto" w:fill="auto"/>
            <w:hideMark/>
          </w:tcPr>
          <w:p w14:paraId="190CEB0C" w14:textId="77777777" w:rsidR="00E8455B" w:rsidRPr="00FC0457" w:rsidRDefault="00E8455B" w:rsidP="000A5C58">
            <w:pPr>
              <w:pStyle w:val="Tabletext"/>
              <w:jc w:val="right"/>
              <w:rPr>
                <w:lang w:eastAsia="en-GB"/>
              </w:rPr>
            </w:pPr>
            <w:r w:rsidRPr="00FC0457">
              <w:rPr>
                <w:lang w:eastAsia="en-GB"/>
              </w:rPr>
              <w:t>0.069</w:t>
            </w:r>
          </w:p>
        </w:tc>
        <w:tc>
          <w:tcPr>
            <w:tcW w:w="1260" w:type="dxa"/>
            <w:tcBorders>
              <w:top w:val="nil"/>
              <w:left w:val="nil"/>
              <w:bottom w:val="nil"/>
              <w:right w:val="nil"/>
            </w:tcBorders>
            <w:shd w:val="clear" w:color="auto" w:fill="auto"/>
            <w:hideMark/>
          </w:tcPr>
          <w:p w14:paraId="1FA1E92D" w14:textId="77777777" w:rsidR="00E8455B" w:rsidRPr="00FC0457" w:rsidRDefault="00E8455B" w:rsidP="000A5C58">
            <w:pPr>
              <w:pStyle w:val="Tabletext"/>
              <w:jc w:val="right"/>
              <w:rPr>
                <w:lang w:eastAsia="en-GB"/>
              </w:rPr>
            </w:pPr>
            <w:r w:rsidRPr="00FC0457">
              <w:rPr>
                <w:lang w:eastAsia="en-GB"/>
              </w:rPr>
              <w:t>(0.080)</w:t>
            </w:r>
          </w:p>
        </w:tc>
        <w:tc>
          <w:tcPr>
            <w:tcW w:w="1260" w:type="dxa"/>
            <w:tcBorders>
              <w:top w:val="nil"/>
              <w:left w:val="nil"/>
              <w:bottom w:val="nil"/>
              <w:right w:val="nil"/>
            </w:tcBorders>
            <w:shd w:val="clear" w:color="auto" w:fill="auto"/>
            <w:hideMark/>
          </w:tcPr>
          <w:p w14:paraId="217B3792" w14:textId="77777777" w:rsidR="00E8455B" w:rsidRPr="00FC0457" w:rsidRDefault="00E8455B" w:rsidP="000A5C58">
            <w:pPr>
              <w:pStyle w:val="Tabletext"/>
              <w:jc w:val="right"/>
              <w:rPr>
                <w:lang w:eastAsia="en-GB"/>
              </w:rPr>
            </w:pPr>
            <w:r w:rsidRPr="00FC0457">
              <w:rPr>
                <w:lang w:eastAsia="en-GB"/>
              </w:rPr>
              <w:t>-0.068</w:t>
            </w:r>
          </w:p>
        </w:tc>
        <w:tc>
          <w:tcPr>
            <w:tcW w:w="1260" w:type="dxa"/>
            <w:tcBorders>
              <w:top w:val="nil"/>
              <w:left w:val="nil"/>
              <w:bottom w:val="nil"/>
              <w:right w:val="nil"/>
            </w:tcBorders>
            <w:shd w:val="clear" w:color="auto" w:fill="auto"/>
            <w:hideMark/>
          </w:tcPr>
          <w:p w14:paraId="0F0F95D0" w14:textId="77777777" w:rsidR="00E8455B" w:rsidRPr="00FC0457" w:rsidRDefault="00E8455B" w:rsidP="000A5C58">
            <w:pPr>
              <w:pStyle w:val="Tabletext"/>
              <w:jc w:val="right"/>
              <w:rPr>
                <w:lang w:eastAsia="en-GB"/>
              </w:rPr>
            </w:pPr>
            <w:r w:rsidRPr="00FC0457">
              <w:rPr>
                <w:lang w:eastAsia="en-GB"/>
              </w:rPr>
              <w:t>(0.120)</w:t>
            </w:r>
          </w:p>
        </w:tc>
      </w:tr>
      <w:tr w:rsidR="00E8455B" w:rsidRPr="00FC0457" w14:paraId="6AAB2C84" w14:textId="77777777" w:rsidTr="00C368DB">
        <w:trPr>
          <w:trHeight w:val="300"/>
        </w:trPr>
        <w:tc>
          <w:tcPr>
            <w:tcW w:w="4780" w:type="dxa"/>
            <w:tcBorders>
              <w:top w:val="nil"/>
              <w:left w:val="nil"/>
              <w:bottom w:val="nil"/>
              <w:right w:val="nil"/>
            </w:tcBorders>
            <w:shd w:val="clear" w:color="auto" w:fill="auto"/>
            <w:noWrap/>
            <w:vAlign w:val="bottom"/>
            <w:hideMark/>
          </w:tcPr>
          <w:p w14:paraId="7C976E54" w14:textId="77777777" w:rsidR="00E8455B" w:rsidRPr="00FC0457" w:rsidRDefault="00E8455B" w:rsidP="007F39BA">
            <w:pPr>
              <w:pStyle w:val="Tabletext"/>
              <w:rPr>
                <w:lang w:eastAsia="en-GB"/>
              </w:rPr>
            </w:pPr>
            <w:r w:rsidRPr="00FC0457">
              <w:rPr>
                <w:lang w:eastAsia="en-GB"/>
              </w:rPr>
              <w:t>Australian-born</w:t>
            </w:r>
          </w:p>
        </w:tc>
        <w:tc>
          <w:tcPr>
            <w:tcW w:w="1260" w:type="dxa"/>
            <w:tcBorders>
              <w:top w:val="nil"/>
              <w:left w:val="nil"/>
              <w:bottom w:val="nil"/>
              <w:right w:val="nil"/>
            </w:tcBorders>
            <w:shd w:val="clear" w:color="auto" w:fill="auto"/>
            <w:hideMark/>
          </w:tcPr>
          <w:p w14:paraId="58707A36" w14:textId="77777777" w:rsidR="00E8455B" w:rsidRPr="00FC0457" w:rsidRDefault="00E8455B" w:rsidP="000A5C58">
            <w:pPr>
              <w:pStyle w:val="Tabletext"/>
              <w:jc w:val="right"/>
              <w:rPr>
                <w:lang w:eastAsia="en-GB"/>
              </w:rPr>
            </w:pPr>
            <w:r w:rsidRPr="00FC0457">
              <w:rPr>
                <w:lang w:eastAsia="en-GB"/>
              </w:rPr>
              <w:t>-0.019</w:t>
            </w:r>
          </w:p>
        </w:tc>
        <w:tc>
          <w:tcPr>
            <w:tcW w:w="1260" w:type="dxa"/>
            <w:tcBorders>
              <w:top w:val="nil"/>
              <w:left w:val="nil"/>
              <w:bottom w:val="nil"/>
              <w:right w:val="nil"/>
            </w:tcBorders>
            <w:shd w:val="clear" w:color="auto" w:fill="auto"/>
            <w:hideMark/>
          </w:tcPr>
          <w:p w14:paraId="6E0D4075" w14:textId="77777777" w:rsidR="00E8455B" w:rsidRPr="00FC0457" w:rsidRDefault="00E8455B" w:rsidP="000A5C58">
            <w:pPr>
              <w:pStyle w:val="Tabletext"/>
              <w:jc w:val="right"/>
              <w:rPr>
                <w:lang w:eastAsia="en-GB"/>
              </w:rPr>
            </w:pPr>
            <w:r w:rsidRPr="00FC0457">
              <w:rPr>
                <w:lang w:eastAsia="en-GB"/>
              </w:rPr>
              <w:t>(0.026)</w:t>
            </w:r>
          </w:p>
        </w:tc>
        <w:tc>
          <w:tcPr>
            <w:tcW w:w="1260" w:type="dxa"/>
            <w:tcBorders>
              <w:top w:val="nil"/>
              <w:left w:val="nil"/>
              <w:bottom w:val="nil"/>
              <w:right w:val="nil"/>
            </w:tcBorders>
            <w:shd w:val="clear" w:color="auto" w:fill="auto"/>
            <w:hideMark/>
          </w:tcPr>
          <w:p w14:paraId="0D6EB65A" w14:textId="77777777" w:rsidR="00E8455B" w:rsidRPr="00FC0457" w:rsidRDefault="00E8455B" w:rsidP="000A5C58">
            <w:pPr>
              <w:pStyle w:val="Tabletext"/>
              <w:jc w:val="right"/>
              <w:rPr>
                <w:lang w:eastAsia="en-GB"/>
              </w:rPr>
            </w:pPr>
            <w:r w:rsidRPr="00FC0457">
              <w:rPr>
                <w:lang w:eastAsia="en-GB"/>
              </w:rPr>
              <w:t>0.011</w:t>
            </w:r>
          </w:p>
        </w:tc>
        <w:tc>
          <w:tcPr>
            <w:tcW w:w="1260" w:type="dxa"/>
            <w:tcBorders>
              <w:top w:val="nil"/>
              <w:left w:val="nil"/>
              <w:bottom w:val="nil"/>
              <w:right w:val="nil"/>
            </w:tcBorders>
            <w:shd w:val="clear" w:color="auto" w:fill="auto"/>
            <w:hideMark/>
          </w:tcPr>
          <w:p w14:paraId="6B565942" w14:textId="77777777" w:rsidR="00E8455B" w:rsidRPr="00FC0457" w:rsidRDefault="00E8455B" w:rsidP="000A5C58">
            <w:pPr>
              <w:pStyle w:val="Tabletext"/>
              <w:jc w:val="right"/>
              <w:rPr>
                <w:lang w:eastAsia="en-GB"/>
              </w:rPr>
            </w:pPr>
            <w:r w:rsidRPr="00FC0457">
              <w:rPr>
                <w:lang w:eastAsia="en-GB"/>
              </w:rPr>
              <w:t>(0.030)</w:t>
            </w:r>
          </w:p>
        </w:tc>
      </w:tr>
      <w:tr w:rsidR="00E8455B" w:rsidRPr="00FC0457" w14:paraId="6200A972" w14:textId="77777777" w:rsidTr="00C368DB">
        <w:trPr>
          <w:trHeight w:val="300"/>
        </w:trPr>
        <w:tc>
          <w:tcPr>
            <w:tcW w:w="4780" w:type="dxa"/>
            <w:tcBorders>
              <w:top w:val="nil"/>
              <w:left w:val="nil"/>
              <w:bottom w:val="nil"/>
              <w:right w:val="nil"/>
            </w:tcBorders>
            <w:shd w:val="clear" w:color="auto" w:fill="auto"/>
            <w:noWrap/>
            <w:vAlign w:val="bottom"/>
            <w:hideMark/>
          </w:tcPr>
          <w:p w14:paraId="43D7A164" w14:textId="77777777" w:rsidR="00E8455B" w:rsidRPr="00FC0457" w:rsidRDefault="00E8455B" w:rsidP="007F39BA">
            <w:pPr>
              <w:pStyle w:val="Tabletext"/>
              <w:rPr>
                <w:lang w:eastAsia="en-GB"/>
              </w:rPr>
            </w:pPr>
            <w:r w:rsidRPr="00FC0457">
              <w:rPr>
                <w:lang w:eastAsia="en-GB"/>
              </w:rPr>
              <w:t>Language other than English</w:t>
            </w:r>
          </w:p>
        </w:tc>
        <w:tc>
          <w:tcPr>
            <w:tcW w:w="1260" w:type="dxa"/>
            <w:tcBorders>
              <w:top w:val="nil"/>
              <w:left w:val="nil"/>
              <w:bottom w:val="nil"/>
              <w:right w:val="nil"/>
            </w:tcBorders>
            <w:shd w:val="clear" w:color="auto" w:fill="auto"/>
            <w:hideMark/>
          </w:tcPr>
          <w:p w14:paraId="42574036" w14:textId="77777777" w:rsidR="00E8455B" w:rsidRPr="00FC0457" w:rsidRDefault="00E8455B" w:rsidP="000A5C58">
            <w:pPr>
              <w:pStyle w:val="Tabletext"/>
              <w:jc w:val="right"/>
              <w:rPr>
                <w:lang w:eastAsia="en-GB"/>
              </w:rPr>
            </w:pPr>
            <w:r w:rsidRPr="00FC0457">
              <w:rPr>
                <w:lang w:eastAsia="en-GB"/>
              </w:rPr>
              <w:t>-0.043</w:t>
            </w:r>
          </w:p>
        </w:tc>
        <w:tc>
          <w:tcPr>
            <w:tcW w:w="1260" w:type="dxa"/>
            <w:tcBorders>
              <w:top w:val="nil"/>
              <w:left w:val="nil"/>
              <w:bottom w:val="nil"/>
              <w:right w:val="nil"/>
            </w:tcBorders>
            <w:shd w:val="clear" w:color="auto" w:fill="auto"/>
            <w:hideMark/>
          </w:tcPr>
          <w:p w14:paraId="28472B04" w14:textId="77777777" w:rsidR="00E8455B" w:rsidRPr="00FC0457" w:rsidRDefault="00E8455B" w:rsidP="000A5C58">
            <w:pPr>
              <w:pStyle w:val="Tabletext"/>
              <w:jc w:val="right"/>
              <w:rPr>
                <w:lang w:eastAsia="en-GB"/>
              </w:rPr>
            </w:pPr>
            <w:r w:rsidRPr="00FC0457">
              <w:rPr>
                <w:lang w:eastAsia="en-GB"/>
              </w:rPr>
              <w:t>(0.032)</w:t>
            </w:r>
          </w:p>
        </w:tc>
        <w:tc>
          <w:tcPr>
            <w:tcW w:w="1260" w:type="dxa"/>
            <w:tcBorders>
              <w:top w:val="nil"/>
              <w:left w:val="nil"/>
              <w:bottom w:val="nil"/>
              <w:right w:val="nil"/>
            </w:tcBorders>
            <w:shd w:val="clear" w:color="auto" w:fill="auto"/>
            <w:hideMark/>
          </w:tcPr>
          <w:p w14:paraId="4D49F24C" w14:textId="77777777" w:rsidR="00E8455B" w:rsidRPr="00FC0457" w:rsidRDefault="00E8455B" w:rsidP="000A5C58">
            <w:pPr>
              <w:pStyle w:val="Tabletext"/>
              <w:jc w:val="right"/>
              <w:rPr>
                <w:lang w:eastAsia="en-GB"/>
              </w:rPr>
            </w:pPr>
            <w:r w:rsidRPr="00FC0457">
              <w:rPr>
                <w:lang w:eastAsia="en-GB"/>
              </w:rPr>
              <w:t>-0.001</w:t>
            </w:r>
          </w:p>
        </w:tc>
        <w:tc>
          <w:tcPr>
            <w:tcW w:w="1260" w:type="dxa"/>
            <w:tcBorders>
              <w:top w:val="nil"/>
              <w:left w:val="nil"/>
              <w:bottom w:val="nil"/>
              <w:right w:val="nil"/>
            </w:tcBorders>
            <w:shd w:val="clear" w:color="auto" w:fill="auto"/>
            <w:hideMark/>
          </w:tcPr>
          <w:p w14:paraId="28E13024" w14:textId="77777777" w:rsidR="00E8455B" w:rsidRPr="00FC0457" w:rsidRDefault="00E8455B" w:rsidP="000A5C58">
            <w:pPr>
              <w:pStyle w:val="Tabletext"/>
              <w:jc w:val="right"/>
              <w:rPr>
                <w:lang w:eastAsia="en-GB"/>
              </w:rPr>
            </w:pPr>
            <w:r w:rsidRPr="00FC0457">
              <w:rPr>
                <w:lang w:eastAsia="en-GB"/>
              </w:rPr>
              <w:t>(0.036)</w:t>
            </w:r>
          </w:p>
        </w:tc>
      </w:tr>
      <w:tr w:rsidR="00E8455B" w:rsidRPr="00FC0457" w14:paraId="4575ABCF" w14:textId="77777777" w:rsidTr="00C368DB">
        <w:trPr>
          <w:trHeight w:val="300"/>
        </w:trPr>
        <w:tc>
          <w:tcPr>
            <w:tcW w:w="4780" w:type="dxa"/>
            <w:tcBorders>
              <w:top w:val="nil"/>
              <w:left w:val="nil"/>
              <w:bottom w:val="nil"/>
              <w:right w:val="nil"/>
            </w:tcBorders>
            <w:shd w:val="clear" w:color="auto" w:fill="auto"/>
            <w:noWrap/>
            <w:vAlign w:val="bottom"/>
            <w:hideMark/>
          </w:tcPr>
          <w:p w14:paraId="4E71687C" w14:textId="77777777" w:rsidR="00E8455B" w:rsidRPr="00FC0457" w:rsidRDefault="00E8455B" w:rsidP="007F39BA">
            <w:pPr>
              <w:pStyle w:val="Tabletext"/>
              <w:rPr>
                <w:lang w:eastAsia="en-GB"/>
              </w:rPr>
            </w:pPr>
            <w:r w:rsidRPr="00FC0457">
              <w:rPr>
                <w:lang w:eastAsia="en-GB"/>
              </w:rPr>
              <w:t>State/Territory (ref: NSW)</w:t>
            </w:r>
          </w:p>
        </w:tc>
        <w:tc>
          <w:tcPr>
            <w:tcW w:w="1260" w:type="dxa"/>
            <w:tcBorders>
              <w:top w:val="nil"/>
              <w:left w:val="nil"/>
              <w:bottom w:val="nil"/>
              <w:right w:val="nil"/>
            </w:tcBorders>
            <w:shd w:val="clear" w:color="auto" w:fill="auto"/>
            <w:noWrap/>
            <w:vAlign w:val="bottom"/>
            <w:hideMark/>
          </w:tcPr>
          <w:p w14:paraId="6FC2305D"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07C65F64"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60463FB1"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02064445" w14:textId="77777777" w:rsidR="00E8455B" w:rsidRPr="00FC0457" w:rsidRDefault="00E8455B" w:rsidP="000A5C58">
            <w:pPr>
              <w:pStyle w:val="Tabletext"/>
              <w:jc w:val="right"/>
              <w:rPr>
                <w:lang w:eastAsia="en-GB"/>
              </w:rPr>
            </w:pPr>
          </w:p>
        </w:tc>
      </w:tr>
      <w:tr w:rsidR="00E8455B" w:rsidRPr="00FC0457" w14:paraId="103F9D62" w14:textId="77777777" w:rsidTr="00C368DB">
        <w:trPr>
          <w:trHeight w:val="300"/>
        </w:trPr>
        <w:tc>
          <w:tcPr>
            <w:tcW w:w="4780" w:type="dxa"/>
            <w:tcBorders>
              <w:top w:val="nil"/>
              <w:left w:val="nil"/>
              <w:bottom w:val="nil"/>
              <w:right w:val="nil"/>
            </w:tcBorders>
            <w:shd w:val="clear" w:color="auto" w:fill="auto"/>
            <w:noWrap/>
            <w:vAlign w:val="bottom"/>
            <w:hideMark/>
          </w:tcPr>
          <w:p w14:paraId="4E4D0C80" w14:textId="77777777" w:rsidR="00E8455B" w:rsidRPr="00FC0457" w:rsidRDefault="00E8455B" w:rsidP="007F39BA">
            <w:pPr>
              <w:pStyle w:val="Tabletext"/>
              <w:rPr>
                <w:lang w:eastAsia="en-GB"/>
              </w:rPr>
            </w:pPr>
            <w:r w:rsidRPr="00FC0457">
              <w:rPr>
                <w:lang w:eastAsia="en-GB"/>
              </w:rPr>
              <w:t xml:space="preserve">    Victoria</w:t>
            </w:r>
          </w:p>
        </w:tc>
        <w:tc>
          <w:tcPr>
            <w:tcW w:w="1260" w:type="dxa"/>
            <w:tcBorders>
              <w:top w:val="nil"/>
              <w:left w:val="nil"/>
              <w:bottom w:val="nil"/>
              <w:right w:val="nil"/>
            </w:tcBorders>
            <w:shd w:val="clear" w:color="auto" w:fill="auto"/>
            <w:hideMark/>
          </w:tcPr>
          <w:p w14:paraId="7CE57558" w14:textId="77777777" w:rsidR="00E8455B" w:rsidRPr="00FC0457" w:rsidRDefault="00E8455B" w:rsidP="000A5C58">
            <w:pPr>
              <w:pStyle w:val="Tabletext"/>
              <w:jc w:val="right"/>
              <w:rPr>
                <w:lang w:eastAsia="en-GB"/>
              </w:rPr>
            </w:pPr>
            <w:r w:rsidRPr="00FC0457">
              <w:rPr>
                <w:lang w:eastAsia="en-GB"/>
              </w:rPr>
              <w:t>-0.059**</w:t>
            </w:r>
          </w:p>
        </w:tc>
        <w:tc>
          <w:tcPr>
            <w:tcW w:w="1260" w:type="dxa"/>
            <w:tcBorders>
              <w:top w:val="nil"/>
              <w:left w:val="nil"/>
              <w:bottom w:val="nil"/>
              <w:right w:val="nil"/>
            </w:tcBorders>
            <w:shd w:val="clear" w:color="auto" w:fill="auto"/>
            <w:hideMark/>
          </w:tcPr>
          <w:p w14:paraId="09D3B1ED" w14:textId="77777777" w:rsidR="00E8455B" w:rsidRPr="00FC0457" w:rsidRDefault="00E8455B" w:rsidP="000A5C58">
            <w:pPr>
              <w:pStyle w:val="Tabletext"/>
              <w:jc w:val="right"/>
              <w:rPr>
                <w:lang w:eastAsia="en-GB"/>
              </w:rPr>
            </w:pPr>
            <w:r w:rsidRPr="00FC0457">
              <w:rPr>
                <w:lang w:eastAsia="en-GB"/>
              </w:rPr>
              <w:t>(0.024)</w:t>
            </w:r>
          </w:p>
        </w:tc>
        <w:tc>
          <w:tcPr>
            <w:tcW w:w="1260" w:type="dxa"/>
            <w:tcBorders>
              <w:top w:val="nil"/>
              <w:left w:val="nil"/>
              <w:bottom w:val="nil"/>
              <w:right w:val="nil"/>
            </w:tcBorders>
            <w:shd w:val="clear" w:color="auto" w:fill="auto"/>
            <w:hideMark/>
          </w:tcPr>
          <w:p w14:paraId="195D7571" w14:textId="77777777" w:rsidR="00E8455B" w:rsidRPr="00FC0457" w:rsidRDefault="00E8455B" w:rsidP="000A5C58">
            <w:pPr>
              <w:pStyle w:val="Tabletext"/>
              <w:jc w:val="right"/>
              <w:rPr>
                <w:lang w:eastAsia="en-GB"/>
              </w:rPr>
            </w:pPr>
            <w:r w:rsidRPr="00FC0457">
              <w:rPr>
                <w:lang w:eastAsia="en-GB"/>
              </w:rPr>
              <w:t>-0.087***</w:t>
            </w:r>
          </w:p>
        </w:tc>
        <w:tc>
          <w:tcPr>
            <w:tcW w:w="1260" w:type="dxa"/>
            <w:tcBorders>
              <w:top w:val="nil"/>
              <w:left w:val="nil"/>
              <w:bottom w:val="nil"/>
              <w:right w:val="nil"/>
            </w:tcBorders>
            <w:shd w:val="clear" w:color="auto" w:fill="auto"/>
            <w:hideMark/>
          </w:tcPr>
          <w:p w14:paraId="316F2733" w14:textId="77777777" w:rsidR="00E8455B" w:rsidRPr="00FC0457" w:rsidRDefault="00E8455B" w:rsidP="000A5C58">
            <w:pPr>
              <w:pStyle w:val="Tabletext"/>
              <w:jc w:val="right"/>
              <w:rPr>
                <w:lang w:eastAsia="en-GB"/>
              </w:rPr>
            </w:pPr>
            <w:r w:rsidRPr="00FC0457">
              <w:rPr>
                <w:lang w:eastAsia="en-GB"/>
              </w:rPr>
              <w:t>(0.028)</w:t>
            </w:r>
          </w:p>
        </w:tc>
      </w:tr>
      <w:tr w:rsidR="00E8455B" w:rsidRPr="00FC0457" w14:paraId="77D129E9" w14:textId="77777777" w:rsidTr="00C368DB">
        <w:trPr>
          <w:trHeight w:val="300"/>
        </w:trPr>
        <w:tc>
          <w:tcPr>
            <w:tcW w:w="4780" w:type="dxa"/>
            <w:tcBorders>
              <w:top w:val="nil"/>
              <w:left w:val="nil"/>
              <w:bottom w:val="nil"/>
              <w:right w:val="nil"/>
            </w:tcBorders>
            <w:shd w:val="clear" w:color="auto" w:fill="auto"/>
            <w:noWrap/>
            <w:vAlign w:val="bottom"/>
            <w:hideMark/>
          </w:tcPr>
          <w:p w14:paraId="73856182" w14:textId="77777777" w:rsidR="00E8455B" w:rsidRPr="00FC0457" w:rsidRDefault="00E8455B" w:rsidP="007F39BA">
            <w:pPr>
              <w:pStyle w:val="Tabletext"/>
              <w:rPr>
                <w:lang w:eastAsia="en-GB"/>
              </w:rPr>
            </w:pPr>
            <w:r w:rsidRPr="00FC0457">
              <w:rPr>
                <w:lang w:eastAsia="en-GB"/>
              </w:rPr>
              <w:t xml:space="preserve">    Queensland</w:t>
            </w:r>
          </w:p>
        </w:tc>
        <w:tc>
          <w:tcPr>
            <w:tcW w:w="1260" w:type="dxa"/>
            <w:tcBorders>
              <w:top w:val="nil"/>
              <w:left w:val="nil"/>
              <w:bottom w:val="nil"/>
              <w:right w:val="nil"/>
            </w:tcBorders>
            <w:shd w:val="clear" w:color="auto" w:fill="auto"/>
            <w:hideMark/>
          </w:tcPr>
          <w:p w14:paraId="5EFABF2C" w14:textId="77777777" w:rsidR="00E8455B" w:rsidRPr="00FC0457" w:rsidRDefault="00E8455B" w:rsidP="000A5C58">
            <w:pPr>
              <w:pStyle w:val="Tabletext"/>
              <w:jc w:val="right"/>
              <w:rPr>
                <w:lang w:eastAsia="en-GB"/>
              </w:rPr>
            </w:pPr>
            <w:r w:rsidRPr="00FC0457">
              <w:rPr>
                <w:lang w:eastAsia="en-GB"/>
              </w:rPr>
              <w:t>-0.009</w:t>
            </w:r>
          </w:p>
        </w:tc>
        <w:tc>
          <w:tcPr>
            <w:tcW w:w="1260" w:type="dxa"/>
            <w:tcBorders>
              <w:top w:val="nil"/>
              <w:left w:val="nil"/>
              <w:bottom w:val="nil"/>
              <w:right w:val="nil"/>
            </w:tcBorders>
            <w:shd w:val="clear" w:color="auto" w:fill="auto"/>
            <w:hideMark/>
          </w:tcPr>
          <w:p w14:paraId="5484DA11" w14:textId="77777777" w:rsidR="00E8455B" w:rsidRPr="00FC0457" w:rsidRDefault="00E8455B" w:rsidP="000A5C58">
            <w:pPr>
              <w:pStyle w:val="Tabletext"/>
              <w:jc w:val="right"/>
              <w:rPr>
                <w:lang w:eastAsia="en-GB"/>
              </w:rPr>
            </w:pPr>
            <w:r w:rsidRPr="00FC0457">
              <w:rPr>
                <w:lang w:eastAsia="en-GB"/>
              </w:rPr>
              <w:t>(0.028)</w:t>
            </w:r>
          </w:p>
        </w:tc>
        <w:tc>
          <w:tcPr>
            <w:tcW w:w="1260" w:type="dxa"/>
            <w:tcBorders>
              <w:top w:val="nil"/>
              <w:left w:val="nil"/>
              <w:bottom w:val="nil"/>
              <w:right w:val="nil"/>
            </w:tcBorders>
            <w:shd w:val="clear" w:color="auto" w:fill="auto"/>
            <w:hideMark/>
          </w:tcPr>
          <w:p w14:paraId="07AEAB46" w14:textId="77777777" w:rsidR="00E8455B" w:rsidRPr="00FC0457" w:rsidRDefault="00E8455B" w:rsidP="000A5C58">
            <w:pPr>
              <w:pStyle w:val="Tabletext"/>
              <w:jc w:val="right"/>
              <w:rPr>
                <w:lang w:eastAsia="en-GB"/>
              </w:rPr>
            </w:pPr>
            <w:r w:rsidRPr="00FC0457">
              <w:rPr>
                <w:lang w:eastAsia="en-GB"/>
              </w:rPr>
              <w:t>-0.048</w:t>
            </w:r>
          </w:p>
        </w:tc>
        <w:tc>
          <w:tcPr>
            <w:tcW w:w="1260" w:type="dxa"/>
            <w:tcBorders>
              <w:top w:val="nil"/>
              <w:left w:val="nil"/>
              <w:bottom w:val="nil"/>
              <w:right w:val="nil"/>
            </w:tcBorders>
            <w:shd w:val="clear" w:color="auto" w:fill="auto"/>
            <w:hideMark/>
          </w:tcPr>
          <w:p w14:paraId="52ED61E3" w14:textId="77777777" w:rsidR="00E8455B" w:rsidRPr="00FC0457" w:rsidRDefault="00E8455B" w:rsidP="000A5C58">
            <w:pPr>
              <w:pStyle w:val="Tabletext"/>
              <w:jc w:val="right"/>
              <w:rPr>
                <w:lang w:eastAsia="en-GB"/>
              </w:rPr>
            </w:pPr>
            <w:r w:rsidRPr="00FC0457">
              <w:rPr>
                <w:lang w:eastAsia="en-GB"/>
              </w:rPr>
              <w:t>(0.034)</w:t>
            </w:r>
          </w:p>
        </w:tc>
      </w:tr>
      <w:tr w:rsidR="00E8455B" w:rsidRPr="00FC0457" w14:paraId="64634880" w14:textId="77777777" w:rsidTr="00C368DB">
        <w:trPr>
          <w:trHeight w:val="300"/>
        </w:trPr>
        <w:tc>
          <w:tcPr>
            <w:tcW w:w="4780" w:type="dxa"/>
            <w:tcBorders>
              <w:top w:val="nil"/>
              <w:left w:val="nil"/>
              <w:bottom w:val="nil"/>
              <w:right w:val="nil"/>
            </w:tcBorders>
            <w:shd w:val="clear" w:color="auto" w:fill="auto"/>
            <w:noWrap/>
            <w:vAlign w:val="bottom"/>
            <w:hideMark/>
          </w:tcPr>
          <w:p w14:paraId="2E41D7CA" w14:textId="77777777" w:rsidR="00E8455B" w:rsidRPr="00FC0457" w:rsidRDefault="00E8455B" w:rsidP="007F39BA">
            <w:pPr>
              <w:pStyle w:val="Tabletext"/>
              <w:rPr>
                <w:lang w:eastAsia="en-GB"/>
              </w:rPr>
            </w:pPr>
            <w:r w:rsidRPr="00FC0457">
              <w:rPr>
                <w:lang w:eastAsia="en-GB"/>
              </w:rPr>
              <w:t xml:space="preserve">    South Australia</w:t>
            </w:r>
          </w:p>
        </w:tc>
        <w:tc>
          <w:tcPr>
            <w:tcW w:w="1260" w:type="dxa"/>
            <w:tcBorders>
              <w:top w:val="nil"/>
              <w:left w:val="nil"/>
              <w:bottom w:val="nil"/>
              <w:right w:val="nil"/>
            </w:tcBorders>
            <w:shd w:val="clear" w:color="auto" w:fill="auto"/>
            <w:hideMark/>
          </w:tcPr>
          <w:p w14:paraId="2F003BDF" w14:textId="77777777" w:rsidR="00E8455B" w:rsidRPr="00FC0457" w:rsidRDefault="00E8455B" w:rsidP="000A5C58">
            <w:pPr>
              <w:pStyle w:val="Tabletext"/>
              <w:jc w:val="right"/>
              <w:rPr>
                <w:lang w:eastAsia="en-GB"/>
              </w:rPr>
            </w:pPr>
            <w:r w:rsidRPr="00FC0457">
              <w:rPr>
                <w:lang w:eastAsia="en-GB"/>
              </w:rPr>
              <w:t>0.014</w:t>
            </w:r>
          </w:p>
        </w:tc>
        <w:tc>
          <w:tcPr>
            <w:tcW w:w="1260" w:type="dxa"/>
            <w:tcBorders>
              <w:top w:val="nil"/>
              <w:left w:val="nil"/>
              <w:bottom w:val="nil"/>
              <w:right w:val="nil"/>
            </w:tcBorders>
            <w:shd w:val="clear" w:color="auto" w:fill="auto"/>
            <w:hideMark/>
          </w:tcPr>
          <w:p w14:paraId="3705AB89" w14:textId="77777777" w:rsidR="00E8455B" w:rsidRPr="00FC0457" w:rsidRDefault="00E8455B" w:rsidP="000A5C58">
            <w:pPr>
              <w:pStyle w:val="Tabletext"/>
              <w:jc w:val="right"/>
              <w:rPr>
                <w:lang w:eastAsia="en-GB"/>
              </w:rPr>
            </w:pPr>
            <w:r w:rsidRPr="00FC0457">
              <w:rPr>
                <w:lang w:eastAsia="en-GB"/>
              </w:rPr>
              <w:t>(0.039)</w:t>
            </w:r>
          </w:p>
        </w:tc>
        <w:tc>
          <w:tcPr>
            <w:tcW w:w="1260" w:type="dxa"/>
            <w:tcBorders>
              <w:top w:val="nil"/>
              <w:left w:val="nil"/>
              <w:bottom w:val="nil"/>
              <w:right w:val="nil"/>
            </w:tcBorders>
            <w:shd w:val="clear" w:color="auto" w:fill="auto"/>
            <w:hideMark/>
          </w:tcPr>
          <w:p w14:paraId="6F927238" w14:textId="77777777" w:rsidR="00E8455B" w:rsidRPr="00FC0457" w:rsidRDefault="00E8455B" w:rsidP="000A5C58">
            <w:pPr>
              <w:pStyle w:val="Tabletext"/>
              <w:jc w:val="right"/>
              <w:rPr>
                <w:lang w:eastAsia="en-GB"/>
              </w:rPr>
            </w:pPr>
            <w:r w:rsidRPr="00FC0457">
              <w:rPr>
                <w:lang w:eastAsia="en-GB"/>
              </w:rPr>
              <w:t>-0.037</w:t>
            </w:r>
          </w:p>
        </w:tc>
        <w:tc>
          <w:tcPr>
            <w:tcW w:w="1260" w:type="dxa"/>
            <w:tcBorders>
              <w:top w:val="nil"/>
              <w:left w:val="nil"/>
              <w:bottom w:val="nil"/>
              <w:right w:val="nil"/>
            </w:tcBorders>
            <w:shd w:val="clear" w:color="auto" w:fill="auto"/>
            <w:hideMark/>
          </w:tcPr>
          <w:p w14:paraId="6034CB2C" w14:textId="77777777" w:rsidR="00E8455B" w:rsidRPr="00FC0457" w:rsidRDefault="00E8455B" w:rsidP="000A5C58">
            <w:pPr>
              <w:pStyle w:val="Tabletext"/>
              <w:jc w:val="right"/>
              <w:rPr>
                <w:lang w:eastAsia="en-GB"/>
              </w:rPr>
            </w:pPr>
            <w:r w:rsidRPr="00FC0457">
              <w:rPr>
                <w:lang w:eastAsia="en-GB"/>
              </w:rPr>
              <w:t>(0.048)</w:t>
            </w:r>
          </w:p>
        </w:tc>
      </w:tr>
      <w:tr w:rsidR="00E8455B" w:rsidRPr="00FC0457" w14:paraId="006D4D9C" w14:textId="77777777" w:rsidTr="00C368DB">
        <w:trPr>
          <w:trHeight w:val="300"/>
        </w:trPr>
        <w:tc>
          <w:tcPr>
            <w:tcW w:w="4780" w:type="dxa"/>
            <w:tcBorders>
              <w:top w:val="nil"/>
              <w:left w:val="nil"/>
              <w:bottom w:val="nil"/>
              <w:right w:val="nil"/>
            </w:tcBorders>
            <w:shd w:val="clear" w:color="auto" w:fill="auto"/>
            <w:noWrap/>
            <w:vAlign w:val="bottom"/>
            <w:hideMark/>
          </w:tcPr>
          <w:p w14:paraId="4FE13775" w14:textId="77777777" w:rsidR="00E8455B" w:rsidRPr="00FC0457" w:rsidRDefault="00E8455B" w:rsidP="007F39BA">
            <w:pPr>
              <w:pStyle w:val="Tabletext"/>
              <w:rPr>
                <w:lang w:eastAsia="en-GB"/>
              </w:rPr>
            </w:pPr>
            <w:r w:rsidRPr="00FC0457">
              <w:rPr>
                <w:lang w:eastAsia="en-GB"/>
              </w:rPr>
              <w:t xml:space="preserve">    Western Australia</w:t>
            </w:r>
          </w:p>
        </w:tc>
        <w:tc>
          <w:tcPr>
            <w:tcW w:w="1260" w:type="dxa"/>
            <w:tcBorders>
              <w:top w:val="nil"/>
              <w:left w:val="nil"/>
              <w:bottom w:val="nil"/>
              <w:right w:val="nil"/>
            </w:tcBorders>
            <w:shd w:val="clear" w:color="auto" w:fill="auto"/>
            <w:hideMark/>
          </w:tcPr>
          <w:p w14:paraId="0E195EFF" w14:textId="77777777" w:rsidR="00E8455B" w:rsidRPr="00FC0457" w:rsidRDefault="00E8455B" w:rsidP="000A5C58">
            <w:pPr>
              <w:pStyle w:val="Tabletext"/>
              <w:jc w:val="right"/>
              <w:rPr>
                <w:lang w:eastAsia="en-GB"/>
              </w:rPr>
            </w:pPr>
            <w:r w:rsidRPr="00FC0457">
              <w:rPr>
                <w:lang w:eastAsia="en-GB"/>
              </w:rPr>
              <w:t>-0.031</w:t>
            </w:r>
          </w:p>
        </w:tc>
        <w:tc>
          <w:tcPr>
            <w:tcW w:w="1260" w:type="dxa"/>
            <w:tcBorders>
              <w:top w:val="nil"/>
              <w:left w:val="nil"/>
              <w:bottom w:val="nil"/>
              <w:right w:val="nil"/>
            </w:tcBorders>
            <w:shd w:val="clear" w:color="auto" w:fill="auto"/>
            <w:hideMark/>
          </w:tcPr>
          <w:p w14:paraId="7E5E07CB" w14:textId="77777777" w:rsidR="00E8455B" w:rsidRPr="00FC0457" w:rsidRDefault="00E8455B" w:rsidP="000A5C58">
            <w:pPr>
              <w:pStyle w:val="Tabletext"/>
              <w:jc w:val="right"/>
              <w:rPr>
                <w:lang w:eastAsia="en-GB"/>
              </w:rPr>
            </w:pPr>
            <w:r w:rsidRPr="00FC0457">
              <w:rPr>
                <w:lang w:eastAsia="en-GB"/>
              </w:rPr>
              <w:t>(0.036)</w:t>
            </w:r>
          </w:p>
        </w:tc>
        <w:tc>
          <w:tcPr>
            <w:tcW w:w="1260" w:type="dxa"/>
            <w:tcBorders>
              <w:top w:val="nil"/>
              <w:left w:val="nil"/>
              <w:bottom w:val="nil"/>
              <w:right w:val="nil"/>
            </w:tcBorders>
            <w:shd w:val="clear" w:color="auto" w:fill="auto"/>
            <w:hideMark/>
          </w:tcPr>
          <w:p w14:paraId="785DE88F" w14:textId="77777777" w:rsidR="00E8455B" w:rsidRPr="00FC0457" w:rsidRDefault="00E8455B" w:rsidP="000A5C58">
            <w:pPr>
              <w:pStyle w:val="Tabletext"/>
              <w:jc w:val="right"/>
              <w:rPr>
                <w:lang w:eastAsia="en-GB"/>
              </w:rPr>
            </w:pPr>
            <w:r w:rsidRPr="00FC0457">
              <w:rPr>
                <w:lang w:eastAsia="en-GB"/>
              </w:rPr>
              <w:t>-0.099**</w:t>
            </w:r>
          </w:p>
        </w:tc>
        <w:tc>
          <w:tcPr>
            <w:tcW w:w="1260" w:type="dxa"/>
            <w:tcBorders>
              <w:top w:val="nil"/>
              <w:left w:val="nil"/>
              <w:bottom w:val="nil"/>
              <w:right w:val="nil"/>
            </w:tcBorders>
            <w:shd w:val="clear" w:color="auto" w:fill="auto"/>
            <w:hideMark/>
          </w:tcPr>
          <w:p w14:paraId="45AFB2DB" w14:textId="77777777" w:rsidR="00E8455B" w:rsidRPr="00FC0457" w:rsidRDefault="00E8455B" w:rsidP="000A5C58">
            <w:pPr>
              <w:pStyle w:val="Tabletext"/>
              <w:jc w:val="right"/>
              <w:rPr>
                <w:lang w:eastAsia="en-GB"/>
              </w:rPr>
            </w:pPr>
            <w:r w:rsidRPr="00FC0457">
              <w:rPr>
                <w:lang w:eastAsia="en-GB"/>
              </w:rPr>
              <w:t>(0.042)</w:t>
            </w:r>
          </w:p>
        </w:tc>
      </w:tr>
      <w:tr w:rsidR="00E8455B" w:rsidRPr="00FC0457" w14:paraId="30A7BE93" w14:textId="77777777" w:rsidTr="00C368DB">
        <w:trPr>
          <w:trHeight w:val="300"/>
        </w:trPr>
        <w:tc>
          <w:tcPr>
            <w:tcW w:w="4780" w:type="dxa"/>
            <w:tcBorders>
              <w:top w:val="nil"/>
              <w:left w:val="nil"/>
              <w:bottom w:val="nil"/>
              <w:right w:val="nil"/>
            </w:tcBorders>
            <w:shd w:val="clear" w:color="auto" w:fill="auto"/>
            <w:noWrap/>
            <w:vAlign w:val="bottom"/>
            <w:hideMark/>
          </w:tcPr>
          <w:p w14:paraId="7C47092C" w14:textId="77777777" w:rsidR="00E8455B" w:rsidRPr="00FC0457" w:rsidRDefault="00E8455B" w:rsidP="007F39BA">
            <w:pPr>
              <w:pStyle w:val="Tabletext"/>
              <w:rPr>
                <w:lang w:eastAsia="en-GB"/>
              </w:rPr>
            </w:pPr>
            <w:r w:rsidRPr="00FC0457">
              <w:rPr>
                <w:lang w:eastAsia="en-GB"/>
              </w:rPr>
              <w:t xml:space="preserve">    Tasmania</w:t>
            </w:r>
          </w:p>
        </w:tc>
        <w:tc>
          <w:tcPr>
            <w:tcW w:w="1260" w:type="dxa"/>
            <w:tcBorders>
              <w:top w:val="nil"/>
              <w:left w:val="nil"/>
              <w:bottom w:val="nil"/>
              <w:right w:val="nil"/>
            </w:tcBorders>
            <w:shd w:val="clear" w:color="auto" w:fill="auto"/>
            <w:hideMark/>
          </w:tcPr>
          <w:p w14:paraId="4C37E355" w14:textId="77777777" w:rsidR="00E8455B" w:rsidRPr="00FC0457" w:rsidRDefault="00E8455B" w:rsidP="000A5C58">
            <w:pPr>
              <w:pStyle w:val="Tabletext"/>
              <w:jc w:val="right"/>
              <w:rPr>
                <w:lang w:eastAsia="en-GB"/>
              </w:rPr>
            </w:pPr>
            <w:r w:rsidRPr="00FC0457">
              <w:rPr>
                <w:lang w:eastAsia="en-GB"/>
              </w:rPr>
              <w:t>-0.154**</w:t>
            </w:r>
          </w:p>
        </w:tc>
        <w:tc>
          <w:tcPr>
            <w:tcW w:w="1260" w:type="dxa"/>
            <w:tcBorders>
              <w:top w:val="nil"/>
              <w:left w:val="nil"/>
              <w:bottom w:val="nil"/>
              <w:right w:val="nil"/>
            </w:tcBorders>
            <w:shd w:val="clear" w:color="auto" w:fill="auto"/>
            <w:hideMark/>
          </w:tcPr>
          <w:p w14:paraId="17190D1F" w14:textId="77777777" w:rsidR="00E8455B" w:rsidRPr="00FC0457" w:rsidRDefault="00E8455B" w:rsidP="000A5C58">
            <w:pPr>
              <w:pStyle w:val="Tabletext"/>
              <w:jc w:val="right"/>
              <w:rPr>
                <w:lang w:eastAsia="en-GB"/>
              </w:rPr>
            </w:pPr>
            <w:r w:rsidRPr="00FC0457">
              <w:rPr>
                <w:lang w:eastAsia="en-GB"/>
              </w:rPr>
              <w:t>(0.063)</w:t>
            </w:r>
          </w:p>
        </w:tc>
        <w:tc>
          <w:tcPr>
            <w:tcW w:w="1260" w:type="dxa"/>
            <w:tcBorders>
              <w:top w:val="nil"/>
              <w:left w:val="nil"/>
              <w:bottom w:val="nil"/>
              <w:right w:val="nil"/>
            </w:tcBorders>
            <w:shd w:val="clear" w:color="auto" w:fill="auto"/>
            <w:hideMark/>
          </w:tcPr>
          <w:p w14:paraId="37191E8D" w14:textId="77777777" w:rsidR="00E8455B" w:rsidRPr="00FC0457" w:rsidRDefault="00E8455B" w:rsidP="000A5C58">
            <w:pPr>
              <w:pStyle w:val="Tabletext"/>
              <w:jc w:val="right"/>
              <w:rPr>
                <w:lang w:eastAsia="en-GB"/>
              </w:rPr>
            </w:pPr>
            <w:r w:rsidRPr="00FC0457">
              <w:rPr>
                <w:lang w:eastAsia="en-GB"/>
              </w:rPr>
              <w:t>-0.271***</w:t>
            </w:r>
          </w:p>
        </w:tc>
        <w:tc>
          <w:tcPr>
            <w:tcW w:w="1260" w:type="dxa"/>
            <w:tcBorders>
              <w:top w:val="nil"/>
              <w:left w:val="nil"/>
              <w:bottom w:val="nil"/>
              <w:right w:val="nil"/>
            </w:tcBorders>
            <w:shd w:val="clear" w:color="auto" w:fill="auto"/>
            <w:hideMark/>
          </w:tcPr>
          <w:p w14:paraId="59B5DB37" w14:textId="77777777" w:rsidR="00E8455B" w:rsidRPr="00FC0457" w:rsidRDefault="00E8455B" w:rsidP="000A5C58">
            <w:pPr>
              <w:pStyle w:val="Tabletext"/>
              <w:jc w:val="right"/>
              <w:rPr>
                <w:lang w:eastAsia="en-GB"/>
              </w:rPr>
            </w:pPr>
            <w:r w:rsidRPr="00FC0457">
              <w:rPr>
                <w:lang w:eastAsia="en-GB"/>
              </w:rPr>
              <w:t>(0.073)</w:t>
            </w:r>
          </w:p>
        </w:tc>
      </w:tr>
      <w:tr w:rsidR="00E8455B" w:rsidRPr="00FC0457" w14:paraId="7DCF4D9A" w14:textId="77777777" w:rsidTr="00C368DB">
        <w:trPr>
          <w:trHeight w:val="300"/>
        </w:trPr>
        <w:tc>
          <w:tcPr>
            <w:tcW w:w="4780" w:type="dxa"/>
            <w:tcBorders>
              <w:top w:val="nil"/>
              <w:left w:val="nil"/>
              <w:bottom w:val="nil"/>
              <w:right w:val="nil"/>
            </w:tcBorders>
            <w:shd w:val="clear" w:color="auto" w:fill="auto"/>
            <w:noWrap/>
            <w:vAlign w:val="bottom"/>
            <w:hideMark/>
          </w:tcPr>
          <w:p w14:paraId="2E46CEF7" w14:textId="77777777" w:rsidR="00E8455B" w:rsidRPr="00FC0457" w:rsidRDefault="00E8455B" w:rsidP="007F39BA">
            <w:pPr>
              <w:pStyle w:val="Tabletext"/>
              <w:rPr>
                <w:lang w:eastAsia="en-GB"/>
              </w:rPr>
            </w:pPr>
            <w:r w:rsidRPr="00FC0457">
              <w:rPr>
                <w:lang w:eastAsia="en-GB"/>
              </w:rPr>
              <w:t xml:space="preserve">    Australian Capital Territory</w:t>
            </w:r>
          </w:p>
        </w:tc>
        <w:tc>
          <w:tcPr>
            <w:tcW w:w="1260" w:type="dxa"/>
            <w:tcBorders>
              <w:top w:val="nil"/>
              <w:left w:val="nil"/>
              <w:bottom w:val="nil"/>
              <w:right w:val="nil"/>
            </w:tcBorders>
            <w:shd w:val="clear" w:color="auto" w:fill="auto"/>
            <w:hideMark/>
          </w:tcPr>
          <w:p w14:paraId="6D7EB118" w14:textId="77777777" w:rsidR="00E8455B" w:rsidRPr="00FC0457" w:rsidRDefault="00E8455B" w:rsidP="000A5C58">
            <w:pPr>
              <w:pStyle w:val="Tabletext"/>
              <w:jc w:val="right"/>
              <w:rPr>
                <w:lang w:eastAsia="en-GB"/>
              </w:rPr>
            </w:pPr>
            <w:r w:rsidRPr="00FC0457">
              <w:rPr>
                <w:lang w:eastAsia="en-GB"/>
              </w:rPr>
              <w:t>-0.189</w:t>
            </w:r>
          </w:p>
        </w:tc>
        <w:tc>
          <w:tcPr>
            <w:tcW w:w="1260" w:type="dxa"/>
            <w:tcBorders>
              <w:top w:val="nil"/>
              <w:left w:val="nil"/>
              <w:bottom w:val="nil"/>
              <w:right w:val="nil"/>
            </w:tcBorders>
            <w:shd w:val="clear" w:color="auto" w:fill="auto"/>
            <w:hideMark/>
          </w:tcPr>
          <w:p w14:paraId="305CDDFB" w14:textId="77777777" w:rsidR="00E8455B" w:rsidRPr="00FC0457" w:rsidRDefault="00E8455B" w:rsidP="000A5C58">
            <w:pPr>
              <w:pStyle w:val="Tabletext"/>
              <w:jc w:val="right"/>
              <w:rPr>
                <w:lang w:eastAsia="en-GB"/>
              </w:rPr>
            </w:pPr>
            <w:r w:rsidRPr="00FC0457">
              <w:rPr>
                <w:lang w:eastAsia="en-GB"/>
              </w:rPr>
              <w:t>(0.122)</w:t>
            </w:r>
          </w:p>
        </w:tc>
        <w:tc>
          <w:tcPr>
            <w:tcW w:w="1260" w:type="dxa"/>
            <w:tcBorders>
              <w:top w:val="nil"/>
              <w:left w:val="nil"/>
              <w:bottom w:val="nil"/>
              <w:right w:val="nil"/>
            </w:tcBorders>
            <w:shd w:val="clear" w:color="auto" w:fill="auto"/>
            <w:hideMark/>
          </w:tcPr>
          <w:p w14:paraId="75BCAE30" w14:textId="77777777" w:rsidR="00E8455B" w:rsidRPr="00FC0457" w:rsidRDefault="00E8455B" w:rsidP="000A5C58">
            <w:pPr>
              <w:pStyle w:val="Tabletext"/>
              <w:jc w:val="right"/>
              <w:rPr>
                <w:lang w:eastAsia="en-GB"/>
              </w:rPr>
            </w:pPr>
            <w:r w:rsidRPr="00FC0457">
              <w:rPr>
                <w:lang w:eastAsia="en-GB"/>
              </w:rPr>
              <w:t>-0.074</w:t>
            </w:r>
          </w:p>
        </w:tc>
        <w:tc>
          <w:tcPr>
            <w:tcW w:w="1260" w:type="dxa"/>
            <w:tcBorders>
              <w:top w:val="nil"/>
              <w:left w:val="nil"/>
              <w:bottom w:val="nil"/>
              <w:right w:val="nil"/>
            </w:tcBorders>
            <w:shd w:val="clear" w:color="auto" w:fill="auto"/>
            <w:hideMark/>
          </w:tcPr>
          <w:p w14:paraId="627356A1" w14:textId="77777777" w:rsidR="00E8455B" w:rsidRPr="00FC0457" w:rsidRDefault="00E8455B" w:rsidP="000A5C58">
            <w:pPr>
              <w:pStyle w:val="Tabletext"/>
              <w:jc w:val="right"/>
              <w:rPr>
                <w:lang w:eastAsia="en-GB"/>
              </w:rPr>
            </w:pPr>
            <w:r w:rsidRPr="00FC0457">
              <w:rPr>
                <w:lang w:eastAsia="en-GB"/>
              </w:rPr>
              <w:t>(0.110)</w:t>
            </w:r>
          </w:p>
        </w:tc>
      </w:tr>
      <w:tr w:rsidR="00E8455B" w:rsidRPr="00FC0457" w14:paraId="1EBEA30E" w14:textId="77777777" w:rsidTr="00C368DB">
        <w:trPr>
          <w:trHeight w:val="300"/>
        </w:trPr>
        <w:tc>
          <w:tcPr>
            <w:tcW w:w="4780" w:type="dxa"/>
            <w:tcBorders>
              <w:top w:val="nil"/>
              <w:left w:val="nil"/>
              <w:bottom w:val="nil"/>
              <w:right w:val="nil"/>
            </w:tcBorders>
            <w:shd w:val="clear" w:color="auto" w:fill="auto"/>
            <w:noWrap/>
            <w:vAlign w:val="bottom"/>
            <w:hideMark/>
          </w:tcPr>
          <w:p w14:paraId="14E11B76" w14:textId="77777777" w:rsidR="00E8455B" w:rsidRPr="00FC0457" w:rsidRDefault="00E8455B" w:rsidP="007F39BA">
            <w:pPr>
              <w:pStyle w:val="Tabletext"/>
              <w:rPr>
                <w:lang w:eastAsia="en-GB"/>
              </w:rPr>
            </w:pPr>
            <w:r w:rsidRPr="00FC0457">
              <w:rPr>
                <w:lang w:eastAsia="en-GB"/>
              </w:rPr>
              <w:t xml:space="preserve">    Northern Territory</w:t>
            </w:r>
          </w:p>
        </w:tc>
        <w:tc>
          <w:tcPr>
            <w:tcW w:w="1260" w:type="dxa"/>
            <w:tcBorders>
              <w:top w:val="nil"/>
              <w:left w:val="nil"/>
              <w:bottom w:val="nil"/>
              <w:right w:val="nil"/>
            </w:tcBorders>
            <w:shd w:val="clear" w:color="auto" w:fill="auto"/>
            <w:hideMark/>
          </w:tcPr>
          <w:p w14:paraId="1AE743ED" w14:textId="77777777" w:rsidR="00E8455B" w:rsidRPr="00FC0457" w:rsidRDefault="00E8455B" w:rsidP="000A5C58">
            <w:pPr>
              <w:pStyle w:val="Tabletext"/>
              <w:jc w:val="right"/>
              <w:rPr>
                <w:lang w:eastAsia="en-GB"/>
              </w:rPr>
            </w:pPr>
            <w:r w:rsidRPr="00FC0457">
              <w:rPr>
                <w:lang w:eastAsia="en-GB"/>
              </w:rPr>
              <w:t>-0.010</w:t>
            </w:r>
          </w:p>
        </w:tc>
        <w:tc>
          <w:tcPr>
            <w:tcW w:w="1260" w:type="dxa"/>
            <w:tcBorders>
              <w:top w:val="nil"/>
              <w:left w:val="nil"/>
              <w:bottom w:val="nil"/>
              <w:right w:val="nil"/>
            </w:tcBorders>
            <w:shd w:val="clear" w:color="auto" w:fill="auto"/>
            <w:hideMark/>
          </w:tcPr>
          <w:p w14:paraId="3525AE92" w14:textId="77777777" w:rsidR="00E8455B" w:rsidRPr="00FC0457" w:rsidRDefault="00E8455B" w:rsidP="000A5C58">
            <w:pPr>
              <w:pStyle w:val="Tabletext"/>
              <w:jc w:val="right"/>
              <w:rPr>
                <w:lang w:eastAsia="en-GB"/>
              </w:rPr>
            </w:pPr>
            <w:r w:rsidRPr="00FC0457">
              <w:rPr>
                <w:lang w:eastAsia="en-GB"/>
              </w:rPr>
              <w:t>(0.055)</w:t>
            </w:r>
          </w:p>
        </w:tc>
        <w:tc>
          <w:tcPr>
            <w:tcW w:w="1260" w:type="dxa"/>
            <w:tcBorders>
              <w:top w:val="nil"/>
              <w:left w:val="nil"/>
              <w:bottom w:val="nil"/>
              <w:right w:val="nil"/>
            </w:tcBorders>
            <w:shd w:val="clear" w:color="auto" w:fill="auto"/>
            <w:hideMark/>
          </w:tcPr>
          <w:p w14:paraId="01A6D7DB" w14:textId="77777777" w:rsidR="00E8455B" w:rsidRPr="00FC0457" w:rsidRDefault="00E8455B" w:rsidP="000A5C58">
            <w:pPr>
              <w:pStyle w:val="Tabletext"/>
              <w:jc w:val="right"/>
              <w:rPr>
                <w:lang w:eastAsia="en-GB"/>
              </w:rPr>
            </w:pPr>
            <w:r w:rsidRPr="00FC0457">
              <w:rPr>
                <w:lang w:eastAsia="en-GB"/>
              </w:rPr>
              <w:t>-0.047</w:t>
            </w:r>
          </w:p>
        </w:tc>
        <w:tc>
          <w:tcPr>
            <w:tcW w:w="1260" w:type="dxa"/>
            <w:tcBorders>
              <w:top w:val="nil"/>
              <w:left w:val="nil"/>
              <w:bottom w:val="nil"/>
              <w:right w:val="nil"/>
            </w:tcBorders>
            <w:shd w:val="clear" w:color="auto" w:fill="auto"/>
            <w:hideMark/>
          </w:tcPr>
          <w:p w14:paraId="78B3A49A" w14:textId="77777777" w:rsidR="00E8455B" w:rsidRPr="00FC0457" w:rsidRDefault="00E8455B" w:rsidP="000A5C58">
            <w:pPr>
              <w:pStyle w:val="Tabletext"/>
              <w:jc w:val="right"/>
              <w:rPr>
                <w:lang w:eastAsia="en-GB"/>
              </w:rPr>
            </w:pPr>
            <w:r w:rsidRPr="00FC0457">
              <w:rPr>
                <w:lang w:eastAsia="en-GB"/>
              </w:rPr>
              <w:t>(0.060)</w:t>
            </w:r>
          </w:p>
        </w:tc>
      </w:tr>
      <w:tr w:rsidR="00E8455B" w:rsidRPr="00FC0457" w14:paraId="5D35CBF3" w14:textId="77777777" w:rsidTr="00C368DB">
        <w:trPr>
          <w:trHeight w:val="300"/>
        </w:trPr>
        <w:tc>
          <w:tcPr>
            <w:tcW w:w="4780" w:type="dxa"/>
            <w:tcBorders>
              <w:top w:val="nil"/>
              <w:left w:val="nil"/>
              <w:bottom w:val="nil"/>
              <w:right w:val="nil"/>
            </w:tcBorders>
            <w:shd w:val="clear" w:color="auto" w:fill="auto"/>
            <w:noWrap/>
            <w:vAlign w:val="bottom"/>
            <w:hideMark/>
          </w:tcPr>
          <w:p w14:paraId="12821FE3" w14:textId="77777777" w:rsidR="00E8455B" w:rsidRPr="00FC0457" w:rsidRDefault="00E8455B" w:rsidP="007F39BA">
            <w:pPr>
              <w:pStyle w:val="Tabletext"/>
              <w:rPr>
                <w:lang w:eastAsia="en-GB"/>
              </w:rPr>
            </w:pPr>
            <w:r w:rsidRPr="00FC0457">
              <w:rPr>
                <w:lang w:eastAsia="en-GB"/>
              </w:rPr>
              <w:t>Region (ref: major city)</w:t>
            </w:r>
          </w:p>
        </w:tc>
        <w:tc>
          <w:tcPr>
            <w:tcW w:w="1260" w:type="dxa"/>
            <w:tcBorders>
              <w:top w:val="nil"/>
              <w:left w:val="nil"/>
              <w:bottom w:val="nil"/>
              <w:right w:val="nil"/>
            </w:tcBorders>
            <w:shd w:val="clear" w:color="auto" w:fill="auto"/>
            <w:noWrap/>
            <w:vAlign w:val="bottom"/>
            <w:hideMark/>
          </w:tcPr>
          <w:p w14:paraId="250E0C1A"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26F3039C"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53DE3A0F"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0F6628BE" w14:textId="77777777" w:rsidR="00E8455B" w:rsidRPr="00FC0457" w:rsidRDefault="00E8455B" w:rsidP="000A5C58">
            <w:pPr>
              <w:pStyle w:val="Tabletext"/>
              <w:jc w:val="right"/>
              <w:rPr>
                <w:lang w:eastAsia="en-GB"/>
              </w:rPr>
            </w:pPr>
          </w:p>
        </w:tc>
      </w:tr>
      <w:tr w:rsidR="00E8455B" w:rsidRPr="00FC0457" w14:paraId="3236F93D" w14:textId="77777777" w:rsidTr="00C368DB">
        <w:trPr>
          <w:trHeight w:val="300"/>
        </w:trPr>
        <w:tc>
          <w:tcPr>
            <w:tcW w:w="4780" w:type="dxa"/>
            <w:tcBorders>
              <w:top w:val="nil"/>
              <w:left w:val="nil"/>
              <w:bottom w:val="nil"/>
              <w:right w:val="nil"/>
            </w:tcBorders>
            <w:shd w:val="clear" w:color="auto" w:fill="auto"/>
            <w:noWrap/>
            <w:vAlign w:val="bottom"/>
            <w:hideMark/>
          </w:tcPr>
          <w:p w14:paraId="73DE1BB1" w14:textId="77777777" w:rsidR="00E8455B" w:rsidRPr="00FC0457" w:rsidRDefault="00E8455B" w:rsidP="007F39BA">
            <w:pPr>
              <w:pStyle w:val="Tabletext"/>
              <w:rPr>
                <w:lang w:eastAsia="en-GB"/>
              </w:rPr>
            </w:pPr>
            <w:r w:rsidRPr="00FC0457">
              <w:rPr>
                <w:lang w:eastAsia="en-GB"/>
              </w:rPr>
              <w:lastRenderedPageBreak/>
              <w:t xml:space="preserve">    Inner regional</w:t>
            </w:r>
          </w:p>
        </w:tc>
        <w:tc>
          <w:tcPr>
            <w:tcW w:w="1260" w:type="dxa"/>
            <w:tcBorders>
              <w:top w:val="nil"/>
              <w:left w:val="nil"/>
              <w:bottom w:val="nil"/>
              <w:right w:val="nil"/>
            </w:tcBorders>
            <w:shd w:val="clear" w:color="auto" w:fill="auto"/>
            <w:hideMark/>
          </w:tcPr>
          <w:p w14:paraId="2AD93D27" w14:textId="77777777" w:rsidR="00E8455B" w:rsidRPr="00FC0457" w:rsidRDefault="00E8455B" w:rsidP="000A5C58">
            <w:pPr>
              <w:pStyle w:val="Tabletext"/>
              <w:jc w:val="right"/>
              <w:rPr>
                <w:lang w:eastAsia="en-GB"/>
              </w:rPr>
            </w:pPr>
            <w:r w:rsidRPr="00FC0457">
              <w:rPr>
                <w:lang w:eastAsia="en-GB"/>
              </w:rPr>
              <w:t>0.153***</w:t>
            </w:r>
          </w:p>
        </w:tc>
        <w:tc>
          <w:tcPr>
            <w:tcW w:w="1260" w:type="dxa"/>
            <w:tcBorders>
              <w:top w:val="nil"/>
              <w:left w:val="nil"/>
              <w:bottom w:val="nil"/>
              <w:right w:val="nil"/>
            </w:tcBorders>
            <w:shd w:val="clear" w:color="auto" w:fill="auto"/>
            <w:hideMark/>
          </w:tcPr>
          <w:p w14:paraId="6B0BD1B7" w14:textId="77777777" w:rsidR="00E8455B" w:rsidRPr="00FC0457" w:rsidRDefault="00E8455B" w:rsidP="000A5C58">
            <w:pPr>
              <w:pStyle w:val="Tabletext"/>
              <w:jc w:val="right"/>
              <w:rPr>
                <w:lang w:eastAsia="en-GB"/>
              </w:rPr>
            </w:pPr>
            <w:r w:rsidRPr="00FC0457">
              <w:rPr>
                <w:lang w:eastAsia="en-GB"/>
              </w:rPr>
              <w:t>(0.028)</w:t>
            </w:r>
          </w:p>
        </w:tc>
        <w:tc>
          <w:tcPr>
            <w:tcW w:w="1260" w:type="dxa"/>
            <w:tcBorders>
              <w:top w:val="nil"/>
              <w:left w:val="nil"/>
              <w:bottom w:val="nil"/>
              <w:right w:val="nil"/>
            </w:tcBorders>
            <w:shd w:val="clear" w:color="auto" w:fill="auto"/>
            <w:hideMark/>
          </w:tcPr>
          <w:p w14:paraId="3F793D6F" w14:textId="77777777" w:rsidR="00E8455B" w:rsidRPr="00FC0457" w:rsidRDefault="00E8455B" w:rsidP="000A5C58">
            <w:pPr>
              <w:pStyle w:val="Tabletext"/>
              <w:jc w:val="right"/>
              <w:rPr>
                <w:lang w:eastAsia="en-GB"/>
              </w:rPr>
            </w:pPr>
            <w:r w:rsidRPr="00FC0457">
              <w:rPr>
                <w:lang w:eastAsia="en-GB"/>
              </w:rPr>
              <w:t>0.151***</w:t>
            </w:r>
          </w:p>
        </w:tc>
        <w:tc>
          <w:tcPr>
            <w:tcW w:w="1260" w:type="dxa"/>
            <w:tcBorders>
              <w:top w:val="nil"/>
              <w:left w:val="nil"/>
              <w:bottom w:val="nil"/>
              <w:right w:val="nil"/>
            </w:tcBorders>
            <w:shd w:val="clear" w:color="auto" w:fill="auto"/>
            <w:hideMark/>
          </w:tcPr>
          <w:p w14:paraId="2936B127" w14:textId="77777777" w:rsidR="00E8455B" w:rsidRPr="00FC0457" w:rsidRDefault="00E8455B" w:rsidP="000A5C58">
            <w:pPr>
              <w:pStyle w:val="Tabletext"/>
              <w:jc w:val="right"/>
              <w:rPr>
                <w:lang w:eastAsia="en-GB"/>
              </w:rPr>
            </w:pPr>
            <w:r w:rsidRPr="00FC0457">
              <w:rPr>
                <w:lang w:eastAsia="en-GB"/>
              </w:rPr>
              <w:t>(0.037)</w:t>
            </w:r>
          </w:p>
        </w:tc>
      </w:tr>
      <w:tr w:rsidR="00E8455B" w:rsidRPr="00FC0457" w14:paraId="0FA0BFFC" w14:textId="77777777" w:rsidTr="00C368DB">
        <w:trPr>
          <w:trHeight w:val="300"/>
        </w:trPr>
        <w:tc>
          <w:tcPr>
            <w:tcW w:w="4780" w:type="dxa"/>
            <w:tcBorders>
              <w:top w:val="nil"/>
              <w:left w:val="nil"/>
              <w:bottom w:val="nil"/>
              <w:right w:val="nil"/>
            </w:tcBorders>
            <w:shd w:val="clear" w:color="auto" w:fill="auto"/>
            <w:noWrap/>
            <w:vAlign w:val="bottom"/>
            <w:hideMark/>
          </w:tcPr>
          <w:p w14:paraId="02046B5C" w14:textId="77777777" w:rsidR="00E8455B" w:rsidRPr="00FC0457" w:rsidRDefault="00E8455B" w:rsidP="007F39BA">
            <w:pPr>
              <w:pStyle w:val="Tabletext"/>
              <w:rPr>
                <w:lang w:eastAsia="en-GB"/>
              </w:rPr>
            </w:pPr>
            <w:r w:rsidRPr="00FC0457">
              <w:rPr>
                <w:lang w:eastAsia="en-GB"/>
              </w:rPr>
              <w:t xml:space="preserve">    Outer regional</w:t>
            </w:r>
          </w:p>
        </w:tc>
        <w:tc>
          <w:tcPr>
            <w:tcW w:w="1260" w:type="dxa"/>
            <w:tcBorders>
              <w:top w:val="nil"/>
              <w:left w:val="nil"/>
              <w:bottom w:val="nil"/>
              <w:right w:val="nil"/>
            </w:tcBorders>
            <w:shd w:val="clear" w:color="auto" w:fill="auto"/>
            <w:hideMark/>
          </w:tcPr>
          <w:p w14:paraId="7E9765DC" w14:textId="77777777" w:rsidR="00E8455B" w:rsidRPr="00FC0457" w:rsidRDefault="00E8455B" w:rsidP="000A5C58">
            <w:pPr>
              <w:pStyle w:val="Tabletext"/>
              <w:jc w:val="right"/>
              <w:rPr>
                <w:lang w:eastAsia="en-GB"/>
              </w:rPr>
            </w:pPr>
            <w:r w:rsidRPr="00FC0457">
              <w:rPr>
                <w:lang w:eastAsia="en-GB"/>
              </w:rPr>
              <w:t>0.089**</w:t>
            </w:r>
          </w:p>
        </w:tc>
        <w:tc>
          <w:tcPr>
            <w:tcW w:w="1260" w:type="dxa"/>
            <w:tcBorders>
              <w:top w:val="nil"/>
              <w:left w:val="nil"/>
              <w:bottom w:val="nil"/>
              <w:right w:val="nil"/>
            </w:tcBorders>
            <w:shd w:val="clear" w:color="auto" w:fill="auto"/>
            <w:hideMark/>
          </w:tcPr>
          <w:p w14:paraId="112BA708" w14:textId="77777777" w:rsidR="00E8455B" w:rsidRPr="00FC0457" w:rsidRDefault="00E8455B" w:rsidP="000A5C58">
            <w:pPr>
              <w:pStyle w:val="Tabletext"/>
              <w:jc w:val="right"/>
              <w:rPr>
                <w:lang w:eastAsia="en-GB"/>
              </w:rPr>
            </w:pPr>
            <w:r w:rsidRPr="00FC0457">
              <w:rPr>
                <w:lang w:eastAsia="en-GB"/>
              </w:rPr>
              <w:t>(0.042)</w:t>
            </w:r>
          </w:p>
        </w:tc>
        <w:tc>
          <w:tcPr>
            <w:tcW w:w="1260" w:type="dxa"/>
            <w:tcBorders>
              <w:top w:val="nil"/>
              <w:left w:val="nil"/>
              <w:bottom w:val="nil"/>
              <w:right w:val="nil"/>
            </w:tcBorders>
            <w:shd w:val="clear" w:color="auto" w:fill="auto"/>
            <w:hideMark/>
          </w:tcPr>
          <w:p w14:paraId="52B39CEC" w14:textId="77777777" w:rsidR="00E8455B" w:rsidRPr="00FC0457" w:rsidRDefault="00E8455B" w:rsidP="000A5C58">
            <w:pPr>
              <w:pStyle w:val="Tabletext"/>
              <w:jc w:val="right"/>
              <w:rPr>
                <w:lang w:eastAsia="en-GB"/>
              </w:rPr>
            </w:pPr>
            <w:r w:rsidRPr="00FC0457">
              <w:rPr>
                <w:lang w:eastAsia="en-GB"/>
              </w:rPr>
              <w:t>-0.048</w:t>
            </w:r>
          </w:p>
        </w:tc>
        <w:tc>
          <w:tcPr>
            <w:tcW w:w="1260" w:type="dxa"/>
            <w:tcBorders>
              <w:top w:val="nil"/>
              <w:left w:val="nil"/>
              <w:bottom w:val="nil"/>
              <w:right w:val="nil"/>
            </w:tcBorders>
            <w:shd w:val="clear" w:color="auto" w:fill="auto"/>
            <w:hideMark/>
          </w:tcPr>
          <w:p w14:paraId="4F97DA5B" w14:textId="77777777" w:rsidR="00E8455B" w:rsidRPr="00FC0457" w:rsidRDefault="00E8455B" w:rsidP="000A5C58">
            <w:pPr>
              <w:pStyle w:val="Tabletext"/>
              <w:jc w:val="right"/>
              <w:rPr>
                <w:lang w:eastAsia="en-GB"/>
              </w:rPr>
            </w:pPr>
            <w:r w:rsidRPr="00FC0457">
              <w:rPr>
                <w:lang w:eastAsia="en-GB"/>
              </w:rPr>
              <w:t>(0.052)</w:t>
            </w:r>
          </w:p>
        </w:tc>
      </w:tr>
      <w:tr w:rsidR="00E8455B" w:rsidRPr="00FC0457" w14:paraId="04981FED" w14:textId="77777777" w:rsidTr="00C368DB">
        <w:trPr>
          <w:trHeight w:val="300"/>
        </w:trPr>
        <w:tc>
          <w:tcPr>
            <w:tcW w:w="4780" w:type="dxa"/>
            <w:tcBorders>
              <w:top w:val="nil"/>
              <w:left w:val="nil"/>
              <w:bottom w:val="nil"/>
              <w:right w:val="nil"/>
            </w:tcBorders>
            <w:shd w:val="clear" w:color="auto" w:fill="auto"/>
            <w:noWrap/>
            <w:vAlign w:val="bottom"/>
            <w:hideMark/>
          </w:tcPr>
          <w:p w14:paraId="24F1E1BE" w14:textId="77777777" w:rsidR="00E8455B" w:rsidRPr="00FC0457" w:rsidRDefault="00E8455B" w:rsidP="007F39BA">
            <w:pPr>
              <w:pStyle w:val="Tabletext"/>
              <w:rPr>
                <w:lang w:eastAsia="en-GB"/>
              </w:rPr>
            </w:pPr>
            <w:r w:rsidRPr="00FC0457">
              <w:rPr>
                <w:lang w:eastAsia="en-GB"/>
              </w:rPr>
              <w:t xml:space="preserve">    Remote</w:t>
            </w:r>
          </w:p>
        </w:tc>
        <w:tc>
          <w:tcPr>
            <w:tcW w:w="1260" w:type="dxa"/>
            <w:tcBorders>
              <w:top w:val="nil"/>
              <w:left w:val="nil"/>
              <w:bottom w:val="nil"/>
              <w:right w:val="nil"/>
            </w:tcBorders>
            <w:shd w:val="clear" w:color="auto" w:fill="auto"/>
            <w:hideMark/>
          </w:tcPr>
          <w:p w14:paraId="6E6DFC87" w14:textId="77777777" w:rsidR="00E8455B" w:rsidRPr="00FC0457" w:rsidRDefault="00E8455B" w:rsidP="000A5C58">
            <w:pPr>
              <w:pStyle w:val="Tabletext"/>
              <w:jc w:val="right"/>
              <w:rPr>
                <w:lang w:eastAsia="en-GB"/>
              </w:rPr>
            </w:pPr>
            <w:r w:rsidRPr="00FC0457">
              <w:rPr>
                <w:lang w:eastAsia="en-GB"/>
              </w:rPr>
              <w:t>0.041</w:t>
            </w:r>
          </w:p>
        </w:tc>
        <w:tc>
          <w:tcPr>
            <w:tcW w:w="1260" w:type="dxa"/>
            <w:tcBorders>
              <w:top w:val="nil"/>
              <w:left w:val="nil"/>
              <w:bottom w:val="nil"/>
              <w:right w:val="nil"/>
            </w:tcBorders>
            <w:shd w:val="clear" w:color="auto" w:fill="auto"/>
            <w:hideMark/>
          </w:tcPr>
          <w:p w14:paraId="0C7DC454" w14:textId="77777777" w:rsidR="00E8455B" w:rsidRPr="00FC0457" w:rsidRDefault="00E8455B" w:rsidP="000A5C58">
            <w:pPr>
              <w:pStyle w:val="Tabletext"/>
              <w:jc w:val="right"/>
              <w:rPr>
                <w:lang w:eastAsia="en-GB"/>
              </w:rPr>
            </w:pPr>
            <w:r w:rsidRPr="00FC0457">
              <w:rPr>
                <w:lang w:eastAsia="en-GB"/>
              </w:rPr>
              <w:t>(0.094)</w:t>
            </w:r>
          </w:p>
        </w:tc>
        <w:tc>
          <w:tcPr>
            <w:tcW w:w="1260" w:type="dxa"/>
            <w:tcBorders>
              <w:top w:val="nil"/>
              <w:left w:val="nil"/>
              <w:bottom w:val="nil"/>
              <w:right w:val="nil"/>
            </w:tcBorders>
            <w:shd w:val="clear" w:color="auto" w:fill="auto"/>
            <w:hideMark/>
          </w:tcPr>
          <w:p w14:paraId="4FE1729A" w14:textId="77777777" w:rsidR="00E8455B" w:rsidRPr="00FC0457" w:rsidRDefault="00E8455B" w:rsidP="000A5C58">
            <w:pPr>
              <w:pStyle w:val="Tabletext"/>
              <w:jc w:val="right"/>
              <w:rPr>
                <w:lang w:eastAsia="en-GB"/>
              </w:rPr>
            </w:pPr>
            <w:r w:rsidRPr="00FC0457">
              <w:rPr>
                <w:lang w:eastAsia="en-GB"/>
              </w:rPr>
              <w:t>0.204*</w:t>
            </w:r>
          </w:p>
        </w:tc>
        <w:tc>
          <w:tcPr>
            <w:tcW w:w="1260" w:type="dxa"/>
            <w:tcBorders>
              <w:top w:val="nil"/>
              <w:left w:val="nil"/>
              <w:bottom w:val="nil"/>
              <w:right w:val="nil"/>
            </w:tcBorders>
            <w:shd w:val="clear" w:color="auto" w:fill="auto"/>
            <w:hideMark/>
          </w:tcPr>
          <w:p w14:paraId="16F65E9B" w14:textId="77777777" w:rsidR="00E8455B" w:rsidRPr="00FC0457" w:rsidRDefault="00E8455B" w:rsidP="000A5C58">
            <w:pPr>
              <w:pStyle w:val="Tabletext"/>
              <w:jc w:val="right"/>
              <w:rPr>
                <w:lang w:eastAsia="en-GB"/>
              </w:rPr>
            </w:pPr>
            <w:r w:rsidRPr="00FC0457">
              <w:rPr>
                <w:lang w:eastAsia="en-GB"/>
              </w:rPr>
              <w:t>(0.113)</w:t>
            </w:r>
          </w:p>
        </w:tc>
      </w:tr>
      <w:tr w:rsidR="00E8455B" w:rsidRPr="00FC0457" w14:paraId="054EDFE7" w14:textId="77777777" w:rsidTr="00C368DB">
        <w:trPr>
          <w:trHeight w:val="300"/>
        </w:trPr>
        <w:tc>
          <w:tcPr>
            <w:tcW w:w="4780" w:type="dxa"/>
            <w:tcBorders>
              <w:top w:val="nil"/>
              <w:left w:val="nil"/>
              <w:bottom w:val="nil"/>
              <w:right w:val="nil"/>
            </w:tcBorders>
            <w:shd w:val="clear" w:color="auto" w:fill="auto"/>
            <w:noWrap/>
            <w:vAlign w:val="bottom"/>
            <w:hideMark/>
          </w:tcPr>
          <w:p w14:paraId="5B0D82BD" w14:textId="77777777" w:rsidR="00E8455B" w:rsidRPr="00FC0457" w:rsidRDefault="00E8455B" w:rsidP="007F39BA">
            <w:pPr>
              <w:pStyle w:val="Tabletext"/>
              <w:rPr>
                <w:lang w:eastAsia="en-GB"/>
              </w:rPr>
            </w:pPr>
            <w:r w:rsidRPr="00FC0457">
              <w:rPr>
                <w:lang w:eastAsia="en-GB"/>
              </w:rPr>
              <w:t>Number of dependent children</w:t>
            </w:r>
          </w:p>
        </w:tc>
        <w:tc>
          <w:tcPr>
            <w:tcW w:w="1260" w:type="dxa"/>
            <w:tcBorders>
              <w:top w:val="nil"/>
              <w:left w:val="nil"/>
              <w:bottom w:val="nil"/>
              <w:right w:val="nil"/>
            </w:tcBorders>
            <w:shd w:val="clear" w:color="auto" w:fill="auto"/>
            <w:hideMark/>
          </w:tcPr>
          <w:p w14:paraId="305D7CFB" w14:textId="77777777" w:rsidR="00E8455B" w:rsidRPr="00FC0457" w:rsidRDefault="00E8455B" w:rsidP="000A5C58">
            <w:pPr>
              <w:pStyle w:val="Tabletext"/>
              <w:jc w:val="right"/>
              <w:rPr>
                <w:lang w:eastAsia="en-GB"/>
              </w:rPr>
            </w:pPr>
            <w:r w:rsidRPr="00FC0457">
              <w:rPr>
                <w:lang w:eastAsia="en-GB"/>
              </w:rPr>
              <w:t>-0.015</w:t>
            </w:r>
          </w:p>
        </w:tc>
        <w:tc>
          <w:tcPr>
            <w:tcW w:w="1260" w:type="dxa"/>
            <w:tcBorders>
              <w:top w:val="nil"/>
              <w:left w:val="nil"/>
              <w:bottom w:val="nil"/>
              <w:right w:val="nil"/>
            </w:tcBorders>
            <w:shd w:val="clear" w:color="auto" w:fill="auto"/>
            <w:hideMark/>
          </w:tcPr>
          <w:p w14:paraId="0D906761" w14:textId="77777777" w:rsidR="00E8455B" w:rsidRPr="00FC0457" w:rsidRDefault="00E8455B" w:rsidP="000A5C58">
            <w:pPr>
              <w:pStyle w:val="Tabletext"/>
              <w:jc w:val="right"/>
              <w:rPr>
                <w:lang w:eastAsia="en-GB"/>
              </w:rPr>
            </w:pPr>
            <w:r w:rsidRPr="00FC0457">
              <w:rPr>
                <w:lang w:eastAsia="en-GB"/>
              </w:rPr>
              <w:t>(0.009)</w:t>
            </w:r>
          </w:p>
        </w:tc>
        <w:tc>
          <w:tcPr>
            <w:tcW w:w="1260" w:type="dxa"/>
            <w:tcBorders>
              <w:top w:val="nil"/>
              <w:left w:val="nil"/>
              <w:bottom w:val="nil"/>
              <w:right w:val="nil"/>
            </w:tcBorders>
            <w:shd w:val="clear" w:color="auto" w:fill="auto"/>
            <w:hideMark/>
          </w:tcPr>
          <w:p w14:paraId="77DA9E92" w14:textId="77777777" w:rsidR="00E8455B" w:rsidRPr="00FC0457" w:rsidRDefault="00E8455B" w:rsidP="000A5C58">
            <w:pPr>
              <w:pStyle w:val="Tabletext"/>
              <w:jc w:val="right"/>
              <w:rPr>
                <w:lang w:eastAsia="en-GB"/>
              </w:rPr>
            </w:pPr>
            <w:r w:rsidRPr="00FC0457">
              <w:rPr>
                <w:lang w:eastAsia="en-GB"/>
              </w:rPr>
              <w:t>-0.023**</w:t>
            </w:r>
          </w:p>
        </w:tc>
        <w:tc>
          <w:tcPr>
            <w:tcW w:w="1260" w:type="dxa"/>
            <w:tcBorders>
              <w:top w:val="nil"/>
              <w:left w:val="nil"/>
              <w:bottom w:val="nil"/>
              <w:right w:val="nil"/>
            </w:tcBorders>
            <w:shd w:val="clear" w:color="auto" w:fill="auto"/>
            <w:hideMark/>
          </w:tcPr>
          <w:p w14:paraId="190238EF" w14:textId="77777777" w:rsidR="00E8455B" w:rsidRPr="00FC0457" w:rsidRDefault="00E8455B" w:rsidP="000A5C58">
            <w:pPr>
              <w:pStyle w:val="Tabletext"/>
              <w:jc w:val="right"/>
              <w:rPr>
                <w:lang w:eastAsia="en-GB"/>
              </w:rPr>
            </w:pPr>
            <w:r w:rsidRPr="00FC0457">
              <w:rPr>
                <w:lang w:eastAsia="en-GB"/>
              </w:rPr>
              <w:t>(0.011)</w:t>
            </w:r>
          </w:p>
        </w:tc>
      </w:tr>
      <w:tr w:rsidR="00E8455B" w:rsidRPr="00FC0457" w14:paraId="276A232E" w14:textId="77777777" w:rsidTr="00C368DB">
        <w:trPr>
          <w:trHeight w:val="300"/>
        </w:trPr>
        <w:tc>
          <w:tcPr>
            <w:tcW w:w="4780" w:type="dxa"/>
            <w:tcBorders>
              <w:top w:val="nil"/>
              <w:left w:val="nil"/>
              <w:bottom w:val="nil"/>
              <w:right w:val="nil"/>
            </w:tcBorders>
            <w:shd w:val="clear" w:color="auto" w:fill="auto"/>
            <w:noWrap/>
            <w:vAlign w:val="bottom"/>
            <w:hideMark/>
          </w:tcPr>
          <w:p w14:paraId="3DF04170" w14:textId="77777777" w:rsidR="00E8455B" w:rsidRPr="00FC0457" w:rsidRDefault="00E8455B" w:rsidP="007F39BA">
            <w:pPr>
              <w:pStyle w:val="Tabletext"/>
              <w:rPr>
                <w:lang w:eastAsia="en-GB"/>
              </w:rPr>
            </w:pPr>
            <w:r w:rsidRPr="00FC0457">
              <w:rPr>
                <w:lang w:eastAsia="en-GB"/>
              </w:rPr>
              <w:t>Number of years since left full-time education</w:t>
            </w:r>
          </w:p>
        </w:tc>
        <w:tc>
          <w:tcPr>
            <w:tcW w:w="1260" w:type="dxa"/>
            <w:tcBorders>
              <w:top w:val="nil"/>
              <w:left w:val="nil"/>
              <w:bottom w:val="nil"/>
              <w:right w:val="nil"/>
            </w:tcBorders>
            <w:shd w:val="clear" w:color="auto" w:fill="auto"/>
            <w:hideMark/>
          </w:tcPr>
          <w:p w14:paraId="450B3915" w14:textId="77777777" w:rsidR="00E8455B" w:rsidRPr="00FC0457" w:rsidRDefault="00E8455B" w:rsidP="000A5C58">
            <w:pPr>
              <w:pStyle w:val="Tabletext"/>
              <w:jc w:val="right"/>
              <w:rPr>
                <w:lang w:eastAsia="en-GB"/>
              </w:rPr>
            </w:pPr>
            <w:r w:rsidRPr="00FC0457">
              <w:rPr>
                <w:lang w:eastAsia="en-GB"/>
              </w:rPr>
              <w:t>0.055***</w:t>
            </w:r>
          </w:p>
        </w:tc>
        <w:tc>
          <w:tcPr>
            <w:tcW w:w="1260" w:type="dxa"/>
            <w:tcBorders>
              <w:top w:val="nil"/>
              <w:left w:val="nil"/>
              <w:bottom w:val="nil"/>
              <w:right w:val="nil"/>
            </w:tcBorders>
            <w:shd w:val="clear" w:color="auto" w:fill="auto"/>
            <w:hideMark/>
          </w:tcPr>
          <w:p w14:paraId="5A99BAD6" w14:textId="77777777" w:rsidR="00E8455B" w:rsidRPr="00FC0457" w:rsidRDefault="00E8455B" w:rsidP="000A5C58">
            <w:pPr>
              <w:pStyle w:val="Tabletext"/>
              <w:jc w:val="right"/>
              <w:rPr>
                <w:lang w:eastAsia="en-GB"/>
              </w:rPr>
            </w:pPr>
            <w:r w:rsidRPr="00FC0457">
              <w:rPr>
                <w:lang w:eastAsia="en-GB"/>
              </w:rPr>
              <w:t>(0.004)</w:t>
            </w:r>
          </w:p>
        </w:tc>
        <w:tc>
          <w:tcPr>
            <w:tcW w:w="1260" w:type="dxa"/>
            <w:tcBorders>
              <w:top w:val="nil"/>
              <w:left w:val="nil"/>
              <w:bottom w:val="nil"/>
              <w:right w:val="nil"/>
            </w:tcBorders>
            <w:shd w:val="clear" w:color="auto" w:fill="auto"/>
            <w:hideMark/>
          </w:tcPr>
          <w:p w14:paraId="56A18646" w14:textId="77777777" w:rsidR="00E8455B" w:rsidRPr="00FC0457" w:rsidRDefault="00E8455B" w:rsidP="000A5C58">
            <w:pPr>
              <w:pStyle w:val="Tabletext"/>
              <w:jc w:val="right"/>
              <w:rPr>
                <w:lang w:eastAsia="en-GB"/>
              </w:rPr>
            </w:pPr>
            <w:r w:rsidRPr="00FC0457">
              <w:rPr>
                <w:lang w:eastAsia="en-GB"/>
              </w:rPr>
              <w:t>0.016***</w:t>
            </w:r>
          </w:p>
        </w:tc>
        <w:tc>
          <w:tcPr>
            <w:tcW w:w="1260" w:type="dxa"/>
            <w:tcBorders>
              <w:top w:val="nil"/>
              <w:left w:val="nil"/>
              <w:bottom w:val="nil"/>
              <w:right w:val="nil"/>
            </w:tcBorders>
            <w:shd w:val="clear" w:color="auto" w:fill="auto"/>
            <w:hideMark/>
          </w:tcPr>
          <w:p w14:paraId="0DA8FFCD" w14:textId="77777777" w:rsidR="00E8455B" w:rsidRPr="00FC0457" w:rsidRDefault="00E8455B" w:rsidP="000A5C58">
            <w:pPr>
              <w:pStyle w:val="Tabletext"/>
              <w:jc w:val="right"/>
              <w:rPr>
                <w:lang w:eastAsia="en-GB"/>
              </w:rPr>
            </w:pPr>
            <w:r w:rsidRPr="00FC0457">
              <w:rPr>
                <w:lang w:eastAsia="en-GB"/>
              </w:rPr>
              <w:t>(0.004)</w:t>
            </w:r>
          </w:p>
        </w:tc>
      </w:tr>
      <w:tr w:rsidR="00E8455B" w:rsidRPr="00FC0457" w14:paraId="758AD0B5" w14:textId="77777777" w:rsidTr="00C368DB">
        <w:trPr>
          <w:trHeight w:val="300"/>
        </w:trPr>
        <w:tc>
          <w:tcPr>
            <w:tcW w:w="6040" w:type="dxa"/>
            <w:gridSpan w:val="2"/>
            <w:tcBorders>
              <w:top w:val="nil"/>
              <w:left w:val="nil"/>
              <w:bottom w:val="nil"/>
              <w:right w:val="nil"/>
            </w:tcBorders>
            <w:shd w:val="clear" w:color="auto" w:fill="auto"/>
            <w:noWrap/>
            <w:vAlign w:val="bottom"/>
            <w:hideMark/>
          </w:tcPr>
          <w:p w14:paraId="2DD46F08" w14:textId="77777777" w:rsidR="00E8455B" w:rsidRPr="00FC0457" w:rsidRDefault="00E8455B" w:rsidP="000A5C58">
            <w:pPr>
              <w:pStyle w:val="Tabletext"/>
              <w:jc w:val="right"/>
              <w:rPr>
                <w:lang w:eastAsia="en-GB"/>
              </w:rPr>
            </w:pPr>
            <w:r w:rsidRPr="00FC0457">
              <w:rPr>
                <w:lang w:eastAsia="en-GB"/>
              </w:rPr>
              <w:t>Father's highest education level (ref: University degree)</w:t>
            </w:r>
          </w:p>
        </w:tc>
        <w:tc>
          <w:tcPr>
            <w:tcW w:w="1260" w:type="dxa"/>
            <w:tcBorders>
              <w:top w:val="nil"/>
              <w:left w:val="nil"/>
              <w:bottom w:val="nil"/>
              <w:right w:val="nil"/>
            </w:tcBorders>
            <w:shd w:val="clear" w:color="auto" w:fill="auto"/>
            <w:hideMark/>
          </w:tcPr>
          <w:p w14:paraId="49B45F25"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27B2F518"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17716DB7" w14:textId="77777777" w:rsidR="00E8455B" w:rsidRPr="00FC0457" w:rsidRDefault="00E8455B" w:rsidP="000A5C58">
            <w:pPr>
              <w:pStyle w:val="Tabletext"/>
              <w:jc w:val="right"/>
              <w:rPr>
                <w:lang w:eastAsia="en-GB"/>
              </w:rPr>
            </w:pPr>
          </w:p>
        </w:tc>
      </w:tr>
      <w:tr w:rsidR="00E8455B" w:rsidRPr="00FC0457" w14:paraId="1F41F081" w14:textId="77777777" w:rsidTr="00C368DB">
        <w:trPr>
          <w:trHeight w:val="300"/>
        </w:trPr>
        <w:tc>
          <w:tcPr>
            <w:tcW w:w="4780" w:type="dxa"/>
            <w:tcBorders>
              <w:top w:val="nil"/>
              <w:left w:val="nil"/>
              <w:bottom w:val="nil"/>
              <w:right w:val="nil"/>
            </w:tcBorders>
            <w:shd w:val="clear" w:color="auto" w:fill="auto"/>
            <w:noWrap/>
            <w:vAlign w:val="bottom"/>
            <w:hideMark/>
          </w:tcPr>
          <w:p w14:paraId="697597AD" w14:textId="77777777" w:rsidR="00E8455B" w:rsidRPr="00FC0457" w:rsidRDefault="00E8455B" w:rsidP="007F39BA">
            <w:pPr>
              <w:pStyle w:val="Tabletext"/>
              <w:rPr>
                <w:lang w:eastAsia="en-GB"/>
              </w:rPr>
            </w:pPr>
            <w:r w:rsidRPr="00FC0457">
              <w:rPr>
                <w:lang w:eastAsia="en-GB"/>
              </w:rPr>
              <w:t xml:space="preserve">    VET degree</w:t>
            </w:r>
          </w:p>
        </w:tc>
        <w:tc>
          <w:tcPr>
            <w:tcW w:w="1260" w:type="dxa"/>
            <w:tcBorders>
              <w:top w:val="nil"/>
              <w:left w:val="nil"/>
              <w:bottom w:val="nil"/>
              <w:right w:val="nil"/>
            </w:tcBorders>
            <w:shd w:val="clear" w:color="auto" w:fill="auto"/>
            <w:hideMark/>
          </w:tcPr>
          <w:p w14:paraId="5F48C5A7" w14:textId="77777777" w:rsidR="00E8455B" w:rsidRPr="00FC0457" w:rsidRDefault="00E8455B" w:rsidP="000A5C58">
            <w:pPr>
              <w:pStyle w:val="Tabletext"/>
              <w:jc w:val="right"/>
              <w:rPr>
                <w:lang w:eastAsia="en-GB"/>
              </w:rPr>
            </w:pPr>
            <w:r w:rsidRPr="00FC0457">
              <w:rPr>
                <w:lang w:eastAsia="en-GB"/>
              </w:rPr>
              <w:t>0.072**</w:t>
            </w:r>
          </w:p>
        </w:tc>
        <w:tc>
          <w:tcPr>
            <w:tcW w:w="1260" w:type="dxa"/>
            <w:tcBorders>
              <w:top w:val="nil"/>
              <w:left w:val="nil"/>
              <w:bottom w:val="nil"/>
              <w:right w:val="nil"/>
            </w:tcBorders>
            <w:shd w:val="clear" w:color="auto" w:fill="auto"/>
            <w:hideMark/>
          </w:tcPr>
          <w:p w14:paraId="05D37089" w14:textId="77777777" w:rsidR="00E8455B" w:rsidRPr="00FC0457" w:rsidRDefault="00E8455B" w:rsidP="000A5C58">
            <w:pPr>
              <w:pStyle w:val="Tabletext"/>
              <w:jc w:val="right"/>
              <w:rPr>
                <w:lang w:eastAsia="en-GB"/>
              </w:rPr>
            </w:pPr>
            <w:r w:rsidRPr="00FC0457">
              <w:rPr>
                <w:lang w:eastAsia="en-GB"/>
              </w:rPr>
              <w:t>(0.043)</w:t>
            </w:r>
          </w:p>
        </w:tc>
        <w:tc>
          <w:tcPr>
            <w:tcW w:w="1260" w:type="dxa"/>
            <w:tcBorders>
              <w:top w:val="nil"/>
              <w:left w:val="nil"/>
              <w:bottom w:val="nil"/>
              <w:right w:val="nil"/>
            </w:tcBorders>
            <w:shd w:val="clear" w:color="auto" w:fill="auto"/>
            <w:hideMark/>
          </w:tcPr>
          <w:p w14:paraId="1B90FB95" w14:textId="77777777" w:rsidR="00E8455B" w:rsidRPr="00FC0457" w:rsidRDefault="00E8455B" w:rsidP="000A5C58">
            <w:pPr>
              <w:pStyle w:val="Tabletext"/>
              <w:jc w:val="right"/>
              <w:rPr>
                <w:lang w:eastAsia="en-GB"/>
              </w:rPr>
            </w:pPr>
            <w:r w:rsidRPr="00FC0457">
              <w:rPr>
                <w:lang w:eastAsia="en-GB"/>
              </w:rPr>
              <w:t>-0.072</w:t>
            </w:r>
          </w:p>
        </w:tc>
        <w:tc>
          <w:tcPr>
            <w:tcW w:w="1260" w:type="dxa"/>
            <w:tcBorders>
              <w:top w:val="nil"/>
              <w:left w:val="nil"/>
              <w:bottom w:val="nil"/>
              <w:right w:val="nil"/>
            </w:tcBorders>
            <w:shd w:val="clear" w:color="auto" w:fill="auto"/>
            <w:hideMark/>
          </w:tcPr>
          <w:p w14:paraId="2410455E" w14:textId="77777777" w:rsidR="00E8455B" w:rsidRPr="00FC0457" w:rsidRDefault="00E8455B" w:rsidP="000A5C58">
            <w:pPr>
              <w:pStyle w:val="Tabletext"/>
              <w:jc w:val="right"/>
              <w:rPr>
                <w:lang w:eastAsia="en-GB"/>
              </w:rPr>
            </w:pPr>
            <w:r w:rsidRPr="00FC0457">
              <w:rPr>
                <w:lang w:eastAsia="en-GB"/>
              </w:rPr>
              <w:t>(0.047)</w:t>
            </w:r>
          </w:p>
        </w:tc>
      </w:tr>
      <w:tr w:rsidR="00E8455B" w:rsidRPr="00FC0457" w14:paraId="33AE8EF9" w14:textId="77777777" w:rsidTr="00C368DB">
        <w:trPr>
          <w:trHeight w:val="300"/>
        </w:trPr>
        <w:tc>
          <w:tcPr>
            <w:tcW w:w="4780" w:type="dxa"/>
            <w:tcBorders>
              <w:top w:val="nil"/>
              <w:left w:val="nil"/>
              <w:bottom w:val="nil"/>
              <w:right w:val="nil"/>
            </w:tcBorders>
            <w:shd w:val="clear" w:color="auto" w:fill="auto"/>
            <w:noWrap/>
            <w:vAlign w:val="bottom"/>
            <w:hideMark/>
          </w:tcPr>
          <w:p w14:paraId="3FB45809" w14:textId="77777777" w:rsidR="00E8455B" w:rsidRPr="00FC0457" w:rsidRDefault="00E8455B" w:rsidP="007F39BA">
            <w:pPr>
              <w:pStyle w:val="Tabletext"/>
              <w:rPr>
                <w:lang w:eastAsia="en-GB"/>
              </w:rPr>
            </w:pPr>
            <w:r w:rsidRPr="00FC0457">
              <w:rPr>
                <w:lang w:eastAsia="en-GB"/>
              </w:rPr>
              <w:t xml:space="preserve">    Year 12</w:t>
            </w:r>
          </w:p>
        </w:tc>
        <w:tc>
          <w:tcPr>
            <w:tcW w:w="1260" w:type="dxa"/>
            <w:tcBorders>
              <w:top w:val="nil"/>
              <w:left w:val="nil"/>
              <w:bottom w:val="nil"/>
              <w:right w:val="nil"/>
            </w:tcBorders>
            <w:shd w:val="clear" w:color="auto" w:fill="auto"/>
            <w:hideMark/>
          </w:tcPr>
          <w:p w14:paraId="04A21C94" w14:textId="77777777" w:rsidR="00E8455B" w:rsidRPr="00FC0457" w:rsidRDefault="00E8455B" w:rsidP="000A5C58">
            <w:pPr>
              <w:pStyle w:val="Tabletext"/>
              <w:jc w:val="right"/>
              <w:rPr>
                <w:lang w:eastAsia="en-GB"/>
              </w:rPr>
            </w:pPr>
            <w:r w:rsidRPr="00FC0457">
              <w:rPr>
                <w:lang w:eastAsia="en-GB"/>
              </w:rPr>
              <w:t>-0.013</w:t>
            </w:r>
          </w:p>
        </w:tc>
        <w:tc>
          <w:tcPr>
            <w:tcW w:w="1260" w:type="dxa"/>
            <w:tcBorders>
              <w:top w:val="nil"/>
              <w:left w:val="nil"/>
              <w:bottom w:val="nil"/>
              <w:right w:val="nil"/>
            </w:tcBorders>
            <w:shd w:val="clear" w:color="auto" w:fill="auto"/>
            <w:hideMark/>
          </w:tcPr>
          <w:p w14:paraId="5A2EFBEF" w14:textId="77777777" w:rsidR="00E8455B" w:rsidRPr="00FC0457" w:rsidRDefault="00E8455B" w:rsidP="000A5C58">
            <w:pPr>
              <w:pStyle w:val="Tabletext"/>
              <w:jc w:val="right"/>
              <w:rPr>
                <w:lang w:eastAsia="en-GB"/>
              </w:rPr>
            </w:pPr>
            <w:r w:rsidRPr="00FC0457">
              <w:rPr>
                <w:lang w:eastAsia="en-GB"/>
              </w:rPr>
              <w:t>(0.035)</w:t>
            </w:r>
          </w:p>
        </w:tc>
        <w:tc>
          <w:tcPr>
            <w:tcW w:w="1260" w:type="dxa"/>
            <w:tcBorders>
              <w:top w:val="nil"/>
              <w:left w:val="nil"/>
              <w:bottom w:val="nil"/>
              <w:right w:val="nil"/>
            </w:tcBorders>
            <w:shd w:val="clear" w:color="auto" w:fill="auto"/>
            <w:hideMark/>
          </w:tcPr>
          <w:p w14:paraId="5783D312" w14:textId="77777777" w:rsidR="00E8455B" w:rsidRPr="00FC0457" w:rsidRDefault="00E8455B" w:rsidP="000A5C58">
            <w:pPr>
              <w:pStyle w:val="Tabletext"/>
              <w:jc w:val="right"/>
              <w:rPr>
                <w:lang w:eastAsia="en-GB"/>
              </w:rPr>
            </w:pPr>
            <w:r w:rsidRPr="00FC0457">
              <w:rPr>
                <w:lang w:eastAsia="en-GB"/>
              </w:rPr>
              <w:t>-0.034</w:t>
            </w:r>
          </w:p>
        </w:tc>
        <w:tc>
          <w:tcPr>
            <w:tcW w:w="1260" w:type="dxa"/>
            <w:tcBorders>
              <w:top w:val="nil"/>
              <w:left w:val="nil"/>
              <w:bottom w:val="nil"/>
              <w:right w:val="nil"/>
            </w:tcBorders>
            <w:shd w:val="clear" w:color="auto" w:fill="auto"/>
            <w:hideMark/>
          </w:tcPr>
          <w:p w14:paraId="77452BCF" w14:textId="77777777" w:rsidR="00E8455B" w:rsidRPr="00FC0457" w:rsidRDefault="00E8455B" w:rsidP="000A5C58">
            <w:pPr>
              <w:pStyle w:val="Tabletext"/>
              <w:jc w:val="right"/>
              <w:rPr>
                <w:lang w:eastAsia="en-GB"/>
              </w:rPr>
            </w:pPr>
            <w:r w:rsidRPr="00FC0457">
              <w:rPr>
                <w:lang w:eastAsia="en-GB"/>
              </w:rPr>
              <w:t>(0.038)</w:t>
            </w:r>
          </w:p>
        </w:tc>
      </w:tr>
      <w:tr w:rsidR="00E8455B" w:rsidRPr="00FC0457" w14:paraId="622F5D09" w14:textId="77777777" w:rsidTr="00C368DB">
        <w:trPr>
          <w:trHeight w:val="300"/>
        </w:trPr>
        <w:tc>
          <w:tcPr>
            <w:tcW w:w="4780" w:type="dxa"/>
            <w:tcBorders>
              <w:top w:val="nil"/>
              <w:left w:val="nil"/>
              <w:bottom w:val="nil"/>
              <w:right w:val="nil"/>
            </w:tcBorders>
            <w:shd w:val="clear" w:color="auto" w:fill="auto"/>
            <w:noWrap/>
            <w:vAlign w:val="bottom"/>
            <w:hideMark/>
          </w:tcPr>
          <w:p w14:paraId="4AAFBA27" w14:textId="77777777" w:rsidR="00E8455B" w:rsidRPr="00FC0457" w:rsidRDefault="00E8455B" w:rsidP="007F39BA">
            <w:pPr>
              <w:pStyle w:val="Tabletext"/>
              <w:rPr>
                <w:lang w:eastAsia="en-GB"/>
              </w:rPr>
            </w:pPr>
            <w:r w:rsidRPr="00FC0457">
              <w:rPr>
                <w:lang w:eastAsia="en-GB"/>
              </w:rPr>
              <w:t xml:space="preserve">    Year 11 or lower</w:t>
            </w:r>
          </w:p>
        </w:tc>
        <w:tc>
          <w:tcPr>
            <w:tcW w:w="1260" w:type="dxa"/>
            <w:tcBorders>
              <w:top w:val="nil"/>
              <w:left w:val="nil"/>
              <w:bottom w:val="nil"/>
              <w:right w:val="nil"/>
            </w:tcBorders>
            <w:shd w:val="clear" w:color="auto" w:fill="auto"/>
            <w:hideMark/>
          </w:tcPr>
          <w:p w14:paraId="52853FE3" w14:textId="77777777" w:rsidR="00E8455B" w:rsidRPr="00FC0457" w:rsidRDefault="00E8455B" w:rsidP="000A5C58">
            <w:pPr>
              <w:pStyle w:val="Tabletext"/>
              <w:jc w:val="right"/>
              <w:rPr>
                <w:lang w:eastAsia="en-GB"/>
              </w:rPr>
            </w:pPr>
            <w:r w:rsidRPr="00FC0457">
              <w:rPr>
                <w:lang w:eastAsia="en-GB"/>
              </w:rPr>
              <w:t>0.040</w:t>
            </w:r>
          </w:p>
        </w:tc>
        <w:tc>
          <w:tcPr>
            <w:tcW w:w="1260" w:type="dxa"/>
            <w:tcBorders>
              <w:top w:val="nil"/>
              <w:left w:val="nil"/>
              <w:bottom w:val="nil"/>
              <w:right w:val="nil"/>
            </w:tcBorders>
            <w:shd w:val="clear" w:color="auto" w:fill="auto"/>
            <w:hideMark/>
          </w:tcPr>
          <w:p w14:paraId="5CF0B983" w14:textId="77777777" w:rsidR="00E8455B" w:rsidRPr="00FC0457" w:rsidRDefault="00E8455B" w:rsidP="000A5C58">
            <w:pPr>
              <w:pStyle w:val="Tabletext"/>
              <w:jc w:val="right"/>
              <w:rPr>
                <w:lang w:eastAsia="en-GB"/>
              </w:rPr>
            </w:pPr>
            <w:r w:rsidRPr="00FC0457">
              <w:rPr>
                <w:lang w:eastAsia="en-GB"/>
              </w:rPr>
              <w:t>(0.047)</w:t>
            </w:r>
          </w:p>
        </w:tc>
        <w:tc>
          <w:tcPr>
            <w:tcW w:w="1260" w:type="dxa"/>
            <w:tcBorders>
              <w:top w:val="nil"/>
              <w:left w:val="nil"/>
              <w:bottom w:val="nil"/>
              <w:right w:val="nil"/>
            </w:tcBorders>
            <w:shd w:val="clear" w:color="auto" w:fill="auto"/>
            <w:hideMark/>
          </w:tcPr>
          <w:p w14:paraId="1A09AC76" w14:textId="77777777" w:rsidR="00E8455B" w:rsidRPr="00FC0457" w:rsidRDefault="00E8455B" w:rsidP="000A5C58">
            <w:pPr>
              <w:pStyle w:val="Tabletext"/>
              <w:jc w:val="right"/>
              <w:rPr>
                <w:lang w:eastAsia="en-GB"/>
              </w:rPr>
            </w:pPr>
            <w:r w:rsidRPr="00FC0457">
              <w:rPr>
                <w:lang w:eastAsia="en-GB"/>
              </w:rPr>
              <w:t>-0.061</w:t>
            </w:r>
          </w:p>
        </w:tc>
        <w:tc>
          <w:tcPr>
            <w:tcW w:w="1260" w:type="dxa"/>
            <w:tcBorders>
              <w:top w:val="nil"/>
              <w:left w:val="nil"/>
              <w:bottom w:val="nil"/>
              <w:right w:val="nil"/>
            </w:tcBorders>
            <w:shd w:val="clear" w:color="auto" w:fill="auto"/>
            <w:hideMark/>
          </w:tcPr>
          <w:p w14:paraId="0029E47E" w14:textId="77777777" w:rsidR="00E8455B" w:rsidRPr="00FC0457" w:rsidRDefault="00E8455B" w:rsidP="000A5C58">
            <w:pPr>
              <w:pStyle w:val="Tabletext"/>
              <w:jc w:val="right"/>
              <w:rPr>
                <w:lang w:eastAsia="en-GB"/>
              </w:rPr>
            </w:pPr>
            <w:r w:rsidRPr="00FC0457">
              <w:rPr>
                <w:lang w:eastAsia="en-GB"/>
              </w:rPr>
              <w:t>(0.064)</w:t>
            </w:r>
          </w:p>
        </w:tc>
      </w:tr>
      <w:tr w:rsidR="00E8455B" w:rsidRPr="00FC0457" w14:paraId="7EECC6ED" w14:textId="77777777" w:rsidTr="00C368DB">
        <w:trPr>
          <w:trHeight w:val="300"/>
        </w:trPr>
        <w:tc>
          <w:tcPr>
            <w:tcW w:w="4780" w:type="dxa"/>
            <w:tcBorders>
              <w:top w:val="nil"/>
              <w:left w:val="nil"/>
              <w:bottom w:val="nil"/>
              <w:right w:val="nil"/>
            </w:tcBorders>
            <w:shd w:val="clear" w:color="auto" w:fill="auto"/>
            <w:noWrap/>
            <w:vAlign w:val="bottom"/>
            <w:hideMark/>
          </w:tcPr>
          <w:p w14:paraId="4E110301" w14:textId="77777777" w:rsidR="00E8455B" w:rsidRPr="00FC0457" w:rsidRDefault="00E8455B" w:rsidP="007F39BA">
            <w:pPr>
              <w:pStyle w:val="Tabletext"/>
              <w:rPr>
                <w:lang w:eastAsia="en-GB"/>
              </w:rPr>
            </w:pPr>
            <w:r w:rsidRPr="00FC0457">
              <w:rPr>
                <w:lang w:eastAsia="en-GB"/>
              </w:rPr>
              <w:t xml:space="preserve">    Missing</w:t>
            </w:r>
          </w:p>
        </w:tc>
        <w:tc>
          <w:tcPr>
            <w:tcW w:w="1260" w:type="dxa"/>
            <w:tcBorders>
              <w:top w:val="nil"/>
              <w:left w:val="nil"/>
              <w:bottom w:val="nil"/>
              <w:right w:val="nil"/>
            </w:tcBorders>
            <w:shd w:val="clear" w:color="auto" w:fill="auto"/>
            <w:hideMark/>
          </w:tcPr>
          <w:p w14:paraId="7DAD1254" w14:textId="77777777" w:rsidR="00E8455B" w:rsidRPr="00FC0457" w:rsidRDefault="00E8455B" w:rsidP="000A5C58">
            <w:pPr>
              <w:pStyle w:val="Tabletext"/>
              <w:jc w:val="right"/>
              <w:rPr>
                <w:lang w:eastAsia="en-GB"/>
              </w:rPr>
            </w:pPr>
            <w:r w:rsidRPr="00FC0457">
              <w:rPr>
                <w:lang w:eastAsia="en-GB"/>
              </w:rPr>
              <w:t>0.119**</w:t>
            </w:r>
          </w:p>
        </w:tc>
        <w:tc>
          <w:tcPr>
            <w:tcW w:w="1260" w:type="dxa"/>
            <w:tcBorders>
              <w:top w:val="nil"/>
              <w:left w:val="nil"/>
              <w:bottom w:val="nil"/>
              <w:right w:val="nil"/>
            </w:tcBorders>
            <w:shd w:val="clear" w:color="auto" w:fill="auto"/>
            <w:hideMark/>
          </w:tcPr>
          <w:p w14:paraId="73A51FF7" w14:textId="77777777" w:rsidR="00E8455B" w:rsidRPr="00FC0457" w:rsidRDefault="00E8455B" w:rsidP="000A5C58">
            <w:pPr>
              <w:pStyle w:val="Tabletext"/>
              <w:jc w:val="right"/>
              <w:rPr>
                <w:lang w:eastAsia="en-GB"/>
              </w:rPr>
            </w:pPr>
            <w:r w:rsidRPr="00FC0457">
              <w:rPr>
                <w:lang w:eastAsia="en-GB"/>
              </w:rPr>
              <w:t>(0.044)</w:t>
            </w:r>
          </w:p>
        </w:tc>
        <w:tc>
          <w:tcPr>
            <w:tcW w:w="1260" w:type="dxa"/>
            <w:tcBorders>
              <w:top w:val="nil"/>
              <w:left w:val="nil"/>
              <w:bottom w:val="nil"/>
              <w:right w:val="nil"/>
            </w:tcBorders>
            <w:shd w:val="clear" w:color="auto" w:fill="auto"/>
            <w:hideMark/>
          </w:tcPr>
          <w:p w14:paraId="20C845E3" w14:textId="77777777" w:rsidR="00E8455B" w:rsidRPr="00FC0457" w:rsidRDefault="00E8455B" w:rsidP="000A5C58">
            <w:pPr>
              <w:pStyle w:val="Tabletext"/>
              <w:jc w:val="right"/>
              <w:rPr>
                <w:lang w:eastAsia="en-GB"/>
              </w:rPr>
            </w:pPr>
            <w:r w:rsidRPr="00FC0457">
              <w:rPr>
                <w:lang w:eastAsia="en-GB"/>
              </w:rPr>
              <w:t>-0.063</w:t>
            </w:r>
          </w:p>
        </w:tc>
        <w:tc>
          <w:tcPr>
            <w:tcW w:w="1260" w:type="dxa"/>
            <w:tcBorders>
              <w:top w:val="nil"/>
              <w:left w:val="nil"/>
              <w:bottom w:val="nil"/>
              <w:right w:val="nil"/>
            </w:tcBorders>
            <w:shd w:val="clear" w:color="auto" w:fill="auto"/>
            <w:hideMark/>
          </w:tcPr>
          <w:p w14:paraId="3E2DD262" w14:textId="77777777" w:rsidR="00E8455B" w:rsidRPr="00FC0457" w:rsidRDefault="00E8455B" w:rsidP="000A5C58">
            <w:pPr>
              <w:pStyle w:val="Tabletext"/>
              <w:jc w:val="right"/>
              <w:rPr>
                <w:lang w:eastAsia="en-GB"/>
              </w:rPr>
            </w:pPr>
            <w:r w:rsidRPr="00FC0457">
              <w:rPr>
                <w:lang w:eastAsia="en-GB"/>
              </w:rPr>
              <w:t>(0.055)</w:t>
            </w:r>
          </w:p>
        </w:tc>
      </w:tr>
      <w:tr w:rsidR="00E8455B" w:rsidRPr="00FC0457" w14:paraId="1E8BFBDC" w14:textId="77777777" w:rsidTr="00C368DB">
        <w:trPr>
          <w:trHeight w:val="300"/>
        </w:trPr>
        <w:tc>
          <w:tcPr>
            <w:tcW w:w="4780" w:type="dxa"/>
            <w:tcBorders>
              <w:top w:val="nil"/>
              <w:left w:val="nil"/>
              <w:bottom w:val="nil"/>
              <w:right w:val="nil"/>
            </w:tcBorders>
            <w:shd w:val="clear" w:color="auto" w:fill="auto"/>
            <w:noWrap/>
            <w:vAlign w:val="bottom"/>
            <w:hideMark/>
          </w:tcPr>
          <w:p w14:paraId="5C985D52" w14:textId="77777777" w:rsidR="00E8455B" w:rsidRPr="00FC0457" w:rsidRDefault="00E8455B" w:rsidP="007F39BA">
            <w:pPr>
              <w:pStyle w:val="Tabletext"/>
              <w:rPr>
                <w:lang w:eastAsia="en-GB"/>
              </w:rPr>
            </w:pPr>
            <w:r w:rsidRPr="00FC0457">
              <w:rPr>
                <w:lang w:eastAsia="en-GB"/>
              </w:rPr>
              <w:t>Father in paid employment when 14</w:t>
            </w:r>
          </w:p>
        </w:tc>
        <w:tc>
          <w:tcPr>
            <w:tcW w:w="1260" w:type="dxa"/>
            <w:tcBorders>
              <w:top w:val="nil"/>
              <w:left w:val="nil"/>
              <w:bottom w:val="nil"/>
              <w:right w:val="nil"/>
            </w:tcBorders>
            <w:shd w:val="clear" w:color="auto" w:fill="auto"/>
            <w:hideMark/>
          </w:tcPr>
          <w:p w14:paraId="5C40E9EE" w14:textId="77777777" w:rsidR="00E8455B" w:rsidRPr="00FC0457" w:rsidRDefault="00E8455B" w:rsidP="000A5C58">
            <w:pPr>
              <w:pStyle w:val="Tabletext"/>
              <w:jc w:val="right"/>
              <w:rPr>
                <w:lang w:eastAsia="en-GB"/>
              </w:rPr>
            </w:pPr>
            <w:r w:rsidRPr="00FC0457">
              <w:rPr>
                <w:lang w:eastAsia="en-GB"/>
              </w:rPr>
              <w:t>-0.034</w:t>
            </w:r>
          </w:p>
        </w:tc>
        <w:tc>
          <w:tcPr>
            <w:tcW w:w="1260" w:type="dxa"/>
            <w:tcBorders>
              <w:top w:val="nil"/>
              <w:left w:val="nil"/>
              <w:bottom w:val="nil"/>
              <w:right w:val="nil"/>
            </w:tcBorders>
            <w:shd w:val="clear" w:color="auto" w:fill="auto"/>
            <w:hideMark/>
          </w:tcPr>
          <w:p w14:paraId="415B32D1" w14:textId="77777777" w:rsidR="00E8455B" w:rsidRPr="00FC0457" w:rsidRDefault="00E8455B" w:rsidP="000A5C58">
            <w:pPr>
              <w:pStyle w:val="Tabletext"/>
              <w:jc w:val="right"/>
              <w:rPr>
                <w:lang w:eastAsia="en-GB"/>
              </w:rPr>
            </w:pPr>
            <w:r w:rsidRPr="00FC0457">
              <w:rPr>
                <w:lang w:eastAsia="en-GB"/>
              </w:rPr>
              <w:t>(0.044)</w:t>
            </w:r>
          </w:p>
        </w:tc>
        <w:tc>
          <w:tcPr>
            <w:tcW w:w="1260" w:type="dxa"/>
            <w:tcBorders>
              <w:top w:val="nil"/>
              <w:left w:val="nil"/>
              <w:bottom w:val="nil"/>
              <w:right w:val="nil"/>
            </w:tcBorders>
            <w:shd w:val="clear" w:color="auto" w:fill="auto"/>
            <w:hideMark/>
          </w:tcPr>
          <w:p w14:paraId="62B95038" w14:textId="77777777" w:rsidR="00E8455B" w:rsidRPr="00FC0457" w:rsidRDefault="00E8455B" w:rsidP="000A5C58">
            <w:pPr>
              <w:pStyle w:val="Tabletext"/>
              <w:jc w:val="right"/>
              <w:rPr>
                <w:lang w:eastAsia="en-GB"/>
              </w:rPr>
            </w:pPr>
            <w:r w:rsidRPr="00FC0457">
              <w:rPr>
                <w:lang w:eastAsia="en-GB"/>
              </w:rPr>
              <w:t>-0.063</w:t>
            </w:r>
          </w:p>
        </w:tc>
        <w:tc>
          <w:tcPr>
            <w:tcW w:w="1260" w:type="dxa"/>
            <w:tcBorders>
              <w:top w:val="nil"/>
              <w:left w:val="nil"/>
              <w:bottom w:val="nil"/>
              <w:right w:val="nil"/>
            </w:tcBorders>
            <w:shd w:val="clear" w:color="auto" w:fill="auto"/>
            <w:hideMark/>
          </w:tcPr>
          <w:p w14:paraId="7A475B71" w14:textId="77777777" w:rsidR="00E8455B" w:rsidRPr="00FC0457" w:rsidRDefault="00E8455B" w:rsidP="000A5C58">
            <w:pPr>
              <w:pStyle w:val="Tabletext"/>
              <w:jc w:val="right"/>
              <w:rPr>
                <w:lang w:eastAsia="en-GB"/>
              </w:rPr>
            </w:pPr>
            <w:r w:rsidRPr="00FC0457">
              <w:rPr>
                <w:lang w:eastAsia="en-GB"/>
              </w:rPr>
              <w:t>(0.055)</w:t>
            </w:r>
          </w:p>
        </w:tc>
      </w:tr>
      <w:tr w:rsidR="00E8455B" w:rsidRPr="00FC0457" w14:paraId="36454AB4" w14:textId="77777777" w:rsidTr="00C368DB">
        <w:trPr>
          <w:trHeight w:val="300"/>
        </w:trPr>
        <w:tc>
          <w:tcPr>
            <w:tcW w:w="4780" w:type="dxa"/>
            <w:tcBorders>
              <w:top w:val="nil"/>
              <w:left w:val="nil"/>
              <w:bottom w:val="nil"/>
              <w:right w:val="nil"/>
            </w:tcBorders>
            <w:shd w:val="clear" w:color="auto" w:fill="auto"/>
            <w:noWrap/>
            <w:vAlign w:val="bottom"/>
            <w:hideMark/>
          </w:tcPr>
          <w:p w14:paraId="7B49D97F" w14:textId="77777777" w:rsidR="00E8455B" w:rsidRPr="00FC0457" w:rsidRDefault="00E8455B" w:rsidP="007F39BA">
            <w:pPr>
              <w:pStyle w:val="Tabletext"/>
              <w:rPr>
                <w:lang w:eastAsia="en-GB"/>
              </w:rPr>
            </w:pPr>
            <w:r w:rsidRPr="00FC0457">
              <w:rPr>
                <w:lang w:eastAsia="en-GB"/>
              </w:rPr>
              <w:t xml:space="preserve">Father </w:t>
            </w:r>
            <w:proofErr w:type="spellStart"/>
            <w:r w:rsidRPr="00FC0457">
              <w:rPr>
                <w:lang w:eastAsia="en-GB"/>
              </w:rPr>
              <w:t>unemployd</w:t>
            </w:r>
            <w:proofErr w:type="spellEnd"/>
            <w:r w:rsidRPr="00FC0457">
              <w:rPr>
                <w:lang w:eastAsia="en-GB"/>
              </w:rPr>
              <w:t xml:space="preserve"> for more than 6 months</w:t>
            </w:r>
          </w:p>
        </w:tc>
        <w:tc>
          <w:tcPr>
            <w:tcW w:w="1260" w:type="dxa"/>
            <w:tcBorders>
              <w:top w:val="nil"/>
              <w:left w:val="nil"/>
              <w:bottom w:val="nil"/>
              <w:right w:val="nil"/>
            </w:tcBorders>
            <w:shd w:val="clear" w:color="auto" w:fill="auto"/>
            <w:hideMark/>
          </w:tcPr>
          <w:p w14:paraId="5B29CE47" w14:textId="77777777" w:rsidR="00E8455B" w:rsidRPr="00FC0457" w:rsidRDefault="00E8455B" w:rsidP="000A5C58">
            <w:pPr>
              <w:pStyle w:val="Tabletext"/>
              <w:jc w:val="right"/>
              <w:rPr>
                <w:lang w:eastAsia="en-GB"/>
              </w:rPr>
            </w:pPr>
            <w:r w:rsidRPr="00FC0457">
              <w:rPr>
                <w:lang w:eastAsia="en-GB"/>
              </w:rPr>
              <w:t>-0.053*</w:t>
            </w:r>
          </w:p>
        </w:tc>
        <w:tc>
          <w:tcPr>
            <w:tcW w:w="1260" w:type="dxa"/>
            <w:tcBorders>
              <w:top w:val="nil"/>
              <w:left w:val="nil"/>
              <w:bottom w:val="nil"/>
              <w:right w:val="nil"/>
            </w:tcBorders>
            <w:shd w:val="clear" w:color="auto" w:fill="auto"/>
            <w:hideMark/>
          </w:tcPr>
          <w:p w14:paraId="6DDB5E6B" w14:textId="77777777" w:rsidR="00E8455B" w:rsidRPr="00FC0457" w:rsidRDefault="00E8455B" w:rsidP="000A5C58">
            <w:pPr>
              <w:pStyle w:val="Tabletext"/>
              <w:jc w:val="right"/>
              <w:rPr>
                <w:lang w:eastAsia="en-GB"/>
              </w:rPr>
            </w:pPr>
            <w:r w:rsidRPr="00FC0457">
              <w:rPr>
                <w:lang w:eastAsia="en-GB"/>
              </w:rPr>
              <w:t>(0.029)</w:t>
            </w:r>
          </w:p>
        </w:tc>
        <w:tc>
          <w:tcPr>
            <w:tcW w:w="1260" w:type="dxa"/>
            <w:tcBorders>
              <w:top w:val="nil"/>
              <w:left w:val="nil"/>
              <w:bottom w:val="nil"/>
              <w:right w:val="nil"/>
            </w:tcBorders>
            <w:shd w:val="clear" w:color="auto" w:fill="auto"/>
            <w:hideMark/>
          </w:tcPr>
          <w:p w14:paraId="13C22CE7" w14:textId="77777777" w:rsidR="00E8455B" w:rsidRPr="00FC0457" w:rsidRDefault="00E8455B" w:rsidP="000A5C58">
            <w:pPr>
              <w:pStyle w:val="Tabletext"/>
              <w:jc w:val="right"/>
              <w:rPr>
                <w:lang w:eastAsia="en-GB"/>
              </w:rPr>
            </w:pPr>
            <w:r w:rsidRPr="00FC0457">
              <w:rPr>
                <w:lang w:eastAsia="en-GB"/>
              </w:rPr>
              <w:t>-0.029</w:t>
            </w:r>
          </w:p>
        </w:tc>
        <w:tc>
          <w:tcPr>
            <w:tcW w:w="1260" w:type="dxa"/>
            <w:tcBorders>
              <w:top w:val="nil"/>
              <w:left w:val="nil"/>
              <w:bottom w:val="nil"/>
              <w:right w:val="nil"/>
            </w:tcBorders>
            <w:shd w:val="clear" w:color="auto" w:fill="auto"/>
            <w:hideMark/>
          </w:tcPr>
          <w:p w14:paraId="1B41617A" w14:textId="77777777" w:rsidR="00E8455B" w:rsidRPr="00FC0457" w:rsidRDefault="00E8455B" w:rsidP="000A5C58">
            <w:pPr>
              <w:pStyle w:val="Tabletext"/>
              <w:jc w:val="right"/>
              <w:rPr>
                <w:lang w:eastAsia="en-GB"/>
              </w:rPr>
            </w:pPr>
            <w:r w:rsidRPr="00FC0457">
              <w:rPr>
                <w:lang w:eastAsia="en-GB"/>
              </w:rPr>
              <w:t>(0.035)</w:t>
            </w:r>
          </w:p>
        </w:tc>
      </w:tr>
      <w:tr w:rsidR="00E8455B" w:rsidRPr="00FC0457" w14:paraId="311C78D3" w14:textId="77777777" w:rsidTr="00C368DB">
        <w:trPr>
          <w:trHeight w:val="300"/>
        </w:trPr>
        <w:tc>
          <w:tcPr>
            <w:tcW w:w="4780" w:type="dxa"/>
            <w:tcBorders>
              <w:top w:val="nil"/>
              <w:left w:val="nil"/>
              <w:bottom w:val="nil"/>
              <w:right w:val="nil"/>
            </w:tcBorders>
            <w:shd w:val="clear" w:color="auto" w:fill="auto"/>
            <w:noWrap/>
            <w:vAlign w:val="bottom"/>
            <w:hideMark/>
          </w:tcPr>
          <w:p w14:paraId="1B4FBCE0" w14:textId="77777777" w:rsidR="00E8455B" w:rsidRPr="00FC0457" w:rsidRDefault="00E8455B" w:rsidP="007F39BA">
            <w:pPr>
              <w:pStyle w:val="Tabletext"/>
              <w:rPr>
                <w:lang w:eastAsia="en-GB"/>
              </w:rPr>
            </w:pPr>
            <w:r w:rsidRPr="00FC0457">
              <w:rPr>
                <w:lang w:eastAsia="en-GB"/>
              </w:rPr>
              <w:t>Father occupational status</w:t>
            </w:r>
          </w:p>
        </w:tc>
        <w:tc>
          <w:tcPr>
            <w:tcW w:w="1260" w:type="dxa"/>
            <w:tcBorders>
              <w:top w:val="nil"/>
              <w:left w:val="nil"/>
              <w:bottom w:val="nil"/>
              <w:right w:val="nil"/>
            </w:tcBorders>
            <w:shd w:val="clear" w:color="auto" w:fill="auto"/>
            <w:noWrap/>
            <w:vAlign w:val="bottom"/>
            <w:hideMark/>
          </w:tcPr>
          <w:p w14:paraId="5D0D9CEA"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6E49980B"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185AD270"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6F47D0A7" w14:textId="77777777" w:rsidR="00E8455B" w:rsidRPr="00FC0457" w:rsidRDefault="00E8455B" w:rsidP="000A5C58">
            <w:pPr>
              <w:pStyle w:val="Tabletext"/>
              <w:jc w:val="right"/>
              <w:rPr>
                <w:lang w:eastAsia="en-GB"/>
              </w:rPr>
            </w:pPr>
          </w:p>
        </w:tc>
      </w:tr>
      <w:tr w:rsidR="00E8455B" w:rsidRPr="00FC0457" w14:paraId="0D597BE7" w14:textId="77777777" w:rsidTr="00C368DB">
        <w:trPr>
          <w:trHeight w:val="300"/>
        </w:trPr>
        <w:tc>
          <w:tcPr>
            <w:tcW w:w="4780" w:type="dxa"/>
            <w:tcBorders>
              <w:top w:val="nil"/>
              <w:left w:val="nil"/>
              <w:bottom w:val="nil"/>
              <w:right w:val="nil"/>
            </w:tcBorders>
            <w:shd w:val="clear" w:color="auto" w:fill="auto"/>
            <w:noWrap/>
            <w:vAlign w:val="bottom"/>
            <w:hideMark/>
          </w:tcPr>
          <w:p w14:paraId="2C540EB2" w14:textId="77777777" w:rsidR="00E8455B" w:rsidRPr="00FC0457" w:rsidRDefault="00E8455B" w:rsidP="007F39BA">
            <w:pPr>
              <w:pStyle w:val="Tabletext"/>
              <w:rPr>
                <w:i/>
                <w:iCs/>
                <w:lang w:eastAsia="en-GB"/>
              </w:rPr>
            </w:pPr>
            <w:r w:rsidRPr="00FC0457">
              <w:rPr>
                <w:i/>
                <w:iCs/>
                <w:lang w:eastAsia="en-GB"/>
              </w:rPr>
              <w:t xml:space="preserve">    AUSEI06 occupational status</w:t>
            </w:r>
          </w:p>
        </w:tc>
        <w:tc>
          <w:tcPr>
            <w:tcW w:w="1260" w:type="dxa"/>
            <w:tcBorders>
              <w:top w:val="nil"/>
              <w:left w:val="nil"/>
              <w:bottom w:val="nil"/>
              <w:right w:val="nil"/>
            </w:tcBorders>
            <w:shd w:val="clear" w:color="auto" w:fill="auto"/>
            <w:hideMark/>
          </w:tcPr>
          <w:p w14:paraId="2FC4868D" w14:textId="77777777" w:rsidR="00E8455B" w:rsidRPr="00FC0457" w:rsidRDefault="00E8455B" w:rsidP="000A5C58">
            <w:pPr>
              <w:pStyle w:val="Tabletext"/>
              <w:jc w:val="right"/>
              <w:rPr>
                <w:lang w:eastAsia="en-GB"/>
              </w:rPr>
            </w:pPr>
            <w:r w:rsidRPr="00FC0457">
              <w:rPr>
                <w:lang w:eastAsia="en-GB"/>
              </w:rPr>
              <w:t>-0.002***</w:t>
            </w:r>
          </w:p>
        </w:tc>
        <w:tc>
          <w:tcPr>
            <w:tcW w:w="1260" w:type="dxa"/>
            <w:tcBorders>
              <w:top w:val="nil"/>
              <w:left w:val="nil"/>
              <w:bottom w:val="nil"/>
              <w:right w:val="nil"/>
            </w:tcBorders>
            <w:shd w:val="clear" w:color="auto" w:fill="auto"/>
            <w:hideMark/>
          </w:tcPr>
          <w:p w14:paraId="216A986E" w14:textId="77777777" w:rsidR="00E8455B" w:rsidRPr="00FC0457" w:rsidRDefault="00E8455B" w:rsidP="000A5C58">
            <w:pPr>
              <w:pStyle w:val="Tabletext"/>
              <w:jc w:val="right"/>
              <w:rPr>
                <w:lang w:eastAsia="en-GB"/>
              </w:rPr>
            </w:pPr>
            <w:r w:rsidRPr="00FC0457">
              <w:rPr>
                <w:lang w:eastAsia="en-GB"/>
              </w:rPr>
              <w:t>(0.001)</w:t>
            </w:r>
          </w:p>
        </w:tc>
        <w:tc>
          <w:tcPr>
            <w:tcW w:w="1260" w:type="dxa"/>
            <w:tcBorders>
              <w:top w:val="nil"/>
              <w:left w:val="nil"/>
              <w:bottom w:val="nil"/>
              <w:right w:val="nil"/>
            </w:tcBorders>
            <w:shd w:val="clear" w:color="auto" w:fill="auto"/>
            <w:hideMark/>
          </w:tcPr>
          <w:p w14:paraId="11667933" w14:textId="77777777" w:rsidR="00E8455B" w:rsidRPr="00FC0457" w:rsidRDefault="00E8455B" w:rsidP="000A5C58">
            <w:pPr>
              <w:pStyle w:val="Tabletext"/>
              <w:jc w:val="right"/>
              <w:rPr>
                <w:lang w:eastAsia="en-GB"/>
              </w:rPr>
            </w:pPr>
            <w:r w:rsidRPr="00FC0457">
              <w:rPr>
                <w:lang w:eastAsia="en-GB"/>
              </w:rPr>
              <w:t>0.000</w:t>
            </w:r>
          </w:p>
        </w:tc>
        <w:tc>
          <w:tcPr>
            <w:tcW w:w="1260" w:type="dxa"/>
            <w:tcBorders>
              <w:top w:val="nil"/>
              <w:left w:val="nil"/>
              <w:bottom w:val="nil"/>
              <w:right w:val="nil"/>
            </w:tcBorders>
            <w:shd w:val="clear" w:color="auto" w:fill="auto"/>
            <w:hideMark/>
          </w:tcPr>
          <w:p w14:paraId="234446B6" w14:textId="77777777" w:rsidR="00E8455B" w:rsidRPr="00FC0457" w:rsidRDefault="00E8455B" w:rsidP="000A5C58">
            <w:pPr>
              <w:pStyle w:val="Tabletext"/>
              <w:jc w:val="right"/>
              <w:rPr>
                <w:lang w:eastAsia="en-GB"/>
              </w:rPr>
            </w:pPr>
            <w:r w:rsidRPr="00FC0457">
              <w:rPr>
                <w:lang w:eastAsia="en-GB"/>
              </w:rPr>
              <w:t>(0.001)</w:t>
            </w:r>
          </w:p>
        </w:tc>
      </w:tr>
      <w:tr w:rsidR="00E8455B" w:rsidRPr="00FC0457" w14:paraId="5AAECFB1" w14:textId="77777777" w:rsidTr="00C368DB">
        <w:trPr>
          <w:trHeight w:val="300"/>
        </w:trPr>
        <w:tc>
          <w:tcPr>
            <w:tcW w:w="4780" w:type="dxa"/>
            <w:tcBorders>
              <w:top w:val="nil"/>
              <w:left w:val="nil"/>
              <w:bottom w:val="nil"/>
              <w:right w:val="nil"/>
            </w:tcBorders>
            <w:shd w:val="clear" w:color="auto" w:fill="auto"/>
            <w:noWrap/>
            <w:vAlign w:val="bottom"/>
            <w:hideMark/>
          </w:tcPr>
          <w:p w14:paraId="3CF300D8" w14:textId="77777777" w:rsidR="00E8455B" w:rsidRPr="00FC0457" w:rsidRDefault="00E8455B" w:rsidP="007F39BA">
            <w:pPr>
              <w:pStyle w:val="Tabletext"/>
              <w:rPr>
                <w:i/>
                <w:iCs/>
                <w:lang w:eastAsia="en-GB"/>
              </w:rPr>
            </w:pPr>
            <w:r w:rsidRPr="00FC0457">
              <w:rPr>
                <w:i/>
                <w:iCs/>
                <w:lang w:eastAsia="en-GB"/>
              </w:rPr>
              <w:t xml:space="preserve">    Missing</w:t>
            </w:r>
          </w:p>
        </w:tc>
        <w:tc>
          <w:tcPr>
            <w:tcW w:w="1260" w:type="dxa"/>
            <w:tcBorders>
              <w:top w:val="nil"/>
              <w:left w:val="nil"/>
              <w:bottom w:val="nil"/>
              <w:right w:val="nil"/>
            </w:tcBorders>
            <w:shd w:val="clear" w:color="auto" w:fill="auto"/>
            <w:hideMark/>
          </w:tcPr>
          <w:p w14:paraId="51743396" w14:textId="77777777" w:rsidR="00E8455B" w:rsidRPr="00FC0457" w:rsidRDefault="00E8455B" w:rsidP="000A5C58">
            <w:pPr>
              <w:pStyle w:val="Tabletext"/>
              <w:jc w:val="right"/>
              <w:rPr>
                <w:lang w:eastAsia="en-GB"/>
              </w:rPr>
            </w:pPr>
            <w:r w:rsidRPr="00FC0457">
              <w:rPr>
                <w:lang w:eastAsia="en-GB"/>
              </w:rPr>
              <w:t>-0.167***</w:t>
            </w:r>
          </w:p>
        </w:tc>
        <w:tc>
          <w:tcPr>
            <w:tcW w:w="1260" w:type="dxa"/>
            <w:tcBorders>
              <w:top w:val="nil"/>
              <w:left w:val="nil"/>
              <w:bottom w:val="nil"/>
              <w:right w:val="nil"/>
            </w:tcBorders>
            <w:shd w:val="clear" w:color="auto" w:fill="auto"/>
            <w:hideMark/>
          </w:tcPr>
          <w:p w14:paraId="71EBE884" w14:textId="77777777" w:rsidR="00E8455B" w:rsidRPr="00FC0457" w:rsidRDefault="00E8455B" w:rsidP="000A5C58">
            <w:pPr>
              <w:pStyle w:val="Tabletext"/>
              <w:jc w:val="right"/>
              <w:rPr>
                <w:lang w:eastAsia="en-GB"/>
              </w:rPr>
            </w:pPr>
            <w:r w:rsidRPr="00FC0457">
              <w:rPr>
                <w:lang w:eastAsia="en-GB"/>
              </w:rPr>
              <w:t>(0.061)</w:t>
            </w:r>
          </w:p>
        </w:tc>
        <w:tc>
          <w:tcPr>
            <w:tcW w:w="1260" w:type="dxa"/>
            <w:tcBorders>
              <w:top w:val="nil"/>
              <w:left w:val="nil"/>
              <w:bottom w:val="nil"/>
              <w:right w:val="nil"/>
            </w:tcBorders>
            <w:shd w:val="clear" w:color="auto" w:fill="auto"/>
            <w:hideMark/>
          </w:tcPr>
          <w:p w14:paraId="024406CB" w14:textId="77777777" w:rsidR="00E8455B" w:rsidRPr="00FC0457" w:rsidRDefault="00E8455B" w:rsidP="000A5C58">
            <w:pPr>
              <w:pStyle w:val="Tabletext"/>
              <w:jc w:val="right"/>
              <w:rPr>
                <w:lang w:eastAsia="en-GB"/>
              </w:rPr>
            </w:pPr>
            <w:r w:rsidRPr="00FC0457">
              <w:rPr>
                <w:lang w:eastAsia="en-GB"/>
              </w:rPr>
              <w:t>-0.048</w:t>
            </w:r>
          </w:p>
        </w:tc>
        <w:tc>
          <w:tcPr>
            <w:tcW w:w="1260" w:type="dxa"/>
            <w:tcBorders>
              <w:top w:val="nil"/>
              <w:left w:val="nil"/>
              <w:bottom w:val="nil"/>
              <w:right w:val="nil"/>
            </w:tcBorders>
            <w:shd w:val="clear" w:color="auto" w:fill="auto"/>
            <w:hideMark/>
          </w:tcPr>
          <w:p w14:paraId="06C55086" w14:textId="77777777" w:rsidR="00E8455B" w:rsidRPr="00FC0457" w:rsidRDefault="00E8455B" w:rsidP="000A5C58">
            <w:pPr>
              <w:pStyle w:val="Tabletext"/>
              <w:jc w:val="right"/>
              <w:rPr>
                <w:lang w:eastAsia="en-GB"/>
              </w:rPr>
            </w:pPr>
            <w:r w:rsidRPr="00FC0457">
              <w:rPr>
                <w:lang w:eastAsia="en-GB"/>
              </w:rPr>
              <w:t>(0.075)</w:t>
            </w:r>
          </w:p>
        </w:tc>
      </w:tr>
      <w:tr w:rsidR="00E8455B" w:rsidRPr="00FC0457" w14:paraId="651BF7DC" w14:textId="77777777" w:rsidTr="00C368DB">
        <w:trPr>
          <w:trHeight w:val="300"/>
        </w:trPr>
        <w:tc>
          <w:tcPr>
            <w:tcW w:w="6040" w:type="dxa"/>
            <w:gridSpan w:val="2"/>
            <w:tcBorders>
              <w:top w:val="nil"/>
              <w:left w:val="nil"/>
              <w:bottom w:val="nil"/>
              <w:right w:val="nil"/>
            </w:tcBorders>
            <w:shd w:val="clear" w:color="auto" w:fill="auto"/>
            <w:noWrap/>
            <w:vAlign w:val="bottom"/>
            <w:hideMark/>
          </w:tcPr>
          <w:p w14:paraId="7F628DCF" w14:textId="77777777" w:rsidR="00E8455B" w:rsidRPr="00FC0457" w:rsidRDefault="00E8455B" w:rsidP="000A5C58">
            <w:pPr>
              <w:pStyle w:val="Tabletext"/>
              <w:jc w:val="right"/>
              <w:rPr>
                <w:lang w:eastAsia="en-GB"/>
              </w:rPr>
            </w:pPr>
            <w:r w:rsidRPr="00FC0457">
              <w:rPr>
                <w:lang w:eastAsia="en-GB"/>
              </w:rPr>
              <w:t>Mother's highest education level (ref: University degree)</w:t>
            </w:r>
          </w:p>
        </w:tc>
        <w:tc>
          <w:tcPr>
            <w:tcW w:w="1260" w:type="dxa"/>
            <w:tcBorders>
              <w:top w:val="nil"/>
              <w:left w:val="nil"/>
              <w:bottom w:val="nil"/>
              <w:right w:val="nil"/>
            </w:tcBorders>
            <w:shd w:val="clear" w:color="auto" w:fill="auto"/>
            <w:hideMark/>
          </w:tcPr>
          <w:p w14:paraId="02E72AED"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796668C9"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68CEEB0B" w14:textId="77777777" w:rsidR="00E8455B" w:rsidRPr="00FC0457" w:rsidRDefault="00E8455B" w:rsidP="000A5C58">
            <w:pPr>
              <w:pStyle w:val="Tabletext"/>
              <w:jc w:val="right"/>
              <w:rPr>
                <w:lang w:eastAsia="en-GB"/>
              </w:rPr>
            </w:pPr>
          </w:p>
        </w:tc>
      </w:tr>
      <w:tr w:rsidR="00E8455B" w:rsidRPr="00FC0457" w14:paraId="1626AEF0" w14:textId="77777777" w:rsidTr="00C368DB">
        <w:trPr>
          <w:trHeight w:val="300"/>
        </w:trPr>
        <w:tc>
          <w:tcPr>
            <w:tcW w:w="4780" w:type="dxa"/>
            <w:tcBorders>
              <w:top w:val="nil"/>
              <w:left w:val="nil"/>
              <w:bottom w:val="nil"/>
              <w:right w:val="nil"/>
            </w:tcBorders>
            <w:shd w:val="clear" w:color="auto" w:fill="auto"/>
            <w:noWrap/>
            <w:vAlign w:val="bottom"/>
            <w:hideMark/>
          </w:tcPr>
          <w:p w14:paraId="7D009E37" w14:textId="77777777" w:rsidR="00E8455B" w:rsidRPr="00FC0457" w:rsidRDefault="00E8455B" w:rsidP="007F39BA">
            <w:pPr>
              <w:pStyle w:val="Tabletext"/>
              <w:rPr>
                <w:lang w:eastAsia="en-GB"/>
              </w:rPr>
            </w:pPr>
            <w:r w:rsidRPr="00FC0457">
              <w:rPr>
                <w:lang w:eastAsia="en-GB"/>
              </w:rPr>
              <w:t xml:space="preserve">    VET degree</w:t>
            </w:r>
          </w:p>
        </w:tc>
        <w:tc>
          <w:tcPr>
            <w:tcW w:w="1260" w:type="dxa"/>
            <w:tcBorders>
              <w:top w:val="nil"/>
              <w:left w:val="nil"/>
              <w:bottom w:val="nil"/>
              <w:right w:val="nil"/>
            </w:tcBorders>
            <w:shd w:val="clear" w:color="auto" w:fill="auto"/>
            <w:hideMark/>
          </w:tcPr>
          <w:p w14:paraId="1BC2A862" w14:textId="77777777" w:rsidR="00E8455B" w:rsidRPr="00FC0457" w:rsidRDefault="00E8455B" w:rsidP="000A5C58">
            <w:pPr>
              <w:pStyle w:val="Tabletext"/>
              <w:jc w:val="right"/>
              <w:rPr>
                <w:lang w:eastAsia="en-GB"/>
              </w:rPr>
            </w:pPr>
            <w:r w:rsidRPr="00FC0457">
              <w:rPr>
                <w:lang w:eastAsia="en-GB"/>
              </w:rPr>
              <w:t>0.064**</w:t>
            </w:r>
          </w:p>
        </w:tc>
        <w:tc>
          <w:tcPr>
            <w:tcW w:w="1260" w:type="dxa"/>
            <w:tcBorders>
              <w:top w:val="nil"/>
              <w:left w:val="nil"/>
              <w:bottom w:val="nil"/>
              <w:right w:val="nil"/>
            </w:tcBorders>
            <w:shd w:val="clear" w:color="auto" w:fill="auto"/>
            <w:hideMark/>
          </w:tcPr>
          <w:p w14:paraId="15C26995" w14:textId="77777777" w:rsidR="00E8455B" w:rsidRPr="00FC0457" w:rsidRDefault="00E8455B" w:rsidP="000A5C58">
            <w:pPr>
              <w:pStyle w:val="Tabletext"/>
              <w:jc w:val="right"/>
              <w:rPr>
                <w:lang w:eastAsia="en-GB"/>
              </w:rPr>
            </w:pPr>
            <w:r w:rsidRPr="00FC0457">
              <w:rPr>
                <w:lang w:eastAsia="en-GB"/>
              </w:rPr>
              <w:t>(0.031)</w:t>
            </w:r>
          </w:p>
        </w:tc>
        <w:tc>
          <w:tcPr>
            <w:tcW w:w="1260" w:type="dxa"/>
            <w:tcBorders>
              <w:top w:val="nil"/>
              <w:left w:val="nil"/>
              <w:bottom w:val="nil"/>
              <w:right w:val="nil"/>
            </w:tcBorders>
            <w:shd w:val="clear" w:color="auto" w:fill="auto"/>
            <w:hideMark/>
          </w:tcPr>
          <w:p w14:paraId="5E593286" w14:textId="77777777" w:rsidR="00E8455B" w:rsidRPr="00FC0457" w:rsidRDefault="00E8455B" w:rsidP="000A5C58">
            <w:pPr>
              <w:pStyle w:val="Tabletext"/>
              <w:jc w:val="right"/>
              <w:rPr>
                <w:lang w:eastAsia="en-GB"/>
              </w:rPr>
            </w:pPr>
            <w:r w:rsidRPr="00FC0457">
              <w:rPr>
                <w:lang w:eastAsia="en-GB"/>
              </w:rPr>
              <w:t>0.086**</w:t>
            </w:r>
          </w:p>
        </w:tc>
        <w:tc>
          <w:tcPr>
            <w:tcW w:w="1260" w:type="dxa"/>
            <w:tcBorders>
              <w:top w:val="nil"/>
              <w:left w:val="nil"/>
              <w:bottom w:val="nil"/>
              <w:right w:val="nil"/>
            </w:tcBorders>
            <w:shd w:val="clear" w:color="auto" w:fill="auto"/>
            <w:hideMark/>
          </w:tcPr>
          <w:p w14:paraId="1EF41DC4" w14:textId="77777777" w:rsidR="00E8455B" w:rsidRPr="00FC0457" w:rsidRDefault="00E8455B" w:rsidP="000A5C58">
            <w:pPr>
              <w:pStyle w:val="Tabletext"/>
              <w:jc w:val="right"/>
              <w:rPr>
                <w:lang w:eastAsia="en-GB"/>
              </w:rPr>
            </w:pPr>
            <w:r w:rsidRPr="00FC0457">
              <w:rPr>
                <w:lang w:eastAsia="en-GB"/>
              </w:rPr>
              <w:t>(0.035)</w:t>
            </w:r>
          </w:p>
        </w:tc>
      </w:tr>
      <w:tr w:rsidR="00E8455B" w:rsidRPr="00FC0457" w14:paraId="3B96EDD4" w14:textId="77777777" w:rsidTr="00C368DB">
        <w:trPr>
          <w:trHeight w:val="300"/>
        </w:trPr>
        <w:tc>
          <w:tcPr>
            <w:tcW w:w="4780" w:type="dxa"/>
            <w:tcBorders>
              <w:top w:val="nil"/>
              <w:left w:val="nil"/>
              <w:bottom w:val="nil"/>
              <w:right w:val="nil"/>
            </w:tcBorders>
            <w:shd w:val="clear" w:color="auto" w:fill="auto"/>
            <w:noWrap/>
            <w:vAlign w:val="bottom"/>
            <w:hideMark/>
          </w:tcPr>
          <w:p w14:paraId="6511F2A5" w14:textId="77777777" w:rsidR="00E8455B" w:rsidRPr="00FC0457" w:rsidRDefault="00E8455B" w:rsidP="007F39BA">
            <w:pPr>
              <w:pStyle w:val="Tabletext"/>
              <w:rPr>
                <w:lang w:eastAsia="en-GB"/>
              </w:rPr>
            </w:pPr>
            <w:r w:rsidRPr="00FC0457">
              <w:rPr>
                <w:lang w:eastAsia="en-GB"/>
              </w:rPr>
              <w:t xml:space="preserve">    Year 12</w:t>
            </w:r>
          </w:p>
        </w:tc>
        <w:tc>
          <w:tcPr>
            <w:tcW w:w="1260" w:type="dxa"/>
            <w:tcBorders>
              <w:top w:val="nil"/>
              <w:left w:val="nil"/>
              <w:bottom w:val="nil"/>
              <w:right w:val="nil"/>
            </w:tcBorders>
            <w:shd w:val="clear" w:color="auto" w:fill="auto"/>
            <w:hideMark/>
          </w:tcPr>
          <w:p w14:paraId="7C968C63" w14:textId="77777777" w:rsidR="00E8455B" w:rsidRPr="00FC0457" w:rsidRDefault="00E8455B" w:rsidP="000A5C58">
            <w:pPr>
              <w:pStyle w:val="Tabletext"/>
              <w:jc w:val="right"/>
              <w:rPr>
                <w:lang w:eastAsia="en-GB"/>
              </w:rPr>
            </w:pPr>
            <w:r w:rsidRPr="00FC0457">
              <w:rPr>
                <w:lang w:eastAsia="en-GB"/>
              </w:rPr>
              <w:t>0.054</w:t>
            </w:r>
          </w:p>
        </w:tc>
        <w:tc>
          <w:tcPr>
            <w:tcW w:w="1260" w:type="dxa"/>
            <w:tcBorders>
              <w:top w:val="nil"/>
              <w:left w:val="nil"/>
              <w:bottom w:val="nil"/>
              <w:right w:val="nil"/>
            </w:tcBorders>
            <w:shd w:val="clear" w:color="auto" w:fill="auto"/>
            <w:hideMark/>
          </w:tcPr>
          <w:p w14:paraId="3694BA1C" w14:textId="77777777" w:rsidR="00E8455B" w:rsidRPr="00FC0457" w:rsidRDefault="00E8455B" w:rsidP="000A5C58">
            <w:pPr>
              <w:pStyle w:val="Tabletext"/>
              <w:jc w:val="right"/>
              <w:rPr>
                <w:lang w:eastAsia="en-GB"/>
              </w:rPr>
            </w:pPr>
            <w:r w:rsidRPr="00FC0457">
              <w:rPr>
                <w:lang w:eastAsia="en-GB"/>
              </w:rPr>
              <w:t>(0.041)</w:t>
            </w:r>
          </w:p>
        </w:tc>
        <w:tc>
          <w:tcPr>
            <w:tcW w:w="1260" w:type="dxa"/>
            <w:tcBorders>
              <w:top w:val="nil"/>
              <w:left w:val="nil"/>
              <w:bottom w:val="nil"/>
              <w:right w:val="nil"/>
            </w:tcBorders>
            <w:shd w:val="clear" w:color="auto" w:fill="auto"/>
            <w:hideMark/>
          </w:tcPr>
          <w:p w14:paraId="02B49FAA" w14:textId="77777777" w:rsidR="00E8455B" w:rsidRPr="00FC0457" w:rsidRDefault="00E8455B" w:rsidP="000A5C58">
            <w:pPr>
              <w:pStyle w:val="Tabletext"/>
              <w:jc w:val="right"/>
              <w:rPr>
                <w:lang w:eastAsia="en-GB"/>
              </w:rPr>
            </w:pPr>
            <w:r w:rsidRPr="00FC0457">
              <w:rPr>
                <w:lang w:eastAsia="en-GB"/>
              </w:rPr>
              <w:t>0.080*</w:t>
            </w:r>
          </w:p>
        </w:tc>
        <w:tc>
          <w:tcPr>
            <w:tcW w:w="1260" w:type="dxa"/>
            <w:tcBorders>
              <w:top w:val="nil"/>
              <w:left w:val="nil"/>
              <w:bottom w:val="nil"/>
              <w:right w:val="nil"/>
            </w:tcBorders>
            <w:shd w:val="clear" w:color="auto" w:fill="auto"/>
            <w:hideMark/>
          </w:tcPr>
          <w:p w14:paraId="665DE7EA" w14:textId="77777777" w:rsidR="00E8455B" w:rsidRPr="00FC0457" w:rsidRDefault="00E8455B" w:rsidP="000A5C58">
            <w:pPr>
              <w:pStyle w:val="Tabletext"/>
              <w:jc w:val="right"/>
              <w:rPr>
                <w:lang w:eastAsia="en-GB"/>
              </w:rPr>
            </w:pPr>
            <w:r w:rsidRPr="00FC0457">
              <w:rPr>
                <w:lang w:eastAsia="en-GB"/>
              </w:rPr>
              <w:t>(0.046)</w:t>
            </w:r>
          </w:p>
        </w:tc>
      </w:tr>
      <w:tr w:rsidR="00E8455B" w:rsidRPr="00FC0457" w14:paraId="3D9DA824" w14:textId="77777777" w:rsidTr="00C368DB">
        <w:trPr>
          <w:trHeight w:val="300"/>
        </w:trPr>
        <w:tc>
          <w:tcPr>
            <w:tcW w:w="4780" w:type="dxa"/>
            <w:tcBorders>
              <w:top w:val="nil"/>
              <w:left w:val="nil"/>
              <w:bottom w:val="nil"/>
              <w:right w:val="nil"/>
            </w:tcBorders>
            <w:shd w:val="clear" w:color="auto" w:fill="auto"/>
            <w:noWrap/>
            <w:vAlign w:val="bottom"/>
            <w:hideMark/>
          </w:tcPr>
          <w:p w14:paraId="282EA520" w14:textId="77777777" w:rsidR="00E8455B" w:rsidRPr="00FC0457" w:rsidRDefault="00E8455B" w:rsidP="007F39BA">
            <w:pPr>
              <w:pStyle w:val="Tabletext"/>
              <w:rPr>
                <w:lang w:eastAsia="en-GB"/>
              </w:rPr>
            </w:pPr>
            <w:r w:rsidRPr="00FC0457">
              <w:rPr>
                <w:lang w:eastAsia="en-GB"/>
              </w:rPr>
              <w:t xml:space="preserve">    Year 11 or lower</w:t>
            </w:r>
          </w:p>
        </w:tc>
        <w:tc>
          <w:tcPr>
            <w:tcW w:w="1260" w:type="dxa"/>
            <w:tcBorders>
              <w:top w:val="nil"/>
              <w:left w:val="nil"/>
              <w:bottom w:val="nil"/>
              <w:right w:val="nil"/>
            </w:tcBorders>
            <w:shd w:val="clear" w:color="auto" w:fill="auto"/>
            <w:hideMark/>
          </w:tcPr>
          <w:p w14:paraId="20817E90" w14:textId="77777777" w:rsidR="00E8455B" w:rsidRPr="00FC0457" w:rsidRDefault="00E8455B" w:rsidP="000A5C58">
            <w:pPr>
              <w:pStyle w:val="Tabletext"/>
              <w:jc w:val="right"/>
              <w:rPr>
                <w:lang w:eastAsia="en-GB"/>
              </w:rPr>
            </w:pPr>
            <w:r w:rsidRPr="00FC0457">
              <w:rPr>
                <w:lang w:eastAsia="en-GB"/>
              </w:rPr>
              <w:t>0.001</w:t>
            </w:r>
          </w:p>
        </w:tc>
        <w:tc>
          <w:tcPr>
            <w:tcW w:w="1260" w:type="dxa"/>
            <w:tcBorders>
              <w:top w:val="nil"/>
              <w:left w:val="nil"/>
              <w:bottom w:val="nil"/>
              <w:right w:val="nil"/>
            </w:tcBorders>
            <w:shd w:val="clear" w:color="auto" w:fill="auto"/>
            <w:hideMark/>
          </w:tcPr>
          <w:p w14:paraId="22E12E29" w14:textId="77777777" w:rsidR="00E8455B" w:rsidRPr="00FC0457" w:rsidRDefault="00E8455B" w:rsidP="000A5C58">
            <w:pPr>
              <w:pStyle w:val="Tabletext"/>
              <w:jc w:val="right"/>
              <w:rPr>
                <w:lang w:eastAsia="en-GB"/>
              </w:rPr>
            </w:pPr>
            <w:r w:rsidRPr="00FC0457">
              <w:rPr>
                <w:lang w:eastAsia="en-GB"/>
              </w:rPr>
              <w:t>(0.033)</w:t>
            </w:r>
          </w:p>
        </w:tc>
        <w:tc>
          <w:tcPr>
            <w:tcW w:w="1260" w:type="dxa"/>
            <w:tcBorders>
              <w:top w:val="nil"/>
              <w:left w:val="nil"/>
              <w:bottom w:val="nil"/>
              <w:right w:val="nil"/>
            </w:tcBorders>
            <w:shd w:val="clear" w:color="auto" w:fill="auto"/>
            <w:hideMark/>
          </w:tcPr>
          <w:p w14:paraId="33B49830" w14:textId="77777777" w:rsidR="00E8455B" w:rsidRPr="00FC0457" w:rsidRDefault="00E8455B" w:rsidP="000A5C58">
            <w:pPr>
              <w:pStyle w:val="Tabletext"/>
              <w:jc w:val="right"/>
              <w:rPr>
                <w:lang w:eastAsia="en-GB"/>
              </w:rPr>
            </w:pPr>
            <w:r w:rsidRPr="00FC0457">
              <w:rPr>
                <w:lang w:eastAsia="en-GB"/>
              </w:rPr>
              <w:t>0.004</w:t>
            </w:r>
          </w:p>
        </w:tc>
        <w:tc>
          <w:tcPr>
            <w:tcW w:w="1260" w:type="dxa"/>
            <w:tcBorders>
              <w:top w:val="nil"/>
              <w:left w:val="nil"/>
              <w:bottom w:val="nil"/>
              <w:right w:val="nil"/>
            </w:tcBorders>
            <w:shd w:val="clear" w:color="auto" w:fill="auto"/>
            <w:hideMark/>
          </w:tcPr>
          <w:p w14:paraId="323F333E" w14:textId="77777777" w:rsidR="00E8455B" w:rsidRPr="00FC0457" w:rsidRDefault="00E8455B" w:rsidP="000A5C58">
            <w:pPr>
              <w:pStyle w:val="Tabletext"/>
              <w:jc w:val="right"/>
              <w:rPr>
                <w:lang w:eastAsia="en-GB"/>
              </w:rPr>
            </w:pPr>
            <w:r w:rsidRPr="00FC0457">
              <w:rPr>
                <w:lang w:eastAsia="en-GB"/>
              </w:rPr>
              <w:t>(0.037)</w:t>
            </w:r>
          </w:p>
        </w:tc>
      </w:tr>
      <w:tr w:rsidR="00E8455B" w:rsidRPr="00FC0457" w14:paraId="42490DB0" w14:textId="77777777" w:rsidTr="00C368DB">
        <w:trPr>
          <w:trHeight w:val="300"/>
        </w:trPr>
        <w:tc>
          <w:tcPr>
            <w:tcW w:w="4780" w:type="dxa"/>
            <w:tcBorders>
              <w:top w:val="nil"/>
              <w:left w:val="nil"/>
              <w:bottom w:val="nil"/>
              <w:right w:val="nil"/>
            </w:tcBorders>
            <w:shd w:val="clear" w:color="auto" w:fill="auto"/>
            <w:noWrap/>
            <w:vAlign w:val="bottom"/>
            <w:hideMark/>
          </w:tcPr>
          <w:p w14:paraId="64484604" w14:textId="77777777" w:rsidR="00E8455B" w:rsidRPr="00FC0457" w:rsidRDefault="00E8455B" w:rsidP="007F39BA">
            <w:pPr>
              <w:pStyle w:val="Tabletext"/>
              <w:rPr>
                <w:lang w:eastAsia="en-GB"/>
              </w:rPr>
            </w:pPr>
            <w:r w:rsidRPr="00FC0457">
              <w:rPr>
                <w:lang w:eastAsia="en-GB"/>
              </w:rPr>
              <w:t xml:space="preserve">    Missing</w:t>
            </w:r>
          </w:p>
        </w:tc>
        <w:tc>
          <w:tcPr>
            <w:tcW w:w="1260" w:type="dxa"/>
            <w:tcBorders>
              <w:top w:val="nil"/>
              <w:left w:val="nil"/>
              <w:bottom w:val="nil"/>
              <w:right w:val="nil"/>
            </w:tcBorders>
            <w:shd w:val="clear" w:color="auto" w:fill="auto"/>
            <w:hideMark/>
          </w:tcPr>
          <w:p w14:paraId="43B2F898" w14:textId="77777777" w:rsidR="00E8455B" w:rsidRPr="00FC0457" w:rsidRDefault="00E8455B" w:rsidP="000A5C58">
            <w:pPr>
              <w:pStyle w:val="Tabletext"/>
              <w:jc w:val="right"/>
              <w:rPr>
                <w:lang w:eastAsia="en-GB"/>
              </w:rPr>
            </w:pPr>
            <w:r w:rsidRPr="00FC0457">
              <w:rPr>
                <w:lang w:eastAsia="en-GB"/>
              </w:rPr>
              <w:t>0.092*</w:t>
            </w:r>
          </w:p>
        </w:tc>
        <w:tc>
          <w:tcPr>
            <w:tcW w:w="1260" w:type="dxa"/>
            <w:tcBorders>
              <w:top w:val="nil"/>
              <w:left w:val="nil"/>
              <w:bottom w:val="nil"/>
              <w:right w:val="nil"/>
            </w:tcBorders>
            <w:shd w:val="clear" w:color="auto" w:fill="auto"/>
            <w:hideMark/>
          </w:tcPr>
          <w:p w14:paraId="43F7C3B3" w14:textId="77777777" w:rsidR="00E8455B" w:rsidRPr="00FC0457" w:rsidRDefault="00E8455B" w:rsidP="000A5C58">
            <w:pPr>
              <w:pStyle w:val="Tabletext"/>
              <w:jc w:val="right"/>
              <w:rPr>
                <w:lang w:eastAsia="en-GB"/>
              </w:rPr>
            </w:pPr>
            <w:r w:rsidRPr="00FC0457">
              <w:rPr>
                <w:lang w:eastAsia="en-GB"/>
              </w:rPr>
              <w:t>(0.049)</w:t>
            </w:r>
          </w:p>
        </w:tc>
        <w:tc>
          <w:tcPr>
            <w:tcW w:w="1260" w:type="dxa"/>
            <w:tcBorders>
              <w:top w:val="nil"/>
              <w:left w:val="nil"/>
              <w:bottom w:val="nil"/>
              <w:right w:val="nil"/>
            </w:tcBorders>
            <w:shd w:val="clear" w:color="auto" w:fill="auto"/>
            <w:hideMark/>
          </w:tcPr>
          <w:p w14:paraId="131B73C3" w14:textId="77777777" w:rsidR="00E8455B" w:rsidRPr="00FC0457" w:rsidRDefault="00E8455B" w:rsidP="000A5C58">
            <w:pPr>
              <w:pStyle w:val="Tabletext"/>
              <w:jc w:val="right"/>
              <w:rPr>
                <w:lang w:eastAsia="en-GB"/>
              </w:rPr>
            </w:pPr>
            <w:r w:rsidRPr="00FC0457">
              <w:rPr>
                <w:lang w:eastAsia="en-GB"/>
              </w:rPr>
              <w:t>-0.013</w:t>
            </w:r>
          </w:p>
        </w:tc>
        <w:tc>
          <w:tcPr>
            <w:tcW w:w="1260" w:type="dxa"/>
            <w:tcBorders>
              <w:top w:val="nil"/>
              <w:left w:val="nil"/>
              <w:bottom w:val="nil"/>
              <w:right w:val="nil"/>
            </w:tcBorders>
            <w:shd w:val="clear" w:color="auto" w:fill="auto"/>
            <w:hideMark/>
          </w:tcPr>
          <w:p w14:paraId="1F34A921" w14:textId="77777777" w:rsidR="00E8455B" w:rsidRPr="00FC0457" w:rsidRDefault="00E8455B" w:rsidP="000A5C58">
            <w:pPr>
              <w:pStyle w:val="Tabletext"/>
              <w:jc w:val="right"/>
              <w:rPr>
                <w:lang w:eastAsia="en-GB"/>
              </w:rPr>
            </w:pPr>
            <w:r w:rsidRPr="00FC0457">
              <w:rPr>
                <w:lang w:eastAsia="en-GB"/>
              </w:rPr>
              <w:t>(0.070)</w:t>
            </w:r>
          </w:p>
        </w:tc>
      </w:tr>
      <w:tr w:rsidR="00E8455B" w:rsidRPr="00FC0457" w14:paraId="5C0E4E58" w14:textId="77777777" w:rsidTr="00C368DB">
        <w:trPr>
          <w:trHeight w:val="300"/>
        </w:trPr>
        <w:tc>
          <w:tcPr>
            <w:tcW w:w="4780" w:type="dxa"/>
            <w:tcBorders>
              <w:top w:val="nil"/>
              <w:left w:val="nil"/>
              <w:bottom w:val="nil"/>
              <w:right w:val="nil"/>
            </w:tcBorders>
            <w:shd w:val="clear" w:color="auto" w:fill="auto"/>
            <w:noWrap/>
            <w:vAlign w:val="bottom"/>
            <w:hideMark/>
          </w:tcPr>
          <w:p w14:paraId="079EE358" w14:textId="77777777" w:rsidR="00E8455B" w:rsidRPr="00FC0457" w:rsidRDefault="00E8455B" w:rsidP="007F39BA">
            <w:pPr>
              <w:pStyle w:val="Tabletext"/>
              <w:rPr>
                <w:lang w:eastAsia="en-GB"/>
              </w:rPr>
            </w:pPr>
            <w:r w:rsidRPr="00FC0457">
              <w:rPr>
                <w:lang w:eastAsia="en-GB"/>
              </w:rPr>
              <w:t>Mother in paid employment when 14</w:t>
            </w:r>
          </w:p>
        </w:tc>
        <w:tc>
          <w:tcPr>
            <w:tcW w:w="1260" w:type="dxa"/>
            <w:tcBorders>
              <w:top w:val="nil"/>
              <w:left w:val="nil"/>
              <w:bottom w:val="nil"/>
              <w:right w:val="nil"/>
            </w:tcBorders>
            <w:shd w:val="clear" w:color="auto" w:fill="auto"/>
            <w:hideMark/>
          </w:tcPr>
          <w:p w14:paraId="7584689A" w14:textId="77777777" w:rsidR="00E8455B" w:rsidRPr="00FC0457" w:rsidRDefault="00E8455B" w:rsidP="000A5C58">
            <w:pPr>
              <w:pStyle w:val="Tabletext"/>
              <w:jc w:val="right"/>
              <w:rPr>
                <w:lang w:eastAsia="en-GB"/>
              </w:rPr>
            </w:pPr>
            <w:r w:rsidRPr="00FC0457">
              <w:rPr>
                <w:lang w:eastAsia="en-GB"/>
              </w:rPr>
              <w:t>0.039*</w:t>
            </w:r>
          </w:p>
        </w:tc>
        <w:tc>
          <w:tcPr>
            <w:tcW w:w="1260" w:type="dxa"/>
            <w:tcBorders>
              <w:top w:val="nil"/>
              <w:left w:val="nil"/>
              <w:bottom w:val="nil"/>
              <w:right w:val="nil"/>
            </w:tcBorders>
            <w:shd w:val="clear" w:color="auto" w:fill="auto"/>
            <w:hideMark/>
          </w:tcPr>
          <w:p w14:paraId="73ADE0A4" w14:textId="77777777" w:rsidR="00E8455B" w:rsidRPr="00FC0457" w:rsidRDefault="00E8455B" w:rsidP="000A5C58">
            <w:pPr>
              <w:pStyle w:val="Tabletext"/>
              <w:jc w:val="right"/>
              <w:rPr>
                <w:lang w:eastAsia="en-GB"/>
              </w:rPr>
            </w:pPr>
            <w:r w:rsidRPr="00FC0457">
              <w:rPr>
                <w:lang w:eastAsia="en-GB"/>
              </w:rPr>
              <w:t>(0.023)</w:t>
            </w:r>
          </w:p>
        </w:tc>
        <w:tc>
          <w:tcPr>
            <w:tcW w:w="1260" w:type="dxa"/>
            <w:tcBorders>
              <w:top w:val="nil"/>
              <w:left w:val="nil"/>
              <w:bottom w:val="nil"/>
              <w:right w:val="nil"/>
            </w:tcBorders>
            <w:shd w:val="clear" w:color="auto" w:fill="auto"/>
            <w:hideMark/>
          </w:tcPr>
          <w:p w14:paraId="708FE7CA" w14:textId="77777777" w:rsidR="00E8455B" w:rsidRPr="00FC0457" w:rsidRDefault="00E8455B" w:rsidP="000A5C58">
            <w:pPr>
              <w:pStyle w:val="Tabletext"/>
              <w:jc w:val="right"/>
              <w:rPr>
                <w:lang w:eastAsia="en-GB"/>
              </w:rPr>
            </w:pPr>
            <w:r w:rsidRPr="00FC0457">
              <w:rPr>
                <w:lang w:eastAsia="en-GB"/>
              </w:rPr>
              <w:t>0.032</w:t>
            </w:r>
          </w:p>
        </w:tc>
        <w:tc>
          <w:tcPr>
            <w:tcW w:w="1260" w:type="dxa"/>
            <w:tcBorders>
              <w:top w:val="nil"/>
              <w:left w:val="nil"/>
              <w:bottom w:val="nil"/>
              <w:right w:val="nil"/>
            </w:tcBorders>
            <w:shd w:val="clear" w:color="auto" w:fill="auto"/>
            <w:hideMark/>
          </w:tcPr>
          <w:p w14:paraId="5BBC2618" w14:textId="77777777" w:rsidR="00E8455B" w:rsidRPr="00FC0457" w:rsidRDefault="00E8455B" w:rsidP="000A5C58">
            <w:pPr>
              <w:pStyle w:val="Tabletext"/>
              <w:jc w:val="right"/>
              <w:rPr>
                <w:lang w:eastAsia="en-GB"/>
              </w:rPr>
            </w:pPr>
            <w:r w:rsidRPr="00FC0457">
              <w:rPr>
                <w:lang w:eastAsia="en-GB"/>
              </w:rPr>
              <w:t>(0.027)</w:t>
            </w:r>
          </w:p>
        </w:tc>
      </w:tr>
      <w:tr w:rsidR="00E8455B" w:rsidRPr="00FC0457" w14:paraId="32E0A2A2" w14:textId="77777777" w:rsidTr="00C368DB">
        <w:trPr>
          <w:trHeight w:val="300"/>
        </w:trPr>
        <w:tc>
          <w:tcPr>
            <w:tcW w:w="4780" w:type="dxa"/>
            <w:tcBorders>
              <w:top w:val="nil"/>
              <w:left w:val="nil"/>
              <w:bottom w:val="nil"/>
              <w:right w:val="nil"/>
            </w:tcBorders>
            <w:shd w:val="clear" w:color="auto" w:fill="auto"/>
            <w:noWrap/>
            <w:vAlign w:val="bottom"/>
            <w:hideMark/>
          </w:tcPr>
          <w:p w14:paraId="2BE067D4" w14:textId="77777777" w:rsidR="00E8455B" w:rsidRPr="00FC0457" w:rsidRDefault="00E8455B" w:rsidP="007F39BA">
            <w:pPr>
              <w:pStyle w:val="Tabletext"/>
              <w:rPr>
                <w:lang w:eastAsia="en-GB"/>
              </w:rPr>
            </w:pPr>
            <w:r w:rsidRPr="00FC0457">
              <w:rPr>
                <w:lang w:eastAsia="en-GB"/>
              </w:rPr>
              <w:t>Mother occupational status</w:t>
            </w:r>
          </w:p>
        </w:tc>
        <w:tc>
          <w:tcPr>
            <w:tcW w:w="1260" w:type="dxa"/>
            <w:tcBorders>
              <w:top w:val="nil"/>
              <w:left w:val="nil"/>
              <w:bottom w:val="nil"/>
              <w:right w:val="nil"/>
            </w:tcBorders>
            <w:shd w:val="clear" w:color="auto" w:fill="auto"/>
            <w:noWrap/>
            <w:vAlign w:val="bottom"/>
            <w:hideMark/>
          </w:tcPr>
          <w:p w14:paraId="5AFBEC08"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0D9ADBB5"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08EB5858"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noWrap/>
            <w:vAlign w:val="bottom"/>
            <w:hideMark/>
          </w:tcPr>
          <w:p w14:paraId="47A8D42D" w14:textId="77777777" w:rsidR="00E8455B" w:rsidRPr="00FC0457" w:rsidRDefault="00E8455B" w:rsidP="000A5C58">
            <w:pPr>
              <w:pStyle w:val="Tabletext"/>
              <w:jc w:val="right"/>
              <w:rPr>
                <w:lang w:eastAsia="en-GB"/>
              </w:rPr>
            </w:pPr>
          </w:p>
        </w:tc>
      </w:tr>
      <w:tr w:rsidR="00E8455B" w:rsidRPr="00FC0457" w14:paraId="63DE266B" w14:textId="77777777" w:rsidTr="00C368DB">
        <w:trPr>
          <w:trHeight w:val="300"/>
        </w:trPr>
        <w:tc>
          <w:tcPr>
            <w:tcW w:w="4780" w:type="dxa"/>
            <w:tcBorders>
              <w:top w:val="nil"/>
              <w:left w:val="nil"/>
              <w:bottom w:val="nil"/>
              <w:right w:val="nil"/>
            </w:tcBorders>
            <w:shd w:val="clear" w:color="auto" w:fill="auto"/>
            <w:noWrap/>
            <w:vAlign w:val="bottom"/>
            <w:hideMark/>
          </w:tcPr>
          <w:p w14:paraId="6ECBE3FC" w14:textId="77777777" w:rsidR="00E8455B" w:rsidRPr="00FC0457" w:rsidRDefault="00E8455B" w:rsidP="007F39BA">
            <w:pPr>
              <w:pStyle w:val="Tabletext"/>
              <w:rPr>
                <w:i/>
                <w:iCs/>
                <w:lang w:eastAsia="en-GB"/>
              </w:rPr>
            </w:pPr>
            <w:r w:rsidRPr="00FC0457">
              <w:rPr>
                <w:i/>
                <w:iCs/>
                <w:lang w:eastAsia="en-GB"/>
              </w:rPr>
              <w:t xml:space="preserve">    AUSEI06 occupational status</w:t>
            </w:r>
          </w:p>
        </w:tc>
        <w:tc>
          <w:tcPr>
            <w:tcW w:w="1260" w:type="dxa"/>
            <w:tcBorders>
              <w:top w:val="nil"/>
              <w:left w:val="nil"/>
              <w:bottom w:val="nil"/>
              <w:right w:val="nil"/>
            </w:tcBorders>
            <w:shd w:val="clear" w:color="auto" w:fill="auto"/>
            <w:hideMark/>
          </w:tcPr>
          <w:p w14:paraId="1EF63129" w14:textId="77777777" w:rsidR="00E8455B" w:rsidRPr="00FC0457" w:rsidRDefault="00E8455B" w:rsidP="000A5C58">
            <w:pPr>
              <w:pStyle w:val="Tabletext"/>
              <w:jc w:val="right"/>
              <w:rPr>
                <w:lang w:eastAsia="en-GB"/>
              </w:rPr>
            </w:pPr>
            <w:r w:rsidRPr="00FC0457">
              <w:rPr>
                <w:lang w:eastAsia="en-GB"/>
              </w:rPr>
              <w:t>-0.003***</w:t>
            </w:r>
          </w:p>
        </w:tc>
        <w:tc>
          <w:tcPr>
            <w:tcW w:w="1260" w:type="dxa"/>
            <w:tcBorders>
              <w:top w:val="nil"/>
              <w:left w:val="nil"/>
              <w:bottom w:val="nil"/>
              <w:right w:val="nil"/>
            </w:tcBorders>
            <w:shd w:val="clear" w:color="auto" w:fill="auto"/>
            <w:hideMark/>
          </w:tcPr>
          <w:p w14:paraId="65C8BA0C" w14:textId="77777777" w:rsidR="00E8455B" w:rsidRPr="00FC0457" w:rsidRDefault="00E8455B" w:rsidP="000A5C58">
            <w:pPr>
              <w:pStyle w:val="Tabletext"/>
              <w:jc w:val="right"/>
              <w:rPr>
                <w:lang w:eastAsia="en-GB"/>
              </w:rPr>
            </w:pPr>
            <w:r w:rsidRPr="00FC0457">
              <w:rPr>
                <w:lang w:eastAsia="en-GB"/>
              </w:rPr>
              <w:t>(0.001)</w:t>
            </w:r>
          </w:p>
        </w:tc>
        <w:tc>
          <w:tcPr>
            <w:tcW w:w="1260" w:type="dxa"/>
            <w:tcBorders>
              <w:top w:val="nil"/>
              <w:left w:val="nil"/>
              <w:bottom w:val="nil"/>
              <w:right w:val="nil"/>
            </w:tcBorders>
            <w:shd w:val="clear" w:color="auto" w:fill="auto"/>
            <w:hideMark/>
          </w:tcPr>
          <w:p w14:paraId="60965B7D" w14:textId="77777777" w:rsidR="00E8455B" w:rsidRPr="00FC0457" w:rsidRDefault="00E8455B" w:rsidP="000A5C58">
            <w:pPr>
              <w:pStyle w:val="Tabletext"/>
              <w:jc w:val="right"/>
              <w:rPr>
                <w:lang w:eastAsia="en-GB"/>
              </w:rPr>
            </w:pPr>
            <w:r w:rsidRPr="00FC0457">
              <w:rPr>
                <w:lang w:eastAsia="en-GB"/>
              </w:rPr>
              <w:t>-0.001</w:t>
            </w:r>
          </w:p>
        </w:tc>
        <w:tc>
          <w:tcPr>
            <w:tcW w:w="1260" w:type="dxa"/>
            <w:tcBorders>
              <w:top w:val="nil"/>
              <w:left w:val="nil"/>
              <w:bottom w:val="nil"/>
              <w:right w:val="nil"/>
            </w:tcBorders>
            <w:shd w:val="clear" w:color="auto" w:fill="auto"/>
            <w:hideMark/>
          </w:tcPr>
          <w:p w14:paraId="0340B14A" w14:textId="77777777" w:rsidR="00E8455B" w:rsidRPr="00FC0457" w:rsidRDefault="00E8455B" w:rsidP="000A5C58">
            <w:pPr>
              <w:pStyle w:val="Tabletext"/>
              <w:jc w:val="right"/>
              <w:rPr>
                <w:lang w:eastAsia="en-GB"/>
              </w:rPr>
            </w:pPr>
            <w:r w:rsidRPr="00FC0457">
              <w:rPr>
                <w:lang w:eastAsia="en-GB"/>
              </w:rPr>
              <w:t>(0.001)</w:t>
            </w:r>
          </w:p>
        </w:tc>
      </w:tr>
      <w:tr w:rsidR="00E8455B" w:rsidRPr="00FC0457" w14:paraId="687A156D" w14:textId="77777777" w:rsidTr="00C368DB">
        <w:trPr>
          <w:trHeight w:val="300"/>
        </w:trPr>
        <w:tc>
          <w:tcPr>
            <w:tcW w:w="4780" w:type="dxa"/>
            <w:tcBorders>
              <w:top w:val="nil"/>
              <w:left w:val="nil"/>
              <w:bottom w:val="nil"/>
              <w:right w:val="nil"/>
            </w:tcBorders>
            <w:shd w:val="clear" w:color="auto" w:fill="auto"/>
            <w:noWrap/>
            <w:vAlign w:val="bottom"/>
            <w:hideMark/>
          </w:tcPr>
          <w:p w14:paraId="5C74BC1A" w14:textId="77777777" w:rsidR="00E8455B" w:rsidRPr="00FC0457" w:rsidRDefault="00E8455B" w:rsidP="007F39BA">
            <w:pPr>
              <w:pStyle w:val="Tabletext"/>
              <w:rPr>
                <w:i/>
                <w:iCs/>
                <w:lang w:eastAsia="en-GB"/>
              </w:rPr>
            </w:pPr>
            <w:r w:rsidRPr="00FC0457">
              <w:rPr>
                <w:i/>
                <w:iCs/>
                <w:lang w:eastAsia="en-GB"/>
              </w:rPr>
              <w:t xml:space="preserve">    Missing</w:t>
            </w:r>
          </w:p>
        </w:tc>
        <w:tc>
          <w:tcPr>
            <w:tcW w:w="1260" w:type="dxa"/>
            <w:tcBorders>
              <w:top w:val="nil"/>
              <w:left w:val="nil"/>
              <w:bottom w:val="nil"/>
              <w:right w:val="nil"/>
            </w:tcBorders>
            <w:shd w:val="clear" w:color="auto" w:fill="auto"/>
            <w:hideMark/>
          </w:tcPr>
          <w:p w14:paraId="05610B23" w14:textId="77777777" w:rsidR="00E8455B" w:rsidRPr="00FC0457" w:rsidRDefault="00E8455B" w:rsidP="000A5C58">
            <w:pPr>
              <w:pStyle w:val="Tabletext"/>
              <w:jc w:val="right"/>
              <w:rPr>
                <w:lang w:eastAsia="en-GB"/>
              </w:rPr>
            </w:pPr>
            <w:r w:rsidRPr="00FC0457">
              <w:rPr>
                <w:lang w:eastAsia="en-GB"/>
              </w:rPr>
              <w:t>-0.108***</w:t>
            </w:r>
          </w:p>
        </w:tc>
        <w:tc>
          <w:tcPr>
            <w:tcW w:w="1260" w:type="dxa"/>
            <w:tcBorders>
              <w:top w:val="nil"/>
              <w:left w:val="nil"/>
              <w:bottom w:val="nil"/>
              <w:right w:val="nil"/>
            </w:tcBorders>
            <w:shd w:val="clear" w:color="auto" w:fill="auto"/>
            <w:hideMark/>
          </w:tcPr>
          <w:p w14:paraId="76F50172" w14:textId="77777777" w:rsidR="00E8455B" w:rsidRPr="00FC0457" w:rsidRDefault="00E8455B" w:rsidP="000A5C58">
            <w:pPr>
              <w:pStyle w:val="Tabletext"/>
              <w:jc w:val="right"/>
              <w:rPr>
                <w:lang w:eastAsia="en-GB"/>
              </w:rPr>
            </w:pPr>
            <w:r w:rsidRPr="00FC0457">
              <w:rPr>
                <w:lang w:eastAsia="en-GB"/>
              </w:rPr>
              <w:t>(0.038)</w:t>
            </w:r>
          </w:p>
        </w:tc>
        <w:tc>
          <w:tcPr>
            <w:tcW w:w="1260" w:type="dxa"/>
            <w:tcBorders>
              <w:top w:val="nil"/>
              <w:left w:val="nil"/>
              <w:bottom w:val="nil"/>
              <w:right w:val="nil"/>
            </w:tcBorders>
            <w:shd w:val="clear" w:color="auto" w:fill="auto"/>
            <w:hideMark/>
          </w:tcPr>
          <w:p w14:paraId="30457A69" w14:textId="77777777" w:rsidR="00E8455B" w:rsidRPr="00FC0457" w:rsidRDefault="00E8455B" w:rsidP="000A5C58">
            <w:pPr>
              <w:pStyle w:val="Tabletext"/>
              <w:jc w:val="right"/>
              <w:rPr>
                <w:lang w:eastAsia="en-GB"/>
              </w:rPr>
            </w:pPr>
            <w:r w:rsidRPr="00FC0457">
              <w:rPr>
                <w:lang w:eastAsia="en-GB"/>
              </w:rPr>
              <w:t>-0.033</w:t>
            </w:r>
          </w:p>
        </w:tc>
        <w:tc>
          <w:tcPr>
            <w:tcW w:w="1260" w:type="dxa"/>
            <w:tcBorders>
              <w:top w:val="nil"/>
              <w:left w:val="nil"/>
              <w:bottom w:val="nil"/>
              <w:right w:val="nil"/>
            </w:tcBorders>
            <w:shd w:val="clear" w:color="auto" w:fill="auto"/>
            <w:hideMark/>
          </w:tcPr>
          <w:p w14:paraId="7475DBB1" w14:textId="77777777" w:rsidR="00E8455B" w:rsidRPr="00FC0457" w:rsidRDefault="00E8455B" w:rsidP="000A5C58">
            <w:pPr>
              <w:pStyle w:val="Tabletext"/>
              <w:jc w:val="right"/>
              <w:rPr>
                <w:lang w:eastAsia="en-GB"/>
              </w:rPr>
            </w:pPr>
            <w:r w:rsidRPr="00FC0457">
              <w:rPr>
                <w:lang w:eastAsia="en-GB"/>
              </w:rPr>
              <w:t>(0.048)</w:t>
            </w:r>
          </w:p>
        </w:tc>
      </w:tr>
      <w:tr w:rsidR="00E8455B" w:rsidRPr="00FC0457" w14:paraId="1EF4B781" w14:textId="77777777" w:rsidTr="00C368DB">
        <w:trPr>
          <w:trHeight w:val="300"/>
        </w:trPr>
        <w:tc>
          <w:tcPr>
            <w:tcW w:w="4780" w:type="dxa"/>
            <w:tcBorders>
              <w:top w:val="nil"/>
              <w:left w:val="nil"/>
              <w:bottom w:val="nil"/>
              <w:right w:val="nil"/>
            </w:tcBorders>
            <w:shd w:val="clear" w:color="auto" w:fill="auto"/>
            <w:noWrap/>
            <w:vAlign w:val="bottom"/>
            <w:hideMark/>
          </w:tcPr>
          <w:p w14:paraId="2E94E7D1" w14:textId="77777777" w:rsidR="00E8455B" w:rsidRPr="00FC0457" w:rsidRDefault="00E8455B" w:rsidP="007F39BA">
            <w:pPr>
              <w:pStyle w:val="Tabletext"/>
              <w:rPr>
                <w:lang w:eastAsia="en-GB"/>
              </w:rPr>
            </w:pPr>
            <w:r w:rsidRPr="00FC0457">
              <w:rPr>
                <w:lang w:eastAsia="en-GB"/>
              </w:rPr>
              <w:t>Big 5</w:t>
            </w:r>
          </w:p>
        </w:tc>
        <w:tc>
          <w:tcPr>
            <w:tcW w:w="1260" w:type="dxa"/>
            <w:tcBorders>
              <w:top w:val="nil"/>
              <w:left w:val="nil"/>
              <w:bottom w:val="nil"/>
              <w:right w:val="nil"/>
            </w:tcBorders>
            <w:shd w:val="clear" w:color="auto" w:fill="auto"/>
            <w:hideMark/>
          </w:tcPr>
          <w:p w14:paraId="218E0203"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5FEFF2B2"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133E8D0E" w14:textId="77777777" w:rsidR="00E8455B" w:rsidRPr="00FC0457" w:rsidRDefault="00E8455B" w:rsidP="000A5C58">
            <w:pPr>
              <w:pStyle w:val="Tabletext"/>
              <w:jc w:val="right"/>
              <w:rPr>
                <w:lang w:eastAsia="en-GB"/>
              </w:rPr>
            </w:pPr>
          </w:p>
        </w:tc>
        <w:tc>
          <w:tcPr>
            <w:tcW w:w="1260" w:type="dxa"/>
            <w:tcBorders>
              <w:top w:val="nil"/>
              <w:left w:val="nil"/>
              <w:bottom w:val="nil"/>
              <w:right w:val="nil"/>
            </w:tcBorders>
            <w:shd w:val="clear" w:color="auto" w:fill="auto"/>
            <w:hideMark/>
          </w:tcPr>
          <w:p w14:paraId="61B60543" w14:textId="77777777" w:rsidR="00E8455B" w:rsidRPr="00FC0457" w:rsidRDefault="00E8455B" w:rsidP="000A5C58">
            <w:pPr>
              <w:pStyle w:val="Tabletext"/>
              <w:jc w:val="right"/>
              <w:rPr>
                <w:lang w:eastAsia="en-GB"/>
              </w:rPr>
            </w:pPr>
          </w:p>
        </w:tc>
      </w:tr>
      <w:tr w:rsidR="00E8455B" w:rsidRPr="00FC0457" w14:paraId="35576A07" w14:textId="77777777" w:rsidTr="00C368DB">
        <w:trPr>
          <w:trHeight w:val="300"/>
        </w:trPr>
        <w:tc>
          <w:tcPr>
            <w:tcW w:w="4780" w:type="dxa"/>
            <w:tcBorders>
              <w:top w:val="nil"/>
              <w:left w:val="nil"/>
              <w:bottom w:val="nil"/>
              <w:right w:val="nil"/>
            </w:tcBorders>
            <w:shd w:val="clear" w:color="auto" w:fill="auto"/>
            <w:noWrap/>
            <w:vAlign w:val="bottom"/>
            <w:hideMark/>
          </w:tcPr>
          <w:p w14:paraId="2D309360" w14:textId="77777777" w:rsidR="00E8455B" w:rsidRPr="00FC0457" w:rsidRDefault="00E8455B" w:rsidP="007F39BA">
            <w:pPr>
              <w:pStyle w:val="Tabletext"/>
              <w:rPr>
                <w:lang w:eastAsia="en-GB"/>
              </w:rPr>
            </w:pPr>
            <w:r w:rsidRPr="00FC0457">
              <w:rPr>
                <w:lang w:eastAsia="en-GB"/>
              </w:rPr>
              <w:t xml:space="preserve">    Agreeableness</w:t>
            </w:r>
          </w:p>
        </w:tc>
        <w:tc>
          <w:tcPr>
            <w:tcW w:w="1260" w:type="dxa"/>
            <w:tcBorders>
              <w:top w:val="nil"/>
              <w:left w:val="nil"/>
              <w:bottom w:val="nil"/>
              <w:right w:val="nil"/>
            </w:tcBorders>
            <w:shd w:val="clear" w:color="auto" w:fill="auto"/>
            <w:hideMark/>
          </w:tcPr>
          <w:p w14:paraId="3B92969A" w14:textId="77777777" w:rsidR="00E8455B" w:rsidRPr="00FC0457" w:rsidRDefault="00E8455B" w:rsidP="000A5C58">
            <w:pPr>
              <w:pStyle w:val="Tabletext"/>
              <w:jc w:val="right"/>
              <w:rPr>
                <w:lang w:eastAsia="en-GB"/>
              </w:rPr>
            </w:pPr>
            <w:r w:rsidRPr="00FC0457">
              <w:rPr>
                <w:lang w:eastAsia="en-GB"/>
              </w:rPr>
              <w:t>0.009</w:t>
            </w:r>
          </w:p>
        </w:tc>
        <w:tc>
          <w:tcPr>
            <w:tcW w:w="1260" w:type="dxa"/>
            <w:tcBorders>
              <w:top w:val="nil"/>
              <w:left w:val="nil"/>
              <w:bottom w:val="nil"/>
              <w:right w:val="nil"/>
            </w:tcBorders>
            <w:shd w:val="clear" w:color="auto" w:fill="auto"/>
            <w:hideMark/>
          </w:tcPr>
          <w:p w14:paraId="01A86BCA" w14:textId="77777777" w:rsidR="00E8455B" w:rsidRPr="00FC0457" w:rsidRDefault="00E8455B" w:rsidP="000A5C58">
            <w:pPr>
              <w:pStyle w:val="Tabletext"/>
              <w:jc w:val="right"/>
              <w:rPr>
                <w:lang w:eastAsia="en-GB"/>
              </w:rPr>
            </w:pPr>
            <w:r w:rsidRPr="00FC0457">
              <w:rPr>
                <w:lang w:eastAsia="en-GB"/>
              </w:rPr>
              <w:t>(0.014)</w:t>
            </w:r>
          </w:p>
        </w:tc>
        <w:tc>
          <w:tcPr>
            <w:tcW w:w="1260" w:type="dxa"/>
            <w:tcBorders>
              <w:top w:val="nil"/>
              <w:left w:val="nil"/>
              <w:bottom w:val="nil"/>
              <w:right w:val="nil"/>
            </w:tcBorders>
            <w:shd w:val="clear" w:color="auto" w:fill="auto"/>
            <w:hideMark/>
          </w:tcPr>
          <w:p w14:paraId="353BCFB1" w14:textId="77777777" w:rsidR="00E8455B" w:rsidRPr="00FC0457" w:rsidRDefault="00E8455B" w:rsidP="000A5C58">
            <w:pPr>
              <w:pStyle w:val="Tabletext"/>
              <w:jc w:val="right"/>
              <w:rPr>
                <w:lang w:eastAsia="en-GB"/>
              </w:rPr>
            </w:pPr>
            <w:r w:rsidRPr="00FC0457">
              <w:rPr>
                <w:lang w:eastAsia="en-GB"/>
              </w:rPr>
              <w:t>0.008</w:t>
            </w:r>
          </w:p>
        </w:tc>
        <w:tc>
          <w:tcPr>
            <w:tcW w:w="1260" w:type="dxa"/>
            <w:tcBorders>
              <w:top w:val="nil"/>
              <w:left w:val="nil"/>
              <w:bottom w:val="nil"/>
              <w:right w:val="nil"/>
            </w:tcBorders>
            <w:shd w:val="clear" w:color="auto" w:fill="auto"/>
            <w:hideMark/>
          </w:tcPr>
          <w:p w14:paraId="529B92B1" w14:textId="77777777" w:rsidR="00E8455B" w:rsidRPr="00FC0457" w:rsidRDefault="00E8455B" w:rsidP="000A5C58">
            <w:pPr>
              <w:pStyle w:val="Tabletext"/>
              <w:jc w:val="right"/>
              <w:rPr>
                <w:lang w:eastAsia="en-GB"/>
              </w:rPr>
            </w:pPr>
            <w:r w:rsidRPr="00FC0457">
              <w:rPr>
                <w:lang w:eastAsia="en-GB"/>
              </w:rPr>
              <w:t>(0.016)</w:t>
            </w:r>
          </w:p>
        </w:tc>
      </w:tr>
      <w:tr w:rsidR="00E8455B" w:rsidRPr="00FC0457" w14:paraId="64EF9B72" w14:textId="77777777" w:rsidTr="00C368DB">
        <w:trPr>
          <w:trHeight w:val="300"/>
        </w:trPr>
        <w:tc>
          <w:tcPr>
            <w:tcW w:w="4780" w:type="dxa"/>
            <w:tcBorders>
              <w:top w:val="nil"/>
              <w:left w:val="nil"/>
              <w:bottom w:val="nil"/>
              <w:right w:val="nil"/>
            </w:tcBorders>
            <w:shd w:val="clear" w:color="auto" w:fill="auto"/>
            <w:noWrap/>
            <w:vAlign w:val="bottom"/>
            <w:hideMark/>
          </w:tcPr>
          <w:p w14:paraId="758B68E7" w14:textId="77777777" w:rsidR="00E8455B" w:rsidRPr="00FC0457" w:rsidRDefault="00E8455B" w:rsidP="007F39BA">
            <w:pPr>
              <w:pStyle w:val="Tabletext"/>
              <w:rPr>
                <w:lang w:eastAsia="en-GB"/>
              </w:rPr>
            </w:pPr>
            <w:r w:rsidRPr="00FC0457">
              <w:rPr>
                <w:lang w:eastAsia="en-GB"/>
              </w:rPr>
              <w:t xml:space="preserve">    Conscientiousness</w:t>
            </w:r>
          </w:p>
        </w:tc>
        <w:tc>
          <w:tcPr>
            <w:tcW w:w="1260" w:type="dxa"/>
            <w:tcBorders>
              <w:top w:val="nil"/>
              <w:left w:val="nil"/>
              <w:bottom w:val="nil"/>
              <w:right w:val="nil"/>
            </w:tcBorders>
            <w:shd w:val="clear" w:color="auto" w:fill="auto"/>
            <w:hideMark/>
          </w:tcPr>
          <w:p w14:paraId="0044685F" w14:textId="77777777" w:rsidR="00E8455B" w:rsidRPr="00FC0457" w:rsidRDefault="00E8455B" w:rsidP="000A5C58">
            <w:pPr>
              <w:pStyle w:val="Tabletext"/>
              <w:jc w:val="right"/>
              <w:rPr>
                <w:lang w:eastAsia="en-GB"/>
              </w:rPr>
            </w:pPr>
            <w:r w:rsidRPr="00FC0457">
              <w:rPr>
                <w:lang w:eastAsia="en-GB"/>
              </w:rPr>
              <w:t>-0.017</w:t>
            </w:r>
          </w:p>
        </w:tc>
        <w:tc>
          <w:tcPr>
            <w:tcW w:w="1260" w:type="dxa"/>
            <w:tcBorders>
              <w:top w:val="nil"/>
              <w:left w:val="nil"/>
              <w:bottom w:val="nil"/>
              <w:right w:val="nil"/>
            </w:tcBorders>
            <w:shd w:val="clear" w:color="auto" w:fill="auto"/>
            <w:hideMark/>
          </w:tcPr>
          <w:p w14:paraId="5B64C121" w14:textId="77777777" w:rsidR="00E8455B" w:rsidRPr="00FC0457" w:rsidRDefault="00E8455B" w:rsidP="000A5C58">
            <w:pPr>
              <w:pStyle w:val="Tabletext"/>
              <w:jc w:val="right"/>
              <w:rPr>
                <w:lang w:eastAsia="en-GB"/>
              </w:rPr>
            </w:pPr>
            <w:r w:rsidRPr="00FC0457">
              <w:rPr>
                <w:lang w:eastAsia="en-GB"/>
              </w:rPr>
              <w:t>(0.012)</w:t>
            </w:r>
          </w:p>
        </w:tc>
        <w:tc>
          <w:tcPr>
            <w:tcW w:w="1260" w:type="dxa"/>
            <w:tcBorders>
              <w:top w:val="nil"/>
              <w:left w:val="nil"/>
              <w:bottom w:val="nil"/>
              <w:right w:val="nil"/>
            </w:tcBorders>
            <w:shd w:val="clear" w:color="auto" w:fill="auto"/>
            <w:hideMark/>
          </w:tcPr>
          <w:p w14:paraId="4351E6CE" w14:textId="77777777" w:rsidR="00E8455B" w:rsidRPr="00FC0457" w:rsidRDefault="00E8455B" w:rsidP="000A5C58">
            <w:pPr>
              <w:pStyle w:val="Tabletext"/>
              <w:jc w:val="right"/>
              <w:rPr>
                <w:lang w:eastAsia="en-GB"/>
              </w:rPr>
            </w:pPr>
            <w:r w:rsidRPr="00FC0457">
              <w:rPr>
                <w:lang w:eastAsia="en-GB"/>
              </w:rPr>
              <w:t>-0.002</w:t>
            </w:r>
          </w:p>
        </w:tc>
        <w:tc>
          <w:tcPr>
            <w:tcW w:w="1260" w:type="dxa"/>
            <w:tcBorders>
              <w:top w:val="nil"/>
              <w:left w:val="nil"/>
              <w:bottom w:val="nil"/>
              <w:right w:val="nil"/>
            </w:tcBorders>
            <w:shd w:val="clear" w:color="auto" w:fill="auto"/>
            <w:hideMark/>
          </w:tcPr>
          <w:p w14:paraId="38105091" w14:textId="77777777" w:rsidR="00E8455B" w:rsidRPr="00FC0457" w:rsidRDefault="00E8455B" w:rsidP="000A5C58">
            <w:pPr>
              <w:pStyle w:val="Tabletext"/>
              <w:jc w:val="right"/>
              <w:rPr>
                <w:lang w:eastAsia="en-GB"/>
              </w:rPr>
            </w:pPr>
            <w:r w:rsidRPr="00FC0457">
              <w:rPr>
                <w:lang w:eastAsia="en-GB"/>
              </w:rPr>
              <w:t>(0.013)</w:t>
            </w:r>
          </w:p>
        </w:tc>
      </w:tr>
      <w:tr w:rsidR="00E8455B" w:rsidRPr="00FC0457" w14:paraId="38AA8673" w14:textId="77777777" w:rsidTr="00C368DB">
        <w:trPr>
          <w:trHeight w:val="300"/>
        </w:trPr>
        <w:tc>
          <w:tcPr>
            <w:tcW w:w="4780" w:type="dxa"/>
            <w:tcBorders>
              <w:top w:val="nil"/>
              <w:left w:val="nil"/>
              <w:bottom w:val="nil"/>
              <w:right w:val="nil"/>
            </w:tcBorders>
            <w:shd w:val="clear" w:color="auto" w:fill="auto"/>
            <w:noWrap/>
            <w:vAlign w:val="bottom"/>
            <w:hideMark/>
          </w:tcPr>
          <w:p w14:paraId="572B5D46" w14:textId="77777777" w:rsidR="00E8455B" w:rsidRPr="00FC0457" w:rsidRDefault="00E8455B" w:rsidP="007F39BA">
            <w:pPr>
              <w:pStyle w:val="Tabletext"/>
              <w:rPr>
                <w:lang w:eastAsia="en-GB"/>
              </w:rPr>
            </w:pPr>
            <w:r w:rsidRPr="00FC0457">
              <w:rPr>
                <w:lang w:eastAsia="en-GB"/>
              </w:rPr>
              <w:t xml:space="preserve">    Emotional stability</w:t>
            </w:r>
          </w:p>
        </w:tc>
        <w:tc>
          <w:tcPr>
            <w:tcW w:w="1260" w:type="dxa"/>
            <w:tcBorders>
              <w:top w:val="nil"/>
              <w:left w:val="nil"/>
              <w:bottom w:val="nil"/>
              <w:right w:val="nil"/>
            </w:tcBorders>
            <w:shd w:val="clear" w:color="auto" w:fill="auto"/>
            <w:hideMark/>
          </w:tcPr>
          <w:p w14:paraId="35A61FBF" w14:textId="77777777" w:rsidR="00E8455B" w:rsidRPr="00FC0457" w:rsidRDefault="00E8455B" w:rsidP="000A5C58">
            <w:pPr>
              <w:pStyle w:val="Tabletext"/>
              <w:jc w:val="right"/>
              <w:rPr>
                <w:lang w:eastAsia="en-GB"/>
              </w:rPr>
            </w:pPr>
            <w:r w:rsidRPr="00FC0457">
              <w:rPr>
                <w:lang w:eastAsia="en-GB"/>
              </w:rPr>
              <w:t>-0.022*</w:t>
            </w:r>
          </w:p>
        </w:tc>
        <w:tc>
          <w:tcPr>
            <w:tcW w:w="1260" w:type="dxa"/>
            <w:tcBorders>
              <w:top w:val="nil"/>
              <w:left w:val="nil"/>
              <w:bottom w:val="nil"/>
              <w:right w:val="nil"/>
            </w:tcBorders>
            <w:shd w:val="clear" w:color="auto" w:fill="auto"/>
            <w:hideMark/>
          </w:tcPr>
          <w:p w14:paraId="411CA9A5" w14:textId="77777777" w:rsidR="00E8455B" w:rsidRPr="00FC0457" w:rsidRDefault="00E8455B" w:rsidP="000A5C58">
            <w:pPr>
              <w:pStyle w:val="Tabletext"/>
              <w:jc w:val="right"/>
              <w:rPr>
                <w:lang w:eastAsia="en-GB"/>
              </w:rPr>
            </w:pPr>
            <w:r w:rsidRPr="00FC0457">
              <w:rPr>
                <w:lang w:eastAsia="en-GB"/>
              </w:rPr>
              <w:t>(0.011)</w:t>
            </w:r>
          </w:p>
        </w:tc>
        <w:tc>
          <w:tcPr>
            <w:tcW w:w="1260" w:type="dxa"/>
            <w:tcBorders>
              <w:top w:val="nil"/>
              <w:left w:val="nil"/>
              <w:bottom w:val="nil"/>
              <w:right w:val="nil"/>
            </w:tcBorders>
            <w:shd w:val="clear" w:color="auto" w:fill="auto"/>
            <w:hideMark/>
          </w:tcPr>
          <w:p w14:paraId="03A4EED2" w14:textId="77777777" w:rsidR="00E8455B" w:rsidRPr="00FC0457" w:rsidRDefault="00E8455B" w:rsidP="000A5C58">
            <w:pPr>
              <w:pStyle w:val="Tabletext"/>
              <w:jc w:val="right"/>
              <w:rPr>
                <w:lang w:eastAsia="en-GB"/>
              </w:rPr>
            </w:pPr>
            <w:r w:rsidRPr="00FC0457">
              <w:rPr>
                <w:lang w:eastAsia="en-GB"/>
              </w:rPr>
              <w:t>-0.010</w:t>
            </w:r>
          </w:p>
        </w:tc>
        <w:tc>
          <w:tcPr>
            <w:tcW w:w="1260" w:type="dxa"/>
            <w:tcBorders>
              <w:top w:val="nil"/>
              <w:left w:val="nil"/>
              <w:bottom w:val="nil"/>
              <w:right w:val="nil"/>
            </w:tcBorders>
            <w:shd w:val="clear" w:color="auto" w:fill="auto"/>
            <w:hideMark/>
          </w:tcPr>
          <w:p w14:paraId="696A9387" w14:textId="77777777" w:rsidR="00E8455B" w:rsidRPr="00FC0457" w:rsidRDefault="00E8455B" w:rsidP="000A5C58">
            <w:pPr>
              <w:pStyle w:val="Tabletext"/>
              <w:jc w:val="right"/>
              <w:rPr>
                <w:lang w:eastAsia="en-GB"/>
              </w:rPr>
            </w:pPr>
            <w:r w:rsidRPr="00FC0457">
              <w:rPr>
                <w:lang w:eastAsia="en-GB"/>
              </w:rPr>
              <w:t>(0.013)</w:t>
            </w:r>
          </w:p>
        </w:tc>
      </w:tr>
      <w:tr w:rsidR="00E8455B" w:rsidRPr="00FC0457" w14:paraId="600DE05D" w14:textId="77777777" w:rsidTr="00C368DB">
        <w:trPr>
          <w:trHeight w:val="300"/>
        </w:trPr>
        <w:tc>
          <w:tcPr>
            <w:tcW w:w="4780" w:type="dxa"/>
            <w:tcBorders>
              <w:top w:val="nil"/>
              <w:left w:val="nil"/>
              <w:bottom w:val="nil"/>
              <w:right w:val="nil"/>
            </w:tcBorders>
            <w:shd w:val="clear" w:color="auto" w:fill="auto"/>
            <w:noWrap/>
            <w:vAlign w:val="bottom"/>
            <w:hideMark/>
          </w:tcPr>
          <w:p w14:paraId="00F4AC8B" w14:textId="77777777" w:rsidR="00E8455B" w:rsidRPr="00FC0457" w:rsidRDefault="00E8455B" w:rsidP="007F39BA">
            <w:pPr>
              <w:pStyle w:val="Tabletext"/>
              <w:rPr>
                <w:lang w:eastAsia="en-GB"/>
              </w:rPr>
            </w:pPr>
            <w:r w:rsidRPr="00FC0457">
              <w:rPr>
                <w:lang w:eastAsia="en-GB"/>
              </w:rPr>
              <w:t xml:space="preserve">    Extroversion</w:t>
            </w:r>
          </w:p>
        </w:tc>
        <w:tc>
          <w:tcPr>
            <w:tcW w:w="1260" w:type="dxa"/>
            <w:tcBorders>
              <w:top w:val="nil"/>
              <w:left w:val="nil"/>
              <w:bottom w:val="nil"/>
              <w:right w:val="nil"/>
            </w:tcBorders>
            <w:shd w:val="clear" w:color="auto" w:fill="auto"/>
            <w:hideMark/>
          </w:tcPr>
          <w:p w14:paraId="458BFDE7" w14:textId="77777777" w:rsidR="00E8455B" w:rsidRPr="00FC0457" w:rsidRDefault="00E8455B" w:rsidP="000A5C58">
            <w:pPr>
              <w:pStyle w:val="Tabletext"/>
              <w:jc w:val="right"/>
              <w:rPr>
                <w:lang w:eastAsia="en-GB"/>
              </w:rPr>
            </w:pPr>
            <w:r w:rsidRPr="00FC0457">
              <w:rPr>
                <w:lang w:eastAsia="en-GB"/>
              </w:rPr>
              <w:t>0.030***</w:t>
            </w:r>
          </w:p>
        </w:tc>
        <w:tc>
          <w:tcPr>
            <w:tcW w:w="1260" w:type="dxa"/>
            <w:tcBorders>
              <w:top w:val="nil"/>
              <w:left w:val="nil"/>
              <w:bottom w:val="nil"/>
              <w:right w:val="nil"/>
            </w:tcBorders>
            <w:shd w:val="clear" w:color="auto" w:fill="auto"/>
            <w:hideMark/>
          </w:tcPr>
          <w:p w14:paraId="2698639B" w14:textId="77777777" w:rsidR="00E8455B" w:rsidRPr="00FC0457" w:rsidRDefault="00E8455B" w:rsidP="000A5C58">
            <w:pPr>
              <w:pStyle w:val="Tabletext"/>
              <w:jc w:val="right"/>
              <w:rPr>
                <w:lang w:eastAsia="en-GB"/>
              </w:rPr>
            </w:pPr>
            <w:r w:rsidRPr="00FC0457">
              <w:rPr>
                <w:lang w:eastAsia="en-GB"/>
              </w:rPr>
              <w:t>(0.009)</w:t>
            </w:r>
          </w:p>
        </w:tc>
        <w:tc>
          <w:tcPr>
            <w:tcW w:w="1260" w:type="dxa"/>
            <w:tcBorders>
              <w:top w:val="nil"/>
              <w:left w:val="nil"/>
              <w:bottom w:val="nil"/>
              <w:right w:val="nil"/>
            </w:tcBorders>
            <w:shd w:val="clear" w:color="auto" w:fill="auto"/>
            <w:hideMark/>
          </w:tcPr>
          <w:p w14:paraId="3F320AB3" w14:textId="77777777" w:rsidR="00E8455B" w:rsidRPr="00FC0457" w:rsidRDefault="00E8455B" w:rsidP="000A5C58">
            <w:pPr>
              <w:pStyle w:val="Tabletext"/>
              <w:jc w:val="right"/>
              <w:rPr>
                <w:lang w:eastAsia="en-GB"/>
              </w:rPr>
            </w:pPr>
            <w:r w:rsidRPr="00FC0457">
              <w:rPr>
                <w:lang w:eastAsia="en-GB"/>
              </w:rPr>
              <w:t>0.018*</w:t>
            </w:r>
          </w:p>
        </w:tc>
        <w:tc>
          <w:tcPr>
            <w:tcW w:w="1260" w:type="dxa"/>
            <w:tcBorders>
              <w:top w:val="nil"/>
              <w:left w:val="nil"/>
              <w:bottom w:val="nil"/>
              <w:right w:val="nil"/>
            </w:tcBorders>
            <w:shd w:val="clear" w:color="auto" w:fill="auto"/>
            <w:hideMark/>
          </w:tcPr>
          <w:p w14:paraId="7DD14340" w14:textId="77777777" w:rsidR="00E8455B" w:rsidRPr="00FC0457" w:rsidRDefault="00E8455B" w:rsidP="000A5C58">
            <w:pPr>
              <w:pStyle w:val="Tabletext"/>
              <w:jc w:val="right"/>
              <w:rPr>
                <w:lang w:eastAsia="en-GB"/>
              </w:rPr>
            </w:pPr>
            <w:r w:rsidRPr="00FC0457">
              <w:rPr>
                <w:lang w:eastAsia="en-GB"/>
              </w:rPr>
              <w:t>(0.011)</w:t>
            </w:r>
          </w:p>
        </w:tc>
      </w:tr>
      <w:tr w:rsidR="00E8455B" w:rsidRPr="00FC0457" w14:paraId="165AB772" w14:textId="77777777" w:rsidTr="00C368DB">
        <w:trPr>
          <w:trHeight w:val="300"/>
        </w:trPr>
        <w:tc>
          <w:tcPr>
            <w:tcW w:w="4780" w:type="dxa"/>
            <w:tcBorders>
              <w:top w:val="nil"/>
              <w:left w:val="nil"/>
              <w:bottom w:val="nil"/>
              <w:right w:val="nil"/>
            </w:tcBorders>
            <w:shd w:val="clear" w:color="auto" w:fill="auto"/>
            <w:noWrap/>
            <w:vAlign w:val="bottom"/>
            <w:hideMark/>
          </w:tcPr>
          <w:p w14:paraId="0F654234" w14:textId="77777777" w:rsidR="00E8455B" w:rsidRPr="00FC0457" w:rsidRDefault="00E8455B" w:rsidP="007F39BA">
            <w:pPr>
              <w:pStyle w:val="Tabletext"/>
              <w:rPr>
                <w:lang w:eastAsia="en-GB"/>
              </w:rPr>
            </w:pPr>
            <w:r w:rsidRPr="00FC0457">
              <w:rPr>
                <w:lang w:eastAsia="en-GB"/>
              </w:rPr>
              <w:t xml:space="preserve">    Openness to experience</w:t>
            </w:r>
          </w:p>
        </w:tc>
        <w:tc>
          <w:tcPr>
            <w:tcW w:w="1260" w:type="dxa"/>
            <w:tcBorders>
              <w:top w:val="nil"/>
              <w:left w:val="nil"/>
              <w:bottom w:val="nil"/>
              <w:right w:val="nil"/>
            </w:tcBorders>
            <w:shd w:val="clear" w:color="auto" w:fill="auto"/>
            <w:hideMark/>
          </w:tcPr>
          <w:p w14:paraId="3AA98661" w14:textId="77777777" w:rsidR="00E8455B" w:rsidRPr="00FC0457" w:rsidRDefault="00E8455B" w:rsidP="000A5C58">
            <w:pPr>
              <w:pStyle w:val="Tabletext"/>
              <w:jc w:val="right"/>
              <w:rPr>
                <w:lang w:eastAsia="en-GB"/>
              </w:rPr>
            </w:pPr>
            <w:r w:rsidRPr="00FC0457">
              <w:rPr>
                <w:lang w:eastAsia="en-GB"/>
              </w:rPr>
              <w:t>-0.033***</w:t>
            </w:r>
          </w:p>
        </w:tc>
        <w:tc>
          <w:tcPr>
            <w:tcW w:w="1260" w:type="dxa"/>
            <w:tcBorders>
              <w:top w:val="nil"/>
              <w:left w:val="nil"/>
              <w:bottom w:val="nil"/>
              <w:right w:val="nil"/>
            </w:tcBorders>
            <w:shd w:val="clear" w:color="auto" w:fill="auto"/>
            <w:hideMark/>
          </w:tcPr>
          <w:p w14:paraId="149507A4" w14:textId="77777777" w:rsidR="00E8455B" w:rsidRPr="00FC0457" w:rsidRDefault="00E8455B" w:rsidP="000A5C58">
            <w:pPr>
              <w:pStyle w:val="Tabletext"/>
              <w:jc w:val="right"/>
              <w:rPr>
                <w:lang w:eastAsia="en-GB"/>
              </w:rPr>
            </w:pPr>
            <w:r w:rsidRPr="00FC0457">
              <w:rPr>
                <w:lang w:eastAsia="en-GB"/>
              </w:rPr>
              <w:t>(0.011)</w:t>
            </w:r>
          </w:p>
        </w:tc>
        <w:tc>
          <w:tcPr>
            <w:tcW w:w="1260" w:type="dxa"/>
            <w:tcBorders>
              <w:top w:val="nil"/>
              <w:left w:val="nil"/>
              <w:bottom w:val="nil"/>
              <w:right w:val="nil"/>
            </w:tcBorders>
            <w:shd w:val="clear" w:color="auto" w:fill="auto"/>
            <w:hideMark/>
          </w:tcPr>
          <w:p w14:paraId="3452CE3C" w14:textId="77777777" w:rsidR="00E8455B" w:rsidRPr="00FC0457" w:rsidRDefault="00E8455B" w:rsidP="000A5C58">
            <w:pPr>
              <w:pStyle w:val="Tabletext"/>
              <w:jc w:val="right"/>
              <w:rPr>
                <w:lang w:eastAsia="en-GB"/>
              </w:rPr>
            </w:pPr>
            <w:r w:rsidRPr="00FC0457">
              <w:rPr>
                <w:lang w:eastAsia="en-GB"/>
              </w:rPr>
              <w:t>0.000</w:t>
            </w:r>
          </w:p>
        </w:tc>
        <w:tc>
          <w:tcPr>
            <w:tcW w:w="1260" w:type="dxa"/>
            <w:tcBorders>
              <w:top w:val="nil"/>
              <w:left w:val="nil"/>
              <w:bottom w:val="nil"/>
              <w:right w:val="nil"/>
            </w:tcBorders>
            <w:shd w:val="clear" w:color="auto" w:fill="auto"/>
            <w:hideMark/>
          </w:tcPr>
          <w:p w14:paraId="67BE9B5A" w14:textId="77777777" w:rsidR="00E8455B" w:rsidRPr="00FC0457" w:rsidRDefault="00E8455B" w:rsidP="000A5C58">
            <w:pPr>
              <w:pStyle w:val="Tabletext"/>
              <w:jc w:val="right"/>
              <w:rPr>
                <w:lang w:eastAsia="en-GB"/>
              </w:rPr>
            </w:pPr>
            <w:r w:rsidRPr="00FC0457">
              <w:rPr>
                <w:lang w:eastAsia="en-GB"/>
              </w:rPr>
              <w:t>(0.013)</w:t>
            </w:r>
          </w:p>
        </w:tc>
      </w:tr>
      <w:tr w:rsidR="00E8455B" w:rsidRPr="00FC0457" w14:paraId="03FF516F" w14:textId="77777777" w:rsidTr="00C368DB">
        <w:trPr>
          <w:trHeight w:val="300"/>
        </w:trPr>
        <w:tc>
          <w:tcPr>
            <w:tcW w:w="4780" w:type="dxa"/>
            <w:tcBorders>
              <w:top w:val="nil"/>
              <w:left w:val="nil"/>
              <w:bottom w:val="nil"/>
              <w:right w:val="nil"/>
            </w:tcBorders>
            <w:shd w:val="clear" w:color="auto" w:fill="auto"/>
            <w:noWrap/>
            <w:vAlign w:val="bottom"/>
            <w:hideMark/>
          </w:tcPr>
          <w:p w14:paraId="313C4B89" w14:textId="77777777" w:rsidR="00E8455B" w:rsidRPr="00FC0457" w:rsidRDefault="00E8455B" w:rsidP="007F39BA">
            <w:pPr>
              <w:pStyle w:val="Tabletext"/>
              <w:rPr>
                <w:lang w:eastAsia="en-GB"/>
              </w:rPr>
            </w:pPr>
            <w:r w:rsidRPr="00FC0457">
              <w:rPr>
                <w:lang w:eastAsia="en-GB"/>
              </w:rPr>
              <w:t xml:space="preserve">    Missing</w:t>
            </w:r>
          </w:p>
        </w:tc>
        <w:tc>
          <w:tcPr>
            <w:tcW w:w="1260" w:type="dxa"/>
            <w:tcBorders>
              <w:top w:val="nil"/>
              <w:left w:val="nil"/>
              <w:bottom w:val="nil"/>
              <w:right w:val="nil"/>
            </w:tcBorders>
            <w:shd w:val="clear" w:color="auto" w:fill="auto"/>
            <w:hideMark/>
          </w:tcPr>
          <w:p w14:paraId="712A864E" w14:textId="77777777" w:rsidR="00E8455B" w:rsidRPr="00FC0457" w:rsidRDefault="00E8455B" w:rsidP="000A5C58">
            <w:pPr>
              <w:pStyle w:val="Tabletext"/>
              <w:jc w:val="right"/>
              <w:rPr>
                <w:lang w:eastAsia="en-GB"/>
              </w:rPr>
            </w:pPr>
            <w:r w:rsidRPr="00FC0457">
              <w:rPr>
                <w:lang w:eastAsia="en-GB"/>
              </w:rPr>
              <w:t>-0.150</w:t>
            </w:r>
          </w:p>
        </w:tc>
        <w:tc>
          <w:tcPr>
            <w:tcW w:w="1260" w:type="dxa"/>
            <w:tcBorders>
              <w:top w:val="nil"/>
              <w:left w:val="nil"/>
              <w:bottom w:val="nil"/>
              <w:right w:val="nil"/>
            </w:tcBorders>
            <w:shd w:val="clear" w:color="auto" w:fill="auto"/>
            <w:hideMark/>
          </w:tcPr>
          <w:p w14:paraId="076F5FBE" w14:textId="77777777" w:rsidR="00E8455B" w:rsidRPr="00FC0457" w:rsidRDefault="00E8455B" w:rsidP="000A5C58">
            <w:pPr>
              <w:pStyle w:val="Tabletext"/>
              <w:jc w:val="right"/>
              <w:rPr>
                <w:lang w:eastAsia="en-GB"/>
              </w:rPr>
            </w:pPr>
            <w:r w:rsidRPr="00FC0457">
              <w:rPr>
                <w:lang w:eastAsia="en-GB"/>
              </w:rPr>
              <w:t>(0.104)</w:t>
            </w:r>
          </w:p>
        </w:tc>
        <w:tc>
          <w:tcPr>
            <w:tcW w:w="1260" w:type="dxa"/>
            <w:tcBorders>
              <w:top w:val="nil"/>
              <w:left w:val="nil"/>
              <w:bottom w:val="nil"/>
              <w:right w:val="nil"/>
            </w:tcBorders>
            <w:shd w:val="clear" w:color="auto" w:fill="auto"/>
            <w:hideMark/>
          </w:tcPr>
          <w:p w14:paraId="56B8A3CF" w14:textId="77777777" w:rsidR="00E8455B" w:rsidRPr="00FC0457" w:rsidRDefault="00E8455B" w:rsidP="000A5C58">
            <w:pPr>
              <w:pStyle w:val="Tabletext"/>
              <w:jc w:val="right"/>
              <w:rPr>
                <w:lang w:eastAsia="en-GB"/>
              </w:rPr>
            </w:pPr>
            <w:r w:rsidRPr="00FC0457">
              <w:rPr>
                <w:lang w:eastAsia="en-GB"/>
              </w:rPr>
              <w:t>0.041</w:t>
            </w:r>
          </w:p>
        </w:tc>
        <w:tc>
          <w:tcPr>
            <w:tcW w:w="1260" w:type="dxa"/>
            <w:tcBorders>
              <w:top w:val="nil"/>
              <w:left w:val="nil"/>
              <w:bottom w:val="nil"/>
              <w:right w:val="nil"/>
            </w:tcBorders>
            <w:shd w:val="clear" w:color="auto" w:fill="auto"/>
            <w:hideMark/>
          </w:tcPr>
          <w:p w14:paraId="0471275A" w14:textId="77777777" w:rsidR="00E8455B" w:rsidRPr="00FC0457" w:rsidRDefault="00E8455B" w:rsidP="000A5C58">
            <w:pPr>
              <w:pStyle w:val="Tabletext"/>
              <w:jc w:val="right"/>
              <w:rPr>
                <w:lang w:eastAsia="en-GB"/>
              </w:rPr>
            </w:pPr>
            <w:r w:rsidRPr="00FC0457">
              <w:rPr>
                <w:lang w:eastAsia="en-GB"/>
              </w:rPr>
              <w:t>(0.122)</w:t>
            </w:r>
          </w:p>
        </w:tc>
      </w:tr>
      <w:tr w:rsidR="00E8455B" w:rsidRPr="00FC0457" w14:paraId="7A7B2B67" w14:textId="77777777" w:rsidTr="00C368DB">
        <w:trPr>
          <w:trHeight w:val="300"/>
        </w:trPr>
        <w:tc>
          <w:tcPr>
            <w:tcW w:w="4780" w:type="dxa"/>
            <w:tcBorders>
              <w:top w:val="nil"/>
              <w:left w:val="nil"/>
              <w:bottom w:val="single" w:sz="4" w:space="0" w:color="auto"/>
              <w:right w:val="nil"/>
            </w:tcBorders>
            <w:shd w:val="clear" w:color="auto" w:fill="auto"/>
            <w:noWrap/>
            <w:vAlign w:val="bottom"/>
            <w:hideMark/>
          </w:tcPr>
          <w:p w14:paraId="74E3C977" w14:textId="77777777" w:rsidR="00E8455B" w:rsidRPr="00FC0457" w:rsidRDefault="00E8455B" w:rsidP="007F39BA">
            <w:pPr>
              <w:pStyle w:val="Tabletext"/>
              <w:rPr>
                <w:i/>
                <w:iCs/>
                <w:lang w:eastAsia="en-GB"/>
              </w:rPr>
            </w:pPr>
            <w:r w:rsidRPr="00FC0457">
              <w:rPr>
                <w:i/>
                <w:iCs/>
                <w:lang w:eastAsia="en-GB"/>
              </w:rPr>
              <w:t>Number of observations</w:t>
            </w:r>
          </w:p>
        </w:tc>
        <w:tc>
          <w:tcPr>
            <w:tcW w:w="1260" w:type="dxa"/>
            <w:tcBorders>
              <w:top w:val="nil"/>
              <w:left w:val="nil"/>
              <w:bottom w:val="single" w:sz="4" w:space="0" w:color="auto"/>
              <w:right w:val="nil"/>
            </w:tcBorders>
            <w:shd w:val="clear" w:color="auto" w:fill="auto"/>
            <w:hideMark/>
          </w:tcPr>
          <w:p w14:paraId="61B4D8A2" w14:textId="77777777" w:rsidR="00E8455B" w:rsidRPr="00FC0457" w:rsidRDefault="00E8455B" w:rsidP="000A5C58">
            <w:pPr>
              <w:pStyle w:val="Tabletext"/>
              <w:jc w:val="right"/>
              <w:rPr>
                <w:lang w:eastAsia="en-GB"/>
              </w:rPr>
            </w:pPr>
            <w:r w:rsidRPr="00FC0457">
              <w:rPr>
                <w:lang w:eastAsia="en-GB"/>
              </w:rPr>
              <w:t>2,128</w:t>
            </w:r>
          </w:p>
        </w:tc>
        <w:tc>
          <w:tcPr>
            <w:tcW w:w="1260" w:type="dxa"/>
            <w:tcBorders>
              <w:top w:val="nil"/>
              <w:left w:val="nil"/>
              <w:bottom w:val="single" w:sz="4" w:space="0" w:color="auto"/>
              <w:right w:val="nil"/>
            </w:tcBorders>
            <w:shd w:val="clear" w:color="auto" w:fill="auto"/>
            <w:hideMark/>
          </w:tcPr>
          <w:p w14:paraId="71E7A92C" w14:textId="77777777" w:rsidR="00E8455B" w:rsidRPr="00FC0457" w:rsidRDefault="00E8455B" w:rsidP="000A5C58">
            <w:pPr>
              <w:pStyle w:val="Tabletext"/>
              <w:jc w:val="right"/>
              <w:rPr>
                <w:lang w:eastAsia="en-GB"/>
              </w:rPr>
            </w:pPr>
            <w:r w:rsidRPr="00FC0457">
              <w:rPr>
                <w:lang w:eastAsia="en-GB"/>
              </w:rPr>
              <w:t> </w:t>
            </w:r>
          </w:p>
        </w:tc>
        <w:tc>
          <w:tcPr>
            <w:tcW w:w="1260" w:type="dxa"/>
            <w:tcBorders>
              <w:top w:val="nil"/>
              <w:left w:val="nil"/>
              <w:bottom w:val="single" w:sz="4" w:space="0" w:color="auto"/>
              <w:right w:val="nil"/>
            </w:tcBorders>
            <w:shd w:val="clear" w:color="auto" w:fill="auto"/>
            <w:hideMark/>
          </w:tcPr>
          <w:p w14:paraId="5F51F385" w14:textId="77777777" w:rsidR="00E8455B" w:rsidRPr="00FC0457" w:rsidRDefault="00E8455B" w:rsidP="000A5C58">
            <w:pPr>
              <w:pStyle w:val="Tabletext"/>
              <w:jc w:val="right"/>
              <w:rPr>
                <w:lang w:eastAsia="en-GB"/>
              </w:rPr>
            </w:pPr>
            <w:r w:rsidRPr="00FC0457">
              <w:rPr>
                <w:lang w:eastAsia="en-GB"/>
              </w:rPr>
              <w:t>1,794</w:t>
            </w:r>
          </w:p>
        </w:tc>
        <w:tc>
          <w:tcPr>
            <w:tcW w:w="1260" w:type="dxa"/>
            <w:tcBorders>
              <w:top w:val="nil"/>
              <w:left w:val="nil"/>
              <w:bottom w:val="single" w:sz="4" w:space="0" w:color="auto"/>
              <w:right w:val="nil"/>
            </w:tcBorders>
            <w:shd w:val="clear" w:color="auto" w:fill="auto"/>
            <w:hideMark/>
          </w:tcPr>
          <w:p w14:paraId="65F81CF1" w14:textId="77777777" w:rsidR="00E8455B" w:rsidRPr="00FC0457" w:rsidRDefault="00E8455B" w:rsidP="000A5C58">
            <w:pPr>
              <w:pStyle w:val="Tabletext"/>
              <w:jc w:val="right"/>
              <w:rPr>
                <w:lang w:eastAsia="en-GB"/>
              </w:rPr>
            </w:pPr>
            <w:r w:rsidRPr="00FC0457">
              <w:rPr>
                <w:lang w:eastAsia="en-GB"/>
              </w:rPr>
              <w:t> </w:t>
            </w:r>
          </w:p>
        </w:tc>
      </w:tr>
    </w:tbl>
    <w:p w14:paraId="623D1729" w14:textId="77777777" w:rsidR="00E8455B" w:rsidRPr="001E01B5" w:rsidRDefault="00E8455B" w:rsidP="00D0291E">
      <w:pPr>
        <w:pStyle w:val="Source"/>
      </w:pPr>
      <w:r w:rsidRPr="001E01B5">
        <w:t>Interpretation example: Male respondents are 5 percentage points more likely to have a VET qualification than females (reference group).</w:t>
      </w:r>
    </w:p>
    <w:p w14:paraId="5CAE6CC4" w14:textId="1451B1C4" w:rsidR="00E8455B" w:rsidRPr="001E01B5" w:rsidRDefault="00E8455B" w:rsidP="00D0291E">
      <w:pPr>
        <w:pStyle w:val="Source"/>
      </w:pPr>
      <w:r w:rsidRPr="001E01B5">
        <w:t xml:space="preserve">Note: Coefficients and standard errors </w:t>
      </w:r>
      <w:r w:rsidR="007F39BA">
        <w:t>(</w:t>
      </w:r>
      <w:proofErr w:type="spellStart"/>
      <w:r w:rsidR="007F39BA">
        <w:t>s.e.</w:t>
      </w:r>
      <w:proofErr w:type="spellEnd"/>
      <w:r w:rsidR="007F39BA">
        <w:t xml:space="preserve">) </w:t>
      </w:r>
      <w:r w:rsidRPr="001E01B5">
        <w:t>reported are from OLS regressions on the type of qualification obtained by the respondent (VET; VET and HE; HE). In the second and third columns the sample is restricted to respondents with either a “VET” or a “HE” qualification; in the fourth and fifth columns the sample is restricted to respondents with either a “VET and HE” or a “HE” qualification.</w:t>
      </w:r>
    </w:p>
    <w:p w14:paraId="2A8F721F" w14:textId="77777777" w:rsidR="00E8455B" w:rsidRPr="001E01B5" w:rsidRDefault="00E8455B" w:rsidP="00D0291E">
      <w:pPr>
        <w:pStyle w:val="Source"/>
      </w:pPr>
      <w:r w:rsidRPr="001E01B5">
        <w:t>Source: HILDA wave 11, respondents aged 25-56 with non-missing occupation information and a VET and/or a HE qualification.</w:t>
      </w:r>
    </w:p>
    <w:p w14:paraId="5C19DDB6" w14:textId="090636EF" w:rsidR="00E8455B" w:rsidRDefault="00E8455B" w:rsidP="00D0291E">
      <w:pPr>
        <w:pStyle w:val="Source"/>
      </w:pPr>
      <w:r w:rsidRPr="001E01B5">
        <w:t xml:space="preserve">* </w:t>
      </w:r>
      <w:proofErr w:type="gramStart"/>
      <w:r w:rsidRPr="001E01B5">
        <w:t>indicates</w:t>
      </w:r>
      <w:proofErr w:type="gramEnd"/>
      <w:r w:rsidRPr="001E01B5">
        <w:t xml:space="preserve"> significance at 10%; ** at 5% and *** at 1 %.</w:t>
      </w:r>
    </w:p>
    <w:p w14:paraId="4E761B1B" w14:textId="77777777" w:rsidR="00087E74" w:rsidRPr="001054DF" w:rsidRDefault="00087E74" w:rsidP="00D0291E">
      <w:pPr>
        <w:pStyle w:val="Source"/>
      </w:pPr>
    </w:p>
    <w:p w14:paraId="7E291DD5" w14:textId="77777777" w:rsidR="00087E74" w:rsidRDefault="00087E74" w:rsidP="00087E74">
      <w:pPr>
        <w:pStyle w:val="Text"/>
      </w:pPr>
      <w:r>
        <w:t xml:space="preserve">The regression analyses presented in Table 4 above and on outcomes in section 5 are unweighted as is standard in regression analyses. Weights can be used to extrapolate descriptive statistics to the Australian population and/or deal with non-response and attrition in the survey. Weights are not commonly used in regressions because the controls used in the regressions largely overlap with the demographic characteristics used to build weights, such that adding weights does not add additional information and results are very similar with or without weights. Weights would significantly alter estimates if they were built using variables that are relevant to both responding behaviours and the outcome of interest in the regression analysis and that these variables were uncorrelated with the control variables included in the regression analysis. In our analysis of an unbalanced panel, the appropriate Hilda weights would be the cross-sectional responding person weights calculated at each </w:t>
      </w:r>
      <w:r>
        <w:lastRenderedPageBreak/>
        <w:t xml:space="preserve">wave. They are calculated from respondents’: geographical location, labour force status, sex, age, number of adults, number of children, marital status, English language ability, and dwelling type. Our extensive list of controls is largely overlapping and includes additional controls (incl. personality traits). We also compare results using a balanced panel (to test the effect of attrition over time) finding much similar results. You can find more details about Hilda weights at: </w:t>
      </w:r>
    </w:p>
    <w:p w14:paraId="0A6A67FF" w14:textId="77777777" w:rsidR="00087E74" w:rsidRPr="00087E74" w:rsidRDefault="00AE310C" w:rsidP="00087E74">
      <w:pPr>
        <w:pStyle w:val="Text"/>
        <w:rPr>
          <w:highlight w:val="yellow"/>
        </w:rPr>
      </w:pPr>
      <w:hyperlink r:id="rId22" w:history="1">
        <w:r w:rsidR="00087E74" w:rsidRPr="00087E74">
          <w:rPr>
            <w:rStyle w:val="Hyperlink"/>
          </w:rPr>
          <w:t>https://melbourneinstitute.unimelb.edu.au/assets/documents/hilda-bibliography/hilda-technical-papers/htec212.pdf</w:t>
        </w:r>
      </w:hyperlink>
    </w:p>
    <w:p w14:paraId="39DBE4E8" w14:textId="7FFB9EDF" w:rsidR="00E8455B" w:rsidRPr="00BD35C9" w:rsidRDefault="00D0291E" w:rsidP="00D0291E">
      <w:pPr>
        <w:pStyle w:val="Text"/>
      </w:pPr>
      <w:r>
        <w:t>The main findings from table 4 are that</w:t>
      </w:r>
      <w:r w:rsidR="00E8455B">
        <w:t>:</w:t>
      </w:r>
    </w:p>
    <w:p w14:paraId="43E97A4A" w14:textId="77777777" w:rsidR="00E8455B" w:rsidRDefault="00E8455B" w:rsidP="00D0291E">
      <w:pPr>
        <w:pStyle w:val="Dotpoint1"/>
      </w:pPr>
      <w:r>
        <w:t>The regression coefficients above show partial effects from multivariate models, i.e. they show how different characteristics are associated with the type of qualification all else being equal. For example, the coefficient on the State of residence is interpreted while holding the region constant, i.e. respondents in VIC are 6 percentage points less likely to have a VET qualification than respondents in NSW independently of whether they live in major cities, regional or remote locations.</w:t>
      </w:r>
    </w:p>
    <w:p w14:paraId="6F0532D6" w14:textId="1A9104C9" w:rsidR="00E8455B" w:rsidRDefault="00E8455B" w:rsidP="00D0291E">
      <w:pPr>
        <w:pStyle w:val="Dotpoint1"/>
      </w:pPr>
      <w:r>
        <w:t>Overall, most characteristics appear to be independently related to the qualification type obtained. It is therefore important to control for those differences in regressions of labour market outcomes to reduce the differences in outcomes that are stemming from these characteristics (gender, age</w:t>
      </w:r>
      <w:r w:rsidR="0076723C">
        <w:t xml:space="preserve"> etc.)</w:t>
      </w:r>
      <w:r>
        <w:t xml:space="preserve"> rather than true differences in outcomes stemming from differences in qualification types. It is important to remember that some characteristics that may affect qualifications and outcomes may still be unobserved and affect the results: we are only reducing this issue, not </w:t>
      </w:r>
      <w:proofErr w:type="gramStart"/>
      <w:r>
        <w:t>completely eliminating</w:t>
      </w:r>
      <w:proofErr w:type="gramEnd"/>
      <w:r>
        <w:t xml:space="preserve"> it.</w:t>
      </w:r>
    </w:p>
    <w:p w14:paraId="357C204C" w14:textId="77777777" w:rsidR="00E8455B" w:rsidRDefault="00E8455B" w:rsidP="00D0291E">
      <w:pPr>
        <w:pStyle w:val="Dotpoint1"/>
      </w:pPr>
      <w:r>
        <w:t>A number of associations described above disappear because of the association between the different variables (</w:t>
      </w:r>
      <w:proofErr w:type="gramStart"/>
      <w:r>
        <w:t>e.g.</w:t>
      </w:r>
      <w:proofErr w:type="gramEnd"/>
      <w:r>
        <w:t xml:space="preserve"> between age and number of years since leaving full-time education; or between country of birth, language spoken, State/Territory and region of residence)</w:t>
      </w:r>
    </w:p>
    <w:p w14:paraId="75EFD474" w14:textId="77777777" w:rsidR="00E8455B" w:rsidRDefault="00E8455B" w:rsidP="00D0291E">
      <w:pPr>
        <w:pStyle w:val="Dotpoint1"/>
      </w:pPr>
      <w:r>
        <w:t>Males are more likely to qualify from VET and less likely from VET and HE qualifications than females.</w:t>
      </w:r>
    </w:p>
    <w:p w14:paraId="0CB665F9" w14:textId="77777777" w:rsidR="00E8455B" w:rsidRDefault="00E8455B" w:rsidP="00D0291E">
      <w:pPr>
        <w:pStyle w:val="Dotpoint1"/>
      </w:pPr>
      <w:r>
        <w:t xml:space="preserve">The negative age coefficient suggests that older people are less likely to hold a VET qualification than younger people. At the same time, the likelihood that someone in the sample holds a VET qualification increases with the number of years since the respondent left full-time education. This reflects the fact that HE qualifications take longer to </w:t>
      </w:r>
      <w:proofErr w:type="gramStart"/>
      <w:r>
        <w:t>get:</w:t>
      </w:r>
      <w:proofErr w:type="gramEnd"/>
      <w:r>
        <w:t xml:space="preserve"> among two respondents who left full-time education the same number of years ago, the eldest of the two has studied FT for longer, and is therefore less likely to have qualified from VET and more likely to have qualified HE.</w:t>
      </w:r>
    </w:p>
    <w:p w14:paraId="4C72B070" w14:textId="77777777" w:rsidR="00E8455B" w:rsidRDefault="00E8455B" w:rsidP="00D0291E">
      <w:pPr>
        <w:pStyle w:val="Dotpoint1"/>
      </w:pPr>
      <w:r>
        <w:t>Residents of Victoria and Tasmania are less likely than residents of NSW to have any VET qualifications. But this is after accounting for the fact that residents in inner and outer regional and remote Australia are more likely to have VET or VET &amp; HE qualifications.</w:t>
      </w:r>
    </w:p>
    <w:p w14:paraId="66E78E41" w14:textId="77777777" w:rsidR="00E8455B" w:rsidRDefault="00E8455B" w:rsidP="00D0291E">
      <w:pPr>
        <w:pStyle w:val="Dotpoint1"/>
      </w:pPr>
      <w:r>
        <w:t xml:space="preserve">There is a clear positive and independent association between respondents’ attainment of a VET qualification and their parents’ attainment. </w:t>
      </w:r>
    </w:p>
    <w:p w14:paraId="5C493E16" w14:textId="64CEAFBF" w:rsidR="00E8455B" w:rsidRDefault="00E8455B" w:rsidP="00D0291E">
      <w:pPr>
        <w:pStyle w:val="Dotpoint1"/>
      </w:pPr>
      <w:r>
        <w:t xml:space="preserve">Similarly, there is a clear negative and independent association between respondents’ VET qualification attainment and their parents’ occupational prestige (AUSEI06). In other words, the likelihood of VET qualification attainment is associated with their parents having less prestigious jobs. </w:t>
      </w:r>
    </w:p>
    <w:p w14:paraId="00DFB01B" w14:textId="77777777" w:rsidR="00E8455B" w:rsidRPr="00CA7EF8" w:rsidRDefault="00E8455B" w:rsidP="00D0291E">
      <w:pPr>
        <w:pStyle w:val="Dotpoint1"/>
      </w:pPr>
      <w:r>
        <w:t>It also appears that extroverts are more likely to do VET or VET &amp; HE, while respondents with higher levels of emotional stability and openness to experience are less likely to get a VET qualification.</w:t>
      </w:r>
    </w:p>
    <w:p w14:paraId="11E74BE2" w14:textId="77777777" w:rsidR="00E8455B" w:rsidRPr="00BD35C9" w:rsidRDefault="00E8455B" w:rsidP="00541AE7">
      <w:pPr>
        <w:pStyle w:val="Heading2"/>
      </w:pPr>
      <w:bookmarkStart w:id="30" w:name="_Toc102040943"/>
      <w:r w:rsidRPr="00BD35C9">
        <w:lastRenderedPageBreak/>
        <w:t>Estimation of differences in outcomes between VET and HE pathways</w:t>
      </w:r>
      <w:bookmarkEnd w:id="30"/>
    </w:p>
    <w:p w14:paraId="7156E5D1" w14:textId="77777777" w:rsidR="00E8455B" w:rsidRDefault="00E8455B" w:rsidP="00541AE7">
      <w:pPr>
        <w:pStyle w:val="Text"/>
      </w:pPr>
      <w:r w:rsidRPr="00BD35C9">
        <w:t>To estimate differences in outcomes between individuals with a VET</w:t>
      </w:r>
      <w:r>
        <w:t xml:space="preserve">, VET+HE, or </w:t>
      </w:r>
      <w:r w:rsidRPr="00BD35C9">
        <w:t xml:space="preserve">HE qualification within the same occupation, we run linear regressions with occupation fixed effects and individual controls. The occupation fixed effects allow </w:t>
      </w:r>
      <w:r>
        <w:t xml:space="preserve">us </w:t>
      </w:r>
      <w:r w:rsidRPr="00BD35C9">
        <w:t>to control for all drivers of occupation choice</w:t>
      </w:r>
      <w:r>
        <w:t>, i.e. differences in average respondent characteristics that vary by occupation (</w:t>
      </w:r>
      <w:proofErr w:type="spellStart"/>
      <w:r w:rsidRPr="001054DF">
        <w:rPr>
          <w:i/>
        </w:rPr>
        <w:t>OCC</w:t>
      </w:r>
      <w:r w:rsidRPr="001054DF">
        <w:rPr>
          <w:i/>
          <w:vertAlign w:val="subscript"/>
        </w:rPr>
        <w:t>k</w:t>
      </w:r>
      <w:proofErr w:type="spellEnd"/>
      <w:r>
        <w:t>). For example, this</w:t>
      </w:r>
      <w:r w:rsidRPr="00BD35C9">
        <w:t xml:space="preserve"> includ</w:t>
      </w:r>
      <w:r>
        <w:t>es</w:t>
      </w:r>
      <w:r w:rsidRPr="00BD35C9">
        <w:t xml:space="preserve"> </w:t>
      </w:r>
      <w:r>
        <w:t xml:space="preserve">characteristics that are not measured in HILDA, such as childhood circumstances or IQ </w:t>
      </w:r>
      <w:proofErr w:type="gramStart"/>
      <w:r w:rsidRPr="00BD35C9">
        <w:t>as long as</w:t>
      </w:r>
      <w:proofErr w:type="gramEnd"/>
      <w:r w:rsidRPr="00BD35C9">
        <w:t xml:space="preserve"> they don’t vary over time. </w:t>
      </w:r>
      <w:r>
        <w:t>We also include</w:t>
      </w:r>
      <w:r w:rsidRPr="00BD35C9">
        <w:t xml:space="preserve"> individual </w:t>
      </w:r>
      <w:r>
        <w:t>respondent controls</w:t>
      </w:r>
      <w:r w:rsidRPr="00BD35C9">
        <w:t xml:space="preserve"> </w:t>
      </w:r>
      <w:r>
        <w:t xml:space="preserve">from Tables 3 and 4 </w:t>
      </w:r>
      <w:r w:rsidRPr="00BD35C9">
        <w:t xml:space="preserve">that affect the decision </w:t>
      </w:r>
      <w:r>
        <w:t>to obtain a</w:t>
      </w:r>
      <w:r w:rsidRPr="00BD35C9">
        <w:t xml:space="preserve"> VET </w:t>
      </w:r>
      <w:r>
        <w:t>or</w:t>
      </w:r>
      <w:r w:rsidRPr="00BD35C9">
        <w:t xml:space="preserve"> HE </w:t>
      </w:r>
      <w:r>
        <w:t>qualification</w:t>
      </w:r>
      <w:r w:rsidRPr="00BD35C9">
        <w:t xml:space="preserve"> and may be correlated with outcomes</w:t>
      </w:r>
      <w:r>
        <w:t xml:space="preserve"> (</w:t>
      </w:r>
      <m:oMath>
        <m:sSub>
          <m:sSubPr>
            <m:ctrlPr>
              <w:rPr>
                <w:rFonts w:ascii="Cambria Math" w:eastAsiaTheme="minorEastAsia" w:hAnsi="Cambria Math"/>
                <w:i/>
              </w:rPr>
            </m:ctrlPr>
          </m:sSubPr>
          <m:e>
            <m:r>
              <w:rPr>
                <w:rFonts w:ascii="Cambria Math" w:eastAsiaTheme="minorEastAsia" w:hAnsi="Cambria Math"/>
              </w:rPr>
              <m:t>CONTROLS</m:t>
            </m:r>
          </m:e>
          <m:sub>
            <m:r>
              <w:rPr>
                <w:rFonts w:ascii="Cambria Math" w:eastAsiaTheme="minorEastAsia" w:hAnsi="Cambria Math"/>
              </w:rPr>
              <m:t>i</m:t>
            </m:r>
          </m:sub>
        </m:sSub>
        <m:r>
          <w:rPr>
            <w:rFonts w:ascii="Cambria Math" w:eastAsiaTheme="minorEastAsia" w:hAnsi="Cambria Math"/>
          </w:rPr>
          <m:t>)</m:t>
        </m:r>
      </m:oMath>
      <w:r w:rsidRPr="00B07EE5">
        <w:t xml:space="preserve">. </w:t>
      </w:r>
      <w:r>
        <w:t xml:space="preserve">Those controls are as at wave 11. </w:t>
      </w:r>
    </w:p>
    <w:p w14:paraId="2DBB7AC6" w14:textId="77777777" w:rsidR="00E8455B" w:rsidRPr="00B07EE5" w:rsidRDefault="00E8455B" w:rsidP="00541AE7">
      <w:pPr>
        <w:pStyle w:val="Text"/>
      </w:pPr>
      <w:r w:rsidRPr="00B07EE5">
        <w:rPr>
          <w:color w:val="000000" w:themeColor="text1"/>
        </w:rPr>
        <w:t>Regressions are run separately for each year</w:t>
      </w:r>
      <w:r>
        <w:rPr>
          <w:color w:val="000000" w:themeColor="text1"/>
        </w:rPr>
        <w:t xml:space="preserve"> from 2011 to 2019, allowing to analyse the evolution of outcomes over 9 years.</w:t>
      </w:r>
    </w:p>
    <w:p w14:paraId="0C61D91F" w14:textId="77777777" w:rsidR="00E8455B" w:rsidRDefault="00E8455B" w:rsidP="00541AE7">
      <w:pPr>
        <w:pStyle w:val="Text"/>
      </w:pPr>
      <w:r>
        <w:t>We estimate the following equation:</w:t>
      </w:r>
    </w:p>
    <w:p w14:paraId="20D32FEA" w14:textId="77777777" w:rsidR="00E8455B" w:rsidRPr="00E51B7F" w:rsidRDefault="00AE310C" w:rsidP="00053653">
      <w:pPr>
        <w:pStyle w:val="Text"/>
        <w:rPr>
          <w:rFonts w:eastAsiaTheme="minorEastAsia"/>
        </w:rPr>
      </w:pPr>
      <m:oMathPara>
        <m:oMath>
          <m:sSub>
            <m:sSubPr>
              <m:ctrlPr>
                <w:rPr>
                  <w:rFonts w:ascii="Cambria Math" w:hAnsi="Cambria Math"/>
                </w:rPr>
              </m:ctrlPr>
            </m:sSubPr>
            <m:e>
              <m:r>
                <w:rPr>
                  <w:rFonts w:ascii="Cambria Math" w:hAnsi="Cambria Math"/>
                </w:rPr>
                <m:t>y</m:t>
              </m:r>
            </m:e>
            <m:sub>
              <m:r>
                <w:rPr>
                  <w:rFonts w:ascii="Cambria Math" w:hAnsi="Cambria Math"/>
                </w:rPr>
                <m:t>ikt</m:t>
              </m:r>
            </m:sub>
          </m:sSub>
          <m:r>
            <m:rPr>
              <m:sty m:val="p"/>
            </m:rP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β</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β</m:t>
              </m:r>
            </m:e>
            <m:sub>
              <m:r>
                <m:rPr>
                  <m:sty m:val="p"/>
                </m:rPr>
                <w:rPr>
                  <w:rFonts w:ascii="Cambria Math" w:eastAsiaTheme="minorEastAsia" w:hAnsi="Cambria Math"/>
                </w:rPr>
                <m:t>1</m:t>
              </m:r>
            </m:sub>
          </m:sSub>
          <m:sSub>
            <m:sSubPr>
              <m:ctrlPr>
                <w:rPr>
                  <w:rFonts w:ascii="Cambria Math" w:eastAsiaTheme="minorEastAsia" w:hAnsi="Cambria Math"/>
                </w:rPr>
              </m:ctrlPr>
            </m:sSubPr>
            <m:e>
              <m:r>
                <w:rPr>
                  <w:rFonts w:ascii="Cambria Math" w:eastAsiaTheme="minorEastAsia" w:hAnsi="Cambria Math"/>
                </w:rPr>
                <m:t>QUAL</m:t>
              </m:r>
            </m:e>
            <m:sub>
              <m:r>
                <m:rPr>
                  <m:sty m:val="p"/>
                </m:rPr>
                <w:rPr>
                  <w:rFonts w:ascii="Cambria Math" w:eastAsiaTheme="minorEastAsia" w:hAnsi="Cambria Math"/>
                </w:rPr>
                <m:t>1</m:t>
              </m:r>
              <m: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β</m:t>
              </m:r>
            </m:e>
            <m:sub>
              <m:r>
                <m:rPr>
                  <m:sty m:val="p"/>
                </m:rPr>
                <w:rPr>
                  <w:rFonts w:ascii="Cambria Math" w:eastAsiaTheme="minorEastAsia" w:hAnsi="Cambria Math"/>
                </w:rPr>
                <m:t>2</m:t>
              </m:r>
            </m:sub>
          </m:sSub>
          <m:sSub>
            <m:sSubPr>
              <m:ctrlPr>
                <w:rPr>
                  <w:rFonts w:ascii="Cambria Math" w:eastAsiaTheme="minorEastAsia" w:hAnsi="Cambria Math"/>
                </w:rPr>
              </m:ctrlPr>
            </m:sSubPr>
            <m:e>
              <m:r>
                <w:rPr>
                  <w:rFonts w:ascii="Cambria Math" w:eastAsiaTheme="minorEastAsia" w:hAnsi="Cambria Math"/>
                </w:rPr>
                <m:t>QUAL</m:t>
              </m:r>
            </m:e>
            <m:sub>
              <m:r>
                <m:rPr>
                  <m:sty m:val="p"/>
                </m:rPr>
                <w:rPr>
                  <w:rFonts w:ascii="Cambria Math" w:eastAsiaTheme="minorEastAsia" w:hAnsi="Cambria Math"/>
                </w:rPr>
                <m:t>2</m:t>
              </m:r>
              <m: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β</m:t>
              </m:r>
            </m:e>
            <m:sub>
              <m:r>
                <m:rPr>
                  <m:sty m:val="p"/>
                </m:rPr>
                <w:rPr>
                  <w:rFonts w:ascii="Cambria Math" w:eastAsiaTheme="minorEastAsia" w:hAnsi="Cambria Math"/>
                </w:rPr>
                <m:t>3</m:t>
              </m:r>
            </m:sub>
          </m:sSub>
          <m:sSub>
            <m:sSubPr>
              <m:ctrlPr>
                <w:rPr>
                  <w:rFonts w:ascii="Cambria Math" w:eastAsiaTheme="minorEastAsia" w:hAnsi="Cambria Math"/>
                </w:rPr>
              </m:ctrlPr>
            </m:sSubPr>
            <m:e>
              <m:r>
                <w:rPr>
                  <w:rFonts w:ascii="Cambria Math" w:eastAsiaTheme="minorEastAsia" w:hAnsi="Cambria Math"/>
                </w:rPr>
                <m:t>CONTROLS</m:t>
              </m:r>
            </m:e>
            <m:sub>
              <m:r>
                <w:rPr>
                  <w:rFonts w:ascii="Cambria Math" w:eastAsiaTheme="minorEastAsia" w:hAnsi="Cambria Math"/>
                </w:rPr>
                <m:t>i</m:t>
              </m:r>
            </m:sub>
          </m:sSub>
          <m:r>
            <m:rPr>
              <m:sty m:val="p"/>
            </m:rPr>
            <w:rPr>
              <w:rFonts w:ascii="Cambria Math" w:eastAsiaTheme="minorEastAsia" w:hAnsi="Cambria Math"/>
            </w:rPr>
            <m:t>+</m:t>
          </m:r>
          <m:nary>
            <m:naryPr>
              <m:chr m:val="∑"/>
              <m:limLoc m:val="subSup"/>
              <m:supHide m:val="1"/>
              <m:ctrlPr>
                <w:rPr>
                  <w:rFonts w:ascii="Cambria Math" w:eastAsiaTheme="minorEastAsia" w:hAnsi="Cambria Math"/>
                </w:rPr>
              </m:ctrlPr>
            </m:naryPr>
            <m:sub>
              <m:r>
                <w:rPr>
                  <w:rFonts w:ascii="Cambria Math" w:eastAsiaTheme="minorEastAsia" w:hAnsi="Cambria Math"/>
                </w:rPr>
                <m:t>k</m:t>
              </m:r>
            </m:sub>
            <m:sup/>
            <m:e>
              <m:sSub>
                <m:sSubPr>
                  <m:ctrlPr>
                    <w:rPr>
                      <w:rFonts w:ascii="Cambria Math" w:eastAsiaTheme="minorEastAsia" w:hAnsi="Cambria Math"/>
                    </w:rPr>
                  </m:ctrlPr>
                </m:sSubPr>
                <m:e>
                  <m:r>
                    <w:rPr>
                      <w:rFonts w:ascii="Cambria Math" w:eastAsiaTheme="minorEastAsia" w:hAnsi="Cambria Math"/>
                    </w:rPr>
                    <m:t>β</m:t>
                  </m:r>
                </m:e>
                <m:sub>
                  <m:r>
                    <m:rPr>
                      <m:sty m:val="p"/>
                    </m:rPr>
                    <w:rPr>
                      <w:rFonts w:ascii="Cambria Math" w:eastAsiaTheme="minorEastAsia" w:hAnsi="Cambria Math"/>
                    </w:rPr>
                    <m:t>4</m:t>
                  </m:r>
                  <m:r>
                    <w:rPr>
                      <w:rFonts w:ascii="Cambria Math" w:eastAsiaTheme="minorEastAsia" w:hAnsi="Cambria Math"/>
                    </w:rPr>
                    <m:t>k</m:t>
                  </m:r>
                </m:sub>
              </m:sSub>
              <m:sSub>
                <m:sSubPr>
                  <m:ctrlPr>
                    <w:rPr>
                      <w:rFonts w:ascii="Cambria Math" w:eastAsiaTheme="minorEastAsia" w:hAnsi="Cambria Math"/>
                    </w:rPr>
                  </m:ctrlPr>
                </m:sSubPr>
                <m:e>
                  <m:r>
                    <w:rPr>
                      <w:rFonts w:ascii="Cambria Math" w:eastAsiaTheme="minorEastAsia" w:hAnsi="Cambria Math"/>
                    </w:rPr>
                    <m:t>OCC</m:t>
                  </m:r>
                </m:e>
                <m:sub>
                  <m:r>
                    <w:rPr>
                      <w:rFonts w:ascii="Cambria Math" w:eastAsiaTheme="minorEastAsia" w:hAnsi="Cambria Math"/>
                    </w:rPr>
                    <m:t>k</m:t>
                  </m:r>
                </m:sub>
              </m:sSub>
            </m:e>
          </m:nary>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ikt</m:t>
              </m:r>
            </m:sub>
          </m:sSub>
        </m:oMath>
      </m:oMathPara>
    </w:p>
    <w:p w14:paraId="60E1D994" w14:textId="3FEDE666" w:rsidR="00E8455B" w:rsidRDefault="00E8455B" w:rsidP="00053653">
      <w:pPr>
        <w:pStyle w:val="Text"/>
        <w:rPr>
          <w:rFonts w:eastAsiaTheme="minorEastAsia"/>
        </w:rPr>
      </w:pPr>
      <w:r>
        <w:rPr>
          <w:rFonts w:eastAsiaTheme="minorEastAsia"/>
        </w:rPr>
        <w:t>Where</w:t>
      </w:r>
      <w:r w:rsidR="00451D64">
        <w:rPr>
          <w:rFonts w:eastAsiaTheme="minorEastAsia"/>
        </w:rPr>
        <w:t>:</w:t>
      </w:r>
      <w:r>
        <w:rPr>
          <w:rFonts w:eastAsiaTheme="minorEastAsia"/>
        </w:rPr>
        <w:t xml:space="preserve"> </w:t>
      </w:r>
    </w:p>
    <w:p w14:paraId="5364FE19" w14:textId="77777777" w:rsidR="00E8455B" w:rsidRDefault="00E8455B" w:rsidP="00053653">
      <w:pPr>
        <w:pStyle w:val="Text"/>
        <w:rPr>
          <w:rFonts w:eastAsiaTheme="minorEastAsia"/>
        </w:rPr>
      </w:pPr>
      <w:r>
        <w:rPr>
          <w:rFonts w:eastAsiaTheme="minorEastAsia"/>
        </w:rPr>
        <w:t>QUAL</w:t>
      </w:r>
      <w:r w:rsidRPr="00353A94">
        <w:rPr>
          <w:rFonts w:eastAsiaTheme="minorEastAsia"/>
          <w:vertAlign w:val="subscript"/>
        </w:rPr>
        <w:t>1</w:t>
      </w:r>
      <w:r>
        <w:rPr>
          <w:rFonts w:eastAsiaTheme="minorEastAsia"/>
        </w:rPr>
        <w:t xml:space="preserve">=1 for respondents who did VET, 0 for other </w:t>
      </w:r>
      <w:proofErr w:type="gramStart"/>
      <w:r>
        <w:rPr>
          <w:rFonts w:eastAsiaTheme="minorEastAsia"/>
        </w:rPr>
        <w:t>respondents;</w:t>
      </w:r>
      <w:proofErr w:type="gramEnd"/>
      <w:r>
        <w:rPr>
          <w:rFonts w:eastAsiaTheme="minorEastAsia"/>
        </w:rPr>
        <w:t xml:space="preserve"> </w:t>
      </w:r>
    </w:p>
    <w:p w14:paraId="6474DE2B" w14:textId="77777777" w:rsidR="00E8455B" w:rsidRDefault="00E8455B" w:rsidP="00053653">
      <w:pPr>
        <w:pStyle w:val="Text"/>
        <w:rPr>
          <w:rFonts w:eastAsiaTheme="minorEastAsia"/>
        </w:rPr>
      </w:pPr>
      <w:r>
        <w:rPr>
          <w:rFonts w:eastAsiaTheme="minorEastAsia"/>
        </w:rPr>
        <w:t>QUAL</w:t>
      </w:r>
      <w:r w:rsidRPr="00353A94">
        <w:rPr>
          <w:rFonts w:eastAsiaTheme="minorEastAsia"/>
          <w:vertAlign w:val="subscript"/>
        </w:rPr>
        <w:t>2</w:t>
      </w:r>
      <w:r>
        <w:rPr>
          <w:rFonts w:eastAsiaTheme="minorEastAsia"/>
        </w:rPr>
        <w:t xml:space="preserve">=1 for those who did VET and HE, 0 for other </w:t>
      </w:r>
      <w:proofErr w:type="gramStart"/>
      <w:r>
        <w:rPr>
          <w:rFonts w:eastAsiaTheme="minorEastAsia"/>
        </w:rPr>
        <w:t>respondents;</w:t>
      </w:r>
      <w:proofErr w:type="gramEnd"/>
      <w:r>
        <w:rPr>
          <w:rFonts w:eastAsiaTheme="minorEastAsia"/>
        </w:rPr>
        <w:t xml:space="preserve"> </w:t>
      </w:r>
    </w:p>
    <w:p w14:paraId="727C16B2" w14:textId="77777777" w:rsidR="00E8455B" w:rsidRDefault="00AE310C" w:rsidP="00053653">
      <w:pPr>
        <w:pStyle w:val="Text"/>
        <w:rPr>
          <w:rFonts w:eastAsiaTheme="minorEastAsia"/>
        </w:rPr>
      </w:pPr>
      <m:oMath>
        <m:sSub>
          <m:sSubPr>
            <m:ctrlPr>
              <w:rPr>
                <w:rFonts w:ascii="Cambria Math" w:eastAsiaTheme="minorEastAsia" w:hAnsi="Cambria Math"/>
              </w:rPr>
            </m:ctrlPr>
          </m:sSubPr>
          <m:e>
            <m:r>
              <w:rPr>
                <w:rFonts w:ascii="Cambria Math" w:eastAsiaTheme="minorEastAsia" w:hAnsi="Cambria Math"/>
              </w:rPr>
              <m:t>OCC</m:t>
            </m:r>
          </m:e>
          <m:sub>
            <m:r>
              <w:rPr>
                <w:rFonts w:ascii="Cambria Math" w:eastAsiaTheme="minorEastAsia" w:hAnsi="Cambria Math"/>
              </w:rPr>
              <m:t>k</m:t>
            </m:r>
          </m:sub>
        </m:sSub>
      </m:oMath>
      <w:r w:rsidR="00E8455B">
        <w:rPr>
          <w:rFonts w:eastAsiaTheme="minorEastAsia"/>
        </w:rPr>
        <w:t>=3-digit ANZSCO 2006 occupation group (2-digit ANZSCO groups for extra occupations in the extended sample).</w:t>
      </w:r>
    </w:p>
    <w:p w14:paraId="1D7FAD44" w14:textId="77777777" w:rsidR="00E8455B" w:rsidRDefault="00AE310C" w:rsidP="00053653">
      <w:pPr>
        <w:pStyle w:val="Text"/>
        <w:rPr>
          <w:rFonts w:eastAsiaTheme="minorEastAsia"/>
        </w:rPr>
      </w:pPr>
      <m:oMath>
        <m:sSub>
          <m:sSubPr>
            <m:ctrlPr>
              <w:rPr>
                <w:rFonts w:ascii="Cambria Math" w:eastAsiaTheme="minorEastAsia" w:hAnsi="Cambria Math"/>
              </w:rPr>
            </m:ctrlPr>
          </m:sSubPr>
          <m:e>
            <m:r>
              <w:rPr>
                <w:rFonts w:ascii="Cambria Math" w:eastAsiaTheme="minorEastAsia" w:hAnsi="Cambria Math"/>
              </w:rPr>
              <m:t>ε</m:t>
            </m:r>
          </m:e>
          <m:sub>
            <m:r>
              <w:rPr>
                <w:rFonts w:ascii="Cambria Math" w:eastAsiaTheme="minorEastAsia" w:hAnsi="Cambria Math"/>
              </w:rPr>
              <m:t>ikt</m:t>
            </m:r>
          </m:sub>
        </m:sSub>
      </m:oMath>
      <w:r w:rsidR="00E8455B">
        <w:rPr>
          <w:rFonts w:eastAsiaTheme="minorEastAsia"/>
        </w:rPr>
        <w:t xml:space="preserve">= an error/residual term that includes </w:t>
      </w:r>
      <w:proofErr w:type="gramStart"/>
      <w:r w:rsidR="00E8455B">
        <w:rPr>
          <w:rFonts w:eastAsiaTheme="minorEastAsia"/>
        </w:rPr>
        <w:t>all of</w:t>
      </w:r>
      <w:proofErr w:type="gramEnd"/>
      <w:r w:rsidR="00E8455B">
        <w:rPr>
          <w:rFonts w:eastAsiaTheme="minorEastAsia"/>
        </w:rPr>
        <w:t xml:space="preserve"> the factors that affect outcomes that are not controlled for in the regression.</w:t>
      </w:r>
    </w:p>
    <w:p w14:paraId="4626D442" w14:textId="77777777" w:rsidR="00E8455B" w:rsidRDefault="00E8455B" w:rsidP="00053653">
      <w:pPr>
        <w:pStyle w:val="Text"/>
        <w:rPr>
          <w:rFonts w:eastAsiaTheme="minorEastAsia"/>
        </w:rPr>
      </w:pPr>
      <w:r>
        <w:rPr>
          <w:rFonts w:eastAsiaTheme="minorEastAsia"/>
        </w:rPr>
        <w:t>Standard errors are robust and clustered at the level of the occupation group.</w:t>
      </w:r>
    </w:p>
    <w:p w14:paraId="3BF37251" w14:textId="77777777" w:rsidR="00E8455B" w:rsidRPr="00BD35C9" w:rsidRDefault="00E8455B" w:rsidP="00053653">
      <w:pPr>
        <w:pStyle w:val="Text"/>
      </w:pPr>
      <w:r>
        <w:t>Outcomes are measured from 2011 to 2019 using waves 11 to 19 of Hilda, following respondents from our wave 11 sample described above. Our base analysis includes any of the wave 11 sample for whom we have available information on the outcome of interest at each date. For example, if a respondent has available data for wave 16 but not for wave 15, his data is included in the analysis at wave 16 but not 15. The benefit of this approach is to keep the largest possible sample and avoid biases in results that may be relate to the specificities of respondents that answer at each wave and may relate to outcomes (e.g. conscientiousness). The downside is that our sample changes slightly from wave to wave. We run a robustness check to check that using the balanced panel (i.e. respondents who responded to each wave between 11 and 19) yields similar results.</w:t>
      </w:r>
    </w:p>
    <w:p w14:paraId="05755BF4" w14:textId="77777777" w:rsidR="00E8455B" w:rsidRDefault="00E8455B" w:rsidP="00053653">
      <w:pPr>
        <w:pStyle w:val="Text"/>
      </w:pPr>
      <w:r w:rsidRPr="00BD35C9">
        <w:t xml:space="preserve">In term of outcomes, we analyse </w:t>
      </w:r>
      <w:r>
        <w:t>characteristics</w:t>
      </w:r>
      <w:r w:rsidRPr="00BD35C9">
        <w:t xml:space="preserve"> of respondents’ </w:t>
      </w:r>
      <w:r>
        <w:t>overall labour market history</w:t>
      </w:r>
      <w:r w:rsidRPr="00BD35C9">
        <w:t xml:space="preserve">: </w:t>
      </w:r>
    </w:p>
    <w:p w14:paraId="025560E8" w14:textId="77777777" w:rsidR="00E8455B" w:rsidRDefault="00E8455B" w:rsidP="00053653">
      <w:pPr>
        <w:pStyle w:val="Dotpoint1"/>
      </w:pPr>
      <w:r>
        <w:t>Tenure in occupation (in years)</w:t>
      </w:r>
    </w:p>
    <w:p w14:paraId="20735FC7" w14:textId="77777777" w:rsidR="00E8455B" w:rsidRDefault="00E8455B" w:rsidP="00053653">
      <w:pPr>
        <w:pStyle w:val="Dotpoint1"/>
      </w:pPr>
      <w:r>
        <w:t>Number of years spent unemployed and looking for work (since left full-time education)</w:t>
      </w:r>
    </w:p>
    <w:p w14:paraId="052E1151" w14:textId="77777777" w:rsidR="00E8455B" w:rsidRPr="009F4C38" w:rsidRDefault="00E8455B" w:rsidP="00053653">
      <w:pPr>
        <w:pStyle w:val="Text"/>
      </w:pPr>
      <w:r>
        <w:t>W</w:t>
      </w:r>
      <w:r w:rsidRPr="00BD35C9">
        <w:t xml:space="preserve">e </w:t>
      </w:r>
      <w:r>
        <w:t xml:space="preserve">also </w:t>
      </w:r>
      <w:r w:rsidRPr="00BD35C9">
        <w:t xml:space="preserve">analyse </w:t>
      </w:r>
      <w:r w:rsidRPr="009F4C38">
        <w:t xml:space="preserve">standard features of respondents’ current labour market status and job: </w:t>
      </w:r>
    </w:p>
    <w:p w14:paraId="535B077F" w14:textId="77777777" w:rsidR="00E8455B" w:rsidRPr="009F4C38" w:rsidRDefault="00E8455B" w:rsidP="00053653">
      <w:pPr>
        <w:pStyle w:val="Dotpoint1"/>
      </w:pPr>
      <w:r w:rsidRPr="009F4C38">
        <w:t>Current labour force status: dummy for being employed (main job)</w:t>
      </w:r>
    </w:p>
    <w:p w14:paraId="663B8061" w14:textId="77777777" w:rsidR="00E8455B" w:rsidRPr="009F4C38" w:rsidRDefault="00E8455B" w:rsidP="00053653">
      <w:pPr>
        <w:pStyle w:val="Dotpoint1"/>
        <w:rPr>
          <w:rFonts w:cs="Times"/>
        </w:rPr>
      </w:pPr>
      <w:r w:rsidRPr="009F4C38">
        <w:t>Dummy for being currently employed full-time defined as 35 hours or more per week, based on usual hours (main job)</w:t>
      </w:r>
    </w:p>
    <w:p w14:paraId="13B90300" w14:textId="77777777" w:rsidR="00E8455B" w:rsidRDefault="00E8455B" w:rsidP="00053653">
      <w:pPr>
        <w:pStyle w:val="Dotpoint1"/>
      </w:pPr>
      <w:r>
        <w:t xml:space="preserve">Current weekly gross </w:t>
      </w:r>
      <w:r w:rsidRPr="00BD35C9">
        <w:t>wage</w:t>
      </w:r>
      <w:r>
        <w:t xml:space="preserve"> (main job), deflated using CPI indices ($A2011)</w:t>
      </w:r>
    </w:p>
    <w:p w14:paraId="3BB4D0D8" w14:textId="77777777" w:rsidR="00E8455B" w:rsidRDefault="00E8455B" w:rsidP="00053653">
      <w:pPr>
        <w:pStyle w:val="Dotpoint1"/>
      </w:pPr>
      <w:r>
        <w:lastRenderedPageBreak/>
        <w:t xml:space="preserve">Current hourly gross </w:t>
      </w:r>
      <w:r w:rsidRPr="00BD35C9">
        <w:t>wage</w:t>
      </w:r>
      <w:r>
        <w:t xml:space="preserve"> (main job), deflated using CPI indices ($A2011), this allows to account for full-time vs part-time</w:t>
      </w:r>
    </w:p>
    <w:p w14:paraId="22BCD100" w14:textId="77777777" w:rsidR="00E8455B" w:rsidRDefault="00E8455B" w:rsidP="00053653">
      <w:pPr>
        <w:pStyle w:val="Dotpoint1"/>
      </w:pPr>
      <w:r>
        <w:t>Usual number of hours worked per week (main job)</w:t>
      </w:r>
    </w:p>
    <w:p w14:paraId="40AAC15F" w14:textId="77777777" w:rsidR="00E8455B" w:rsidRDefault="00E8455B" w:rsidP="00053653">
      <w:pPr>
        <w:pStyle w:val="Dotpoint1"/>
      </w:pPr>
      <w:r>
        <w:t xml:space="preserve">Dummy for whether the respondent has more than 1 job </w:t>
      </w:r>
    </w:p>
    <w:p w14:paraId="71C92137" w14:textId="77777777" w:rsidR="00E8455B" w:rsidRDefault="00E8455B" w:rsidP="00053653">
      <w:pPr>
        <w:pStyle w:val="Dotpoint1"/>
      </w:pPr>
      <w:r>
        <w:t>Dummy for whether respondent is employed on a casual contract (vs fixed term or permanent) (main job)</w:t>
      </w:r>
    </w:p>
    <w:p w14:paraId="4C0C34AA" w14:textId="77777777" w:rsidR="00E8455B" w:rsidRDefault="00E8455B" w:rsidP="00053653">
      <w:pPr>
        <w:pStyle w:val="Dotpoint1"/>
      </w:pPr>
      <w:r>
        <w:t>T</w:t>
      </w:r>
      <w:r w:rsidRPr="00BD35C9">
        <w:t>enure in the job</w:t>
      </w:r>
      <w:r>
        <w:t xml:space="preserve"> (in years) (main job)</w:t>
      </w:r>
    </w:p>
    <w:p w14:paraId="0B4D3700" w14:textId="77777777" w:rsidR="00E8455B" w:rsidRDefault="00E8455B" w:rsidP="00053653">
      <w:pPr>
        <w:pStyle w:val="Dotpoint1"/>
      </w:pPr>
      <w:r>
        <w:t>Dummy for whether the respondent was promoted in the last year</w:t>
      </w:r>
    </w:p>
    <w:p w14:paraId="2C43BB4A" w14:textId="77777777" w:rsidR="00E8455B" w:rsidRDefault="00E8455B" w:rsidP="00053653">
      <w:pPr>
        <w:pStyle w:val="Dotpoint1"/>
      </w:pPr>
      <w:r>
        <w:t>Dummy for whether the respondent works non-standard work schedule (days vary from week to week or from month to month) (main job)</w:t>
      </w:r>
    </w:p>
    <w:p w14:paraId="3D74D9E1" w14:textId="77777777" w:rsidR="00E8455B" w:rsidRDefault="00E8455B" w:rsidP="00053653">
      <w:pPr>
        <w:pStyle w:val="Dotpoint1"/>
      </w:pPr>
      <w:r>
        <w:t xml:space="preserve">Dummy for whether the respondent took part in any work-related training in the past 12 months </w:t>
      </w:r>
      <w:r>
        <w:rPr>
          <w:rFonts w:cs="Times"/>
          <w:bCs/>
        </w:rPr>
        <w:t xml:space="preserve">(this includes </w:t>
      </w:r>
      <w:r w:rsidRPr="000023BE">
        <w:rPr>
          <w:rFonts w:cs="Times"/>
          <w:bCs/>
        </w:rPr>
        <w:t xml:space="preserve">any </w:t>
      </w:r>
      <w:r>
        <w:rPr>
          <w:rFonts w:cs="Times"/>
          <w:bCs/>
        </w:rPr>
        <w:t xml:space="preserve">structured </w:t>
      </w:r>
      <w:r w:rsidRPr="000023BE">
        <w:rPr>
          <w:rFonts w:cs="Times"/>
          <w:bCs/>
        </w:rPr>
        <w:t xml:space="preserve">education or training schemes, as part of </w:t>
      </w:r>
      <w:r>
        <w:rPr>
          <w:rFonts w:cs="Times"/>
          <w:bCs/>
        </w:rPr>
        <w:t>one’s</w:t>
      </w:r>
      <w:r w:rsidRPr="000023BE">
        <w:rPr>
          <w:rFonts w:cs="Times"/>
          <w:bCs/>
        </w:rPr>
        <w:t xml:space="preserve"> employment</w:t>
      </w:r>
      <w:r>
        <w:rPr>
          <w:rFonts w:cs="Times"/>
          <w:iCs/>
        </w:rPr>
        <w:t xml:space="preserve"> the respondent has received)</w:t>
      </w:r>
    </w:p>
    <w:p w14:paraId="46D757F7" w14:textId="77777777" w:rsidR="00E8455B" w:rsidRDefault="00E8455B" w:rsidP="00053653">
      <w:pPr>
        <w:pStyle w:val="Dotpoint1"/>
      </w:pPr>
      <w:r>
        <w:t>Dummy for whether the employer provides paid annual and sick leave (main job)</w:t>
      </w:r>
    </w:p>
    <w:p w14:paraId="4E5686A8" w14:textId="77777777" w:rsidR="00E8455B" w:rsidRDefault="00E8455B" w:rsidP="00053653">
      <w:pPr>
        <w:pStyle w:val="Dotpoint1"/>
      </w:pPr>
      <w:r>
        <w:t>Total number of days of paid leave taken in the past 12 months (annual leave, sick leave, maternity leave, paternity leave, bereavement, family, carers leave) (main job)</w:t>
      </w:r>
    </w:p>
    <w:p w14:paraId="6878B265" w14:textId="77777777" w:rsidR="00E8455B" w:rsidRDefault="00E8455B" w:rsidP="00053653">
      <w:pPr>
        <w:pStyle w:val="Dotpoint1"/>
      </w:pPr>
      <w:r>
        <w:t>Dummy for whether the workplace provides paid maternity leave (main job)</w:t>
      </w:r>
    </w:p>
    <w:p w14:paraId="7960C4F3" w14:textId="77777777" w:rsidR="00E8455B" w:rsidRDefault="00E8455B" w:rsidP="00053653">
      <w:pPr>
        <w:pStyle w:val="Dotpoint1"/>
      </w:pPr>
      <w:r>
        <w:t>Dummy for whether the workplace provides paid paternity leave (main job)</w:t>
      </w:r>
    </w:p>
    <w:p w14:paraId="10708C93" w14:textId="77777777" w:rsidR="00E8455B" w:rsidRDefault="00E8455B" w:rsidP="00053653">
      <w:pPr>
        <w:pStyle w:val="Dotpoint1"/>
      </w:pPr>
      <w:r>
        <w:t>Percent chance of voluntarily leaving job in next 12 months (main job)</w:t>
      </w:r>
    </w:p>
    <w:p w14:paraId="48CDA544" w14:textId="77777777" w:rsidR="00E8455B" w:rsidRDefault="00E8455B" w:rsidP="00053653">
      <w:pPr>
        <w:pStyle w:val="Dotpoint1"/>
      </w:pPr>
      <w:r>
        <w:t>Percent chance of losing job in next 12 months (main job)</w:t>
      </w:r>
    </w:p>
    <w:p w14:paraId="1449EE95" w14:textId="77777777" w:rsidR="00E8455B" w:rsidRDefault="00E8455B" w:rsidP="00053653">
      <w:pPr>
        <w:pStyle w:val="Dotpoint1"/>
      </w:pPr>
      <w:r>
        <w:t>Dummy for whether respondent has supervisory responsibilities (main job)</w:t>
      </w:r>
    </w:p>
    <w:p w14:paraId="73528B8A" w14:textId="77777777" w:rsidR="00E8455B" w:rsidRDefault="00E8455B" w:rsidP="00053653">
      <w:pPr>
        <w:pStyle w:val="Dotpoint1"/>
      </w:pPr>
      <w:r>
        <w:t>Dummy for whether the respondent wants to work more hours (main job)</w:t>
      </w:r>
    </w:p>
    <w:p w14:paraId="40C01CED" w14:textId="77777777" w:rsidR="00E8455B" w:rsidRDefault="00E8455B" w:rsidP="00053653">
      <w:pPr>
        <w:pStyle w:val="Dotpoint1"/>
      </w:pPr>
      <w:r>
        <w:t>Dummy for whether the respondent wants to work less hours (main job)</w:t>
      </w:r>
    </w:p>
    <w:p w14:paraId="25228A3D" w14:textId="77777777" w:rsidR="00E8455B" w:rsidRDefault="00E8455B" w:rsidP="00053653">
      <w:pPr>
        <w:pStyle w:val="Text"/>
      </w:pPr>
      <w:r w:rsidRPr="00BD35C9">
        <w:t>In addition, we analys</w:t>
      </w:r>
      <w:r>
        <w:t>e</w:t>
      </w:r>
      <w:r w:rsidRPr="00BD35C9">
        <w:t xml:space="preserve"> subjective features of respondents’</w:t>
      </w:r>
      <w:r>
        <w:t xml:space="preserve"> current job</w:t>
      </w:r>
      <w:r w:rsidRPr="00BD35C9">
        <w:t xml:space="preserve"> as captured by</w:t>
      </w:r>
      <w:r>
        <w:t>:</w:t>
      </w:r>
    </w:p>
    <w:p w14:paraId="391E0D58" w14:textId="77777777" w:rsidR="00E8455B" w:rsidRDefault="00E8455B" w:rsidP="00053653">
      <w:pPr>
        <w:pStyle w:val="Dotpoint1"/>
      </w:pPr>
      <w:r>
        <w:t>J</w:t>
      </w:r>
      <w:r w:rsidRPr="00BD35C9">
        <w:t xml:space="preserve">ob </w:t>
      </w:r>
      <w:r>
        <w:t>characteristics (main job), scale 1-7 with 1=strongly disagree; 7: strongly agree</w:t>
      </w:r>
    </w:p>
    <w:p w14:paraId="50F2B1E0" w14:textId="77777777" w:rsidR="00E8455B" w:rsidRDefault="00E8455B" w:rsidP="00053653">
      <w:pPr>
        <w:pStyle w:val="Dotpoint2"/>
      </w:pPr>
      <w:r>
        <w:t xml:space="preserve">Autonomy in deciding when to take a break </w:t>
      </w:r>
    </w:p>
    <w:p w14:paraId="099EAE1A" w14:textId="77777777" w:rsidR="00E8455B" w:rsidRDefault="00E8455B" w:rsidP="00053653">
      <w:pPr>
        <w:pStyle w:val="Dotpoint2"/>
      </w:pPr>
      <w:r>
        <w:t xml:space="preserve">Autonomy in deciding what to do at work </w:t>
      </w:r>
    </w:p>
    <w:p w14:paraId="2789D91D" w14:textId="77777777" w:rsidR="00E8455B" w:rsidRDefault="00E8455B" w:rsidP="00053653">
      <w:pPr>
        <w:pStyle w:val="Dotpoint2"/>
      </w:pPr>
      <w:r>
        <w:t xml:space="preserve">Freedom to decide how to do own work </w:t>
      </w:r>
    </w:p>
    <w:p w14:paraId="6E5AF3D1" w14:textId="77777777" w:rsidR="00E8455B" w:rsidRDefault="00E8455B" w:rsidP="00053653">
      <w:pPr>
        <w:pStyle w:val="Dotpoint2"/>
      </w:pPr>
      <w:r>
        <w:t xml:space="preserve">Freedom to decide when to do own work </w:t>
      </w:r>
    </w:p>
    <w:p w14:paraId="3248814D" w14:textId="77777777" w:rsidR="00E8455B" w:rsidRDefault="00E8455B" w:rsidP="00053653">
      <w:pPr>
        <w:pStyle w:val="Dotpoint2"/>
      </w:pPr>
      <w:r>
        <w:t xml:space="preserve">My job provides me with a variety of interesting things to do </w:t>
      </w:r>
    </w:p>
    <w:p w14:paraId="229541DD" w14:textId="77777777" w:rsidR="00E8455B" w:rsidRDefault="00E8455B" w:rsidP="00053653">
      <w:pPr>
        <w:pStyle w:val="Dotpoint2"/>
      </w:pPr>
      <w:r>
        <w:t xml:space="preserve">Job requires initiative </w:t>
      </w:r>
    </w:p>
    <w:p w14:paraId="530C7B6C" w14:textId="77777777" w:rsidR="00E8455B" w:rsidRDefault="00E8455B" w:rsidP="00053653">
      <w:pPr>
        <w:pStyle w:val="Dotpoint2"/>
      </w:pPr>
      <w:r>
        <w:t xml:space="preserve">Job is complex and difficult </w:t>
      </w:r>
    </w:p>
    <w:p w14:paraId="20E7CAA8" w14:textId="77777777" w:rsidR="00E8455B" w:rsidRDefault="00E8455B" w:rsidP="00053653">
      <w:pPr>
        <w:pStyle w:val="Dotpoint2"/>
      </w:pPr>
      <w:r>
        <w:t xml:space="preserve">My job often requires me to learn new skills </w:t>
      </w:r>
    </w:p>
    <w:p w14:paraId="77566280" w14:textId="77777777" w:rsidR="00E8455B" w:rsidRDefault="00E8455B" w:rsidP="00053653">
      <w:pPr>
        <w:pStyle w:val="Dotpoint2"/>
      </w:pPr>
      <w:r>
        <w:t xml:space="preserve">I use many of my skills and abilities in my current job </w:t>
      </w:r>
    </w:p>
    <w:p w14:paraId="480DAFAD" w14:textId="77777777" w:rsidR="00E8455B" w:rsidRDefault="00E8455B" w:rsidP="00053653">
      <w:pPr>
        <w:pStyle w:val="Dotpoint2"/>
      </w:pPr>
      <w:r>
        <w:t xml:space="preserve">My job requires me to do the same thing </w:t>
      </w:r>
      <w:proofErr w:type="gramStart"/>
      <w:r>
        <w:t>over and over again</w:t>
      </w:r>
      <w:proofErr w:type="gramEnd"/>
      <w:r>
        <w:t xml:space="preserve"> </w:t>
      </w:r>
    </w:p>
    <w:p w14:paraId="50195E55" w14:textId="77777777" w:rsidR="00E8455B" w:rsidRDefault="00E8455B" w:rsidP="00053653">
      <w:pPr>
        <w:pStyle w:val="Dotpoint2"/>
      </w:pPr>
      <w:r>
        <w:t xml:space="preserve">My job is more stressful than I thought it’d be </w:t>
      </w:r>
    </w:p>
    <w:p w14:paraId="7844BE97" w14:textId="77777777" w:rsidR="00E8455B" w:rsidRDefault="00E8455B" w:rsidP="00053653">
      <w:pPr>
        <w:pStyle w:val="Dotpoint2"/>
      </w:pPr>
      <w:r>
        <w:lastRenderedPageBreak/>
        <w:t xml:space="preserve">I fear that the amount of stress in my job will make me physically ill </w:t>
      </w:r>
    </w:p>
    <w:p w14:paraId="00508D49" w14:textId="77777777" w:rsidR="00E8455B" w:rsidRDefault="00E8455B" w:rsidP="00053653">
      <w:pPr>
        <w:pStyle w:val="Dotpoint2"/>
      </w:pPr>
      <w:r>
        <w:t xml:space="preserve">I don’t have enough time to do everything in my job </w:t>
      </w:r>
    </w:p>
    <w:p w14:paraId="2D48E8B0" w14:textId="77777777" w:rsidR="00E8455B" w:rsidRDefault="00E8455B" w:rsidP="00053653">
      <w:pPr>
        <w:pStyle w:val="Dotpoint2"/>
      </w:pPr>
      <w:proofErr w:type="gramStart"/>
      <w:r>
        <w:t>Has to</w:t>
      </w:r>
      <w:proofErr w:type="gramEnd"/>
      <w:r>
        <w:t xml:space="preserve"> work fast </w:t>
      </w:r>
    </w:p>
    <w:p w14:paraId="61136022" w14:textId="77777777" w:rsidR="00E8455B" w:rsidRDefault="00E8455B" w:rsidP="00053653">
      <w:pPr>
        <w:pStyle w:val="Dotpoint2"/>
      </w:pPr>
      <w:r>
        <w:t>4 different indices that summarise the 14 characteristics above (reversing the last 5 that are negatively correlated with others):</w:t>
      </w:r>
    </w:p>
    <w:p w14:paraId="3F5BE96B" w14:textId="77777777" w:rsidR="00E8455B" w:rsidRDefault="00E8455B" w:rsidP="0004720B">
      <w:pPr>
        <w:pStyle w:val="ListParagraph"/>
        <w:numPr>
          <w:ilvl w:val="0"/>
          <w:numId w:val="12"/>
        </w:numPr>
        <w:spacing w:before="0" w:line="288" w:lineRule="auto"/>
        <w:jc w:val="both"/>
      </w:pPr>
      <w:r>
        <w:t xml:space="preserve">average of items </w:t>
      </w:r>
    </w:p>
    <w:p w14:paraId="44168B62" w14:textId="77777777" w:rsidR="00E8455B" w:rsidRDefault="00E8455B" w:rsidP="0004720B">
      <w:pPr>
        <w:pStyle w:val="ListParagraph"/>
        <w:numPr>
          <w:ilvl w:val="0"/>
          <w:numId w:val="12"/>
        </w:numPr>
        <w:spacing w:before="0" w:line="288" w:lineRule="auto"/>
        <w:jc w:val="both"/>
      </w:pPr>
      <w:r>
        <w:t xml:space="preserve">items weighted by factor loading in each year and standardised (this variable has a mean of 0 and std of 1) </w:t>
      </w:r>
    </w:p>
    <w:p w14:paraId="2FEDFC74" w14:textId="77777777" w:rsidR="00E8455B" w:rsidRDefault="00E8455B" w:rsidP="0004720B">
      <w:pPr>
        <w:pStyle w:val="ListParagraph"/>
        <w:numPr>
          <w:ilvl w:val="0"/>
          <w:numId w:val="12"/>
        </w:numPr>
        <w:spacing w:before="0" w:line="288" w:lineRule="auto"/>
        <w:jc w:val="both"/>
      </w:pPr>
      <w:r>
        <w:t xml:space="preserve">average of items, standardised (this variable has a mean of 0 and std of 1) </w:t>
      </w:r>
    </w:p>
    <w:p w14:paraId="57FABD6A" w14:textId="77777777" w:rsidR="00E8455B" w:rsidRDefault="00E8455B" w:rsidP="0004720B">
      <w:pPr>
        <w:pStyle w:val="ListParagraph"/>
        <w:numPr>
          <w:ilvl w:val="0"/>
          <w:numId w:val="12"/>
        </w:numPr>
        <w:spacing w:before="0" w:line="288" w:lineRule="auto"/>
        <w:jc w:val="both"/>
      </w:pPr>
      <w:r>
        <w:t xml:space="preserve">average of items for people with all items, standardised (this variable has a mean of 0 and std of 1) </w:t>
      </w:r>
    </w:p>
    <w:p w14:paraId="49416C17" w14:textId="77777777" w:rsidR="00E8455B" w:rsidRDefault="00E8455B" w:rsidP="00053653">
      <w:pPr>
        <w:pStyle w:val="Dotpoint1"/>
      </w:pPr>
      <w:r>
        <w:t>Job satisfaction (main job), scale 0-10 with 0=totally dissatisfied; 10: totally satisfied</w:t>
      </w:r>
    </w:p>
    <w:p w14:paraId="6DDC8D5D" w14:textId="77777777" w:rsidR="00E8455B" w:rsidRDefault="00E8455B" w:rsidP="00053653">
      <w:pPr>
        <w:pStyle w:val="Dotpoint2"/>
      </w:pPr>
      <w:r>
        <w:t xml:space="preserve">With flexibility to balance work and non-work commitment </w:t>
      </w:r>
    </w:p>
    <w:p w14:paraId="41280EEA" w14:textId="77777777" w:rsidR="00E8455B" w:rsidRDefault="00E8455B" w:rsidP="00053653">
      <w:pPr>
        <w:pStyle w:val="Dotpoint2"/>
      </w:pPr>
      <w:r>
        <w:t xml:space="preserve">With pay </w:t>
      </w:r>
    </w:p>
    <w:p w14:paraId="38D0F0AA" w14:textId="77777777" w:rsidR="00E8455B" w:rsidRDefault="00E8455B" w:rsidP="00053653">
      <w:pPr>
        <w:pStyle w:val="Dotpoint2"/>
      </w:pPr>
      <w:r>
        <w:t xml:space="preserve">With the work </w:t>
      </w:r>
    </w:p>
    <w:p w14:paraId="42AD7270" w14:textId="77777777" w:rsidR="00E8455B" w:rsidRDefault="00E8455B" w:rsidP="00053653">
      <w:pPr>
        <w:pStyle w:val="Dotpoint2"/>
      </w:pPr>
      <w:r>
        <w:t xml:space="preserve">With job security </w:t>
      </w:r>
    </w:p>
    <w:p w14:paraId="130C13DF" w14:textId="77777777" w:rsidR="00E8455B" w:rsidRDefault="00E8455B" w:rsidP="00053653">
      <w:pPr>
        <w:pStyle w:val="Dotpoint2"/>
      </w:pPr>
      <w:r>
        <w:t xml:space="preserve">With the hours you work </w:t>
      </w:r>
    </w:p>
    <w:p w14:paraId="51631C0A" w14:textId="77777777" w:rsidR="00E8455B" w:rsidRDefault="00E8455B" w:rsidP="00053653">
      <w:pPr>
        <w:pStyle w:val="Dotpoint2"/>
      </w:pPr>
      <w:r>
        <w:t>4 different indices that summarise the 5 characteristics above:</w:t>
      </w:r>
    </w:p>
    <w:p w14:paraId="62379727" w14:textId="77777777" w:rsidR="00E8455B" w:rsidRDefault="00E8455B" w:rsidP="0004720B">
      <w:pPr>
        <w:pStyle w:val="ListParagraph"/>
        <w:numPr>
          <w:ilvl w:val="0"/>
          <w:numId w:val="13"/>
        </w:numPr>
        <w:spacing w:before="0" w:line="288" w:lineRule="auto"/>
        <w:jc w:val="both"/>
      </w:pPr>
      <w:r>
        <w:t xml:space="preserve">average of items </w:t>
      </w:r>
    </w:p>
    <w:p w14:paraId="09AEA61D" w14:textId="77777777" w:rsidR="00E8455B" w:rsidRDefault="00E8455B" w:rsidP="0004720B">
      <w:pPr>
        <w:pStyle w:val="ListParagraph"/>
        <w:numPr>
          <w:ilvl w:val="0"/>
          <w:numId w:val="13"/>
        </w:numPr>
        <w:spacing w:before="0" w:line="288" w:lineRule="auto"/>
        <w:jc w:val="both"/>
      </w:pPr>
      <w:r>
        <w:t>items weighted by factor loading in each year and standardised (this variable has a mean of 0 and std of 1)</w:t>
      </w:r>
    </w:p>
    <w:p w14:paraId="0C274C14" w14:textId="77777777" w:rsidR="00E8455B" w:rsidRDefault="00E8455B" w:rsidP="0004720B">
      <w:pPr>
        <w:pStyle w:val="ListParagraph"/>
        <w:numPr>
          <w:ilvl w:val="0"/>
          <w:numId w:val="13"/>
        </w:numPr>
        <w:spacing w:before="0" w:line="288" w:lineRule="auto"/>
        <w:jc w:val="both"/>
      </w:pPr>
      <w:r>
        <w:t>average of items, standardised (this variable has a mean of 0 and std of 1)</w:t>
      </w:r>
    </w:p>
    <w:p w14:paraId="5A9E4ED1" w14:textId="77777777" w:rsidR="00E8455B" w:rsidRDefault="00E8455B" w:rsidP="0004720B">
      <w:pPr>
        <w:pStyle w:val="ListParagraph"/>
        <w:numPr>
          <w:ilvl w:val="0"/>
          <w:numId w:val="13"/>
        </w:numPr>
        <w:spacing w:before="0" w:line="288" w:lineRule="auto"/>
        <w:jc w:val="both"/>
      </w:pPr>
      <w:r>
        <w:t>average of items for people with all items, standardised (this variable has a mean of 0 and std of 1)</w:t>
      </w:r>
    </w:p>
    <w:p w14:paraId="06428092" w14:textId="77777777" w:rsidR="00E8455B" w:rsidRDefault="00E8455B" w:rsidP="00053653">
      <w:pPr>
        <w:pStyle w:val="Dotpoint1"/>
      </w:pPr>
      <w:r>
        <w:t xml:space="preserve">Overall </w:t>
      </w:r>
      <w:r w:rsidRPr="00BD35C9">
        <w:t>job satisfaction</w:t>
      </w:r>
      <w:r>
        <w:t xml:space="preserve"> (main job), scale 0-10 with 0=totally dissatisfied; 10: totally satisfied</w:t>
      </w:r>
    </w:p>
    <w:p w14:paraId="404B0FF2" w14:textId="77777777" w:rsidR="00E8455B" w:rsidRPr="004B299D" w:rsidRDefault="00E8455B" w:rsidP="00053653">
      <w:pPr>
        <w:pStyle w:val="Dotpoint1"/>
      </w:pPr>
      <w:r>
        <w:t>Satisfaction with work opportunities (in general), scale 0-10 with 0=totally dissatisfied; 10: totally satisfied</w:t>
      </w:r>
    </w:p>
    <w:p w14:paraId="1AAF8584" w14:textId="77777777" w:rsidR="00E8455B" w:rsidRDefault="00E8455B" w:rsidP="00265EF9">
      <w:pPr>
        <w:pStyle w:val="Text"/>
      </w:pPr>
      <w:r>
        <w:t>Note: when respondents do not respond to specific questions or items, the said outcome is coded as missing. Overall, HILDA doesn’t have large numbers of item non-response. This means that the number of observations will vary from year to year and outcome to outcome (the number of observations reported in the figure notes is the number in the sample used for analysis: main, extended, balanced panel).</w:t>
      </w:r>
    </w:p>
    <w:p w14:paraId="0F48A5D0" w14:textId="77777777" w:rsidR="00E8455B" w:rsidRDefault="00E8455B" w:rsidP="00265EF9">
      <w:pPr>
        <w:pStyle w:val="Text"/>
      </w:pPr>
      <w:r w:rsidRPr="00BD35C9">
        <w:t xml:space="preserve">We </w:t>
      </w:r>
      <w:r>
        <w:t>present regression results on figures</w:t>
      </w:r>
      <w:r w:rsidRPr="00BD35C9">
        <w:t xml:space="preserve"> show</w:t>
      </w:r>
      <w:r>
        <w:t>ing</w:t>
      </w:r>
      <w:r w:rsidRPr="00BD35C9">
        <w:t xml:space="preserve"> estimated coefficients and how the</w:t>
      </w:r>
      <w:r>
        <w:t>se coefficients</w:t>
      </w:r>
      <w:r w:rsidRPr="00BD35C9">
        <w:t xml:space="preserve"> </w:t>
      </w:r>
      <w:r>
        <w:t>evolve</w:t>
      </w:r>
      <w:r w:rsidRPr="00BD35C9">
        <w:t xml:space="preserve"> as our </w:t>
      </w:r>
      <w:r w:rsidRPr="007C75C5">
        <w:t>sample grow</w:t>
      </w:r>
      <w:r>
        <w:t>s</w:t>
      </w:r>
      <w:r w:rsidRPr="007C75C5">
        <w:t xml:space="preserve"> older from 25-56 years old to 33-64 years old. </w:t>
      </w:r>
      <w:r>
        <w:t>Confidence intervals representing whether coefficients are significant</w:t>
      </w:r>
      <w:r w:rsidRPr="007C75C5">
        <w:t xml:space="preserve"> at the 5% level</w:t>
      </w:r>
      <w:r>
        <w:t xml:space="preserve"> are depicted with dashed vertical lines</w:t>
      </w:r>
      <w:r w:rsidRPr="007C75C5">
        <w:t>.</w:t>
      </w:r>
      <w:r>
        <w:t xml:space="preserve"> An interpretation note is provided below each table to help interpret the magnitude of the coefficient.</w:t>
      </w:r>
    </w:p>
    <w:p w14:paraId="710DD8F4" w14:textId="56EB1633" w:rsidR="00E8455B" w:rsidRPr="007C75C5" w:rsidRDefault="00E8455B" w:rsidP="00265EF9">
      <w:pPr>
        <w:pStyle w:val="Text"/>
      </w:pPr>
      <w:r>
        <w:t>The coefficients are interpretable as differences in outcomes between people with VET (resp. VET &amp; HE) and people with HE qualifications who are in the same occupation and with similar observed characteristics (gender</w:t>
      </w:r>
      <w:r w:rsidR="00265EF9">
        <w:t xml:space="preserve"> etc.</w:t>
      </w:r>
      <w:r>
        <w:t xml:space="preserve">). These are not causal effects, </w:t>
      </w:r>
      <w:r w:rsidR="00265EF9">
        <w:t>i.e.</w:t>
      </w:r>
      <w:r>
        <w:t xml:space="preserve"> the effect or the impact of doing VET (vs HE) on outcomes.</w:t>
      </w:r>
    </w:p>
    <w:p w14:paraId="3B48F1EA" w14:textId="3118329A" w:rsidR="00E8455B" w:rsidRPr="00293157" w:rsidRDefault="00E8455B" w:rsidP="00265EF9">
      <w:pPr>
        <w:pStyle w:val="Text"/>
      </w:pPr>
      <w:r w:rsidRPr="007C75C5">
        <w:t>The figures presented below represent the main results (figures for all other outcomes described above are shown in appendix A)</w:t>
      </w:r>
      <w:r w:rsidR="00FA0C15">
        <w:t>.</w:t>
      </w:r>
    </w:p>
    <w:p w14:paraId="570F7DCE" w14:textId="38DB883B" w:rsidR="002013D8" w:rsidRDefault="002013D8" w:rsidP="002013D8">
      <w:pPr>
        <w:pStyle w:val="Text"/>
      </w:pPr>
      <w:r>
        <w:lastRenderedPageBreak/>
        <w:t xml:space="preserve">The main </w:t>
      </w:r>
      <w:r w:rsidRPr="007C75C5">
        <w:t>result</w:t>
      </w:r>
      <w:r>
        <w:t xml:space="preserve"> shown in these figures are that within occupation</w:t>
      </w:r>
      <w:r w:rsidRPr="007C75C5">
        <w:t xml:space="preserve">, respondents with a VET qualification and respondents with VET &amp; HE qualifications share </w:t>
      </w:r>
      <w:proofErr w:type="gramStart"/>
      <w:r w:rsidRPr="007C75C5">
        <w:t>a number of</w:t>
      </w:r>
      <w:proofErr w:type="gramEnd"/>
      <w:r w:rsidRPr="007C75C5">
        <w:t xml:space="preserve"> basic labour market characteristics with respondents with a HE qualification. For instance, they have similar levels of employment (Fig. 1), rates of casual employment (Fig. 2) and work the same usual number of hours / week (Fig. 3). They also have similar rates of full-time employment (Fig A1), likelihood to have more than 1 job (Fig. A2) or to have undertaken training in the past 12 months (Fig A3). They also have similar annual and sick leave entitlements (Figs. A4), take similar numbers of paid leave every year (Figs A5) and have similar estimates of their chance to lose or leave their job in the following year (Figs A6-A7).</w:t>
      </w:r>
    </w:p>
    <w:p w14:paraId="5A7FC753" w14:textId="267C00BD" w:rsidR="00E8455B" w:rsidRDefault="002116CD" w:rsidP="00B81A9D">
      <w:pPr>
        <w:pStyle w:val="Figuretitle"/>
      </w:pPr>
      <w:bookmarkStart w:id="31" w:name="_Toc102041092"/>
      <w:r>
        <w:t>Figure 1</w:t>
      </w:r>
      <w:r w:rsidR="00451D64">
        <w:tab/>
      </w:r>
      <w:r>
        <w:t xml:space="preserve">Difference </w:t>
      </w:r>
      <w:r w:rsidRPr="00C17E53">
        <w:t xml:space="preserve">in rates of employment </w:t>
      </w:r>
      <w:r>
        <w:t xml:space="preserve">by qualification type (relative to HE) among those in the same </w:t>
      </w:r>
      <w:r w:rsidRPr="00C17E53">
        <w:t>occupations (regression results)</w:t>
      </w:r>
      <w:bookmarkStart w:id="32" w:name="_Toc102040944"/>
      <w:bookmarkEnd w:id="31"/>
      <w:r>
        <w:rPr>
          <w:noProof/>
          <w:sz w:val="20"/>
          <w:lang w:eastAsia="en-GB"/>
        </w:rPr>
        <w:drawing>
          <wp:inline distT="0" distB="0" distL="0" distR="0" wp14:anchorId="3657A42B" wp14:editId="5B41E335">
            <wp:extent cx="5022000" cy="365400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22000" cy="3654000"/>
                    </a:xfrm>
                    <a:prstGeom prst="rect">
                      <a:avLst/>
                    </a:prstGeom>
                  </pic:spPr>
                </pic:pic>
              </a:graphicData>
            </a:graphic>
          </wp:inline>
        </w:drawing>
      </w:r>
      <w:bookmarkEnd w:id="32"/>
    </w:p>
    <w:p w14:paraId="79F99B8F" w14:textId="77777777" w:rsidR="002116CD" w:rsidRPr="006375F7" w:rsidRDefault="002116CD" w:rsidP="002116CD">
      <w:pPr>
        <w:pStyle w:val="Source"/>
      </w:pPr>
      <w:r w:rsidRPr="006375F7">
        <w:t>Interpretation example: I</w:t>
      </w:r>
      <w:r w:rsidRPr="00C17E53">
        <w:t>n 2011, individuals with VET and HE qualifications were about 1.8 percentage point more likely to be employed than those with a HE qualification only.</w:t>
      </w:r>
    </w:p>
    <w:p w14:paraId="77D1B5A8" w14:textId="77777777" w:rsidR="002116CD" w:rsidRPr="006375F7" w:rsidRDefault="002116CD" w:rsidP="002116CD">
      <w:pPr>
        <w:pStyle w:val="Source"/>
      </w:pPr>
      <w:r w:rsidRPr="006375F7">
        <w:t>Notes: The estimated 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332DFD9" w14:textId="77777777" w:rsidR="002116CD" w:rsidRDefault="002116CD" w:rsidP="002116CD">
      <w:pPr>
        <w:pStyle w:val="Source"/>
      </w:pPr>
      <w:r w:rsidRPr="006375F7">
        <w:t>Sample: HILDA 2011-2019, respondents aged 25-56 years old with a VET and/or HE qualification and in an occupation that contains a mix of VET and HE qualifications in 2011 (N=2,723).</w:t>
      </w:r>
    </w:p>
    <w:p w14:paraId="11C25E61" w14:textId="77777777" w:rsidR="002116CD" w:rsidRPr="007C75C5" w:rsidRDefault="002116CD" w:rsidP="002116CD">
      <w:pPr>
        <w:pStyle w:val="Source"/>
      </w:pPr>
    </w:p>
    <w:p w14:paraId="41BBD422" w14:textId="77777777" w:rsidR="00AB00C0" w:rsidRDefault="00AB00C0">
      <w:pPr>
        <w:spacing w:before="0" w:line="240" w:lineRule="auto"/>
        <w:rPr>
          <w:rFonts w:ascii="Arial" w:hAnsi="Arial"/>
          <w:b/>
          <w:sz w:val="17"/>
        </w:rPr>
      </w:pPr>
      <w:r>
        <w:br w:type="page"/>
      </w:r>
    </w:p>
    <w:p w14:paraId="72CDA3B2" w14:textId="418E05C4" w:rsidR="002116CD" w:rsidRDefault="002116CD" w:rsidP="002116CD">
      <w:pPr>
        <w:pStyle w:val="Figuretitle"/>
      </w:pPr>
      <w:bookmarkStart w:id="33" w:name="_Toc102041093"/>
      <w:r>
        <w:lastRenderedPageBreak/>
        <w:t>Figure 2</w:t>
      </w:r>
      <w:r w:rsidR="00451D64">
        <w:tab/>
      </w:r>
      <w:r w:rsidRPr="00293157">
        <w:t xml:space="preserve">Difference in rates of casual employment </w:t>
      </w:r>
      <w:r>
        <w:t xml:space="preserve">by qualification type (relative to HE) among those in the same </w:t>
      </w:r>
      <w:r w:rsidRPr="00C17E53">
        <w:t>occupations (regression results)</w:t>
      </w:r>
      <w:bookmarkEnd w:id="33"/>
    </w:p>
    <w:p w14:paraId="264ABD5C" w14:textId="5AF49085" w:rsidR="00E8455B" w:rsidRDefault="00AB00C0" w:rsidP="002116CD">
      <w:pPr>
        <w:pStyle w:val="Figuretitle"/>
      </w:pPr>
      <w:bookmarkStart w:id="34" w:name="_Toc102041094"/>
      <w:r>
        <w:rPr>
          <w:noProof/>
          <w:sz w:val="20"/>
          <w:lang w:eastAsia="en-GB"/>
        </w:rPr>
        <w:drawing>
          <wp:inline distT="0" distB="0" distL="0" distR="0" wp14:anchorId="036CD9DA" wp14:editId="01EE37F2">
            <wp:extent cx="5025600" cy="365400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25600" cy="3654000"/>
                    </a:xfrm>
                    <a:prstGeom prst="rect">
                      <a:avLst/>
                    </a:prstGeom>
                  </pic:spPr>
                </pic:pic>
              </a:graphicData>
            </a:graphic>
          </wp:inline>
        </w:drawing>
      </w:r>
      <w:bookmarkEnd w:id="34"/>
    </w:p>
    <w:p w14:paraId="36972054" w14:textId="77777777" w:rsidR="00AB00C0" w:rsidRPr="006375F7" w:rsidRDefault="00AB00C0" w:rsidP="00AB00C0">
      <w:pPr>
        <w:pStyle w:val="Source"/>
      </w:pPr>
      <w:r w:rsidRPr="006375F7">
        <w:t xml:space="preserve">Interpretation </w:t>
      </w:r>
      <w:r w:rsidRPr="005449A2">
        <w:t xml:space="preserve">example: In 2011, individuals with VET and HE qualifications were about </w:t>
      </w:r>
      <w:r>
        <w:t>0.7 percentage point</w:t>
      </w:r>
      <w:r w:rsidRPr="005449A2">
        <w:t xml:space="preserve"> less likely to be on casual contracts than those with a HE qualification </w:t>
      </w:r>
      <w:r w:rsidRPr="006375F7">
        <w:t>only.</w:t>
      </w:r>
    </w:p>
    <w:p w14:paraId="5EC002A4" w14:textId="77777777" w:rsidR="00AB00C0" w:rsidRPr="006375F7" w:rsidRDefault="00AB00C0" w:rsidP="00AB00C0">
      <w:pPr>
        <w:pStyle w:val="Source"/>
      </w:pPr>
      <w:r w:rsidRPr="006375F7">
        <w:t>Notes: The estimated 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7323C67" w14:textId="77777777" w:rsidR="00AB00C0" w:rsidRDefault="00AB00C0" w:rsidP="00AB00C0">
      <w:pPr>
        <w:pStyle w:val="Source"/>
      </w:pPr>
      <w:r w:rsidRPr="006375F7">
        <w:t>Sample: HILDA 2011-2019, respondents aged 25-56 years old with a VET and/or HE qualification and in an occupation that contains a mix of VET and HE qualifications in 2011 (N=2,723).</w:t>
      </w:r>
    </w:p>
    <w:p w14:paraId="0D7E840D" w14:textId="77777777" w:rsidR="00B81A9D" w:rsidRDefault="00B81A9D">
      <w:pPr>
        <w:spacing w:before="0" w:line="240" w:lineRule="auto"/>
        <w:rPr>
          <w:rFonts w:ascii="Arial" w:hAnsi="Arial"/>
          <w:b/>
          <w:sz w:val="17"/>
        </w:rPr>
      </w:pPr>
      <w:bookmarkStart w:id="35" w:name="_Toc102041095"/>
      <w:r>
        <w:br w:type="page"/>
      </w:r>
    </w:p>
    <w:p w14:paraId="2A90CB3F" w14:textId="4DA9FDE8" w:rsidR="00AB00C0" w:rsidRDefault="00AB00C0" w:rsidP="00AB00C0">
      <w:pPr>
        <w:pStyle w:val="Figuretitle"/>
      </w:pPr>
      <w:r>
        <w:lastRenderedPageBreak/>
        <w:t>Figure 3</w:t>
      </w:r>
      <w:r w:rsidR="00451D64">
        <w:tab/>
      </w:r>
      <w:r w:rsidRPr="00A24650">
        <w:t xml:space="preserve">Difference in the usual number of hours of work per week </w:t>
      </w:r>
      <w:r>
        <w:t xml:space="preserve">by qualification type (relative to HE) among those in the same </w:t>
      </w:r>
      <w:r w:rsidRPr="00C17E53">
        <w:t>occupations (regression results)</w:t>
      </w:r>
      <w:bookmarkEnd w:id="35"/>
    </w:p>
    <w:p w14:paraId="55448946" w14:textId="35275523" w:rsidR="00454906" w:rsidRDefault="00454906" w:rsidP="00AB00C0">
      <w:pPr>
        <w:pStyle w:val="Figuretitle"/>
      </w:pPr>
      <w:bookmarkStart w:id="36" w:name="_Toc102041096"/>
      <w:r>
        <w:rPr>
          <w:noProof/>
          <w:sz w:val="20"/>
          <w:lang w:eastAsia="en-GB"/>
        </w:rPr>
        <w:drawing>
          <wp:inline distT="0" distB="0" distL="0" distR="0" wp14:anchorId="40F9FE0D" wp14:editId="5194067F">
            <wp:extent cx="5024628" cy="3654552"/>
            <wp:effectExtent l="0" t="0" r="508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36"/>
    </w:p>
    <w:p w14:paraId="2FA59CD4" w14:textId="77777777" w:rsidR="00454906" w:rsidRPr="006375F7" w:rsidRDefault="00454906" w:rsidP="00454906">
      <w:pPr>
        <w:pStyle w:val="Source"/>
      </w:pPr>
      <w:r w:rsidRPr="006375F7">
        <w:t xml:space="preserve">Interpretation </w:t>
      </w:r>
      <w:r w:rsidRPr="00A24650">
        <w:t xml:space="preserve">example: In 2011, individuals with VET and </w:t>
      </w:r>
      <w:proofErr w:type="gramStart"/>
      <w:r w:rsidRPr="00A24650">
        <w:t>HE</w:t>
      </w:r>
      <w:proofErr w:type="gramEnd"/>
      <w:r w:rsidRPr="00A24650">
        <w:t xml:space="preserve"> qualifications were working 0.7 hours less per week than those with HE qualification </w:t>
      </w:r>
      <w:r>
        <w:t>only.</w:t>
      </w:r>
    </w:p>
    <w:p w14:paraId="7F7E30DA" w14:textId="77777777" w:rsidR="00454906" w:rsidRPr="006375F7" w:rsidRDefault="00454906" w:rsidP="00454906">
      <w:pPr>
        <w:pStyle w:val="Source"/>
      </w:pPr>
      <w:r w:rsidRPr="006375F7">
        <w:t>Notes: The estimated 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725121C" w14:textId="77777777" w:rsidR="00454906" w:rsidRDefault="00454906" w:rsidP="00454906">
      <w:pPr>
        <w:pStyle w:val="Source"/>
      </w:pPr>
      <w:r w:rsidRPr="006375F7">
        <w:t>Sample: HILDA 2011-2019, respondents aged 25-56 years old with a VET and/or HE qualification and in an occupation that contains a mix of VET and HE qualifications in 2011 (N=2,723).</w:t>
      </w:r>
    </w:p>
    <w:p w14:paraId="3F592F9F" w14:textId="286487D8" w:rsidR="00A8437A" w:rsidRDefault="00A8437A" w:rsidP="00A8437A">
      <w:pPr>
        <w:pStyle w:val="Text"/>
      </w:pPr>
      <w:r>
        <w:t xml:space="preserve">The following figures show that </w:t>
      </w:r>
      <w:r w:rsidRPr="007C75C5">
        <w:t xml:space="preserve">within occupations, </w:t>
      </w:r>
      <w:proofErr w:type="gramStart"/>
      <w:r w:rsidRPr="007C75C5">
        <w:t>a number of</w:t>
      </w:r>
      <w:proofErr w:type="gramEnd"/>
      <w:r w:rsidRPr="007C75C5">
        <w:t xml:space="preserve"> labour market characteristics appear inferior for respondents with a VET qualification. Mostly, respondents with VET &amp; HE qualifications do not differ from those with HE qualifications. Specifically, respondents with a VET qualification more often have non-standard work schedules (Fig. 4), have lower wages (Fig 5 &amp; Fig A8) and lower access to paid parental leaves (Fig 6 &amp; Fig A9). They also appear to have less opportunities for career progression in terms of supervisory responsibilities (Fig 7) and lower yearly rates of promotions</w:t>
      </w:r>
      <w:r>
        <w:t>, although the latter is not statistically significant at 5%</w:t>
      </w:r>
      <w:r w:rsidRPr="007C75C5">
        <w:t xml:space="preserve"> (Fig A10). They have also spent more time unemployed and looking for work overall (Fig A11)</w:t>
      </w:r>
      <w:r>
        <w:t>.</w:t>
      </w:r>
    </w:p>
    <w:p w14:paraId="19C891B3" w14:textId="77777777" w:rsidR="00B81A9D" w:rsidRDefault="00B81A9D">
      <w:pPr>
        <w:spacing w:before="0" w:line="240" w:lineRule="auto"/>
        <w:rPr>
          <w:rFonts w:ascii="Arial" w:hAnsi="Arial"/>
          <w:b/>
          <w:sz w:val="17"/>
        </w:rPr>
      </w:pPr>
      <w:bookmarkStart w:id="37" w:name="_Toc102041097"/>
      <w:r>
        <w:br w:type="page"/>
      </w:r>
    </w:p>
    <w:p w14:paraId="4D326FA1" w14:textId="499CA73C" w:rsidR="00A8437A" w:rsidRDefault="00A8437A" w:rsidP="00A8437A">
      <w:pPr>
        <w:pStyle w:val="Figuretitle"/>
      </w:pPr>
      <w:r>
        <w:lastRenderedPageBreak/>
        <w:t>Figure 4</w:t>
      </w:r>
      <w:r w:rsidR="00451D64">
        <w:tab/>
      </w:r>
      <w:r>
        <w:t xml:space="preserve"> Difference </w:t>
      </w:r>
      <w:r w:rsidRPr="00D93396">
        <w:t xml:space="preserve">in rates of non-standard work schedule </w:t>
      </w:r>
      <w:r>
        <w:t xml:space="preserve">by qualification type (relative to HE) among those in the same </w:t>
      </w:r>
      <w:r w:rsidRPr="00C17E53">
        <w:t>occupations (regression results)</w:t>
      </w:r>
      <w:bookmarkEnd w:id="37"/>
    </w:p>
    <w:p w14:paraId="4A87F9EC" w14:textId="5D8BBB42" w:rsidR="00273D3B" w:rsidRDefault="00273D3B" w:rsidP="00A8437A">
      <w:pPr>
        <w:pStyle w:val="Figuretitle"/>
      </w:pPr>
      <w:bookmarkStart w:id="38" w:name="_Toc102041098"/>
      <w:r>
        <w:rPr>
          <w:noProof/>
          <w:sz w:val="20"/>
          <w:lang w:eastAsia="en-GB"/>
        </w:rPr>
        <w:drawing>
          <wp:inline distT="0" distB="0" distL="0" distR="0" wp14:anchorId="549BBBBA" wp14:editId="757DA5DC">
            <wp:extent cx="5024628" cy="3654552"/>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38"/>
    </w:p>
    <w:p w14:paraId="195128A2" w14:textId="77777777" w:rsidR="00273D3B" w:rsidRPr="00D93396" w:rsidRDefault="00273D3B" w:rsidP="00273D3B">
      <w:pPr>
        <w:pStyle w:val="Source"/>
      </w:pPr>
      <w:r w:rsidRPr="006375F7">
        <w:t xml:space="preserve">Interpretation example: </w:t>
      </w:r>
      <w:r w:rsidRPr="00D75CF3">
        <w:t>In 2011, individuals with VET and HE qualifications were about 0.8 percentage point less likely to ha</w:t>
      </w:r>
      <w:r w:rsidRPr="00D93396">
        <w:t>ve a non-standard work schedule as those with a HE qualification only.</w:t>
      </w:r>
    </w:p>
    <w:p w14:paraId="59909EB9" w14:textId="77777777" w:rsidR="00273D3B" w:rsidRPr="006375F7" w:rsidRDefault="00273D3B" w:rsidP="00273D3B">
      <w:pPr>
        <w:pStyle w:val="Source"/>
      </w:pPr>
      <w:r w:rsidRPr="006375F7">
        <w:t>Notes: The estimated 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C26112D" w14:textId="77777777" w:rsidR="00273D3B" w:rsidRDefault="00273D3B" w:rsidP="00273D3B">
      <w:pPr>
        <w:pStyle w:val="Source"/>
      </w:pPr>
      <w:r w:rsidRPr="006375F7">
        <w:t>Sample: HILDA 2011-2019, respondents aged 25-56 years old with a VET and/or HE qualification and in an occupation that contains a mix of VET and HE qualifications in 2011 (N=2,723).</w:t>
      </w:r>
    </w:p>
    <w:p w14:paraId="0086194A" w14:textId="77777777" w:rsidR="00B81A9D" w:rsidRDefault="00B81A9D">
      <w:pPr>
        <w:spacing w:before="0" w:line="240" w:lineRule="auto"/>
        <w:rPr>
          <w:rFonts w:ascii="Arial" w:hAnsi="Arial"/>
          <w:b/>
          <w:sz w:val="17"/>
        </w:rPr>
      </w:pPr>
      <w:bookmarkStart w:id="39" w:name="_Toc102041099"/>
      <w:r>
        <w:br w:type="page"/>
      </w:r>
    </w:p>
    <w:p w14:paraId="5B6D8148" w14:textId="0201221B" w:rsidR="00273D3B" w:rsidRDefault="00273D3B" w:rsidP="00273D3B">
      <w:pPr>
        <w:pStyle w:val="Figuretitle"/>
      </w:pPr>
      <w:r>
        <w:lastRenderedPageBreak/>
        <w:t>Figure 5</w:t>
      </w:r>
      <w:r w:rsidR="00451D64">
        <w:tab/>
      </w:r>
      <w:r w:rsidRPr="00A24650">
        <w:t xml:space="preserve">Difference in hourly gross wage </w:t>
      </w:r>
      <w:r>
        <w:t xml:space="preserve">by qualification type (relative to HE) among those in the same </w:t>
      </w:r>
      <w:r w:rsidRPr="00C17E53">
        <w:t>occupations (regression results)</w:t>
      </w:r>
      <w:bookmarkEnd w:id="39"/>
    </w:p>
    <w:p w14:paraId="6ECBEF3B" w14:textId="1F8BF1AC" w:rsidR="002F6BE3" w:rsidRDefault="002F6BE3" w:rsidP="00273D3B">
      <w:pPr>
        <w:pStyle w:val="Figuretitle"/>
      </w:pPr>
      <w:bookmarkStart w:id="40" w:name="_Toc102041100"/>
      <w:r>
        <w:rPr>
          <w:noProof/>
          <w:sz w:val="20"/>
          <w:lang w:eastAsia="en-GB"/>
        </w:rPr>
        <w:drawing>
          <wp:inline distT="0" distB="0" distL="0" distR="0" wp14:anchorId="56C3260E" wp14:editId="1797C75F">
            <wp:extent cx="5024628" cy="3654552"/>
            <wp:effectExtent l="0" t="0" r="508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40"/>
    </w:p>
    <w:p w14:paraId="0EBB1F1A" w14:textId="3BA4D1F5" w:rsidR="002F6BE3" w:rsidRDefault="002F6BE3" w:rsidP="00273D3B">
      <w:pPr>
        <w:pStyle w:val="Figuretitle"/>
      </w:pPr>
    </w:p>
    <w:p w14:paraId="6FC41BEE" w14:textId="77777777" w:rsidR="002F6BE3" w:rsidRPr="00A24650" w:rsidRDefault="002F6BE3" w:rsidP="002F6BE3">
      <w:pPr>
        <w:pStyle w:val="Source"/>
      </w:pPr>
      <w:r w:rsidRPr="006375F7">
        <w:t xml:space="preserve">Interpretation example: In </w:t>
      </w:r>
      <w:r w:rsidRPr="00A24650">
        <w:t xml:space="preserve">2011, individuals with VET and </w:t>
      </w:r>
      <w:proofErr w:type="gramStart"/>
      <w:r w:rsidRPr="00A24650">
        <w:t>HE</w:t>
      </w:r>
      <w:proofErr w:type="gramEnd"/>
      <w:r w:rsidRPr="00A24650">
        <w:t xml:space="preserve"> qualifications were earning 3.79$ less per hour than those with HE qualification only.</w:t>
      </w:r>
    </w:p>
    <w:p w14:paraId="51706DC0" w14:textId="77777777" w:rsidR="002F6BE3" w:rsidRPr="006375F7" w:rsidRDefault="002F6BE3" w:rsidP="002F6BE3">
      <w:pPr>
        <w:pStyle w:val="Source"/>
      </w:pPr>
      <w:r w:rsidRPr="00A24650">
        <w:t xml:space="preserve">Notes: The estimated coefficients </w:t>
      </w:r>
      <w:r w:rsidRPr="006375F7">
        <w:t>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12F34FE" w14:textId="77777777" w:rsidR="002F6BE3" w:rsidRPr="00A24650" w:rsidRDefault="002F6BE3" w:rsidP="002F6BE3">
      <w:pPr>
        <w:pStyle w:val="Source"/>
      </w:pPr>
      <w:r w:rsidRPr="006375F7">
        <w:t>Sample: HILDA 2011-2019, respondents aged 25-56 years old with a VET and/or HE qualification and in an occupation that contains a mix of VET and HE qualifications in 2011 (N=2,723).</w:t>
      </w:r>
    </w:p>
    <w:p w14:paraId="0A406331" w14:textId="77777777" w:rsidR="00B81A9D" w:rsidRDefault="00B81A9D">
      <w:pPr>
        <w:spacing w:before="0" w:line="240" w:lineRule="auto"/>
        <w:rPr>
          <w:rFonts w:ascii="Arial" w:hAnsi="Arial"/>
          <w:b/>
          <w:sz w:val="17"/>
        </w:rPr>
      </w:pPr>
      <w:bookmarkStart w:id="41" w:name="_Toc102041101"/>
      <w:r>
        <w:br w:type="page"/>
      </w:r>
    </w:p>
    <w:p w14:paraId="46F82D5F" w14:textId="3384D732" w:rsidR="002F6BE3" w:rsidRDefault="002F6BE3" w:rsidP="002F6BE3">
      <w:pPr>
        <w:pStyle w:val="Figuretitle"/>
      </w:pPr>
      <w:r>
        <w:lastRenderedPageBreak/>
        <w:t>Figure 6</w:t>
      </w:r>
      <w:r w:rsidR="00451D64">
        <w:tab/>
      </w:r>
      <w:r w:rsidRPr="008C0DA5">
        <w:t xml:space="preserve">Difference in workplace entitlements for paid maternity leave </w:t>
      </w:r>
      <w:r>
        <w:t xml:space="preserve">by qualification type (relative to HE) among those in the same </w:t>
      </w:r>
      <w:r w:rsidRPr="00C17E53">
        <w:t>occupations (regression results)</w:t>
      </w:r>
      <w:bookmarkEnd w:id="41"/>
    </w:p>
    <w:p w14:paraId="3D176F9B" w14:textId="614E5974" w:rsidR="002F6BE3" w:rsidRDefault="002F6BE3" w:rsidP="00273D3B">
      <w:pPr>
        <w:pStyle w:val="Figuretitle"/>
      </w:pPr>
      <w:bookmarkStart w:id="42" w:name="_Toc102041102"/>
      <w:r>
        <w:rPr>
          <w:noProof/>
          <w:sz w:val="20"/>
          <w:lang w:eastAsia="en-GB"/>
        </w:rPr>
        <w:drawing>
          <wp:inline distT="0" distB="0" distL="0" distR="0" wp14:anchorId="15CA99D3" wp14:editId="187BEF99">
            <wp:extent cx="5024628" cy="3654552"/>
            <wp:effectExtent l="0" t="0" r="508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42"/>
    </w:p>
    <w:p w14:paraId="02634351" w14:textId="77777777" w:rsidR="002F6BE3" w:rsidRPr="008C0DA5" w:rsidRDefault="002F6BE3" w:rsidP="002F6BE3">
      <w:pPr>
        <w:pStyle w:val="Source"/>
      </w:pPr>
      <w:r w:rsidRPr="006375F7">
        <w:t xml:space="preserve">Interpretation example: In </w:t>
      </w:r>
      <w:r w:rsidRPr="008C0DA5">
        <w:t>2011, individuals with VET and HE qualifications were about 1.1 percentage point less likely to be entitled to paid maternity leave than those with a HE qualification only.</w:t>
      </w:r>
    </w:p>
    <w:p w14:paraId="351A3791" w14:textId="77777777" w:rsidR="002F6BE3" w:rsidRPr="006375F7" w:rsidRDefault="002F6BE3" w:rsidP="002F6BE3">
      <w:pPr>
        <w:pStyle w:val="Source"/>
      </w:pPr>
      <w:r w:rsidRPr="008C0DA5">
        <w:t>Notes: The estimated coefficients are derived from regressions that compare outcomes of: (</w:t>
      </w:r>
      <w:proofErr w:type="spellStart"/>
      <w:r w:rsidRPr="008C0DA5">
        <w:t>i</w:t>
      </w:r>
      <w:proofErr w:type="spellEnd"/>
      <w:r w:rsidRPr="008C0DA5">
        <w:t xml:space="preserve">) respondents with VET only qualifications; (ii) VET and HE qualifications </w:t>
      </w:r>
      <w:r w:rsidRPr="006375F7">
        <w:t>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9D297E9" w14:textId="77777777" w:rsidR="002F6BE3" w:rsidRDefault="002F6BE3" w:rsidP="002F6BE3">
      <w:pPr>
        <w:pStyle w:val="Source"/>
      </w:pPr>
      <w:r w:rsidRPr="006375F7">
        <w:t>Sample: HILDA 2011-2019, respondents aged 25-56 years old with a VET and/or HE qualification and in an occupation that contains a mix of VET and HE qualifications in 2011 (N=2,723).</w:t>
      </w:r>
    </w:p>
    <w:p w14:paraId="5D6E21FC" w14:textId="77777777" w:rsidR="00B81A9D" w:rsidRDefault="00B81A9D">
      <w:pPr>
        <w:spacing w:before="0" w:line="240" w:lineRule="auto"/>
        <w:rPr>
          <w:rFonts w:ascii="Arial" w:hAnsi="Arial"/>
          <w:b/>
          <w:sz w:val="17"/>
        </w:rPr>
      </w:pPr>
      <w:bookmarkStart w:id="43" w:name="_Toc102041103"/>
      <w:r>
        <w:br w:type="page"/>
      </w:r>
    </w:p>
    <w:p w14:paraId="439C8273" w14:textId="632A00D0" w:rsidR="006A3659" w:rsidRDefault="006A3659" w:rsidP="006A3659">
      <w:pPr>
        <w:pStyle w:val="Figuretitle"/>
      </w:pPr>
      <w:r>
        <w:lastRenderedPageBreak/>
        <w:t>Figure 7</w:t>
      </w:r>
      <w:r w:rsidR="00451D64">
        <w:tab/>
      </w:r>
      <w:r w:rsidRPr="00953543">
        <w:t xml:space="preserve">Difference in rates of supervisory responsibilities </w:t>
      </w:r>
      <w:r>
        <w:t xml:space="preserve">by qualification type (relative to HE) among those in the same </w:t>
      </w:r>
      <w:r w:rsidRPr="00C17E53">
        <w:t>occupations (regression results)</w:t>
      </w:r>
      <w:bookmarkEnd w:id="43"/>
    </w:p>
    <w:p w14:paraId="10B887D9" w14:textId="14D76420" w:rsidR="002F6BE3" w:rsidRDefault="006A3659" w:rsidP="00273D3B">
      <w:pPr>
        <w:pStyle w:val="Figuretitle"/>
      </w:pPr>
      <w:bookmarkStart w:id="44" w:name="_Toc102041104"/>
      <w:r>
        <w:rPr>
          <w:noProof/>
          <w:sz w:val="20"/>
          <w:lang w:eastAsia="en-GB"/>
        </w:rPr>
        <w:drawing>
          <wp:inline distT="0" distB="0" distL="0" distR="0" wp14:anchorId="2628E490" wp14:editId="09D51FFD">
            <wp:extent cx="5024628" cy="3654552"/>
            <wp:effectExtent l="0" t="0" r="508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44"/>
    </w:p>
    <w:p w14:paraId="2772A40A" w14:textId="77777777" w:rsidR="006A3659" w:rsidRPr="00953543" w:rsidRDefault="006A3659" w:rsidP="006A3659">
      <w:pPr>
        <w:pStyle w:val="Source"/>
      </w:pPr>
      <w:r w:rsidRPr="006375F7">
        <w:t xml:space="preserve">Interpretation </w:t>
      </w:r>
      <w:r w:rsidRPr="00953543">
        <w:t>example: In 2011, individuals with VET and HE qualifications were about 3.9 percentage point less likely to have supervisory responsibilities than those with a HE qualification only.</w:t>
      </w:r>
    </w:p>
    <w:p w14:paraId="740BDCE9" w14:textId="77777777" w:rsidR="006A3659" w:rsidRPr="006375F7" w:rsidRDefault="006A3659" w:rsidP="006A3659">
      <w:pPr>
        <w:pStyle w:val="Source"/>
      </w:pPr>
      <w:r w:rsidRPr="00953543">
        <w:t xml:space="preserve">Notes: The estimated coefficients are derived </w:t>
      </w:r>
      <w:r w:rsidRPr="006375F7">
        <w:t>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626C937" w14:textId="77777777" w:rsidR="006A3659" w:rsidRDefault="006A3659" w:rsidP="006A3659">
      <w:pPr>
        <w:pStyle w:val="Source"/>
      </w:pPr>
      <w:r w:rsidRPr="006375F7">
        <w:t>Sample: HILDA 2011-2019, respondents aged 25-56 years old with a VET and/or HE qualification and in an occupation that contains a mix of VET and HE qualifications in 2011 (N=2,723).</w:t>
      </w:r>
    </w:p>
    <w:p w14:paraId="48E7D4FF" w14:textId="7EF7D9FF" w:rsidR="0012193E" w:rsidRPr="007C75C5" w:rsidRDefault="00BE18A0" w:rsidP="000B543D">
      <w:pPr>
        <w:pStyle w:val="Text"/>
      </w:pPr>
      <w:r>
        <w:t>Figure 8</w:t>
      </w:r>
      <w:r w:rsidR="000B543D">
        <w:t xml:space="preserve"> and various figures in appendix </w:t>
      </w:r>
      <w:r>
        <w:t xml:space="preserve">A </w:t>
      </w:r>
      <w:r w:rsidR="000B543D">
        <w:t>to this support document show that w</w:t>
      </w:r>
      <w:r w:rsidR="0012193E" w:rsidRPr="007C75C5">
        <w:t>ithin occupations, respondents with VET qualifications</w:t>
      </w:r>
      <w:r w:rsidR="0012193E">
        <w:t>, on average,</w:t>
      </w:r>
      <w:r w:rsidR="0012193E" w:rsidRPr="007C75C5">
        <w:t xml:space="preserve"> hold job of lower quality than respondents with a HE qualification on </w:t>
      </w:r>
      <w:proofErr w:type="gramStart"/>
      <w:r w:rsidR="0012193E" w:rsidRPr="007C75C5">
        <w:t>a number of</w:t>
      </w:r>
      <w:proofErr w:type="gramEnd"/>
      <w:r w:rsidR="0012193E" w:rsidRPr="007C75C5">
        <w:t xml:space="preserve"> dimensions, while this is less true for those with VET &amp; HE qualifications (Fig 8 &amp; Figs A12-A14). In particular, respondents with VET qualifications tend to have jobs with less autonomy (in deciding when to take a break </w:t>
      </w:r>
      <w:r w:rsidR="0012193E">
        <w:t>(</w:t>
      </w:r>
      <w:r w:rsidR="0012193E" w:rsidRPr="007C75C5">
        <w:t>Fig A15</w:t>
      </w:r>
      <w:r w:rsidR="0012193E">
        <w:t>)</w:t>
      </w:r>
      <w:r w:rsidR="0012193E" w:rsidRPr="007C75C5">
        <w:t xml:space="preserve">; what to do at work </w:t>
      </w:r>
      <w:r w:rsidR="0012193E">
        <w:t>(</w:t>
      </w:r>
      <w:r w:rsidR="0012193E" w:rsidRPr="007C75C5">
        <w:t>Fig A16</w:t>
      </w:r>
      <w:r w:rsidR="0012193E">
        <w:t>)</w:t>
      </w:r>
      <w:r w:rsidR="0012193E" w:rsidRPr="007C75C5">
        <w:t xml:space="preserve">; how to do own work </w:t>
      </w:r>
      <w:r w:rsidR="0012193E">
        <w:t>(</w:t>
      </w:r>
      <w:r w:rsidR="0012193E" w:rsidRPr="007C75C5">
        <w:t>Fig A17</w:t>
      </w:r>
      <w:r w:rsidR="0012193E">
        <w:t>)</w:t>
      </w:r>
      <w:r w:rsidR="0012193E" w:rsidRPr="007C75C5">
        <w:t xml:space="preserve">; when to do work </w:t>
      </w:r>
      <w:r w:rsidR="0012193E">
        <w:t>(</w:t>
      </w:r>
      <w:r w:rsidR="0012193E" w:rsidRPr="007C75C5">
        <w:t>Fig A18)</w:t>
      </w:r>
      <w:r w:rsidR="0012193E">
        <w:t>)</w:t>
      </w:r>
      <w:r w:rsidR="0012193E" w:rsidRPr="007C75C5">
        <w:t xml:space="preserve">; that are less interesting (i.e. that includes less variety of interesting things to do </w:t>
      </w:r>
      <w:r w:rsidR="0012193E">
        <w:t>(</w:t>
      </w:r>
      <w:r w:rsidR="0012193E" w:rsidRPr="007C75C5">
        <w:t>Fig A19</w:t>
      </w:r>
      <w:r w:rsidR="0012193E">
        <w:t>)</w:t>
      </w:r>
      <w:r w:rsidR="0012193E" w:rsidRPr="007C75C5">
        <w:t xml:space="preserve">; more repetition </w:t>
      </w:r>
      <w:r w:rsidR="0012193E">
        <w:t>(</w:t>
      </w:r>
      <w:r w:rsidR="0012193E" w:rsidRPr="007C75C5">
        <w:t>Fig A20</w:t>
      </w:r>
      <w:r w:rsidR="0012193E">
        <w:t>)</w:t>
      </w:r>
      <w:r w:rsidR="0012193E" w:rsidRPr="007C75C5">
        <w:t>) and with less opportunities for new challenges (</w:t>
      </w:r>
      <w:r w:rsidR="0012193E">
        <w:t xml:space="preserve">less likely to report their job involves taking </w:t>
      </w:r>
      <w:r w:rsidR="0012193E" w:rsidRPr="007C75C5">
        <w:t xml:space="preserve">initiative </w:t>
      </w:r>
      <w:r w:rsidR="0012193E">
        <w:t>(</w:t>
      </w:r>
      <w:r w:rsidR="0012193E" w:rsidRPr="007C75C5">
        <w:t>Fig A21</w:t>
      </w:r>
      <w:r w:rsidR="0012193E">
        <w:t>)</w:t>
      </w:r>
      <w:r w:rsidR="0012193E" w:rsidRPr="007C75C5">
        <w:t xml:space="preserve">; complex and difficult work </w:t>
      </w:r>
      <w:r w:rsidR="0012193E">
        <w:t>(</w:t>
      </w:r>
      <w:r w:rsidR="0012193E" w:rsidRPr="007C75C5">
        <w:t>Fig A22</w:t>
      </w:r>
      <w:r w:rsidR="0012193E">
        <w:t>)</w:t>
      </w:r>
      <w:r w:rsidR="0012193E" w:rsidRPr="007C75C5">
        <w:t xml:space="preserve">; </w:t>
      </w:r>
      <w:r w:rsidR="0012193E">
        <w:t xml:space="preserve">and </w:t>
      </w:r>
      <w:r w:rsidR="0012193E" w:rsidRPr="007C75C5">
        <w:t xml:space="preserve">learning of new skills Fig A23). It is worth noting that </w:t>
      </w:r>
      <w:r w:rsidR="0012193E">
        <w:t xml:space="preserve">there are no </w:t>
      </w:r>
      <w:r w:rsidR="0012193E" w:rsidRPr="007C75C5">
        <w:t xml:space="preserve">differences </w:t>
      </w:r>
      <w:r w:rsidR="0012193E">
        <w:t>among</w:t>
      </w:r>
      <w:r w:rsidR="0012193E" w:rsidRPr="007C75C5">
        <w:t xml:space="preserve"> the three groups in terms of</w:t>
      </w:r>
      <w:r w:rsidR="0012193E">
        <w:t xml:space="preserve"> the extent to which they report</w:t>
      </w:r>
      <w:r w:rsidR="0012193E" w:rsidRPr="007C75C5">
        <w:t xml:space="preserve"> using </w:t>
      </w:r>
      <w:r w:rsidR="0012193E">
        <w:t>their</w:t>
      </w:r>
      <w:r w:rsidR="0012193E" w:rsidRPr="007C75C5">
        <w:t xml:space="preserve"> skills and abilities (Fig A24) or </w:t>
      </w:r>
      <w:r w:rsidR="0012193E">
        <w:t xml:space="preserve">the reported level of </w:t>
      </w:r>
      <w:r w:rsidR="0012193E" w:rsidRPr="007C75C5">
        <w:t>stress</w:t>
      </w:r>
      <w:r w:rsidR="0012193E">
        <w:t xml:space="preserve"> associated with their work</w:t>
      </w:r>
      <w:r w:rsidR="0012193E" w:rsidRPr="007C75C5">
        <w:t xml:space="preserve"> (Fig A25 and Fig A26). And if anything, respondents with a VET qualification feel slightly less time pressure than respondents with a HE qualification (Fig A27 and A28). Consistently with the above results, we also find that </w:t>
      </w:r>
      <w:r w:rsidR="0012193E">
        <w:t xml:space="preserve">those </w:t>
      </w:r>
      <w:r w:rsidR="0012193E" w:rsidRPr="007C75C5">
        <w:t>with VET qualifications</w:t>
      </w:r>
      <w:r w:rsidR="0012193E">
        <w:t xml:space="preserve"> are</w:t>
      </w:r>
      <w:r w:rsidR="0012193E" w:rsidRPr="007C75C5">
        <w:t xml:space="preserve"> less </w:t>
      </w:r>
      <w:r w:rsidR="0012193E">
        <w:t xml:space="preserve">likely to report they have </w:t>
      </w:r>
      <w:r w:rsidR="0012193E" w:rsidRPr="007C75C5">
        <w:t xml:space="preserve">flexible start / finish times as </w:t>
      </w:r>
      <w:r w:rsidR="0012193E">
        <w:t xml:space="preserve">part of their </w:t>
      </w:r>
      <w:r w:rsidR="0012193E" w:rsidRPr="007C75C5">
        <w:t>workplace entitlements (Fig A 29).</w:t>
      </w:r>
    </w:p>
    <w:p w14:paraId="4BFD12F8" w14:textId="77777777" w:rsidR="00B81A9D" w:rsidRDefault="00B81A9D">
      <w:pPr>
        <w:spacing w:before="0" w:line="240" w:lineRule="auto"/>
        <w:rPr>
          <w:rFonts w:ascii="Arial" w:hAnsi="Arial"/>
          <w:b/>
          <w:sz w:val="17"/>
        </w:rPr>
      </w:pPr>
      <w:bookmarkStart w:id="45" w:name="_Toc102041105"/>
      <w:r>
        <w:br w:type="page"/>
      </w:r>
    </w:p>
    <w:p w14:paraId="7738D1B7" w14:textId="651AB0CA" w:rsidR="00BE18A0" w:rsidRDefault="00BE18A0" w:rsidP="00BE18A0">
      <w:pPr>
        <w:pStyle w:val="Figuretitle"/>
      </w:pPr>
      <w:r w:rsidRPr="00A97030">
        <w:lastRenderedPageBreak/>
        <w:t>Figure 8</w:t>
      </w:r>
      <w:r w:rsidR="00451D64">
        <w:tab/>
      </w:r>
      <w:r w:rsidRPr="00A97030">
        <w:t>Difference in job characteristics</w:t>
      </w:r>
      <w:r>
        <w:t xml:space="preserve"> index</w:t>
      </w:r>
      <w:r w:rsidRPr="00A97030">
        <w:t xml:space="preserve"> (weighted by factor loading) </w:t>
      </w:r>
      <w:r>
        <w:t xml:space="preserve">by qualification type (relative to HE) among those in the same </w:t>
      </w:r>
      <w:r w:rsidRPr="00C17E53">
        <w:t>occupations (regression results)</w:t>
      </w:r>
      <w:bookmarkEnd w:id="45"/>
    </w:p>
    <w:p w14:paraId="561AB4EF" w14:textId="2C1D6020" w:rsidR="00BE18A0" w:rsidRDefault="00BE18A0" w:rsidP="00BE18A0">
      <w:pPr>
        <w:pStyle w:val="Figuretitle"/>
      </w:pPr>
      <w:bookmarkStart w:id="46" w:name="_Toc102041106"/>
      <w:r>
        <w:rPr>
          <w:noProof/>
          <w:sz w:val="20"/>
          <w:lang w:eastAsia="en-GB"/>
        </w:rPr>
        <w:drawing>
          <wp:inline distT="0" distB="0" distL="0" distR="0" wp14:anchorId="7DFD71C1" wp14:editId="7F01F9E9">
            <wp:extent cx="5024628" cy="3654552"/>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46"/>
    </w:p>
    <w:p w14:paraId="05C48DDD" w14:textId="77777777" w:rsidR="00BE18A0" w:rsidRPr="00BD5EAF" w:rsidRDefault="00BE18A0" w:rsidP="00BE18A0">
      <w:pPr>
        <w:pStyle w:val="Source"/>
      </w:pPr>
      <w:r w:rsidRPr="006375F7">
        <w:t xml:space="preserve">Interpretation example: In 2011, </w:t>
      </w:r>
      <w:r w:rsidRPr="00BD5EAF">
        <w:t xml:space="preserve">individuals with VET and HE qualifications had jobs with characteristics that were lower by 0.03 standard deviation than those with HE qualification only. </w:t>
      </w:r>
    </w:p>
    <w:p w14:paraId="6082F7E1" w14:textId="77777777" w:rsidR="00BE18A0" w:rsidRPr="006375F7" w:rsidRDefault="00BE18A0" w:rsidP="00BE18A0">
      <w:pPr>
        <w:pStyle w:val="Source"/>
      </w:pPr>
      <w:r w:rsidRPr="00BD5EAF">
        <w:t>Notes: The estimated coefficients are derived from regressions that compare outcomes of: (</w:t>
      </w:r>
      <w:proofErr w:type="spellStart"/>
      <w:r w:rsidRPr="00BD5EAF">
        <w:t>i</w:t>
      </w:r>
      <w:proofErr w:type="spellEnd"/>
      <w:r w:rsidRPr="00BD5EAF">
        <w:t xml:space="preserve">) respondents with VET only qualifications; (ii) VET and HE qualifications </w:t>
      </w:r>
      <w:r w:rsidRPr="006375F7">
        <w:t>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w:t>
      </w:r>
      <w:r>
        <w:t xml:space="preserve"> point</w:t>
      </w:r>
      <w:r w:rsidRPr="006375F7">
        <w:t xml:space="preserve"> level.</w:t>
      </w:r>
    </w:p>
    <w:p w14:paraId="1B6C4D1B" w14:textId="2E6D2D91" w:rsidR="00BE18A0" w:rsidRDefault="00BE18A0" w:rsidP="00BE18A0">
      <w:pPr>
        <w:pStyle w:val="Source"/>
      </w:pPr>
      <w:r w:rsidRPr="006375F7">
        <w:t>Sample: HILDA 2011-2019, respondents aged 25-56 years old with a VET and/or HE qualification and in an occupation that contains a mix of VET and HE qualifications in 2011 (N=2,723).</w:t>
      </w:r>
    </w:p>
    <w:p w14:paraId="2D79E5E0" w14:textId="38747FD1" w:rsidR="00BE18A0" w:rsidRDefault="00BE18A0" w:rsidP="00BE18A0">
      <w:pPr>
        <w:pStyle w:val="Source"/>
      </w:pPr>
    </w:p>
    <w:p w14:paraId="1CA31FC1" w14:textId="7109A636" w:rsidR="00BE18A0" w:rsidRDefault="00BE18A0" w:rsidP="00EC5A02">
      <w:pPr>
        <w:pStyle w:val="Text"/>
      </w:pPr>
      <w:r w:rsidRPr="007C75C5">
        <w:t>Despite these differences</w:t>
      </w:r>
      <w:r>
        <w:t>,</w:t>
      </w:r>
      <w:r w:rsidRPr="007C75C5">
        <w:t xml:space="preserve"> </w:t>
      </w:r>
      <w:r>
        <w:t>Figure 9</w:t>
      </w:r>
      <w:r w:rsidR="00700B0C">
        <w:t>, 10</w:t>
      </w:r>
      <w:r>
        <w:t xml:space="preserve"> and various figures in </w:t>
      </w:r>
      <w:r w:rsidR="00EC5A02">
        <w:t xml:space="preserve">appendix A show that </w:t>
      </w:r>
      <w:r w:rsidRPr="007C75C5">
        <w:t>respondents with VET qualifications are not less satisfied with their job</w:t>
      </w:r>
      <w:r>
        <w:t>s compared to</w:t>
      </w:r>
      <w:r w:rsidRPr="007C75C5">
        <w:t xml:space="preserve"> respondents with a HE qualification (Fig 9 &amp; Figs A30-A33). Specifically, they are as satisfied with the flexibility to balance work and non-work commitments (Fig A 34); the</w:t>
      </w:r>
      <w:r>
        <w:t>ir</w:t>
      </w:r>
      <w:r w:rsidRPr="007C75C5">
        <w:t xml:space="preserve"> work (Fig A35); th</w:t>
      </w:r>
      <w:r>
        <w:t>eir</w:t>
      </w:r>
      <w:r w:rsidRPr="007C75C5">
        <w:t xml:space="preserve"> job security (Fig A36)</w:t>
      </w:r>
      <w:r>
        <w:t xml:space="preserve"> and</w:t>
      </w:r>
      <w:r w:rsidRPr="007C75C5">
        <w:t xml:space="preserve"> the</w:t>
      </w:r>
      <w:r>
        <w:t>ir</w:t>
      </w:r>
      <w:r w:rsidRPr="007C75C5">
        <w:t xml:space="preserve"> hours of work (Fig A37). They tend to be slightly less happy with the</w:t>
      </w:r>
      <w:r>
        <w:t>ir</w:t>
      </w:r>
      <w:r w:rsidRPr="007C75C5">
        <w:t xml:space="preserve"> pay (Fig A38) and the</w:t>
      </w:r>
      <w:r>
        <w:t>ir</w:t>
      </w:r>
      <w:r w:rsidRPr="007C75C5">
        <w:t xml:space="preserve"> work opportunities (Fig 10)</w:t>
      </w:r>
      <w:r>
        <w:t>,</w:t>
      </w:r>
      <w:r w:rsidRPr="007C75C5">
        <w:t xml:space="preserve"> but </w:t>
      </w:r>
      <w:r>
        <w:t xml:space="preserve">these </w:t>
      </w:r>
      <w:r w:rsidRPr="007C75C5">
        <w:t xml:space="preserve">differences are often insignificant. </w:t>
      </w:r>
      <w:r>
        <w:t>Similarly,</w:t>
      </w:r>
      <w:r w:rsidRPr="007C75C5">
        <w:t xml:space="preserve"> the</w:t>
      </w:r>
      <w:r>
        <w:t xml:space="preserve"> rate at which they report wanting </w:t>
      </w:r>
      <w:proofErr w:type="gramStart"/>
      <w:r w:rsidRPr="007C75C5">
        <w:t>more or less hours</w:t>
      </w:r>
      <w:proofErr w:type="gramEnd"/>
      <w:r w:rsidRPr="007C75C5">
        <w:t xml:space="preserve"> </w:t>
      </w:r>
      <w:r>
        <w:t xml:space="preserve">is no different to that of </w:t>
      </w:r>
      <w:r w:rsidRPr="007C75C5">
        <w:t>those with a HE qualification (Fig A39-A40).</w:t>
      </w:r>
    </w:p>
    <w:p w14:paraId="560A4429" w14:textId="77777777" w:rsidR="00B81A9D" w:rsidRDefault="00B81A9D">
      <w:pPr>
        <w:spacing w:before="0" w:line="240" w:lineRule="auto"/>
        <w:rPr>
          <w:rFonts w:ascii="Arial" w:hAnsi="Arial"/>
          <w:b/>
          <w:sz w:val="17"/>
        </w:rPr>
      </w:pPr>
      <w:bookmarkStart w:id="47" w:name="_Toc102041107"/>
      <w:r>
        <w:br w:type="page"/>
      </w:r>
    </w:p>
    <w:p w14:paraId="6C773E37" w14:textId="46CD88EA" w:rsidR="00700B0C" w:rsidRDefault="00700B0C" w:rsidP="00700B0C">
      <w:pPr>
        <w:pStyle w:val="Figuretitle"/>
      </w:pPr>
      <w:r>
        <w:lastRenderedPageBreak/>
        <w:t xml:space="preserve">Figure </w:t>
      </w:r>
      <w:r w:rsidRPr="005C6D03">
        <w:t>9</w:t>
      </w:r>
      <w:r w:rsidR="00451D64">
        <w:tab/>
      </w:r>
      <w:r w:rsidRPr="005C6D03">
        <w:t>Difference in job satisfaction (index weighted</w:t>
      </w:r>
      <w:r>
        <w:t xml:space="preserve"> by factor loading</w:t>
      </w:r>
      <w:r w:rsidRPr="005C6D03">
        <w:t xml:space="preserve">) </w:t>
      </w:r>
      <w:r>
        <w:t xml:space="preserve">by qualification type (relative to HE) among those in the same </w:t>
      </w:r>
      <w:r w:rsidRPr="00C17E53">
        <w:t>occupations (regression results)</w:t>
      </w:r>
      <w:bookmarkEnd w:id="47"/>
    </w:p>
    <w:p w14:paraId="4478DE0F" w14:textId="3AB76857" w:rsidR="00700B0C" w:rsidRDefault="00700B0C" w:rsidP="00700B0C">
      <w:pPr>
        <w:pStyle w:val="Figuretitle"/>
      </w:pPr>
      <w:bookmarkStart w:id="48" w:name="_Toc102041108"/>
      <w:r>
        <w:rPr>
          <w:noProof/>
          <w:sz w:val="20"/>
          <w:lang w:eastAsia="en-GB"/>
        </w:rPr>
        <w:drawing>
          <wp:inline distT="0" distB="0" distL="0" distR="0" wp14:anchorId="292A9C63" wp14:editId="62BE4014">
            <wp:extent cx="5024628" cy="3654552"/>
            <wp:effectExtent l="0" t="0" r="508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48"/>
    </w:p>
    <w:p w14:paraId="39613313" w14:textId="77777777" w:rsidR="00700B0C" w:rsidRPr="006375F7" w:rsidRDefault="00700B0C" w:rsidP="00700B0C">
      <w:pPr>
        <w:pStyle w:val="Source"/>
      </w:pPr>
      <w:r w:rsidRPr="006375F7">
        <w:t xml:space="preserve">Interpretation example: </w:t>
      </w:r>
      <w:r>
        <w:t xml:space="preserve">In 2011, </w:t>
      </w:r>
      <w:r w:rsidRPr="00BD5EAF">
        <w:t xml:space="preserve">individuals with VET and HE qualifications </w:t>
      </w:r>
      <w:r>
        <w:t>were less satisfied with their job</w:t>
      </w:r>
      <w:r w:rsidRPr="00BD5EAF">
        <w:t xml:space="preserve"> by </w:t>
      </w:r>
      <w:r>
        <w:t>0.11</w:t>
      </w:r>
      <w:r w:rsidRPr="00BD5EAF">
        <w:t xml:space="preserve"> standard deviation than those with HE qualification only.</w:t>
      </w:r>
    </w:p>
    <w:p w14:paraId="60F129B4" w14:textId="77777777" w:rsidR="00700B0C" w:rsidRPr="006375F7" w:rsidRDefault="00700B0C" w:rsidP="00700B0C">
      <w:pPr>
        <w:pStyle w:val="Source"/>
      </w:pPr>
      <w:r w:rsidRPr="006375F7">
        <w:t>Notes: The estimated 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ED9DB60" w14:textId="77777777" w:rsidR="00700B0C" w:rsidRPr="006375F7" w:rsidRDefault="00700B0C" w:rsidP="00700B0C">
      <w:pPr>
        <w:pStyle w:val="Source"/>
      </w:pPr>
      <w:r w:rsidRPr="006375F7">
        <w:t>Sample: HILDA 2011-2019, respondents aged 25-56 years old with a VET and/or HE qualification and in an occupation that contains a mix of VET and HE qualifications in 2011 (N=2,723).</w:t>
      </w:r>
    </w:p>
    <w:p w14:paraId="2217BBAF" w14:textId="77777777" w:rsidR="00B81A9D" w:rsidRDefault="00B81A9D">
      <w:pPr>
        <w:spacing w:before="0" w:line="240" w:lineRule="auto"/>
        <w:rPr>
          <w:rFonts w:ascii="Arial" w:hAnsi="Arial"/>
          <w:b/>
          <w:sz w:val="17"/>
        </w:rPr>
      </w:pPr>
      <w:bookmarkStart w:id="49" w:name="_Toc102041109"/>
      <w:r>
        <w:br w:type="page"/>
      </w:r>
    </w:p>
    <w:p w14:paraId="4245B01A" w14:textId="62E5B9DA" w:rsidR="00700B0C" w:rsidRDefault="00700B0C" w:rsidP="00700B0C">
      <w:pPr>
        <w:pStyle w:val="Figuretitle"/>
      </w:pPr>
      <w:r>
        <w:lastRenderedPageBreak/>
        <w:t>Figure 10</w:t>
      </w:r>
      <w:r w:rsidR="00451D64">
        <w:tab/>
      </w:r>
      <w:r w:rsidRPr="008366C4">
        <w:t xml:space="preserve">Difference in satisfaction with work opportunities </w:t>
      </w:r>
      <w:r>
        <w:t xml:space="preserve">by qualification type (relative to HE) among those in the same </w:t>
      </w:r>
      <w:r w:rsidRPr="00C17E53">
        <w:t>occupations (regression results)</w:t>
      </w:r>
      <w:bookmarkEnd w:id="49"/>
    </w:p>
    <w:p w14:paraId="151B46B4" w14:textId="5F6897E9" w:rsidR="00700B0C" w:rsidRDefault="00700B0C" w:rsidP="00700B0C">
      <w:pPr>
        <w:pStyle w:val="Figuretitle"/>
      </w:pPr>
      <w:bookmarkStart w:id="50" w:name="_Toc102041110"/>
      <w:r>
        <w:rPr>
          <w:noProof/>
          <w:sz w:val="20"/>
          <w:lang w:eastAsia="en-GB"/>
        </w:rPr>
        <w:drawing>
          <wp:inline distT="0" distB="0" distL="0" distR="0" wp14:anchorId="4A98BAC2" wp14:editId="60417AA4">
            <wp:extent cx="5024628" cy="3654552"/>
            <wp:effectExtent l="0" t="0" r="508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50"/>
    </w:p>
    <w:p w14:paraId="29E88574" w14:textId="77777777" w:rsidR="00700B0C" w:rsidRPr="005C6D03" w:rsidRDefault="00700B0C" w:rsidP="00700B0C">
      <w:pPr>
        <w:pStyle w:val="Source"/>
      </w:pPr>
      <w:r w:rsidRPr="006375F7">
        <w:t>Interpretation example</w:t>
      </w:r>
      <w:r w:rsidRPr="005C6D03">
        <w:t xml:space="preserve">: In 2011, individuals with VET and HE qualifications are less satisfied with their work opportunities </w:t>
      </w:r>
      <w:r>
        <w:t>by around 1.7</w:t>
      </w:r>
      <w:r w:rsidRPr="005C6D03">
        <w:t xml:space="preserve"> point than those with a HE qualification only.</w:t>
      </w:r>
    </w:p>
    <w:p w14:paraId="58547C7F" w14:textId="77777777" w:rsidR="00700B0C" w:rsidRPr="006375F7" w:rsidRDefault="00700B0C" w:rsidP="00700B0C">
      <w:pPr>
        <w:pStyle w:val="Source"/>
      </w:pPr>
      <w:r w:rsidRPr="005C6D03">
        <w:t xml:space="preserve">Notes: The estimated coefficients </w:t>
      </w:r>
      <w:r w:rsidRPr="006375F7">
        <w:t>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C38E74F" w14:textId="77777777" w:rsidR="00700B0C" w:rsidRDefault="00700B0C" w:rsidP="00700B0C">
      <w:pPr>
        <w:pStyle w:val="Source"/>
      </w:pPr>
      <w:r w:rsidRPr="006375F7">
        <w:t>Sample: HILDA 2011-2019, respondents aged 25-56 years old with a VET and/or HE qualification and in an occupation that contains a mix of VET and HE qualifications in 2011 (N=2,723).</w:t>
      </w:r>
    </w:p>
    <w:p w14:paraId="4A5AFF7A" w14:textId="77777777" w:rsidR="001A52BA" w:rsidRPr="007C75C5" w:rsidRDefault="001A52BA" w:rsidP="001A52BA">
      <w:pPr>
        <w:pStyle w:val="Text"/>
      </w:pPr>
      <w:r w:rsidRPr="007C75C5">
        <w:t xml:space="preserve">For respondents with HE &amp; VET qualifications, the most relevant difference we find is that they appear to have shorter tenure in the occupation than respondents with HE qualifications </w:t>
      </w:r>
      <w:r>
        <w:t>only (Figure 11)</w:t>
      </w:r>
      <w:r w:rsidRPr="007C75C5">
        <w:t xml:space="preserve">. This may </w:t>
      </w:r>
      <w:r>
        <w:t>simply reflect</w:t>
      </w:r>
      <w:r w:rsidRPr="007C75C5">
        <w:t xml:space="preserve"> </w:t>
      </w:r>
      <w:r>
        <w:t xml:space="preserve">the fact that they have previously completed both VET and HE qualifications, possibly involving some </w:t>
      </w:r>
      <w:r w:rsidRPr="007C75C5">
        <w:t>retraining and</w:t>
      </w:r>
      <w:r>
        <w:t>/or</w:t>
      </w:r>
      <w:r w:rsidRPr="007C75C5">
        <w:t xml:space="preserve"> upskilling. </w:t>
      </w:r>
      <w:r>
        <w:t>However, t</w:t>
      </w:r>
      <w:r w:rsidRPr="007C75C5">
        <w:t>hey do not appear to have shorter</w:t>
      </w:r>
      <w:r>
        <w:t xml:space="preserve"> </w:t>
      </w:r>
      <w:r w:rsidRPr="007C75C5">
        <w:t xml:space="preserve">tenures in their </w:t>
      </w:r>
      <w:r>
        <w:t xml:space="preserve">current </w:t>
      </w:r>
      <w:r w:rsidRPr="007C75C5">
        <w:t xml:space="preserve">job </w:t>
      </w:r>
      <w:r>
        <w:t>(Figure 12)</w:t>
      </w:r>
      <w:r w:rsidRPr="007C75C5">
        <w:t>.</w:t>
      </w:r>
    </w:p>
    <w:p w14:paraId="12925C8A" w14:textId="77777777" w:rsidR="00B81A9D" w:rsidRDefault="00B81A9D">
      <w:pPr>
        <w:spacing w:before="0" w:line="240" w:lineRule="auto"/>
        <w:rPr>
          <w:rFonts w:ascii="Arial" w:hAnsi="Arial"/>
          <w:b/>
          <w:sz w:val="17"/>
        </w:rPr>
      </w:pPr>
      <w:bookmarkStart w:id="51" w:name="_Toc102041111"/>
      <w:r>
        <w:br w:type="page"/>
      </w:r>
    </w:p>
    <w:p w14:paraId="4D68224E" w14:textId="0387FA1A" w:rsidR="001A52BA" w:rsidRDefault="001A52BA" w:rsidP="001A52BA">
      <w:pPr>
        <w:pStyle w:val="Figuretitle"/>
      </w:pPr>
      <w:r>
        <w:lastRenderedPageBreak/>
        <w:t>Figure 11</w:t>
      </w:r>
      <w:r w:rsidR="00451D64">
        <w:tab/>
      </w:r>
      <w:r w:rsidRPr="008366C4">
        <w:t xml:space="preserve">Difference in tenure in the occupation (years) </w:t>
      </w:r>
      <w:r>
        <w:t xml:space="preserve">by qualification type (relative to HE) among those in the same </w:t>
      </w:r>
      <w:r w:rsidRPr="00C17E53">
        <w:t>occupations (regression results)</w:t>
      </w:r>
      <w:bookmarkEnd w:id="51"/>
    </w:p>
    <w:p w14:paraId="630FF0C6" w14:textId="214BA69A" w:rsidR="001A52BA" w:rsidRDefault="001A52BA" w:rsidP="001A52BA">
      <w:pPr>
        <w:pStyle w:val="Figuretitle"/>
      </w:pPr>
      <w:bookmarkStart w:id="52" w:name="_Toc102041112"/>
      <w:r>
        <w:rPr>
          <w:noProof/>
          <w:sz w:val="20"/>
          <w:lang w:eastAsia="en-GB"/>
        </w:rPr>
        <w:drawing>
          <wp:inline distT="0" distB="0" distL="0" distR="0" wp14:anchorId="6E4332F1" wp14:editId="23062EF4">
            <wp:extent cx="5024628" cy="3654552"/>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52"/>
    </w:p>
    <w:p w14:paraId="131A9359" w14:textId="77777777" w:rsidR="001A52BA" w:rsidRPr="008366C4" w:rsidRDefault="001A52BA" w:rsidP="001A52BA">
      <w:pPr>
        <w:pStyle w:val="Source"/>
      </w:pPr>
      <w:r w:rsidRPr="008366C4">
        <w:t>Interpretation example: In 2011, the tenure in the occupation for individuals with a VET and HE qualification was 1.6 years shorter than the tenure for those with a HE qualification only.</w:t>
      </w:r>
    </w:p>
    <w:p w14:paraId="7D93717B" w14:textId="77777777" w:rsidR="001A52BA" w:rsidRPr="006375F7" w:rsidRDefault="001A52BA" w:rsidP="001A52BA">
      <w:pPr>
        <w:pStyle w:val="Source"/>
      </w:pPr>
      <w:r w:rsidRPr="008366C4">
        <w:t xml:space="preserve">Notes: The estimated </w:t>
      </w:r>
      <w:r w:rsidRPr="006375F7">
        <w:t>coefficients 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C7565B6" w14:textId="59C2B741" w:rsidR="001A52BA" w:rsidRDefault="001A52BA" w:rsidP="001A52BA">
      <w:pPr>
        <w:pStyle w:val="Source"/>
      </w:pPr>
      <w:r w:rsidRPr="006375F7">
        <w:t>Sample: HILDA 2011-2019, respondents aged 25-56 years old with a VET and/or HE qualification and in an occupation that contains a mix of VET and HE qualifications in 2011 (N=2,723).</w:t>
      </w:r>
    </w:p>
    <w:p w14:paraId="1DFD1321" w14:textId="10D39CA7" w:rsidR="001A52BA" w:rsidRDefault="001A52BA" w:rsidP="001A52BA">
      <w:pPr>
        <w:pStyle w:val="Source"/>
      </w:pPr>
    </w:p>
    <w:p w14:paraId="30FF512A" w14:textId="77777777" w:rsidR="00B81A9D" w:rsidRDefault="00B81A9D">
      <w:pPr>
        <w:spacing w:before="0" w:line="240" w:lineRule="auto"/>
        <w:rPr>
          <w:rFonts w:ascii="Arial" w:hAnsi="Arial"/>
          <w:b/>
          <w:sz w:val="17"/>
        </w:rPr>
      </w:pPr>
      <w:bookmarkStart w:id="53" w:name="_Toc102041113"/>
      <w:r>
        <w:br w:type="page"/>
      </w:r>
    </w:p>
    <w:p w14:paraId="04A3948F" w14:textId="13F4CA3D" w:rsidR="001A52BA" w:rsidRDefault="001A52BA" w:rsidP="001A52BA">
      <w:pPr>
        <w:pStyle w:val="Figuretitle"/>
      </w:pPr>
      <w:r>
        <w:lastRenderedPageBreak/>
        <w:t>Figure 12</w:t>
      </w:r>
      <w:r w:rsidR="00451D64">
        <w:tab/>
      </w:r>
      <w:r w:rsidRPr="008366C4">
        <w:t xml:space="preserve">Difference in tenure in the job (years) </w:t>
      </w:r>
      <w:r>
        <w:t xml:space="preserve">by qualification type (relative to HE) among those in the same </w:t>
      </w:r>
      <w:r w:rsidRPr="00C17E53">
        <w:t>occupations (regression results)</w:t>
      </w:r>
      <w:bookmarkEnd w:id="53"/>
    </w:p>
    <w:p w14:paraId="4E5B6798" w14:textId="162077B8" w:rsidR="001A52BA" w:rsidRDefault="001A52BA" w:rsidP="001A52BA">
      <w:pPr>
        <w:pStyle w:val="Figuretitle"/>
      </w:pPr>
      <w:bookmarkStart w:id="54" w:name="_Toc102041114"/>
      <w:r>
        <w:rPr>
          <w:noProof/>
          <w:sz w:val="20"/>
          <w:lang w:eastAsia="en-GB"/>
        </w:rPr>
        <w:drawing>
          <wp:inline distT="0" distB="0" distL="0" distR="0" wp14:anchorId="769D7A59" wp14:editId="126BA47E">
            <wp:extent cx="5024628" cy="3654552"/>
            <wp:effectExtent l="0" t="0" r="508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bookmarkEnd w:id="54"/>
    </w:p>
    <w:p w14:paraId="17BFC170" w14:textId="77777777" w:rsidR="001A52BA" w:rsidRPr="008366C4" w:rsidRDefault="001A52BA" w:rsidP="001A52BA">
      <w:pPr>
        <w:pStyle w:val="Source"/>
      </w:pPr>
      <w:r w:rsidRPr="006375F7">
        <w:t>Interpretation example</w:t>
      </w:r>
      <w:r w:rsidRPr="008366C4">
        <w:t>: In 2011, the tenure in the job for individuals with a VET and HE qualification was 0.7 years shorter than the tenure for those with a HE qualification only.</w:t>
      </w:r>
    </w:p>
    <w:p w14:paraId="326C94D2" w14:textId="77777777" w:rsidR="001A52BA" w:rsidRPr="006375F7" w:rsidRDefault="001A52BA" w:rsidP="001A52BA">
      <w:pPr>
        <w:pStyle w:val="Source"/>
      </w:pPr>
      <w:r w:rsidRPr="008366C4">
        <w:t xml:space="preserve">Notes: The estimated coefficients </w:t>
      </w:r>
      <w:r w:rsidRPr="006375F7">
        <w:t>are derived from regressions that compare outcomes of: (</w:t>
      </w:r>
      <w:proofErr w:type="spellStart"/>
      <w:r w:rsidRPr="006375F7">
        <w:t>i</w:t>
      </w:r>
      <w:proofErr w:type="spellEnd"/>
      <w:r w:rsidRPr="006375F7">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A95F96F" w14:textId="77777777" w:rsidR="001A52BA" w:rsidRPr="008366C4" w:rsidRDefault="001A52BA" w:rsidP="001A52BA">
      <w:pPr>
        <w:pStyle w:val="Source"/>
      </w:pPr>
      <w:r w:rsidRPr="006375F7">
        <w:t>Sample: HILDA 2011-2019, respondents aged 25-56 years old with a VET and/or HE qualification and in an occupation that contains a mix of VET and HE qualifications in 2011 (N=2,723).</w:t>
      </w:r>
    </w:p>
    <w:p w14:paraId="368ED331" w14:textId="77777777" w:rsidR="001A52BA" w:rsidRPr="007C75C5" w:rsidRDefault="001A52BA" w:rsidP="001A52BA">
      <w:pPr>
        <w:pStyle w:val="Source"/>
        <w:rPr>
          <w:sz w:val="22"/>
          <w:szCs w:val="22"/>
        </w:rPr>
      </w:pPr>
    </w:p>
    <w:p w14:paraId="5631A745" w14:textId="77777777" w:rsidR="002E6BC6" w:rsidRDefault="002E6BC6">
      <w:pPr>
        <w:spacing w:before="0" w:line="240" w:lineRule="auto"/>
        <w:rPr>
          <w:rFonts w:ascii="Arial" w:hAnsi="Arial" w:cs="Tahoma"/>
          <w:sz w:val="28"/>
        </w:rPr>
      </w:pPr>
      <w:bookmarkStart w:id="55" w:name="_Toc102040945"/>
      <w:r>
        <w:br w:type="page"/>
      </w:r>
    </w:p>
    <w:p w14:paraId="6E0E4D1D" w14:textId="725C3387" w:rsidR="007B244B" w:rsidRPr="007C75C5" w:rsidRDefault="007B244B" w:rsidP="007B244B">
      <w:pPr>
        <w:pStyle w:val="Heading2"/>
      </w:pPr>
      <w:r w:rsidRPr="007C75C5">
        <w:lastRenderedPageBreak/>
        <w:t>Robustness checks</w:t>
      </w:r>
      <w:bookmarkEnd w:id="55"/>
    </w:p>
    <w:p w14:paraId="35B1369D" w14:textId="1084E612" w:rsidR="007B244B" w:rsidRDefault="007B244B" w:rsidP="00D557B7">
      <w:pPr>
        <w:pStyle w:val="Text"/>
      </w:pPr>
      <w:r>
        <w:t xml:space="preserve">We run </w:t>
      </w:r>
      <w:proofErr w:type="gramStart"/>
      <w:r>
        <w:t>a number of</w:t>
      </w:r>
      <w:proofErr w:type="gramEnd"/>
      <w:r>
        <w:t xml:space="preserve"> robustness checks on the 12 main outcomes presented above to verify that our results are independent of the choices made with respect to the list of control variables </w:t>
      </w:r>
      <w:r w:rsidR="00D557B7">
        <w:t>included</w:t>
      </w:r>
      <w:r>
        <w:t xml:space="preserve"> the occupations selected in our </w:t>
      </w:r>
      <w:r w:rsidR="00D557B7">
        <w:t>sample</w:t>
      </w:r>
      <w:r>
        <w:t xml:space="preserve"> and the response behaviour in over waves.</w:t>
      </w:r>
    </w:p>
    <w:p w14:paraId="24DA66B9" w14:textId="77777777" w:rsidR="007B244B" w:rsidRPr="000B314A" w:rsidRDefault="007B244B" w:rsidP="00D557B7">
      <w:pPr>
        <w:pStyle w:val="Text"/>
      </w:pPr>
      <w:r w:rsidRPr="000B314A">
        <w:t>These robustness checks include:</w:t>
      </w:r>
    </w:p>
    <w:p w14:paraId="69A37CC7" w14:textId="77777777" w:rsidR="007B244B" w:rsidRPr="007C75C5" w:rsidRDefault="007B244B" w:rsidP="00D557B7">
      <w:pPr>
        <w:pStyle w:val="Dotpoint1"/>
      </w:pPr>
      <w:r w:rsidRPr="007C75C5">
        <w:t>Restricted list of controls: we restrict controls to basic demographic characteristics – gender; age; Indigenous status; country of birth; language other than English; state of residence; type of location</w:t>
      </w:r>
      <w:r>
        <w:t xml:space="preserve"> (Results in Appendix B)</w:t>
      </w:r>
      <w:r w:rsidRPr="007C75C5">
        <w:t>.</w:t>
      </w:r>
      <w:r>
        <w:t xml:space="preserve"> This is to test how sensitive our results are to the choice of control variables and bias that may arise because we have not controlled for all differences between those who do and do not hold VET qualifications, which may also be correlated with outcomes.</w:t>
      </w:r>
    </w:p>
    <w:p w14:paraId="3FF6D9A0" w14:textId="77777777" w:rsidR="007B244B" w:rsidRPr="007C75C5" w:rsidRDefault="007B244B" w:rsidP="00D557B7">
      <w:pPr>
        <w:pStyle w:val="Dotpoint1"/>
      </w:pPr>
      <w:r w:rsidRPr="007C75C5">
        <w:t xml:space="preserve">Balanced panel: this is to test </w:t>
      </w:r>
      <w:r>
        <w:t>whether results over time may stem from changes in the sample of respondents at every wave</w:t>
      </w:r>
      <w:r w:rsidRPr="007C75C5">
        <w:t xml:space="preserve">, i.e. whether the evolution of the </w:t>
      </w:r>
      <w:r>
        <w:t xml:space="preserve">estimated outcomes associated with holding </w:t>
      </w:r>
      <w:r w:rsidRPr="007C75C5">
        <w:t xml:space="preserve">qualifications over time are an artefact of </w:t>
      </w:r>
      <w:r>
        <w:t xml:space="preserve">differences in the rate at which VET qualification holders </w:t>
      </w:r>
      <w:r w:rsidRPr="007C75C5">
        <w:t xml:space="preserve">with certain outcomes </w:t>
      </w:r>
      <w:r>
        <w:t>respond to the survey over time compared with holders of HE qualifications</w:t>
      </w:r>
      <w:r w:rsidRPr="007C75C5">
        <w:t xml:space="preserve">. </w:t>
      </w:r>
      <w:r>
        <w:t xml:space="preserve">The advantage of the balanced panel is that the sample is constant over </w:t>
      </w:r>
      <w:proofErr w:type="gramStart"/>
      <w:r>
        <w:t>time</w:t>
      </w:r>
      <w:proofErr w:type="gramEnd"/>
      <w:r>
        <w:t xml:space="preserve"> but the disadvantage is that this group of people may be different from those that do not respond at every wave, in ways that are related to the outcomes (Results in Appendix C)</w:t>
      </w:r>
      <w:r w:rsidRPr="007C75C5">
        <w:t>.</w:t>
      </w:r>
    </w:p>
    <w:p w14:paraId="7C07A836" w14:textId="77777777" w:rsidR="007B244B" w:rsidRPr="007C75C5" w:rsidRDefault="007B244B" w:rsidP="00D557B7">
      <w:pPr>
        <w:pStyle w:val="Dotpoint1"/>
      </w:pPr>
      <w:r w:rsidRPr="007C75C5">
        <w:t>Extended sample of occupations: this is to test whether the results are specific to the occupations included</w:t>
      </w:r>
      <w:r>
        <w:t xml:space="preserve"> (Results in Appendix D)</w:t>
      </w:r>
      <w:r w:rsidRPr="007C75C5">
        <w:t>.</w:t>
      </w:r>
    </w:p>
    <w:p w14:paraId="4CCD1EB2" w14:textId="77777777" w:rsidR="007B244B" w:rsidRPr="00B80880" w:rsidRDefault="007B244B" w:rsidP="007B244B">
      <w:pPr>
        <w:spacing w:line="288" w:lineRule="auto"/>
        <w:jc w:val="both"/>
        <w:rPr>
          <w:sz w:val="22"/>
          <w:szCs w:val="22"/>
        </w:rPr>
      </w:pPr>
      <w:r>
        <w:rPr>
          <w:sz w:val="22"/>
          <w:szCs w:val="22"/>
        </w:rPr>
        <w:t xml:space="preserve">Results for </w:t>
      </w:r>
      <w:proofErr w:type="gramStart"/>
      <w:r>
        <w:rPr>
          <w:sz w:val="22"/>
          <w:szCs w:val="22"/>
        </w:rPr>
        <w:t>all of</w:t>
      </w:r>
      <w:proofErr w:type="gramEnd"/>
      <w:r>
        <w:rPr>
          <w:sz w:val="22"/>
          <w:szCs w:val="22"/>
        </w:rPr>
        <w:t xml:space="preserve"> the above scenarios are consistent with those presented above, suggesting that the results are robust to key assumptions of the analysis. </w:t>
      </w:r>
    </w:p>
    <w:p w14:paraId="74EE5E65" w14:textId="77777777" w:rsidR="007B244B" w:rsidRPr="007C75C5" w:rsidRDefault="007B244B" w:rsidP="00D557B7">
      <w:pPr>
        <w:pStyle w:val="Heading2"/>
      </w:pPr>
      <w:bookmarkStart w:id="56" w:name="_Toc102040946"/>
      <w:r>
        <w:t>Reflection on the results</w:t>
      </w:r>
      <w:bookmarkEnd w:id="56"/>
    </w:p>
    <w:p w14:paraId="77A837CF" w14:textId="70468FB8" w:rsidR="007B244B" w:rsidRPr="007C75C5" w:rsidRDefault="00D557B7" w:rsidP="002B0C13">
      <w:pPr>
        <w:pStyle w:val="Text"/>
      </w:pPr>
      <w:r>
        <w:t>The r</w:t>
      </w:r>
      <w:r w:rsidR="007B244B" w:rsidRPr="007C75C5">
        <w:t>esults suggest that labour market outcomes of respondents with VET qualifications are similar or inferior to that of respondents with HE qualifications.</w:t>
      </w:r>
    </w:p>
    <w:p w14:paraId="0B71E86E" w14:textId="4DC35277" w:rsidR="007B244B" w:rsidRPr="00826311" w:rsidRDefault="002B0C13" w:rsidP="002B0C13">
      <w:pPr>
        <w:pStyle w:val="Text"/>
        <w:rPr>
          <w:color w:val="000000" w:themeColor="text1"/>
        </w:rPr>
      </w:pPr>
      <w:r>
        <w:t>Unfortunately, t</w:t>
      </w:r>
      <w:r w:rsidR="007B244B">
        <w:t>he HILDA data doesn’t allow us to distinguish between the fields of study of VET or whether the VET study was part of an apprenticeship/traineeship or not. It is possible that those with higher-level VET courses (Diploma) or those with an apprenticeship may have different relative outcomes to those in lower level courses. Specifically, some subcategories of holders of VET qualifications may hold jobs that are closer in nature to those with HE qualifications, but quantitative analysis is not well suited to identifying those relevant subcategories and the HILDA sample too small to split the sample in different categories.</w:t>
      </w:r>
    </w:p>
    <w:p w14:paraId="2BEE6A8D" w14:textId="2C3A0225" w:rsidR="007B244B" w:rsidRPr="00826311" w:rsidRDefault="007B244B" w:rsidP="006372F4">
      <w:pPr>
        <w:pStyle w:val="Text"/>
        <w:rPr>
          <w:color w:val="000000" w:themeColor="text1"/>
        </w:rPr>
      </w:pPr>
      <w:r>
        <w:t xml:space="preserve">The estimates </w:t>
      </w:r>
      <w:r w:rsidR="006372F4">
        <w:t xml:space="preserve">derived for this study </w:t>
      </w:r>
      <w:r>
        <w:t>are based on a subgroup of occupations where there is cross-over between VET and HE qualifications. It does not reflect the relative outcomes of all people who take VET and HE, only work in those specific occupations.</w:t>
      </w:r>
    </w:p>
    <w:p w14:paraId="747A6B9A" w14:textId="77777777" w:rsidR="007B244B" w:rsidRPr="00826311" w:rsidRDefault="007B244B" w:rsidP="006372F4">
      <w:pPr>
        <w:pStyle w:val="Text"/>
        <w:rPr>
          <w:color w:val="000000" w:themeColor="text1"/>
        </w:rPr>
      </w:pPr>
      <w:r>
        <w:t xml:space="preserve">Finally, these comparisons are for people that are already observed in these occupations now and that they may not necessarily reflect relative trajectories of future VET and HE graduates in these cross-over occupations. One main reason is that, based on evidence above, it looks like those holding VET qualifications are performing more repetitive tasks that require less problem solving and/or innovation. With future technological change, especially the increasing adoption of A.I., more repetitive tasks are at a risk of being automated, which may impact the future employability of VET graduates relative to HE graduates in these occupations. </w:t>
      </w:r>
    </w:p>
    <w:p w14:paraId="0AECB98E" w14:textId="7D276A1B" w:rsidR="00BE18A0" w:rsidRDefault="00AB00C0" w:rsidP="005801D1">
      <w:pPr>
        <w:pStyle w:val="Heading1"/>
      </w:pPr>
      <w:r>
        <w:br w:type="page"/>
      </w:r>
      <w:bookmarkStart w:id="57" w:name="_Toc102040947"/>
      <w:r w:rsidR="005801D1">
        <w:lastRenderedPageBreak/>
        <w:t>Appendix A</w:t>
      </w:r>
      <w:r w:rsidR="00840D6F">
        <w:t xml:space="preserve"> – Other main results</w:t>
      </w:r>
      <w:bookmarkEnd w:id="57"/>
    </w:p>
    <w:p w14:paraId="69D716AF" w14:textId="5056D813" w:rsidR="00840D6F" w:rsidRPr="00840D6F" w:rsidRDefault="00840D6F" w:rsidP="0045414A">
      <w:pPr>
        <w:pStyle w:val="Figuretitle"/>
        <w:ind w:left="1134" w:hanging="1134"/>
        <w:rPr>
          <w:rFonts w:eastAsia="Calibri"/>
          <w:lang w:val="en-GB"/>
        </w:rPr>
      </w:pPr>
      <w:bookmarkStart w:id="58" w:name="_Toc102041115"/>
      <w:r w:rsidRPr="00840D6F">
        <w:rPr>
          <w:rFonts w:eastAsia="Calibri"/>
          <w:lang w:val="en-GB"/>
        </w:rPr>
        <w:t>Figure A1</w:t>
      </w:r>
      <w:r w:rsidR="00EF5821">
        <w:rPr>
          <w:rFonts w:eastAsia="Calibri"/>
          <w:lang w:val="en-GB"/>
        </w:rPr>
        <w:tab/>
      </w:r>
      <w:r w:rsidRPr="00840D6F">
        <w:rPr>
          <w:rFonts w:eastAsia="Calibri"/>
          <w:lang w:val="en-GB"/>
        </w:rPr>
        <w:t>Difference in rates of full-time employment by qualification type (relative to HE) among those in the same occupations (regression results)</w:t>
      </w:r>
      <w:bookmarkEnd w:id="58"/>
    </w:p>
    <w:p w14:paraId="7B8E312E"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0801DF5D" wp14:editId="4AE2A2BD">
            <wp:extent cx="5024628" cy="3654552"/>
            <wp:effectExtent l="0" t="0" r="508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901AA59"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were about 1.1 percentage point more likely to be employed full-time than those with a HE qualification only.</w:t>
      </w:r>
    </w:p>
    <w:p w14:paraId="6FF0DCE4"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656F863"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5183B49F" w14:textId="77777777" w:rsidR="00840D6F" w:rsidRPr="00840D6F" w:rsidRDefault="00840D6F" w:rsidP="00840D6F">
      <w:pPr>
        <w:spacing w:before="0" w:line="240" w:lineRule="auto"/>
        <w:rPr>
          <w:rFonts w:ascii="Calibri" w:eastAsia="Calibri" w:hAnsi="Calibri"/>
          <w:sz w:val="24"/>
          <w:szCs w:val="24"/>
        </w:rPr>
      </w:pPr>
    </w:p>
    <w:p w14:paraId="44B51C9E"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3179F9A" w14:textId="5DBB517A" w:rsidR="00840D6F" w:rsidRPr="00840D6F" w:rsidRDefault="00840D6F" w:rsidP="0045414A">
      <w:pPr>
        <w:pStyle w:val="Figuretitle"/>
        <w:ind w:left="1134" w:hanging="1134"/>
        <w:rPr>
          <w:rFonts w:eastAsia="Calibri"/>
          <w:lang w:val="en-GB"/>
        </w:rPr>
      </w:pPr>
      <w:bookmarkStart w:id="59" w:name="_Toc102041116"/>
      <w:r w:rsidRPr="00840D6F">
        <w:rPr>
          <w:rFonts w:eastAsia="Calibri"/>
          <w:lang w:val="en-GB"/>
        </w:rPr>
        <w:lastRenderedPageBreak/>
        <w:t>Figure A2</w:t>
      </w:r>
      <w:r w:rsidR="00EF5821">
        <w:rPr>
          <w:rFonts w:eastAsia="Calibri"/>
          <w:lang w:val="en-GB"/>
        </w:rPr>
        <w:tab/>
      </w:r>
      <w:r w:rsidRPr="00840D6F">
        <w:rPr>
          <w:rFonts w:eastAsia="Calibri"/>
          <w:lang w:val="en-GB"/>
        </w:rPr>
        <w:t>Difference in rates of having more than one job by qualification type (relative to HE) among those in the same occupations (regression results)</w:t>
      </w:r>
      <w:bookmarkEnd w:id="59"/>
    </w:p>
    <w:p w14:paraId="6C52DEB7"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738A1016" wp14:editId="12981D9F">
            <wp:extent cx="5024628" cy="3654552"/>
            <wp:effectExtent l="0" t="0" r="508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236F16A" w14:textId="77777777" w:rsidR="00840D6F" w:rsidRPr="00840D6F" w:rsidRDefault="00840D6F" w:rsidP="00840D6F">
      <w:pPr>
        <w:pStyle w:val="Source"/>
        <w:rPr>
          <w:rFonts w:eastAsia="Calibri"/>
        </w:rPr>
      </w:pPr>
      <w:r w:rsidRPr="00840D6F">
        <w:rPr>
          <w:rFonts w:eastAsia="Calibri"/>
        </w:rPr>
        <w:t>Interpretation example: In 2011, individuals with VET and HE were about 0.8 percentage point more likely to have more than one job than those with a HE qualification only.</w:t>
      </w:r>
    </w:p>
    <w:p w14:paraId="50D84EBE"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551A3B2"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801A0E1" w14:textId="77777777" w:rsidR="00840D6F" w:rsidRPr="00840D6F" w:rsidRDefault="00840D6F" w:rsidP="00840D6F">
      <w:pPr>
        <w:pStyle w:val="Source"/>
        <w:rPr>
          <w:rFonts w:eastAsia="Calibri"/>
          <w:sz w:val="24"/>
          <w:szCs w:val="24"/>
        </w:rPr>
      </w:pPr>
    </w:p>
    <w:p w14:paraId="7185C0EF"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334791ED" w14:textId="13A623F0" w:rsidR="00840D6F" w:rsidRPr="00840D6F" w:rsidRDefault="00840D6F" w:rsidP="0045414A">
      <w:pPr>
        <w:pStyle w:val="Figuretitle"/>
        <w:ind w:left="1134" w:hanging="1134"/>
        <w:rPr>
          <w:rFonts w:eastAsia="Calibri"/>
          <w:lang w:val="en-GB"/>
        </w:rPr>
      </w:pPr>
      <w:bookmarkStart w:id="60" w:name="_Toc102041117"/>
      <w:r w:rsidRPr="00840D6F">
        <w:rPr>
          <w:rFonts w:eastAsia="Calibri"/>
          <w:lang w:val="en-GB"/>
        </w:rPr>
        <w:lastRenderedPageBreak/>
        <w:t>Figure A3</w:t>
      </w:r>
      <w:r w:rsidR="00EF5821">
        <w:rPr>
          <w:rFonts w:eastAsia="Calibri"/>
          <w:lang w:val="en-GB"/>
        </w:rPr>
        <w:tab/>
      </w:r>
      <w:r w:rsidRPr="00840D6F">
        <w:rPr>
          <w:rFonts w:eastAsia="Calibri"/>
          <w:lang w:val="en-GB"/>
        </w:rPr>
        <w:t>Difference in rates of training in the past 12 months by qualification type (relative to HE) among those in the same occupations (regression results)</w:t>
      </w:r>
      <w:bookmarkEnd w:id="60"/>
    </w:p>
    <w:p w14:paraId="5BB609BD"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70B51987" wp14:editId="6EA135CB">
            <wp:extent cx="5024628" cy="3654552"/>
            <wp:effectExtent l="0" t="0" r="508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1A06CED"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were about 4.3 percentage points more likely to have received training in the past 12 months than those with a HE qualification only.</w:t>
      </w:r>
    </w:p>
    <w:p w14:paraId="327FB510"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851EF1E"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A4F369B" w14:textId="77777777" w:rsidR="00840D6F" w:rsidRPr="00840D6F" w:rsidRDefault="00840D6F" w:rsidP="00840D6F">
      <w:pPr>
        <w:spacing w:before="0" w:line="240" w:lineRule="auto"/>
        <w:rPr>
          <w:rFonts w:ascii="Calibri" w:eastAsia="Calibri" w:hAnsi="Calibri"/>
          <w:sz w:val="24"/>
          <w:szCs w:val="24"/>
        </w:rPr>
      </w:pPr>
    </w:p>
    <w:p w14:paraId="3BEE9095"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4A2D676A" w14:textId="037D5EE9" w:rsidR="00840D6F" w:rsidRPr="00840D6F" w:rsidRDefault="00840D6F" w:rsidP="0045414A">
      <w:pPr>
        <w:pStyle w:val="Figuretitle"/>
        <w:ind w:left="1134" w:hanging="1134"/>
        <w:rPr>
          <w:rFonts w:eastAsia="Calibri"/>
          <w:lang w:val="en-GB"/>
        </w:rPr>
      </w:pPr>
      <w:bookmarkStart w:id="61" w:name="_Toc102041118"/>
      <w:r w:rsidRPr="00840D6F">
        <w:rPr>
          <w:rFonts w:eastAsia="Calibri"/>
          <w:lang w:val="en-GB"/>
        </w:rPr>
        <w:lastRenderedPageBreak/>
        <w:t>Figure A4</w:t>
      </w:r>
      <w:r w:rsidR="00EF5821">
        <w:rPr>
          <w:rFonts w:eastAsia="Calibri"/>
          <w:lang w:val="en-GB"/>
        </w:rPr>
        <w:tab/>
      </w:r>
      <w:r w:rsidRPr="00840D6F">
        <w:rPr>
          <w:rFonts w:eastAsia="Calibri"/>
          <w:lang w:val="en-GB"/>
        </w:rPr>
        <w:t>Difference in rates of provision of paid annual and sick leave by qualification type (relative to HE) among those in the same occupations (regression results)</w:t>
      </w:r>
      <w:bookmarkEnd w:id="61"/>
    </w:p>
    <w:p w14:paraId="4AE52BB1"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999A05C" wp14:editId="55A9CDC0">
            <wp:extent cx="5024628" cy="3654552"/>
            <wp:effectExtent l="0" t="0" r="508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4CA0B81"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were about 1.1 percentage point less likely to have paid annual and sick leave than those with a HE qualification only.</w:t>
      </w:r>
    </w:p>
    <w:p w14:paraId="66282469"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D09B41A"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684F08C2" w14:textId="77777777" w:rsidR="00840D6F" w:rsidRPr="00840D6F" w:rsidRDefault="00840D6F" w:rsidP="00840D6F">
      <w:pPr>
        <w:spacing w:before="0" w:line="240" w:lineRule="auto"/>
        <w:rPr>
          <w:rFonts w:ascii="Calibri" w:eastAsia="Calibri" w:hAnsi="Calibri"/>
          <w:sz w:val="24"/>
          <w:szCs w:val="24"/>
        </w:rPr>
      </w:pPr>
    </w:p>
    <w:p w14:paraId="3B0FE6F9"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C1CB8E5" w14:textId="059D99DF" w:rsidR="00840D6F" w:rsidRPr="00840D6F" w:rsidRDefault="00840D6F" w:rsidP="0045414A">
      <w:pPr>
        <w:pStyle w:val="Figuretitle"/>
        <w:ind w:left="1134" w:hanging="1134"/>
        <w:rPr>
          <w:rFonts w:eastAsia="Calibri"/>
          <w:lang w:val="en-GB"/>
        </w:rPr>
      </w:pPr>
      <w:bookmarkStart w:id="62" w:name="_Toc102041119"/>
      <w:r w:rsidRPr="00840D6F">
        <w:rPr>
          <w:rFonts w:eastAsia="Calibri"/>
          <w:lang w:val="en-GB"/>
        </w:rPr>
        <w:lastRenderedPageBreak/>
        <w:t>Figure A5</w:t>
      </w:r>
      <w:r w:rsidR="00EF5821">
        <w:rPr>
          <w:rFonts w:eastAsia="Calibri"/>
          <w:lang w:val="en-GB"/>
        </w:rPr>
        <w:tab/>
      </w:r>
      <w:r w:rsidRPr="00840D6F">
        <w:rPr>
          <w:rFonts w:eastAsia="Calibri"/>
          <w:lang w:val="en-GB"/>
        </w:rPr>
        <w:t>Difference in the number of days of paid leave in the last 12 months by qualification type (relative to HE) among those in the same occupations (regression results)</w:t>
      </w:r>
      <w:bookmarkEnd w:id="62"/>
    </w:p>
    <w:p w14:paraId="24EE0C40"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6E4720E7" wp14:editId="39C63C2C">
            <wp:extent cx="5024628" cy="3654552"/>
            <wp:effectExtent l="0" t="0" r="508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B58ABD2"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took 1.5 days less of paid leave in the past 12 months than those with HE qualification only.</w:t>
      </w:r>
    </w:p>
    <w:p w14:paraId="73C47672"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300E77A"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64BD1B18" w14:textId="77777777" w:rsidR="00840D6F" w:rsidRPr="00840D6F" w:rsidRDefault="00840D6F" w:rsidP="00840D6F">
      <w:pPr>
        <w:pStyle w:val="Source"/>
        <w:rPr>
          <w:rFonts w:eastAsia="Calibri"/>
          <w:sz w:val="24"/>
          <w:szCs w:val="24"/>
        </w:rPr>
      </w:pPr>
    </w:p>
    <w:p w14:paraId="45C55783" w14:textId="77777777" w:rsidR="00840D6F" w:rsidRPr="00840D6F" w:rsidRDefault="00840D6F" w:rsidP="00840D6F">
      <w:pPr>
        <w:spacing w:before="0" w:line="240" w:lineRule="auto"/>
        <w:rPr>
          <w:rFonts w:ascii="Calibri" w:eastAsia="Calibri" w:hAnsi="Calibri"/>
          <w:sz w:val="24"/>
          <w:szCs w:val="24"/>
        </w:rPr>
      </w:pPr>
      <w:r w:rsidRPr="00840D6F">
        <w:rPr>
          <w:rFonts w:ascii="Calibri" w:eastAsia="Calibri" w:hAnsi="Calibri"/>
          <w:sz w:val="24"/>
          <w:szCs w:val="24"/>
        </w:rPr>
        <w:br w:type="page"/>
      </w:r>
    </w:p>
    <w:p w14:paraId="3EBB16BB" w14:textId="591CA35D" w:rsidR="00840D6F" w:rsidRPr="00840D6F" w:rsidRDefault="00840D6F" w:rsidP="0045414A">
      <w:pPr>
        <w:pStyle w:val="Figuretitle"/>
        <w:ind w:left="1134" w:hanging="1134"/>
        <w:rPr>
          <w:rFonts w:eastAsia="Calibri"/>
        </w:rPr>
      </w:pPr>
      <w:bookmarkStart w:id="63" w:name="_Toc102041120"/>
      <w:r w:rsidRPr="00840D6F">
        <w:rPr>
          <w:rFonts w:eastAsia="Calibri"/>
        </w:rPr>
        <w:lastRenderedPageBreak/>
        <w:t>Figure A6</w:t>
      </w:r>
      <w:r w:rsidR="00EF5821">
        <w:rPr>
          <w:rFonts w:eastAsia="Calibri"/>
        </w:rPr>
        <w:tab/>
      </w:r>
      <w:r w:rsidRPr="00840D6F">
        <w:rPr>
          <w:rFonts w:eastAsia="Calibri"/>
          <w:lang w:val="en-GB"/>
        </w:rPr>
        <w:t>Difference in the chance to lose their job in the next 12 months (%) by qualification type (relative to HE) among those in the same occupations (regression results)</w:t>
      </w:r>
      <w:bookmarkEnd w:id="63"/>
    </w:p>
    <w:p w14:paraId="2A63CB1E"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04FF4060" wp14:editId="4F5554ED">
            <wp:extent cx="5024628" cy="3654552"/>
            <wp:effectExtent l="0" t="0" r="508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17406CE"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estimated that they were about 1 percentage point less likely to lose their job than those with HE qualification only.</w:t>
      </w:r>
    </w:p>
    <w:p w14:paraId="6B35DC8F"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C5B3DFB"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3658C8B" w14:textId="77777777" w:rsidR="00840D6F" w:rsidRPr="00840D6F" w:rsidRDefault="00840D6F" w:rsidP="00840D6F">
      <w:pPr>
        <w:pStyle w:val="Source"/>
        <w:rPr>
          <w:rFonts w:eastAsia="Calibri"/>
          <w:sz w:val="24"/>
          <w:szCs w:val="24"/>
        </w:rPr>
      </w:pPr>
    </w:p>
    <w:p w14:paraId="09CD797B" w14:textId="77777777" w:rsidR="00840D6F" w:rsidRPr="00840D6F" w:rsidRDefault="00840D6F" w:rsidP="00840D6F">
      <w:pPr>
        <w:pStyle w:val="Source"/>
        <w:rPr>
          <w:rFonts w:eastAsia="Calibri"/>
          <w:sz w:val="24"/>
          <w:szCs w:val="24"/>
          <w:lang w:val="en-GB"/>
        </w:rPr>
      </w:pPr>
      <w:r w:rsidRPr="00840D6F">
        <w:rPr>
          <w:rFonts w:eastAsia="Calibri"/>
          <w:sz w:val="24"/>
          <w:szCs w:val="24"/>
          <w:lang w:val="en-GB"/>
        </w:rPr>
        <w:br w:type="page"/>
      </w:r>
    </w:p>
    <w:p w14:paraId="2ABA1404" w14:textId="6FD5FB7F" w:rsidR="00840D6F" w:rsidRPr="00840D6F" w:rsidRDefault="00840D6F" w:rsidP="0045414A">
      <w:pPr>
        <w:pStyle w:val="Figuretitle"/>
        <w:ind w:left="1134" w:hanging="1134"/>
        <w:rPr>
          <w:rFonts w:eastAsia="Calibri"/>
          <w:lang w:val="en-GB"/>
        </w:rPr>
      </w:pPr>
      <w:bookmarkStart w:id="64" w:name="_Toc102041121"/>
      <w:r w:rsidRPr="00840D6F">
        <w:rPr>
          <w:rFonts w:eastAsia="Calibri"/>
          <w:lang w:val="en-GB"/>
        </w:rPr>
        <w:lastRenderedPageBreak/>
        <w:t>Figure A7</w:t>
      </w:r>
      <w:r w:rsidR="00EF5821">
        <w:rPr>
          <w:rFonts w:eastAsia="Calibri"/>
          <w:lang w:val="en-GB"/>
        </w:rPr>
        <w:tab/>
      </w:r>
      <w:r w:rsidRPr="00840D6F">
        <w:rPr>
          <w:rFonts w:eastAsia="Calibri"/>
          <w:lang w:val="en-GB"/>
        </w:rPr>
        <w:t>Difference in the chance to leave their job in the next 12 months (%) by qualification type (relative to HE) among those in the same occupations (regression results)</w:t>
      </w:r>
      <w:bookmarkEnd w:id="64"/>
    </w:p>
    <w:p w14:paraId="3F9E9700"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7A7EED4" wp14:editId="2081EF9E">
            <wp:extent cx="5024628" cy="3654552"/>
            <wp:effectExtent l="0" t="0" r="508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213A1A8"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estimated that they were about 2.1 percentage points more likely to leave their job than those with HE qualification only.</w:t>
      </w:r>
    </w:p>
    <w:p w14:paraId="062D8EE3"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CCF60AD"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5ABC87E4" w14:textId="77777777" w:rsidR="00840D6F" w:rsidRPr="00840D6F" w:rsidRDefault="00840D6F" w:rsidP="00840D6F">
      <w:pPr>
        <w:spacing w:before="0" w:line="240" w:lineRule="auto"/>
        <w:rPr>
          <w:rFonts w:ascii="Calibri" w:eastAsia="Calibri" w:hAnsi="Calibri"/>
          <w:sz w:val="24"/>
          <w:szCs w:val="24"/>
        </w:rPr>
      </w:pPr>
    </w:p>
    <w:p w14:paraId="0DB614C4" w14:textId="77777777" w:rsidR="00840D6F" w:rsidRPr="00840D6F" w:rsidRDefault="00840D6F" w:rsidP="00840D6F">
      <w:pPr>
        <w:spacing w:before="0" w:line="240" w:lineRule="auto"/>
        <w:rPr>
          <w:rFonts w:ascii="Calibri" w:eastAsia="Calibri" w:hAnsi="Calibri"/>
          <w:sz w:val="24"/>
          <w:szCs w:val="24"/>
        </w:rPr>
      </w:pPr>
    </w:p>
    <w:p w14:paraId="1D475C00" w14:textId="77777777" w:rsidR="00840D6F" w:rsidRPr="00840D6F" w:rsidRDefault="00840D6F" w:rsidP="00840D6F">
      <w:pPr>
        <w:spacing w:before="0" w:line="240" w:lineRule="auto"/>
        <w:rPr>
          <w:rFonts w:ascii="Calibri" w:eastAsia="Calibri" w:hAnsi="Calibri"/>
          <w:color w:val="000000"/>
          <w:sz w:val="24"/>
          <w:szCs w:val="24"/>
          <w:lang w:val="en-GB"/>
        </w:rPr>
      </w:pPr>
      <w:r w:rsidRPr="00840D6F">
        <w:rPr>
          <w:rFonts w:ascii="Calibri" w:eastAsia="Calibri" w:hAnsi="Calibri"/>
          <w:color w:val="000000"/>
          <w:sz w:val="24"/>
          <w:szCs w:val="24"/>
          <w:lang w:val="en-GB"/>
        </w:rPr>
        <w:br w:type="page"/>
      </w:r>
    </w:p>
    <w:p w14:paraId="55A139B3" w14:textId="7C50DC56" w:rsidR="00840D6F" w:rsidRPr="00840D6F" w:rsidRDefault="00840D6F" w:rsidP="0045414A">
      <w:pPr>
        <w:pStyle w:val="Figuretitle"/>
        <w:ind w:left="1134" w:hanging="1134"/>
        <w:rPr>
          <w:rFonts w:eastAsia="Calibri"/>
          <w:lang w:val="en-GB"/>
        </w:rPr>
      </w:pPr>
      <w:bookmarkStart w:id="65" w:name="_Toc102041122"/>
      <w:r w:rsidRPr="00840D6F">
        <w:rPr>
          <w:rFonts w:eastAsia="Calibri"/>
          <w:lang w:val="en-GB"/>
        </w:rPr>
        <w:lastRenderedPageBreak/>
        <w:t>Figure A8</w:t>
      </w:r>
      <w:r w:rsidR="00EF5821">
        <w:rPr>
          <w:rFonts w:eastAsia="Calibri"/>
          <w:lang w:val="en-GB"/>
        </w:rPr>
        <w:tab/>
      </w:r>
      <w:r w:rsidRPr="00840D6F">
        <w:rPr>
          <w:rFonts w:eastAsia="Calibri"/>
          <w:lang w:val="en-GB"/>
        </w:rPr>
        <w:t>Difference in weekly gross wage (main job) by qualification type (relative to HE) among those in the same occupations (regression results)</w:t>
      </w:r>
      <w:bookmarkEnd w:id="65"/>
    </w:p>
    <w:p w14:paraId="252F6FBB"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3D24782" wp14:editId="250E082A">
            <wp:extent cx="5024628" cy="3654552"/>
            <wp:effectExtent l="0" t="0" r="508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7DE1B66" w14:textId="77777777" w:rsidR="00840D6F" w:rsidRPr="00840D6F" w:rsidRDefault="00840D6F" w:rsidP="00840D6F">
      <w:pPr>
        <w:pStyle w:val="Source"/>
        <w:rPr>
          <w:rFonts w:eastAsia="Calibri"/>
        </w:rPr>
      </w:pPr>
      <w:r w:rsidRPr="00840D6F">
        <w:rPr>
          <w:rFonts w:eastAsia="Calibri"/>
        </w:rPr>
        <w:t xml:space="preserve">Interpretation example: In 2011, individuals with VET and </w:t>
      </w:r>
      <w:proofErr w:type="gramStart"/>
      <w:r w:rsidRPr="00840D6F">
        <w:rPr>
          <w:rFonts w:eastAsia="Calibri"/>
        </w:rPr>
        <w:t>HE</w:t>
      </w:r>
      <w:proofErr w:type="gramEnd"/>
      <w:r w:rsidRPr="00840D6F">
        <w:rPr>
          <w:rFonts w:eastAsia="Calibri"/>
        </w:rPr>
        <w:t xml:space="preserve"> qualifications were earning 167.49$ less per week than those with HE qualification only.</w:t>
      </w:r>
    </w:p>
    <w:p w14:paraId="0ECDCFF4"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8AF8A74"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515F2A34" w14:textId="77777777" w:rsidR="00840D6F" w:rsidRPr="00840D6F" w:rsidRDefault="00840D6F" w:rsidP="00840D6F">
      <w:pPr>
        <w:pStyle w:val="Source"/>
        <w:rPr>
          <w:rFonts w:eastAsia="Calibri"/>
          <w:sz w:val="24"/>
          <w:szCs w:val="24"/>
        </w:rPr>
      </w:pPr>
    </w:p>
    <w:p w14:paraId="4AE2F138" w14:textId="77777777" w:rsidR="00840D6F" w:rsidRPr="00840D6F" w:rsidRDefault="00840D6F" w:rsidP="00840D6F">
      <w:pPr>
        <w:spacing w:before="0" w:line="240" w:lineRule="auto"/>
        <w:rPr>
          <w:rFonts w:ascii="Calibri" w:eastAsia="Calibri" w:hAnsi="Calibri"/>
          <w:sz w:val="24"/>
          <w:szCs w:val="24"/>
        </w:rPr>
      </w:pPr>
    </w:p>
    <w:p w14:paraId="7F4CD37F"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415AAD64" w14:textId="4E1DBA92" w:rsidR="00840D6F" w:rsidRPr="00840D6F" w:rsidRDefault="00840D6F" w:rsidP="0045414A">
      <w:pPr>
        <w:pStyle w:val="Figuretitle"/>
        <w:ind w:left="1134" w:hanging="1134"/>
        <w:rPr>
          <w:rFonts w:eastAsia="Calibri"/>
          <w:lang w:val="en-GB"/>
        </w:rPr>
      </w:pPr>
      <w:bookmarkStart w:id="66" w:name="_Toc102041123"/>
      <w:r w:rsidRPr="00840D6F">
        <w:rPr>
          <w:rFonts w:eastAsia="Calibri"/>
          <w:lang w:val="en-GB"/>
        </w:rPr>
        <w:lastRenderedPageBreak/>
        <w:t>Figure A9</w:t>
      </w:r>
      <w:r w:rsidR="00EF5821">
        <w:rPr>
          <w:rFonts w:eastAsia="Calibri"/>
          <w:lang w:val="en-GB"/>
        </w:rPr>
        <w:tab/>
      </w:r>
      <w:r w:rsidRPr="00840D6F">
        <w:rPr>
          <w:rFonts w:eastAsia="Calibri"/>
          <w:lang w:val="en-GB"/>
        </w:rPr>
        <w:t>Difference in workplace entitlements for paid paternity leave by qualification type (relative to HE) among those in the same occupations (regression results)</w:t>
      </w:r>
      <w:bookmarkEnd w:id="66"/>
    </w:p>
    <w:p w14:paraId="4EBAB1B7"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65C071B" wp14:editId="3389541A">
            <wp:extent cx="5024628" cy="3654552"/>
            <wp:effectExtent l="0" t="0" r="508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B4091E5"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were about as likely to be entitled to paid paternity leave as those with a HE qualification only.</w:t>
      </w:r>
    </w:p>
    <w:p w14:paraId="2729E4EC"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D3FE66A"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67771838" w14:textId="77777777" w:rsidR="00840D6F" w:rsidRPr="00840D6F" w:rsidRDefault="00840D6F" w:rsidP="00840D6F">
      <w:pPr>
        <w:spacing w:before="0" w:line="240" w:lineRule="auto"/>
        <w:rPr>
          <w:rFonts w:ascii="Calibri" w:eastAsia="Calibri" w:hAnsi="Calibri"/>
          <w:sz w:val="24"/>
          <w:szCs w:val="24"/>
        </w:rPr>
      </w:pPr>
    </w:p>
    <w:p w14:paraId="5EE90085" w14:textId="77777777" w:rsidR="00840D6F" w:rsidRPr="00840D6F" w:rsidRDefault="00840D6F" w:rsidP="00840D6F">
      <w:pPr>
        <w:spacing w:before="0" w:line="240" w:lineRule="auto"/>
        <w:rPr>
          <w:rFonts w:ascii="Calibri" w:eastAsia="Calibri" w:hAnsi="Calibri"/>
          <w:sz w:val="24"/>
          <w:szCs w:val="24"/>
        </w:rPr>
      </w:pPr>
    </w:p>
    <w:p w14:paraId="2BC5E8E7" w14:textId="77777777" w:rsidR="00840D6F" w:rsidRPr="00840D6F" w:rsidRDefault="00840D6F" w:rsidP="00840D6F">
      <w:pPr>
        <w:spacing w:before="0" w:line="240" w:lineRule="auto"/>
        <w:rPr>
          <w:rFonts w:ascii="Calibri" w:eastAsia="Calibri" w:hAnsi="Calibri"/>
          <w:sz w:val="24"/>
          <w:szCs w:val="24"/>
        </w:rPr>
      </w:pPr>
      <w:r w:rsidRPr="00840D6F">
        <w:rPr>
          <w:rFonts w:ascii="Calibri" w:eastAsia="Calibri" w:hAnsi="Calibri"/>
          <w:sz w:val="24"/>
          <w:szCs w:val="24"/>
        </w:rPr>
        <w:br w:type="page"/>
      </w:r>
    </w:p>
    <w:p w14:paraId="62849FB0" w14:textId="5CAF6123" w:rsidR="00840D6F" w:rsidRPr="00840D6F" w:rsidRDefault="00840D6F" w:rsidP="0045414A">
      <w:pPr>
        <w:pStyle w:val="Figuretitle"/>
        <w:ind w:left="1134" w:hanging="1134"/>
        <w:rPr>
          <w:rFonts w:eastAsia="Calibri"/>
          <w:lang w:val="en-GB"/>
        </w:rPr>
      </w:pPr>
      <w:bookmarkStart w:id="67" w:name="_Toc102041124"/>
      <w:r w:rsidRPr="00840D6F">
        <w:rPr>
          <w:rFonts w:eastAsia="Calibri"/>
          <w:lang w:val="en-GB"/>
        </w:rPr>
        <w:lastRenderedPageBreak/>
        <w:t>Figure A10</w:t>
      </w:r>
      <w:r w:rsidR="00EF5821">
        <w:rPr>
          <w:rFonts w:eastAsia="Calibri"/>
          <w:lang w:val="en-GB"/>
        </w:rPr>
        <w:tab/>
      </w:r>
      <w:r w:rsidRPr="00840D6F">
        <w:rPr>
          <w:rFonts w:eastAsia="Calibri"/>
          <w:lang w:val="en-GB"/>
        </w:rPr>
        <w:t>Difference in rates of promotions in the past year by qualification type (relative to HE) among those in the same occupations (regression results)</w:t>
      </w:r>
      <w:bookmarkEnd w:id="67"/>
    </w:p>
    <w:p w14:paraId="14EEFE81" w14:textId="77777777" w:rsidR="00840D6F" w:rsidRPr="00840D6F" w:rsidRDefault="00840D6F" w:rsidP="00840D6F">
      <w:pPr>
        <w:spacing w:before="0" w:line="240" w:lineRule="auto"/>
        <w:rPr>
          <w:rFonts w:ascii="Arial" w:hAnsi="Arial"/>
          <w:color w:val="000000"/>
          <w:sz w:val="20"/>
          <w:lang w:eastAsia="en-AU"/>
        </w:rPr>
      </w:pPr>
      <w:r w:rsidRPr="00840D6F">
        <w:rPr>
          <w:rFonts w:ascii="Arial" w:hAnsi="Arial"/>
          <w:noProof/>
          <w:color w:val="000000"/>
          <w:sz w:val="20"/>
          <w:lang w:val="en-GB" w:eastAsia="en-GB"/>
        </w:rPr>
        <w:drawing>
          <wp:inline distT="0" distB="0" distL="0" distR="0" wp14:anchorId="366C3340" wp14:editId="6FF6F4DD">
            <wp:extent cx="5024628" cy="3654552"/>
            <wp:effectExtent l="0" t="0" r="5080"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FA64CFE" w14:textId="77777777" w:rsidR="00840D6F" w:rsidRPr="00840D6F" w:rsidRDefault="00840D6F" w:rsidP="00840D6F">
      <w:pPr>
        <w:pStyle w:val="Source"/>
        <w:rPr>
          <w:rFonts w:eastAsia="Calibri"/>
        </w:rPr>
      </w:pPr>
      <w:r w:rsidRPr="00840D6F">
        <w:rPr>
          <w:rFonts w:eastAsia="Calibri"/>
        </w:rPr>
        <w:t>Interpretation example: In 2011, individuals with VET and HE qualifications were about 4.1 percentage point more likely to have been promoted in the past year than those with a HE qualification only.</w:t>
      </w:r>
    </w:p>
    <w:p w14:paraId="19E4739C" w14:textId="77777777" w:rsidR="00840D6F" w:rsidRPr="00840D6F" w:rsidRDefault="00840D6F" w:rsidP="00840D6F">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C33D826" w14:textId="77777777" w:rsidR="00840D6F" w:rsidRPr="00840D6F" w:rsidRDefault="00840D6F" w:rsidP="00840D6F">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BF817A7" w14:textId="77777777" w:rsidR="00840D6F" w:rsidRPr="00840D6F" w:rsidRDefault="00840D6F" w:rsidP="00840D6F">
      <w:pPr>
        <w:spacing w:before="0" w:line="240" w:lineRule="auto"/>
        <w:jc w:val="both"/>
        <w:rPr>
          <w:rFonts w:ascii="Calibri" w:eastAsia="Calibri" w:hAnsi="Calibri"/>
          <w:color w:val="FF0000"/>
          <w:sz w:val="20"/>
          <w:lang w:val="en-GB"/>
        </w:rPr>
      </w:pPr>
    </w:p>
    <w:p w14:paraId="17B0203C" w14:textId="77777777" w:rsidR="00840D6F" w:rsidRPr="00840D6F" w:rsidRDefault="00840D6F" w:rsidP="00840D6F">
      <w:pPr>
        <w:spacing w:before="0" w:line="240" w:lineRule="auto"/>
        <w:rPr>
          <w:rFonts w:ascii="Calibri" w:eastAsia="Calibri" w:hAnsi="Calibri"/>
          <w:color w:val="FF0000"/>
          <w:sz w:val="20"/>
          <w:lang w:val="en-GB"/>
        </w:rPr>
      </w:pPr>
      <w:r w:rsidRPr="00840D6F">
        <w:rPr>
          <w:rFonts w:ascii="Calibri" w:eastAsia="Calibri" w:hAnsi="Calibri"/>
          <w:color w:val="FF0000"/>
          <w:sz w:val="20"/>
          <w:lang w:val="en-GB"/>
        </w:rPr>
        <w:br w:type="page"/>
      </w:r>
    </w:p>
    <w:p w14:paraId="5AD16AF9" w14:textId="5FE51903" w:rsidR="00840D6F" w:rsidRPr="00840D6F" w:rsidRDefault="00840D6F" w:rsidP="0045414A">
      <w:pPr>
        <w:pStyle w:val="Figuretitle"/>
        <w:ind w:left="1134" w:hanging="1134"/>
        <w:rPr>
          <w:rFonts w:eastAsia="Calibri"/>
          <w:lang w:val="en-GB"/>
        </w:rPr>
      </w:pPr>
      <w:bookmarkStart w:id="68" w:name="_Toc102041125"/>
      <w:r w:rsidRPr="00840D6F">
        <w:rPr>
          <w:rFonts w:eastAsia="Calibri"/>
          <w:lang w:val="en-GB"/>
        </w:rPr>
        <w:lastRenderedPageBreak/>
        <w:t>Figure A11</w:t>
      </w:r>
      <w:r w:rsidR="00EF5821">
        <w:rPr>
          <w:rFonts w:eastAsia="Calibri"/>
          <w:lang w:val="en-GB"/>
        </w:rPr>
        <w:tab/>
      </w:r>
      <w:r w:rsidRPr="00840D6F">
        <w:rPr>
          <w:rFonts w:eastAsia="Calibri"/>
          <w:lang w:val="en-GB"/>
        </w:rPr>
        <w:t>Difference in the time spent unemployed and looking for work (years) by qualification type (relative to HE) among those in the same occupations (regression results)</w:t>
      </w:r>
      <w:bookmarkEnd w:id="68"/>
    </w:p>
    <w:p w14:paraId="2F01AFBE"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701CC196" wp14:editId="1A3B88B6">
            <wp:extent cx="5024628" cy="3654552"/>
            <wp:effectExtent l="0" t="0" r="5080" b="31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EBFEB54"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were about 0.6 years longer unemployed and looking for work in their life’s than those with HE qualification only.</w:t>
      </w:r>
    </w:p>
    <w:p w14:paraId="53B3F784"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A2B627D"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D6E1F97" w14:textId="77777777" w:rsidR="00840D6F" w:rsidRPr="00840D6F" w:rsidRDefault="00840D6F" w:rsidP="00302C1E">
      <w:pPr>
        <w:pStyle w:val="Source"/>
        <w:rPr>
          <w:rFonts w:eastAsia="Calibri"/>
          <w:sz w:val="24"/>
          <w:szCs w:val="24"/>
        </w:rPr>
      </w:pPr>
    </w:p>
    <w:p w14:paraId="74BEB6F3" w14:textId="77777777" w:rsidR="00840D6F" w:rsidRPr="00840D6F" w:rsidRDefault="00840D6F" w:rsidP="00840D6F">
      <w:pPr>
        <w:spacing w:before="0" w:line="240" w:lineRule="auto"/>
        <w:rPr>
          <w:rFonts w:ascii="Calibri" w:eastAsia="Calibri" w:hAnsi="Calibri"/>
          <w:sz w:val="24"/>
          <w:szCs w:val="24"/>
        </w:rPr>
      </w:pPr>
    </w:p>
    <w:p w14:paraId="537D72F9"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0EB0AD7A" w14:textId="5BBA3708" w:rsidR="00840D6F" w:rsidRPr="00840D6F" w:rsidRDefault="00840D6F" w:rsidP="00413CA3">
      <w:pPr>
        <w:pStyle w:val="Figuretitle"/>
        <w:ind w:left="1134" w:hanging="1134"/>
        <w:rPr>
          <w:rFonts w:eastAsia="Calibri"/>
          <w:lang w:val="en-GB"/>
        </w:rPr>
      </w:pPr>
      <w:bookmarkStart w:id="69" w:name="_Toc102041126"/>
      <w:r w:rsidRPr="00840D6F">
        <w:rPr>
          <w:rFonts w:eastAsia="Calibri"/>
          <w:lang w:val="en-GB"/>
        </w:rPr>
        <w:lastRenderedPageBreak/>
        <w:t>Figure A12</w:t>
      </w:r>
      <w:r w:rsidR="00E9625F">
        <w:rPr>
          <w:rFonts w:eastAsia="Calibri"/>
          <w:lang w:val="en-GB"/>
        </w:rPr>
        <w:tab/>
      </w:r>
      <w:r w:rsidRPr="00840D6F">
        <w:rPr>
          <w:rFonts w:eastAsia="Calibri"/>
          <w:lang w:val="en-GB"/>
        </w:rPr>
        <w:t>Difference in job characteristics (items average) by qualification type (relative to HE) among those in the same occupations (regression results)</w:t>
      </w:r>
      <w:bookmarkEnd w:id="69"/>
    </w:p>
    <w:p w14:paraId="2AFBCDD4"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78F87346" wp14:editId="6E6B375E">
            <wp:extent cx="5024628" cy="3654552"/>
            <wp:effectExtent l="0" t="0" r="5080"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91413D0"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jobs with average characteristics that were about the same as those with HE qualification only.</w:t>
      </w:r>
    </w:p>
    <w:p w14:paraId="3248C537"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CC2A0BB"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419CDFEE" w14:textId="77777777" w:rsidR="00840D6F" w:rsidRPr="00840D6F" w:rsidRDefault="00840D6F" w:rsidP="00840D6F">
      <w:pPr>
        <w:spacing w:before="0" w:line="240" w:lineRule="auto"/>
        <w:rPr>
          <w:rFonts w:ascii="Calibri" w:eastAsia="Calibri" w:hAnsi="Calibri"/>
          <w:sz w:val="24"/>
          <w:szCs w:val="24"/>
        </w:rPr>
      </w:pPr>
    </w:p>
    <w:p w14:paraId="3A477791"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2C2C1CD" w14:textId="58B1E149" w:rsidR="00840D6F" w:rsidRPr="00840D6F" w:rsidRDefault="00840D6F" w:rsidP="00413CA3">
      <w:pPr>
        <w:pStyle w:val="Figuretitle"/>
        <w:ind w:left="1134" w:hanging="1134"/>
        <w:rPr>
          <w:rFonts w:eastAsia="Calibri"/>
          <w:lang w:val="en-GB"/>
        </w:rPr>
      </w:pPr>
      <w:bookmarkStart w:id="70" w:name="_Toc102041127"/>
      <w:r w:rsidRPr="00840D6F">
        <w:rPr>
          <w:rFonts w:eastAsia="Calibri"/>
          <w:lang w:val="en-GB"/>
        </w:rPr>
        <w:lastRenderedPageBreak/>
        <w:t>Figure A13</w:t>
      </w:r>
      <w:r w:rsidR="00E9625F">
        <w:rPr>
          <w:rFonts w:eastAsia="Calibri"/>
          <w:lang w:val="en-GB"/>
        </w:rPr>
        <w:tab/>
      </w:r>
      <w:r w:rsidRPr="00840D6F">
        <w:rPr>
          <w:rFonts w:eastAsia="Calibri"/>
          <w:lang w:val="en-GB"/>
        </w:rPr>
        <w:t xml:space="preserve"> Difference in job characteristics (average item score, standardised) by qualification type (relative to HE) among those in the same occupations (regression results)</w:t>
      </w:r>
      <w:bookmarkEnd w:id="70"/>
    </w:p>
    <w:p w14:paraId="6491C44A"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2380391" wp14:editId="59ED933D">
            <wp:extent cx="5024628" cy="3654552"/>
            <wp:effectExtent l="0" t="0" r="508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7243D86" w14:textId="77777777" w:rsidR="00840D6F" w:rsidRPr="00840D6F" w:rsidRDefault="00840D6F" w:rsidP="00302C1E">
      <w:pPr>
        <w:pStyle w:val="Source"/>
        <w:rPr>
          <w:rFonts w:eastAsia="Calibri"/>
          <w:color w:val="FF0000"/>
        </w:rPr>
      </w:pPr>
      <w:r w:rsidRPr="00840D6F">
        <w:rPr>
          <w:rFonts w:eastAsia="Calibri"/>
        </w:rPr>
        <w:t>Interpretation example: In 2011, individuals with VET and HE qualifications had jobs with average characteristics that were about the same as those with HE qualification only</w:t>
      </w:r>
      <w:r w:rsidRPr="00840D6F">
        <w:rPr>
          <w:rFonts w:eastAsia="Calibri"/>
          <w:color w:val="FF0000"/>
        </w:rPr>
        <w:t>.</w:t>
      </w:r>
    </w:p>
    <w:p w14:paraId="54591412"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863E0EF"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AB92E55" w14:textId="77777777" w:rsidR="00840D6F" w:rsidRPr="00840D6F" w:rsidRDefault="00840D6F" w:rsidP="00302C1E">
      <w:pPr>
        <w:pStyle w:val="Source"/>
        <w:rPr>
          <w:rFonts w:eastAsia="Calibri"/>
          <w:sz w:val="24"/>
          <w:szCs w:val="24"/>
        </w:rPr>
      </w:pPr>
    </w:p>
    <w:p w14:paraId="1D332FF3"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4FC3322D" w14:textId="337520D2" w:rsidR="00840D6F" w:rsidRPr="00840D6F" w:rsidRDefault="00840D6F" w:rsidP="000124C6">
      <w:pPr>
        <w:pStyle w:val="Figuretitle"/>
        <w:ind w:left="1134" w:hanging="1134"/>
        <w:rPr>
          <w:rFonts w:eastAsia="Calibri"/>
          <w:lang w:val="en-GB"/>
        </w:rPr>
      </w:pPr>
      <w:bookmarkStart w:id="71" w:name="_Toc102041128"/>
      <w:r w:rsidRPr="00840D6F">
        <w:rPr>
          <w:rFonts w:eastAsia="Calibri"/>
          <w:lang w:val="en-GB"/>
        </w:rPr>
        <w:lastRenderedPageBreak/>
        <w:t>Figure A14</w:t>
      </w:r>
      <w:r w:rsidR="00E9625F">
        <w:rPr>
          <w:rFonts w:eastAsia="Calibri"/>
          <w:lang w:val="en-GB"/>
        </w:rPr>
        <w:tab/>
      </w:r>
      <w:r w:rsidRPr="00840D6F">
        <w:rPr>
          <w:rFonts w:eastAsia="Calibri"/>
          <w:lang w:val="en-GB"/>
        </w:rPr>
        <w:t>Difference in job characteristics (average item score for people with all items, standardised) by qualification type (relative to HE) among those in the same occupations (regression results)</w:t>
      </w:r>
      <w:bookmarkEnd w:id="71"/>
    </w:p>
    <w:p w14:paraId="0E68CB55"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0A366288" wp14:editId="636EA6F0">
            <wp:extent cx="5024628" cy="3654552"/>
            <wp:effectExtent l="0" t="0" r="5080" b="317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54D2D54"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jobs with average characteristics that were about the same as those with HE qualification only</w:t>
      </w:r>
      <w:r w:rsidRPr="00840D6F">
        <w:rPr>
          <w:rFonts w:eastAsia="Calibri"/>
          <w:color w:val="FF0000"/>
        </w:rPr>
        <w:t>.</w:t>
      </w:r>
    </w:p>
    <w:p w14:paraId="5CD0EB39"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5DCBF46"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0A2CAE8" w14:textId="77777777" w:rsidR="00840D6F" w:rsidRPr="00840D6F" w:rsidRDefault="00840D6F" w:rsidP="00302C1E">
      <w:pPr>
        <w:pStyle w:val="Source"/>
        <w:rPr>
          <w:rFonts w:eastAsia="Calibri"/>
          <w:sz w:val="24"/>
          <w:szCs w:val="24"/>
        </w:rPr>
      </w:pPr>
    </w:p>
    <w:p w14:paraId="504EDE07" w14:textId="77777777" w:rsidR="00840D6F" w:rsidRPr="00840D6F" w:rsidRDefault="00840D6F" w:rsidP="00840D6F">
      <w:pPr>
        <w:spacing w:before="0" w:line="240" w:lineRule="auto"/>
        <w:rPr>
          <w:rFonts w:ascii="Calibri" w:eastAsia="Calibri" w:hAnsi="Calibri"/>
          <w:sz w:val="24"/>
          <w:szCs w:val="24"/>
        </w:rPr>
      </w:pPr>
    </w:p>
    <w:p w14:paraId="7CA891C6"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9ED53F6" w14:textId="2E4EB2EE" w:rsidR="00840D6F" w:rsidRPr="00840D6F" w:rsidRDefault="00840D6F" w:rsidP="000124C6">
      <w:pPr>
        <w:pStyle w:val="Figuretitle"/>
        <w:ind w:left="1134" w:hanging="1134"/>
        <w:rPr>
          <w:rFonts w:eastAsia="Calibri"/>
          <w:lang w:val="en-GB"/>
        </w:rPr>
      </w:pPr>
      <w:bookmarkStart w:id="72" w:name="_Toc102041129"/>
      <w:r w:rsidRPr="00840D6F">
        <w:rPr>
          <w:rFonts w:eastAsia="Calibri"/>
          <w:lang w:val="en-GB"/>
        </w:rPr>
        <w:lastRenderedPageBreak/>
        <w:t>Figure A15</w:t>
      </w:r>
      <w:r w:rsidR="00E9625F">
        <w:rPr>
          <w:rFonts w:eastAsia="Calibri"/>
          <w:lang w:val="en-GB"/>
        </w:rPr>
        <w:tab/>
      </w:r>
      <w:r w:rsidRPr="00840D6F">
        <w:rPr>
          <w:rFonts w:eastAsia="Calibri"/>
          <w:lang w:val="en-GB"/>
        </w:rPr>
        <w:t>Difference in the autonomy to decide when to take a break by qualification type (relative to HE) among those in the same occupations (regression results)</w:t>
      </w:r>
      <w:bookmarkEnd w:id="72"/>
    </w:p>
    <w:p w14:paraId="50BAE819"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707337C" wp14:editId="5A4EDDE8">
            <wp:extent cx="5024628" cy="3654552"/>
            <wp:effectExtent l="0" t="0" r="5080"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D66D7DB"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around 0.16 point more autonomy in deciding when to take a break than those with a HE qualification only.</w:t>
      </w:r>
    </w:p>
    <w:p w14:paraId="5D73BF0E"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C755567"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C5A17AC" w14:textId="77777777" w:rsidR="00840D6F" w:rsidRPr="00840D6F" w:rsidRDefault="00840D6F" w:rsidP="00840D6F">
      <w:pPr>
        <w:spacing w:before="0" w:line="240" w:lineRule="auto"/>
        <w:rPr>
          <w:rFonts w:ascii="Calibri" w:eastAsia="Calibri" w:hAnsi="Calibri"/>
          <w:sz w:val="24"/>
          <w:szCs w:val="24"/>
        </w:rPr>
      </w:pPr>
    </w:p>
    <w:p w14:paraId="274B17B9" w14:textId="77777777" w:rsidR="00840D6F" w:rsidRPr="00840D6F" w:rsidRDefault="00840D6F" w:rsidP="00840D6F">
      <w:pPr>
        <w:spacing w:before="0" w:line="240" w:lineRule="auto"/>
        <w:rPr>
          <w:rFonts w:ascii="Calibri" w:eastAsia="Calibri" w:hAnsi="Calibri"/>
          <w:sz w:val="24"/>
          <w:szCs w:val="24"/>
        </w:rPr>
      </w:pPr>
    </w:p>
    <w:p w14:paraId="06D9DFF7"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F71AC58" w14:textId="53531F58" w:rsidR="00840D6F" w:rsidRPr="00840D6F" w:rsidRDefault="00840D6F" w:rsidP="000124C6">
      <w:pPr>
        <w:pStyle w:val="Figuretitle"/>
        <w:ind w:left="1134" w:hanging="1134"/>
        <w:rPr>
          <w:rFonts w:eastAsia="Calibri"/>
          <w:lang w:val="en-GB"/>
        </w:rPr>
      </w:pPr>
      <w:bookmarkStart w:id="73" w:name="_Toc102041130"/>
      <w:r w:rsidRPr="00840D6F">
        <w:rPr>
          <w:rFonts w:eastAsia="Calibri"/>
          <w:lang w:val="en-GB"/>
        </w:rPr>
        <w:lastRenderedPageBreak/>
        <w:t>Figure A16</w:t>
      </w:r>
      <w:r w:rsidR="00E9625F">
        <w:rPr>
          <w:rFonts w:eastAsia="Calibri"/>
          <w:lang w:val="en-GB"/>
        </w:rPr>
        <w:tab/>
      </w:r>
      <w:r w:rsidRPr="00840D6F">
        <w:rPr>
          <w:rFonts w:eastAsia="Calibri"/>
          <w:lang w:val="en-GB"/>
        </w:rPr>
        <w:t>Difference in the autonomy to decide what to do at work by qualification type (relative to HE) among those in the same occupations (regression results)</w:t>
      </w:r>
      <w:bookmarkEnd w:id="73"/>
    </w:p>
    <w:p w14:paraId="76ED8CD9"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EA40086" wp14:editId="14B4D618">
            <wp:extent cx="5024628" cy="3654552"/>
            <wp:effectExtent l="0" t="0" r="508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2415BCB"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around 0.05 point more autonomy in deciding what to do at work than those with a HE qualification only.</w:t>
      </w:r>
    </w:p>
    <w:p w14:paraId="706B3111"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B464D77"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3316A479" w14:textId="77777777" w:rsidR="00840D6F" w:rsidRPr="00840D6F" w:rsidRDefault="00840D6F" w:rsidP="00840D6F">
      <w:pPr>
        <w:spacing w:before="0" w:line="240" w:lineRule="auto"/>
        <w:rPr>
          <w:rFonts w:ascii="Calibri" w:eastAsia="Calibri" w:hAnsi="Calibri"/>
          <w:sz w:val="24"/>
          <w:szCs w:val="24"/>
        </w:rPr>
      </w:pPr>
    </w:p>
    <w:p w14:paraId="06B0926C"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3EEDF241" w14:textId="4EA6F2DA" w:rsidR="00840D6F" w:rsidRPr="00840D6F" w:rsidRDefault="00840D6F" w:rsidP="000124C6">
      <w:pPr>
        <w:pStyle w:val="Figuretitle"/>
        <w:ind w:left="1134" w:hanging="1134"/>
        <w:rPr>
          <w:rFonts w:eastAsia="Calibri"/>
          <w:lang w:val="en-GB"/>
        </w:rPr>
      </w:pPr>
      <w:bookmarkStart w:id="74" w:name="_Toc102041131"/>
      <w:r w:rsidRPr="00840D6F">
        <w:rPr>
          <w:rFonts w:eastAsia="Calibri"/>
          <w:lang w:val="en-GB"/>
        </w:rPr>
        <w:lastRenderedPageBreak/>
        <w:t>Figure A17</w:t>
      </w:r>
      <w:r w:rsidR="00E9625F">
        <w:rPr>
          <w:rFonts w:eastAsia="Calibri"/>
          <w:lang w:val="en-GB"/>
        </w:rPr>
        <w:tab/>
      </w:r>
      <w:r w:rsidRPr="00840D6F">
        <w:rPr>
          <w:rFonts w:eastAsia="Calibri"/>
          <w:lang w:val="en-GB"/>
        </w:rPr>
        <w:t>Difference in the freedom to decide how to do own work by qualification type (relative to HE) among those in the same occupations (regression results)</w:t>
      </w:r>
      <w:bookmarkEnd w:id="74"/>
    </w:p>
    <w:p w14:paraId="49738A38"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78862025" wp14:editId="4C8C2BF1">
            <wp:extent cx="5024628" cy="3654552"/>
            <wp:effectExtent l="0" t="0" r="5080"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08A61AE" w14:textId="77777777" w:rsidR="00840D6F" w:rsidRPr="00840D6F" w:rsidRDefault="00840D6F" w:rsidP="00840D6F">
      <w:pPr>
        <w:spacing w:before="0" w:line="240" w:lineRule="auto"/>
        <w:jc w:val="both"/>
        <w:rPr>
          <w:rFonts w:ascii="Calibri" w:eastAsia="Calibri" w:hAnsi="Calibri"/>
          <w:color w:val="000000"/>
          <w:sz w:val="20"/>
        </w:rPr>
      </w:pPr>
      <w:r w:rsidRPr="00840D6F">
        <w:rPr>
          <w:rFonts w:ascii="Calibri" w:eastAsia="Calibri" w:hAnsi="Calibri"/>
          <w:color w:val="000000"/>
          <w:sz w:val="20"/>
        </w:rPr>
        <w:t>Interpretation example: In 2011, individuals with VET and HE qualifications had around 0.05 point more freedom to decide how to do their own work than those with a HE qualification only.</w:t>
      </w:r>
    </w:p>
    <w:p w14:paraId="07D23A2A" w14:textId="77777777" w:rsidR="00840D6F" w:rsidRPr="00840D6F" w:rsidRDefault="00840D6F" w:rsidP="00840D6F">
      <w:pPr>
        <w:spacing w:before="0" w:line="240" w:lineRule="auto"/>
        <w:jc w:val="both"/>
        <w:rPr>
          <w:rFonts w:ascii="Calibri" w:eastAsia="Calibri" w:hAnsi="Calibri"/>
          <w:color w:val="000000"/>
          <w:sz w:val="20"/>
          <w:lang w:val="en-GB"/>
        </w:rPr>
      </w:pPr>
      <w:r w:rsidRPr="00840D6F">
        <w:rPr>
          <w:rFonts w:ascii="Calibri" w:eastAsia="Calibri" w:hAnsi="Calibri"/>
          <w:color w:val="000000"/>
          <w:sz w:val="20"/>
        </w:rPr>
        <w:t>Notes: The estimated coefficients are derived from regressions that compare outcomes of: (</w:t>
      </w:r>
      <w:proofErr w:type="spellStart"/>
      <w:r w:rsidRPr="00840D6F">
        <w:rPr>
          <w:rFonts w:ascii="Calibri" w:eastAsia="Calibri" w:hAnsi="Calibri"/>
          <w:color w:val="000000"/>
          <w:sz w:val="20"/>
        </w:rPr>
        <w:t>i</w:t>
      </w:r>
      <w:proofErr w:type="spellEnd"/>
      <w:r w:rsidRPr="00840D6F">
        <w:rPr>
          <w:rFonts w:ascii="Calibri" w:eastAsia="Calibri" w:hAnsi="Calibri"/>
          <w:color w:val="000000"/>
          <w:sz w:val="20"/>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44D8A92" w14:textId="77777777" w:rsidR="002E6BC6" w:rsidRDefault="002E6BC6" w:rsidP="00840D6F">
      <w:pPr>
        <w:spacing w:before="0" w:line="240" w:lineRule="auto"/>
        <w:jc w:val="both"/>
        <w:rPr>
          <w:rFonts w:ascii="Calibri" w:eastAsia="Calibri" w:hAnsi="Calibri"/>
          <w:color w:val="000000"/>
          <w:sz w:val="20"/>
          <w:lang w:val="en-GB"/>
        </w:rPr>
      </w:pPr>
    </w:p>
    <w:p w14:paraId="270E0ABE" w14:textId="49EAEB31" w:rsidR="00840D6F" w:rsidRPr="00840D6F" w:rsidRDefault="00840D6F" w:rsidP="00840D6F">
      <w:pPr>
        <w:spacing w:before="0" w:line="240" w:lineRule="auto"/>
        <w:jc w:val="both"/>
        <w:rPr>
          <w:rFonts w:ascii="Calibri" w:eastAsia="Calibri" w:hAnsi="Calibri"/>
          <w:color w:val="000000"/>
          <w:sz w:val="20"/>
          <w:lang w:val="en-GB"/>
        </w:rPr>
      </w:pPr>
      <w:r w:rsidRPr="00840D6F">
        <w:rPr>
          <w:rFonts w:ascii="Calibri" w:eastAsia="Calibri" w:hAnsi="Calibri"/>
          <w:color w:val="000000"/>
          <w:sz w:val="20"/>
          <w:lang w:val="en-GB"/>
        </w:rPr>
        <w:t>Sample: HILDA 2011-2019, respondents aged 25-56 years old with a VET and/or HE qualification and in an occupation that contains a mix of VET and HE qualifications in 2011 (N=2,723).</w:t>
      </w:r>
    </w:p>
    <w:p w14:paraId="60BED850" w14:textId="77777777" w:rsidR="00840D6F" w:rsidRPr="00840D6F" w:rsidRDefault="00840D6F" w:rsidP="00840D6F">
      <w:pPr>
        <w:spacing w:before="0" w:line="240" w:lineRule="auto"/>
        <w:rPr>
          <w:rFonts w:ascii="Calibri" w:eastAsia="Calibri" w:hAnsi="Calibri"/>
          <w:sz w:val="24"/>
          <w:szCs w:val="24"/>
        </w:rPr>
      </w:pPr>
    </w:p>
    <w:p w14:paraId="147D653C"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29A15F0D" w14:textId="78A2E47D" w:rsidR="00840D6F" w:rsidRPr="00840D6F" w:rsidRDefault="00840D6F" w:rsidP="000124C6">
      <w:pPr>
        <w:pStyle w:val="Figuretitle"/>
        <w:ind w:left="1134" w:hanging="1134"/>
        <w:rPr>
          <w:rFonts w:eastAsia="Calibri"/>
          <w:lang w:val="en-GB"/>
        </w:rPr>
      </w:pPr>
      <w:bookmarkStart w:id="75" w:name="_Toc102041132"/>
      <w:r w:rsidRPr="00840D6F">
        <w:rPr>
          <w:rFonts w:eastAsia="Calibri"/>
          <w:lang w:val="en-GB"/>
        </w:rPr>
        <w:lastRenderedPageBreak/>
        <w:t>Figure A18</w:t>
      </w:r>
      <w:r w:rsidR="00E9625F">
        <w:rPr>
          <w:rFonts w:eastAsia="Calibri"/>
          <w:lang w:val="en-GB"/>
        </w:rPr>
        <w:tab/>
      </w:r>
      <w:r w:rsidRPr="00840D6F">
        <w:rPr>
          <w:rFonts w:eastAsia="Calibri"/>
          <w:lang w:val="en-GB"/>
        </w:rPr>
        <w:t>Difference in the freedom to decide when to do work by qualification type (relative to HE) among those in the same occupations (regression results)</w:t>
      </w:r>
      <w:bookmarkEnd w:id="75"/>
    </w:p>
    <w:p w14:paraId="2EC84EAA"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87EAA2C" wp14:editId="6E5329DB">
            <wp:extent cx="5024628" cy="3654552"/>
            <wp:effectExtent l="0" t="0" r="508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57E9A89"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around 0.09 point more freedom to decide when to do work than those with a HE qualification only.</w:t>
      </w:r>
    </w:p>
    <w:p w14:paraId="74FB5E3F"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A5B86FA"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54561AD5" w14:textId="77777777" w:rsidR="00840D6F" w:rsidRPr="00840D6F" w:rsidRDefault="00840D6F" w:rsidP="00302C1E">
      <w:pPr>
        <w:pStyle w:val="Source"/>
        <w:rPr>
          <w:rFonts w:eastAsia="Calibri"/>
          <w:sz w:val="24"/>
          <w:szCs w:val="24"/>
        </w:rPr>
      </w:pPr>
    </w:p>
    <w:p w14:paraId="06503A72"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4EDECB74" w14:textId="6F2E99DC" w:rsidR="00840D6F" w:rsidRPr="00840D6F" w:rsidRDefault="00840D6F" w:rsidP="000124C6">
      <w:pPr>
        <w:pStyle w:val="Figuretitle"/>
        <w:ind w:left="1134" w:hanging="1134"/>
        <w:rPr>
          <w:rFonts w:eastAsia="Calibri"/>
          <w:lang w:val="en-GB"/>
        </w:rPr>
      </w:pPr>
      <w:bookmarkStart w:id="76" w:name="_Toc102041133"/>
      <w:r w:rsidRPr="00840D6F">
        <w:rPr>
          <w:rFonts w:eastAsia="Calibri"/>
          <w:lang w:val="en-GB"/>
        </w:rPr>
        <w:lastRenderedPageBreak/>
        <w:t>Figure A19</w:t>
      </w:r>
      <w:r w:rsidR="00E9625F">
        <w:rPr>
          <w:rFonts w:eastAsia="Calibri"/>
          <w:lang w:val="en-GB"/>
        </w:rPr>
        <w:tab/>
      </w:r>
      <w:r w:rsidRPr="00840D6F">
        <w:rPr>
          <w:rFonts w:eastAsia="Calibri"/>
          <w:lang w:val="en-GB"/>
        </w:rPr>
        <w:t>Difference in job’s provision of a variety of interesting things to do by qualification type (relative to HE) among those in the same occupations (regression results)</w:t>
      </w:r>
      <w:bookmarkEnd w:id="76"/>
    </w:p>
    <w:p w14:paraId="54300924"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0779A887" wp14:editId="61430128">
            <wp:extent cx="5024628" cy="3654552"/>
            <wp:effectExtent l="0" t="0" r="508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1DB8869"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 had jobs providing 0.08 point less variety of interesting things to do than those with HE qualification only.</w:t>
      </w:r>
    </w:p>
    <w:p w14:paraId="6E0D1848"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76970D4"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31A336E" w14:textId="77777777" w:rsidR="00840D6F" w:rsidRPr="00840D6F" w:rsidRDefault="00840D6F" w:rsidP="00302C1E">
      <w:pPr>
        <w:pStyle w:val="Source"/>
        <w:rPr>
          <w:rFonts w:eastAsia="Calibri"/>
          <w:sz w:val="24"/>
          <w:szCs w:val="24"/>
        </w:rPr>
      </w:pPr>
    </w:p>
    <w:p w14:paraId="4F33E890"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156DC1D8" w14:textId="5FFF4D5A" w:rsidR="00840D6F" w:rsidRPr="00840D6F" w:rsidRDefault="00840D6F" w:rsidP="000124C6">
      <w:pPr>
        <w:pStyle w:val="Figuretitle"/>
        <w:ind w:left="1134" w:hanging="1134"/>
        <w:rPr>
          <w:rFonts w:eastAsia="Calibri"/>
          <w:lang w:val="en-GB"/>
        </w:rPr>
      </w:pPr>
      <w:bookmarkStart w:id="77" w:name="_Toc102041134"/>
      <w:r w:rsidRPr="00840D6F">
        <w:rPr>
          <w:rFonts w:eastAsia="Calibri"/>
          <w:lang w:val="en-GB"/>
        </w:rPr>
        <w:lastRenderedPageBreak/>
        <w:t>Figure A20</w:t>
      </w:r>
      <w:r w:rsidR="00E9625F">
        <w:rPr>
          <w:rFonts w:eastAsia="Calibri"/>
          <w:lang w:val="en-GB"/>
        </w:rPr>
        <w:tab/>
      </w:r>
      <w:r w:rsidRPr="00840D6F">
        <w:rPr>
          <w:rFonts w:eastAsia="Calibri"/>
          <w:lang w:val="en-GB"/>
        </w:rPr>
        <w:t xml:space="preserve">Difference in job’s requirement to do the same thing </w:t>
      </w:r>
      <w:proofErr w:type="gramStart"/>
      <w:r w:rsidRPr="00840D6F">
        <w:rPr>
          <w:rFonts w:eastAsia="Calibri"/>
          <w:lang w:val="en-GB"/>
        </w:rPr>
        <w:t>over and over again</w:t>
      </w:r>
      <w:proofErr w:type="gramEnd"/>
      <w:r w:rsidRPr="00840D6F">
        <w:rPr>
          <w:rFonts w:eastAsia="Calibri"/>
          <w:lang w:val="en-GB"/>
        </w:rPr>
        <w:t xml:space="preserve"> by qualification type (relative to HE) among those in the same occupations (regression results)</w:t>
      </w:r>
      <w:bookmarkEnd w:id="77"/>
    </w:p>
    <w:p w14:paraId="2EB233AB"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62904B9F" wp14:editId="54B208C6">
            <wp:extent cx="5024628" cy="3654552"/>
            <wp:effectExtent l="0" t="0" r="5080"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574E371" w14:textId="77777777" w:rsidR="00840D6F" w:rsidRPr="00840D6F" w:rsidRDefault="00840D6F" w:rsidP="00302C1E">
      <w:pPr>
        <w:pStyle w:val="Source"/>
        <w:rPr>
          <w:rFonts w:eastAsia="Calibri"/>
        </w:rPr>
      </w:pPr>
      <w:r w:rsidRPr="00840D6F">
        <w:rPr>
          <w:rFonts w:eastAsia="Calibri"/>
        </w:rPr>
        <w:t xml:space="preserve">Interpretation example: In 2011, individuals with VET and HE qualifications had jobs with 0.11 point more requirements to do the same thing </w:t>
      </w:r>
      <w:proofErr w:type="gramStart"/>
      <w:r w:rsidRPr="00840D6F">
        <w:rPr>
          <w:rFonts w:eastAsia="Calibri"/>
        </w:rPr>
        <w:t>over and over again</w:t>
      </w:r>
      <w:proofErr w:type="gramEnd"/>
      <w:r w:rsidRPr="00840D6F">
        <w:rPr>
          <w:rFonts w:eastAsia="Calibri"/>
        </w:rPr>
        <w:t xml:space="preserve"> than those with HE qualification only.</w:t>
      </w:r>
    </w:p>
    <w:p w14:paraId="704621FE"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D92F31A"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9850098" w14:textId="77777777" w:rsidR="00840D6F" w:rsidRPr="00840D6F" w:rsidRDefault="00840D6F" w:rsidP="00302C1E">
      <w:pPr>
        <w:pStyle w:val="Source"/>
        <w:rPr>
          <w:rFonts w:eastAsia="Calibri"/>
          <w:sz w:val="24"/>
          <w:szCs w:val="24"/>
        </w:rPr>
      </w:pPr>
    </w:p>
    <w:p w14:paraId="1E747A06" w14:textId="77777777" w:rsidR="00840D6F" w:rsidRPr="00840D6F" w:rsidRDefault="00840D6F" w:rsidP="00840D6F">
      <w:pPr>
        <w:spacing w:before="0" w:line="240" w:lineRule="auto"/>
        <w:rPr>
          <w:rFonts w:ascii="Calibri" w:eastAsia="Calibri" w:hAnsi="Calibri"/>
          <w:sz w:val="24"/>
          <w:szCs w:val="24"/>
        </w:rPr>
      </w:pPr>
    </w:p>
    <w:p w14:paraId="7579F17F"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232939D" w14:textId="0663DA42" w:rsidR="00840D6F" w:rsidRPr="00840D6F" w:rsidRDefault="00840D6F" w:rsidP="000124C6">
      <w:pPr>
        <w:pStyle w:val="Figuretitle"/>
        <w:ind w:left="1134" w:hanging="1134"/>
        <w:rPr>
          <w:rFonts w:eastAsia="Calibri"/>
          <w:lang w:val="en-GB"/>
        </w:rPr>
      </w:pPr>
      <w:bookmarkStart w:id="78" w:name="_Toc102041135"/>
      <w:r w:rsidRPr="00840D6F">
        <w:rPr>
          <w:rFonts w:eastAsia="Calibri"/>
          <w:lang w:val="en-GB"/>
        </w:rPr>
        <w:lastRenderedPageBreak/>
        <w:t>Figure A21</w:t>
      </w:r>
      <w:r w:rsidR="00E9625F">
        <w:rPr>
          <w:rFonts w:eastAsia="Calibri"/>
          <w:lang w:val="en-GB"/>
        </w:rPr>
        <w:tab/>
      </w:r>
      <w:r w:rsidRPr="00840D6F">
        <w:rPr>
          <w:rFonts w:eastAsia="Calibri"/>
          <w:lang w:val="en-GB"/>
        </w:rPr>
        <w:t>Difference in degree of initiative required in job by qualification type (relative to HE) among those in the same occupations (regression results)</w:t>
      </w:r>
      <w:bookmarkEnd w:id="78"/>
    </w:p>
    <w:p w14:paraId="4955DF40"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4D0770FD" wp14:editId="31868AAE">
            <wp:extent cx="5024628" cy="3654552"/>
            <wp:effectExtent l="0" t="0" r="5080"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E6285B2"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 had jobs that required about 0.05 point less initiative than jobs of those with a HE qualification only.</w:t>
      </w:r>
    </w:p>
    <w:p w14:paraId="24AFE9A3"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BA2E251"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02D0F793" w14:textId="77777777" w:rsidR="00840D6F" w:rsidRPr="00840D6F" w:rsidRDefault="00840D6F" w:rsidP="00302C1E">
      <w:pPr>
        <w:pStyle w:val="Source"/>
        <w:rPr>
          <w:rFonts w:eastAsia="Calibri"/>
          <w:sz w:val="24"/>
          <w:szCs w:val="24"/>
        </w:rPr>
      </w:pPr>
    </w:p>
    <w:p w14:paraId="25B67415"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3900D84" w14:textId="5B09CA09" w:rsidR="00840D6F" w:rsidRPr="00840D6F" w:rsidRDefault="00840D6F" w:rsidP="000124C6">
      <w:pPr>
        <w:pStyle w:val="Figuretitle"/>
        <w:ind w:left="1134" w:hanging="1134"/>
        <w:rPr>
          <w:rFonts w:eastAsia="Calibri"/>
          <w:lang w:val="en-GB"/>
        </w:rPr>
      </w:pPr>
      <w:bookmarkStart w:id="79" w:name="_Toc102041136"/>
      <w:r w:rsidRPr="00840D6F">
        <w:rPr>
          <w:rFonts w:eastAsia="Calibri"/>
          <w:lang w:val="en-GB"/>
        </w:rPr>
        <w:lastRenderedPageBreak/>
        <w:t>Figure A22</w:t>
      </w:r>
      <w:r w:rsidR="00E9625F">
        <w:rPr>
          <w:rFonts w:eastAsia="Calibri"/>
          <w:lang w:val="en-GB"/>
        </w:rPr>
        <w:tab/>
      </w:r>
      <w:r w:rsidRPr="00840D6F">
        <w:rPr>
          <w:rFonts w:eastAsia="Calibri"/>
          <w:lang w:val="en-GB"/>
        </w:rPr>
        <w:t>Difference in job complexity and difficulty by qualification type (relative to HE) among those in the same occupations (regression results)</w:t>
      </w:r>
      <w:bookmarkEnd w:id="79"/>
    </w:p>
    <w:p w14:paraId="2863612A"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182F6DA" wp14:editId="6844C12A">
            <wp:extent cx="5024628" cy="3654552"/>
            <wp:effectExtent l="0" t="0" r="5080"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793446E"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have jobs around 0.18 point less complex or difficult than those with HE qualification only.</w:t>
      </w:r>
    </w:p>
    <w:p w14:paraId="37B4DDF8"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0B43ACD"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0D409DCC" w14:textId="77777777" w:rsidR="00840D6F" w:rsidRPr="00840D6F" w:rsidRDefault="00840D6F" w:rsidP="00840D6F">
      <w:pPr>
        <w:spacing w:before="0" w:line="240" w:lineRule="auto"/>
        <w:rPr>
          <w:rFonts w:ascii="Calibri" w:eastAsia="Calibri" w:hAnsi="Calibri"/>
          <w:sz w:val="24"/>
          <w:szCs w:val="24"/>
        </w:rPr>
      </w:pPr>
    </w:p>
    <w:p w14:paraId="02F24DFD"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24A6A333" w14:textId="122E6F75" w:rsidR="00840D6F" w:rsidRPr="00840D6F" w:rsidRDefault="00840D6F" w:rsidP="000124C6">
      <w:pPr>
        <w:pStyle w:val="Figuretitle"/>
        <w:ind w:left="1134" w:hanging="1134"/>
        <w:rPr>
          <w:rFonts w:eastAsia="Calibri"/>
          <w:lang w:val="en-GB"/>
        </w:rPr>
      </w:pPr>
      <w:bookmarkStart w:id="80" w:name="_Toc102041137"/>
      <w:r w:rsidRPr="00840D6F">
        <w:rPr>
          <w:rFonts w:eastAsia="Calibri"/>
          <w:lang w:val="en-GB"/>
        </w:rPr>
        <w:lastRenderedPageBreak/>
        <w:t>Figure A23</w:t>
      </w:r>
      <w:r w:rsidR="00E9625F">
        <w:rPr>
          <w:rFonts w:eastAsia="Calibri"/>
          <w:lang w:val="en-GB"/>
        </w:rPr>
        <w:tab/>
      </w:r>
      <w:r w:rsidRPr="00840D6F">
        <w:rPr>
          <w:rFonts w:eastAsia="Calibri"/>
          <w:lang w:val="en-GB"/>
        </w:rPr>
        <w:t>Difference in job’s requirement to learn new skills by qualification type (relative to HE) among those in the same occupations (regression results)</w:t>
      </w:r>
      <w:bookmarkEnd w:id="80"/>
    </w:p>
    <w:p w14:paraId="27CFAF87"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0B35C66" wp14:editId="6BEC7D5C">
            <wp:extent cx="5024628" cy="3654552"/>
            <wp:effectExtent l="0" t="0" r="5080" b="31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58D89E9"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jobs in which requirements to learn new skills were 0.05 point lower than those with only HE qualification.</w:t>
      </w:r>
    </w:p>
    <w:p w14:paraId="01F08E82"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497C30F"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4D22C1E9" w14:textId="77777777" w:rsidR="00840D6F" w:rsidRPr="00840D6F" w:rsidRDefault="00840D6F" w:rsidP="00840D6F">
      <w:pPr>
        <w:spacing w:before="0" w:line="240" w:lineRule="auto"/>
        <w:rPr>
          <w:rFonts w:ascii="Calibri" w:eastAsia="Calibri" w:hAnsi="Calibri"/>
          <w:sz w:val="24"/>
          <w:szCs w:val="24"/>
        </w:rPr>
      </w:pPr>
    </w:p>
    <w:p w14:paraId="4975DF9A" w14:textId="77777777" w:rsidR="00840D6F" w:rsidRPr="00840D6F" w:rsidRDefault="00840D6F" w:rsidP="00840D6F">
      <w:pPr>
        <w:spacing w:before="0" w:line="240" w:lineRule="auto"/>
        <w:rPr>
          <w:rFonts w:ascii="Calibri" w:eastAsia="Calibri" w:hAnsi="Calibri"/>
          <w:sz w:val="24"/>
          <w:szCs w:val="24"/>
        </w:rPr>
      </w:pPr>
    </w:p>
    <w:p w14:paraId="4A0FEAF1"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5FB4EAC7" w14:textId="1B9FDE86" w:rsidR="00840D6F" w:rsidRPr="00840D6F" w:rsidRDefault="00840D6F" w:rsidP="0045414A">
      <w:pPr>
        <w:pStyle w:val="Figuretitle"/>
        <w:ind w:left="1134" w:hanging="1134"/>
        <w:rPr>
          <w:rFonts w:eastAsia="Calibri"/>
          <w:lang w:val="en-GB"/>
        </w:rPr>
      </w:pPr>
      <w:bookmarkStart w:id="81" w:name="_Toc102041138"/>
      <w:r w:rsidRPr="00840D6F">
        <w:rPr>
          <w:rFonts w:eastAsia="Calibri"/>
          <w:lang w:val="en-GB"/>
        </w:rPr>
        <w:lastRenderedPageBreak/>
        <w:t>Figure A24</w:t>
      </w:r>
      <w:r w:rsidR="00E9625F">
        <w:rPr>
          <w:rFonts w:eastAsia="Calibri"/>
          <w:lang w:val="en-GB"/>
        </w:rPr>
        <w:tab/>
      </w:r>
      <w:r w:rsidRPr="00840D6F">
        <w:rPr>
          <w:rFonts w:eastAsia="Calibri"/>
          <w:lang w:val="en-GB"/>
        </w:rPr>
        <w:t>Difference the use of one’s skills and abilities in job by qualification type (relative to HE) among those in the same occupations (regression results)</w:t>
      </w:r>
      <w:bookmarkEnd w:id="81"/>
    </w:p>
    <w:p w14:paraId="3A9FBC38"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6A921720" wp14:editId="018E0543">
            <wp:extent cx="5024628" cy="3654552"/>
            <wp:effectExtent l="0" t="0" r="5080"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D0487B6"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used their skills and abilities as often as those with HE qualification only.</w:t>
      </w:r>
    </w:p>
    <w:p w14:paraId="51D72303"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5671862"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F1F4FD4" w14:textId="77777777" w:rsidR="00840D6F" w:rsidRPr="00840D6F" w:rsidRDefault="00840D6F" w:rsidP="00302C1E">
      <w:pPr>
        <w:pStyle w:val="Source"/>
        <w:rPr>
          <w:rFonts w:eastAsia="Calibri"/>
          <w:sz w:val="24"/>
          <w:szCs w:val="24"/>
        </w:rPr>
      </w:pPr>
    </w:p>
    <w:p w14:paraId="0F4644E5"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15CDC69B" w14:textId="3DF07FF5" w:rsidR="00840D6F" w:rsidRPr="00840D6F" w:rsidRDefault="00840D6F" w:rsidP="0045414A">
      <w:pPr>
        <w:pStyle w:val="Figuretitle"/>
        <w:ind w:left="1134" w:hanging="1134"/>
        <w:rPr>
          <w:rFonts w:eastAsia="Calibri"/>
          <w:lang w:val="en-GB"/>
        </w:rPr>
      </w:pPr>
      <w:bookmarkStart w:id="82" w:name="_Toc102041139"/>
      <w:r w:rsidRPr="00840D6F">
        <w:rPr>
          <w:rFonts w:eastAsia="Calibri"/>
          <w:lang w:val="en-GB"/>
        </w:rPr>
        <w:lastRenderedPageBreak/>
        <w:t>Figure A25</w:t>
      </w:r>
      <w:r w:rsidR="006F1935">
        <w:rPr>
          <w:rFonts w:eastAsia="Calibri"/>
          <w:lang w:val="en-GB"/>
        </w:rPr>
        <w:tab/>
      </w:r>
      <w:r w:rsidRPr="00840D6F">
        <w:rPr>
          <w:rFonts w:eastAsia="Calibri"/>
          <w:lang w:val="en-GB"/>
        </w:rPr>
        <w:t>Difference in job being more stressful than one thought it would be by qualification type (relative to HE) among those in the same occupations (regression results)</w:t>
      </w:r>
      <w:bookmarkEnd w:id="82"/>
    </w:p>
    <w:p w14:paraId="1248F1BE"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406C9EA0" wp14:editId="220E3E50">
            <wp:extent cx="5024628" cy="3654552"/>
            <wp:effectExtent l="0" t="0" r="508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36EB9CD"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 had jobs with more stress than they thought to the same extent as individuals with HE qualification only.</w:t>
      </w:r>
    </w:p>
    <w:p w14:paraId="19DAB4A8"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65159EF"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9F41BEA" w14:textId="77777777" w:rsidR="00840D6F" w:rsidRPr="00840D6F" w:rsidRDefault="00840D6F" w:rsidP="00840D6F">
      <w:pPr>
        <w:spacing w:before="0" w:line="240" w:lineRule="auto"/>
        <w:rPr>
          <w:rFonts w:ascii="Calibri" w:eastAsia="Calibri" w:hAnsi="Calibri"/>
          <w:sz w:val="24"/>
          <w:szCs w:val="24"/>
        </w:rPr>
      </w:pPr>
    </w:p>
    <w:p w14:paraId="14DF9DAD"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61B0BC21" w14:textId="2311A4D9" w:rsidR="00840D6F" w:rsidRPr="00840D6F" w:rsidRDefault="00840D6F" w:rsidP="0045414A">
      <w:pPr>
        <w:pStyle w:val="Figuretitle"/>
        <w:ind w:left="1134" w:hanging="1134"/>
        <w:rPr>
          <w:rFonts w:eastAsia="Calibri"/>
          <w:lang w:val="en-GB"/>
        </w:rPr>
      </w:pPr>
      <w:bookmarkStart w:id="83" w:name="_Toc102041140"/>
      <w:r w:rsidRPr="00840D6F">
        <w:rPr>
          <w:rFonts w:eastAsia="Calibri"/>
          <w:lang w:val="en-GB"/>
        </w:rPr>
        <w:lastRenderedPageBreak/>
        <w:t>Figure A26</w:t>
      </w:r>
      <w:r w:rsidR="006F1935">
        <w:rPr>
          <w:rFonts w:eastAsia="Calibri"/>
          <w:lang w:val="en-GB"/>
        </w:rPr>
        <w:tab/>
      </w:r>
      <w:r w:rsidRPr="00840D6F">
        <w:rPr>
          <w:rFonts w:eastAsia="Calibri"/>
          <w:lang w:val="en-GB"/>
        </w:rPr>
        <w:t>Difference in the fear that the amount of stress in one’s job will make them physically ill by qualification type (relative to HE) among those in the same occupations (regression results)</w:t>
      </w:r>
      <w:bookmarkEnd w:id="83"/>
    </w:p>
    <w:p w14:paraId="542E265D"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7794E5E" wp14:editId="23C034AE">
            <wp:extent cx="5024628" cy="3654552"/>
            <wp:effectExtent l="0" t="0" r="5080"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982989A"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 had 0.04 point higher fear that the amount of stress in their job would make them physically ill than those with HE qualification only.</w:t>
      </w:r>
    </w:p>
    <w:p w14:paraId="7225051D"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1421A15"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2FEF4483" w14:textId="77777777" w:rsidR="00840D6F" w:rsidRPr="00840D6F" w:rsidRDefault="00840D6F" w:rsidP="00302C1E">
      <w:pPr>
        <w:pStyle w:val="Source"/>
        <w:rPr>
          <w:rFonts w:eastAsia="Calibri"/>
          <w:sz w:val="24"/>
          <w:szCs w:val="24"/>
        </w:rPr>
      </w:pPr>
    </w:p>
    <w:p w14:paraId="092427DD"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4B1A0DB2" w14:textId="3971A2EA" w:rsidR="00840D6F" w:rsidRPr="00840D6F" w:rsidRDefault="00840D6F" w:rsidP="0045414A">
      <w:pPr>
        <w:pStyle w:val="Figuretitle"/>
        <w:ind w:left="1134" w:hanging="1134"/>
        <w:rPr>
          <w:rFonts w:eastAsia="Calibri"/>
          <w:lang w:val="en-GB"/>
        </w:rPr>
      </w:pPr>
      <w:bookmarkStart w:id="84" w:name="_Toc102041141"/>
      <w:r w:rsidRPr="00840D6F">
        <w:rPr>
          <w:rFonts w:eastAsia="Calibri"/>
          <w:lang w:val="en-GB"/>
        </w:rPr>
        <w:lastRenderedPageBreak/>
        <w:t>Figure A27</w:t>
      </w:r>
      <w:r w:rsidR="006F1935">
        <w:rPr>
          <w:rFonts w:eastAsia="Calibri"/>
          <w:lang w:val="en-GB"/>
        </w:rPr>
        <w:tab/>
      </w:r>
      <w:r w:rsidRPr="00840D6F">
        <w:rPr>
          <w:rFonts w:eastAsia="Calibri"/>
          <w:lang w:val="en-GB"/>
        </w:rPr>
        <w:t>Difference in not having enough time to do everything in one’s job by qualification type (relative to HE) among those in the same occupations (regression results)</w:t>
      </w:r>
      <w:bookmarkEnd w:id="84"/>
    </w:p>
    <w:p w14:paraId="418C3949"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FB1CA75" wp14:editId="02B0BCC7">
            <wp:extent cx="5024628" cy="3654552"/>
            <wp:effectExtent l="0" t="0" r="508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B7E7445"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reported very similar levels of not having enough time to do everything in their job to those with HE qualification only.</w:t>
      </w:r>
    </w:p>
    <w:p w14:paraId="7D3F513B"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11C404B"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33DB3A77" w14:textId="77777777" w:rsidR="00840D6F" w:rsidRPr="00840D6F" w:rsidRDefault="00840D6F" w:rsidP="00840D6F">
      <w:pPr>
        <w:spacing w:before="0" w:line="240" w:lineRule="auto"/>
        <w:rPr>
          <w:rFonts w:ascii="Calibri" w:eastAsia="Calibri" w:hAnsi="Calibri"/>
          <w:sz w:val="24"/>
          <w:szCs w:val="24"/>
        </w:rPr>
      </w:pPr>
    </w:p>
    <w:p w14:paraId="7C5EAA10"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56AF346A" w14:textId="5F4B1BE0" w:rsidR="00840D6F" w:rsidRPr="00840D6F" w:rsidRDefault="00840D6F" w:rsidP="0045414A">
      <w:pPr>
        <w:pStyle w:val="Figuretitle"/>
        <w:ind w:left="1134" w:hanging="1134"/>
        <w:rPr>
          <w:rFonts w:eastAsia="Calibri"/>
          <w:lang w:val="en-GB"/>
        </w:rPr>
      </w:pPr>
      <w:bookmarkStart w:id="85" w:name="_Toc102041142"/>
      <w:r w:rsidRPr="00840D6F">
        <w:rPr>
          <w:rFonts w:eastAsia="Calibri"/>
          <w:lang w:val="en-GB"/>
        </w:rPr>
        <w:lastRenderedPageBreak/>
        <w:t>Figure A28</w:t>
      </w:r>
      <w:r w:rsidR="006F1935">
        <w:rPr>
          <w:rFonts w:eastAsia="Calibri"/>
          <w:lang w:val="en-GB"/>
        </w:rPr>
        <w:tab/>
      </w:r>
      <w:r w:rsidRPr="00840D6F">
        <w:rPr>
          <w:rFonts w:eastAsia="Calibri"/>
          <w:lang w:val="en-GB"/>
        </w:rPr>
        <w:t>Difference in having to work fast by qualification type (relative to HE) among those in the same occupations (regression results)</w:t>
      </w:r>
      <w:bookmarkEnd w:id="85"/>
    </w:p>
    <w:p w14:paraId="1A7AADD6"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5146E2B4" wp14:editId="2773E704">
            <wp:extent cx="5024628" cy="3654552"/>
            <wp:effectExtent l="0" t="0" r="5080"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F6BB0B9"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had jobs with 0.2 lower levels of necessitating to work fast than those with HE qualification only.</w:t>
      </w:r>
    </w:p>
    <w:p w14:paraId="11679C13"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EDB49E9"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4DAF54A6" w14:textId="77777777" w:rsidR="00840D6F" w:rsidRPr="00840D6F" w:rsidRDefault="00840D6F" w:rsidP="00840D6F">
      <w:pPr>
        <w:spacing w:before="0" w:line="240" w:lineRule="auto"/>
        <w:rPr>
          <w:rFonts w:ascii="Calibri" w:eastAsia="Calibri" w:hAnsi="Calibri"/>
          <w:sz w:val="24"/>
          <w:szCs w:val="24"/>
        </w:rPr>
      </w:pPr>
    </w:p>
    <w:p w14:paraId="5A4F3873"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2C356CF2" w14:textId="11F267BA" w:rsidR="00840D6F" w:rsidRPr="00840D6F" w:rsidRDefault="00840D6F" w:rsidP="0045414A">
      <w:pPr>
        <w:pStyle w:val="Figuretitle"/>
        <w:ind w:left="1134" w:hanging="1134"/>
        <w:rPr>
          <w:rFonts w:eastAsia="Calibri"/>
          <w:lang w:val="en-GB"/>
        </w:rPr>
      </w:pPr>
      <w:bookmarkStart w:id="86" w:name="_Toc102041143"/>
      <w:r w:rsidRPr="00840D6F">
        <w:rPr>
          <w:rFonts w:eastAsia="Calibri"/>
          <w:lang w:val="en-GB"/>
        </w:rPr>
        <w:lastRenderedPageBreak/>
        <w:t>Figure A29</w:t>
      </w:r>
      <w:r w:rsidR="006F1935">
        <w:rPr>
          <w:rFonts w:eastAsia="Calibri"/>
          <w:lang w:val="en-GB"/>
        </w:rPr>
        <w:tab/>
      </w:r>
      <w:r w:rsidRPr="00840D6F">
        <w:rPr>
          <w:rFonts w:eastAsia="Calibri"/>
          <w:lang w:val="en-GB"/>
        </w:rPr>
        <w:t>Difference in rates of entitlement for flexible start/finish times by qualification type (relative to HE) among those in the same occupations (regression results)</w:t>
      </w:r>
      <w:bookmarkEnd w:id="86"/>
    </w:p>
    <w:p w14:paraId="18A1393D"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47243D8" wp14:editId="4EA18292">
            <wp:extent cx="5024628" cy="3654552"/>
            <wp:effectExtent l="0" t="0" r="508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C1D8AE9"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were about 0.7 percentage point less likely to be entitled with flexible start and finishing times than those with a HE qualification only.</w:t>
      </w:r>
    </w:p>
    <w:p w14:paraId="1466FDDD"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E25CC72"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B20FDFE" w14:textId="77777777" w:rsidR="00840D6F" w:rsidRPr="00840D6F" w:rsidRDefault="00840D6F" w:rsidP="00840D6F">
      <w:pPr>
        <w:spacing w:before="0" w:line="240" w:lineRule="auto"/>
        <w:rPr>
          <w:rFonts w:ascii="Calibri" w:eastAsia="Calibri" w:hAnsi="Calibri"/>
          <w:color w:val="000000"/>
          <w:sz w:val="24"/>
          <w:szCs w:val="24"/>
        </w:rPr>
      </w:pPr>
    </w:p>
    <w:p w14:paraId="5BBCC52D" w14:textId="77777777" w:rsidR="00840D6F" w:rsidRPr="00840D6F" w:rsidRDefault="00840D6F" w:rsidP="00840D6F">
      <w:pPr>
        <w:spacing w:before="0" w:line="240" w:lineRule="auto"/>
        <w:rPr>
          <w:rFonts w:ascii="Calibri" w:eastAsia="Calibri" w:hAnsi="Calibri"/>
          <w:color w:val="000000"/>
          <w:sz w:val="24"/>
          <w:szCs w:val="24"/>
          <w:lang w:val="en-GB"/>
        </w:rPr>
      </w:pPr>
      <w:r w:rsidRPr="00840D6F">
        <w:rPr>
          <w:rFonts w:ascii="Calibri" w:eastAsia="Calibri" w:hAnsi="Calibri"/>
          <w:color w:val="000000"/>
          <w:sz w:val="24"/>
          <w:szCs w:val="24"/>
          <w:lang w:val="en-GB"/>
        </w:rPr>
        <w:br w:type="page"/>
      </w:r>
    </w:p>
    <w:p w14:paraId="73E52942" w14:textId="4D540762" w:rsidR="00840D6F" w:rsidRPr="00840D6F" w:rsidRDefault="00840D6F" w:rsidP="0045414A">
      <w:pPr>
        <w:pStyle w:val="Figuretitle"/>
        <w:ind w:left="1134" w:hanging="1134"/>
        <w:rPr>
          <w:rFonts w:eastAsia="Calibri"/>
          <w:lang w:val="en-GB"/>
        </w:rPr>
      </w:pPr>
      <w:bookmarkStart w:id="87" w:name="_Toc102041144"/>
      <w:r w:rsidRPr="00840D6F">
        <w:rPr>
          <w:rFonts w:eastAsia="Calibri"/>
          <w:lang w:val="en-GB"/>
        </w:rPr>
        <w:lastRenderedPageBreak/>
        <w:t>Figure A30</w:t>
      </w:r>
      <w:r w:rsidR="006F1935">
        <w:rPr>
          <w:rFonts w:eastAsia="Calibri"/>
          <w:lang w:val="en-GB"/>
        </w:rPr>
        <w:tab/>
      </w:r>
      <w:r w:rsidRPr="00840D6F">
        <w:rPr>
          <w:rFonts w:eastAsia="Calibri"/>
          <w:lang w:val="en-GB"/>
        </w:rPr>
        <w:t>Difference in job satisfaction (items average) by qualification type (relative to HE) among those in the same occupations (regression results)</w:t>
      </w:r>
      <w:bookmarkEnd w:id="87"/>
    </w:p>
    <w:p w14:paraId="396CC7FB"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51AF15C" wp14:editId="15AA137E">
            <wp:extent cx="5024628" cy="3654552"/>
            <wp:effectExtent l="0" t="0" r="5080"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D40BD88" w14:textId="77777777" w:rsidR="00840D6F" w:rsidRPr="00840D6F" w:rsidRDefault="00840D6F" w:rsidP="00302C1E">
      <w:pPr>
        <w:pStyle w:val="Source"/>
        <w:rPr>
          <w:rFonts w:eastAsia="Calibri"/>
        </w:rPr>
      </w:pPr>
      <w:r w:rsidRPr="00840D6F">
        <w:rPr>
          <w:rFonts w:eastAsia="Calibri"/>
        </w:rPr>
        <w:t>Interpretation example: In 2011, the average job satisfaction was about 1.7 point lower for individuals with VET and HE qualifications than for those with HE qualification only.</w:t>
      </w:r>
    </w:p>
    <w:p w14:paraId="57B3B99C"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4E48026"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6D14E98D" w14:textId="77777777" w:rsidR="00840D6F" w:rsidRPr="00840D6F" w:rsidRDefault="00840D6F" w:rsidP="00302C1E">
      <w:pPr>
        <w:pStyle w:val="Source"/>
        <w:rPr>
          <w:rFonts w:eastAsia="Calibri"/>
          <w:sz w:val="24"/>
          <w:szCs w:val="24"/>
        </w:rPr>
      </w:pPr>
    </w:p>
    <w:p w14:paraId="5650A575" w14:textId="77777777" w:rsidR="00840D6F" w:rsidRPr="00840D6F" w:rsidRDefault="00840D6F" w:rsidP="00840D6F">
      <w:pPr>
        <w:spacing w:before="0" w:line="240" w:lineRule="auto"/>
        <w:rPr>
          <w:rFonts w:ascii="Calibri" w:eastAsia="Calibri" w:hAnsi="Calibri"/>
          <w:color w:val="000000"/>
          <w:sz w:val="24"/>
          <w:szCs w:val="24"/>
          <w:lang w:val="en-GB"/>
        </w:rPr>
      </w:pPr>
      <w:r w:rsidRPr="00840D6F">
        <w:rPr>
          <w:rFonts w:ascii="Calibri" w:eastAsia="Calibri" w:hAnsi="Calibri"/>
          <w:color w:val="000000"/>
          <w:sz w:val="24"/>
          <w:szCs w:val="24"/>
          <w:lang w:val="en-GB"/>
        </w:rPr>
        <w:br w:type="page"/>
      </w:r>
    </w:p>
    <w:p w14:paraId="6EE84E3F" w14:textId="7382642E" w:rsidR="00840D6F" w:rsidRPr="00840D6F" w:rsidRDefault="00840D6F" w:rsidP="0045414A">
      <w:pPr>
        <w:pStyle w:val="Figuretitle"/>
        <w:ind w:left="1134" w:hanging="1134"/>
        <w:rPr>
          <w:rFonts w:eastAsia="Calibri"/>
          <w:lang w:val="en-GB"/>
        </w:rPr>
      </w:pPr>
      <w:bookmarkStart w:id="88" w:name="_Toc102041145"/>
      <w:r w:rsidRPr="00840D6F">
        <w:rPr>
          <w:rFonts w:eastAsia="Calibri"/>
          <w:lang w:val="en-GB"/>
        </w:rPr>
        <w:lastRenderedPageBreak/>
        <w:t>Figure A31</w:t>
      </w:r>
      <w:r w:rsidR="003C4890">
        <w:rPr>
          <w:rFonts w:eastAsia="Calibri"/>
          <w:lang w:val="en-GB"/>
        </w:rPr>
        <w:tab/>
      </w:r>
      <w:r w:rsidRPr="00840D6F">
        <w:rPr>
          <w:rFonts w:eastAsia="Calibri"/>
          <w:lang w:val="en-GB"/>
        </w:rPr>
        <w:t>Difference in job satisfaction (average item score, standardised) by qualification type (relative to HE) among those in the same occupations (regression results)</w:t>
      </w:r>
      <w:bookmarkEnd w:id="88"/>
    </w:p>
    <w:p w14:paraId="610EB16F"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8BA7DAC" wp14:editId="65741276">
            <wp:extent cx="5024628" cy="3654552"/>
            <wp:effectExtent l="0" t="0" r="5080"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BB9D48E" w14:textId="77777777" w:rsidR="00840D6F" w:rsidRPr="00840D6F" w:rsidRDefault="00840D6F" w:rsidP="00302C1E">
      <w:pPr>
        <w:pStyle w:val="Source"/>
        <w:rPr>
          <w:rFonts w:eastAsia="Calibri"/>
        </w:rPr>
      </w:pPr>
      <w:r w:rsidRPr="00840D6F">
        <w:rPr>
          <w:rFonts w:eastAsia="Calibri"/>
        </w:rPr>
        <w:t>Interpretation example: In 2011, the job satisfaction (average item score, standardised) was about 1.3 point lower for individuals with VET and HE qualifications than for those with HE qualification only.</w:t>
      </w:r>
    </w:p>
    <w:p w14:paraId="731C0E45"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65C603C"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0E49850" w14:textId="77777777" w:rsidR="00840D6F" w:rsidRPr="00840D6F" w:rsidRDefault="00840D6F" w:rsidP="00840D6F">
      <w:pPr>
        <w:spacing w:before="0" w:line="240" w:lineRule="auto"/>
        <w:rPr>
          <w:rFonts w:ascii="Calibri" w:eastAsia="Calibri" w:hAnsi="Calibri"/>
          <w:sz w:val="24"/>
          <w:szCs w:val="24"/>
        </w:rPr>
      </w:pPr>
    </w:p>
    <w:p w14:paraId="0CB42FF3"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7A02C8E" w14:textId="34E8ECE0" w:rsidR="00840D6F" w:rsidRPr="00840D6F" w:rsidRDefault="00840D6F" w:rsidP="0045414A">
      <w:pPr>
        <w:pStyle w:val="Figuretitle"/>
        <w:ind w:left="1134" w:hanging="1134"/>
        <w:rPr>
          <w:rFonts w:eastAsia="Calibri"/>
          <w:lang w:val="en-GB"/>
        </w:rPr>
      </w:pPr>
      <w:bookmarkStart w:id="89" w:name="_Toc102041146"/>
      <w:r w:rsidRPr="00840D6F">
        <w:rPr>
          <w:rFonts w:eastAsia="Calibri"/>
          <w:lang w:val="en-GB"/>
        </w:rPr>
        <w:lastRenderedPageBreak/>
        <w:t>Figure A32</w:t>
      </w:r>
      <w:r w:rsidR="003C4890">
        <w:rPr>
          <w:rFonts w:eastAsia="Calibri"/>
          <w:lang w:val="en-GB"/>
        </w:rPr>
        <w:tab/>
      </w:r>
      <w:r w:rsidRPr="00840D6F">
        <w:rPr>
          <w:rFonts w:eastAsia="Calibri"/>
          <w:lang w:val="en-GB"/>
        </w:rPr>
        <w:t>Difference in job satisfaction (average item score for people with all items, standardised) by qualification type (relative to HE) among those in the same occupations (regression results)</w:t>
      </w:r>
      <w:bookmarkEnd w:id="89"/>
    </w:p>
    <w:p w14:paraId="56DA3507"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0F5370C" wp14:editId="4A4D9CB4">
            <wp:extent cx="5024628" cy="3654552"/>
            <wp:effectExtent l="0" t="0" r="5080"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C3127AF" w14:textId="77777777" w:rsidR="00840D6F" w:rsidRPr="00840D6F" w:rsidRDefault="00840D6F" w:rsidP="00302C1E">
      <w:pPr>
        <w:pStyle w:val="Source"/>
        <w:rPr>
          <w:rFonts w:eastAsia="Calibri"/>
        </w:rPr>
      </w:pPr>
      <w:r w:rsidRPr="00840D6F">
        <w:rPr>
          <w:rFonts w:eastAsia="Calibri"/>
        </w:rPr>
        <w:t>Interpretation example: In 2011, the job satisfaction was about 1.2 point lower for individuals with VET and HE qualifications than for those with HE qualification only.</w:t>
      </w:r>
    </w:p>
    <w:p w14:paraId="54CC2BC1"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7B77A62"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4DED154" w14:textId="77777777" w:rsidR="00840D6F" w:rsidRPr="00840D6F" w:rsidRDefault="00840D6F" w:rsidP="00302C1E">
      <w:pPr>
        <w:pStyle w:val="Source"/>
        <w:rPr>
          <w:rFonts w:eastAsia="Calibri"/>
          <w:sz w:val="24"/>
          <w:szCs w:val="24"/>
        </w:rPr>
      </w:pPr>
    </w:p>
    <w:p w14:paraId="4311412F"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07FE6E5C" w14:textId="7B694FF3" w:rsidR="00840D6F" w:rsidRPr="00840D6F" w:rsidRDefault="00840D6F" w:rsidP="0045414A">
      <w:pPr>
        <w:pStyle w:val="Figuretitle"/>
        <w:ind w:left="1134" w:hanging="1134"/>
        <w:rPr>
          <w:rFonts w:eastAsia="Calibri"/>
          <w:lang w:val="en-GB"/>
        </w:rPr>
      </w:pPr>
      <w:bookmarkStart w:id="90" w:name="_Toc102041147"/>
      <w:r w:rsidRPr="00840D6F">
        <w:rPr>
          <w:rFonts w:eastAsia="Calibri"/>
          <w:lang w:val="en-GB"/>
        </w:rPr>
        <w:lastRenderedPageBreak/>
        <w:t>Figure 33</w:t>
      </w:r>
      <w:r w:rsidR="003C4890">
        <w:rPr>
          <w:rFonts w:eastAsia="Calibri"/>
          <w:lang w:val="en-GB"/>
        </w:rPr>
        <w:tab/>
      </w:r>
      <w:r w:rsidRPr="00840D6F">
        <w:rPr>
          <w:rFonts w:eastAsia="Calibri"/>
          <w:lang w:val="en-GB"/>
        </w:rPr>
        <w:t>Difference in overall job satisfaction by qualification type (relative to HE) among those in the same occupations (regression results)</w:t>
      </w:r>
      <w:bookmarkEnd w:id="90"/>
    </w:p>
    <w:p w14:paraId="46DC816F"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E817AF6" wp14:editId="6856F37A">
            <wp:extent cx="5024628" cy="3654552"/>
            <wp:effectExtent l="0" t="0" r="5080"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45E5A24" w14:textId="77777777" w:rsidR="00840D6F" w:rsidRPr="00840D6F" w:rsidRDefault="00840D6F" w:rsidP="00302C1E">
      <w:pPr>
        <w:pStyle w:val="Source"/>
        <w:rPr>
          <w:rFonts w:eastAsia="Calibri"/>
        </w:rPr>
      </w:pPr>
      <w:r w:rsidRPr="00840D6F">
        <w:rPr>
          <w:rFonts w:eastAsia="Calibri"/>
        </w:rPr>
        <w:t>Interpretation example: In 2011, the overall job satisfaction was about 2.1 points lower for individuals with VET and HE qualifications than for those with a HE qualification only.</w:t>
      </w:r>
    </w:p>
    <w:p w14:paraId="02B4D041"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DA5F16D"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22BDC10" w14:textId="77777777" w:rsidR="00840D6F" w:rsidRPr="00840D6F" w:rsidRDefault="00840D6F" w:rsidP="00302C1E">
      <w:pPr>
        <w:pStyle w:val="Source"/>
        <w:rPr>
          <w:rFonts w:eastAsia="Calibri"/>
          <w:sz w:val="24"/>
          <w:szCs w:val="24"/>
        </w:rPr>
      </w:pPr>
    </w:p>
    <w:p w14:paraId="37A606CA"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75F36F7" w14:textId="3A5429B2" w:rsidR="00840D6F" w:rsidRPr="00840D6F" w:rsidRDefault="00840D6F" w:rsidP="0045414A">
      <w:pPr>
        <w:pStyle w:val="Figuretitle"/>
        <w:ind w:left="1134" w:hanging="1134"/>
        <w:rPr>
          <w:rFonts w:eastAsia="Calibri"/>
          <w:lang w:val="en-GB"/>
        </w:rPr>
      </w:pPr>
      <w:bookmarkStart w:id="91" w:name="_Toc102041148"/>
      <w:r w:rsidRPr="00840D6F">
        <w:rPr>
          <w:rFonts w:eastAsia="Calibri"/>
          <w:lang w:val="en-GB"/>
        </w:rPr>
        <w:lastRenderedPageBreak/>
        <w:t>Figure A34</w:t>
      </w:r>
      <w:r w:rsidR="003C4890">
        <w:rPr>
          <w:rFonts w:eastAsia="Calibri"/>
          <w:lang w:val="en-GB"/>
        </w:rPr>
        <w:tab/>
      </w:r>
      <w:r w:rsidRPr="00840D6F">
        <w:rPr>
          <w:rFonts w:eastAsia="Calibri"/>
          <w:lang w:val="en-GB"/>
        </w:rPr>
        <w:t>Difference in job satisfaction with the flexibility to balance work and non-work commitments by qualification type (relative to HE) among those in the same occupations (regression results)</w:t>
      </w:r>
      <w:bookmarkEnd w:id="91"/>
    </w:p>
    <w:p w14:paraId="1ACC9BCB"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6AC76D6E" wp14:editId="7FBDF431">
            <wp:extent cx="5024628" cy="3654552"/>
            <wp:effectExtent l="0" t="0" r="5080"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6816A2D" w14:textId="77777777" w:rsidR="00840D6F" w:rsidRPr="00840D6F" w:rsidRDefault="00840D6F" w:rsidP="00302C1E">
      <w:pPr>
        <w:pStyle w:val="Source"/>
        <w:rPr>
          <w:rFonts w:eastAsia="Calibri"/>
        </w:rPr>
      </w:pPr>
      <w:r w:rsidRPr="00840D6F">
        <w:rPr>
          <w:rFonts w:eastAsia="Calibri"/>
        </w:rPr>
        <w:t>Interpretation example: In 2011, the job satisfaction with the flexibility to balance work and non-work commitment was about 0.2 point lower for individuals with VET and HE qualifications than for those with a HE qualification only.</w:t>
      </w:r>
    </w:p>
    <w:p w14:paraId="1DD3195D"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680D688"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57B2FFC3" w14:textId="77777777" w:rsidR="00840D6F" w:rsidRPr="00840D6F" w:rsidRDefault="00840D6F" w:rsidP="00302C1E">
      <w:pPr>
        <w:pStyle w:val="Source"/>
        <w:rPr>
          <w:rFonts w:eastAsia="Calibri"/>
          <w:sz w:val="24"/>
          <w:szCs w:val="24"/>
        </w:rPr>
      </w:pPr>
    </w:p>
    <w:p w14:paraId="090ACC50"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E4CBED3" w14:textId="0572024D" w:rsidR="00840D6F" w:rsidRPr="00840D6F" w:rsidRDefault="00840D6F" w:rsidP="0045414A">
      <w:pPr>
        <w:pStyle w:val="Figuretitle"/>
        <w:ind w:left="1134" w:hanging="1134"/>
        <w:rPr>
          <w:rFonts w:eastAsia="Calibri"/>
          <w:lang w:val="en-GB"/>
        </w:rPr>
      </w:pPr>
      <w:bookmarkStart w:id="92" w:name="_Toc102041149"/>
      <w:r w:rsidRPr="00840D6F">
        <w:rPr>
          <w:rFonts w:eastAsia="Calibri"/>
          <w:lang w:val="en-GB"/>
        </w:rPr>
        <w:lastRenderedPageBreak/>
        <w:t>Figure A35</w:t>
      </w:r>
      <w:r w:rsidR="003C4890">
        <w:rPr>
          <w:rFonts w:eastAsia="Calibri"/>
          <w:lang w:val="en-GB"/>
        </w:rPr>
        <w:tab/>
      </w:r>
      <w:r w:rsidRPr="00840D6F">
        <w:rPr>
          <w:rFonts w:eastAsia="Calibri"/>
          <w:lang w:val="en-GB"/>
        </w:rPr>
        <w:t>Difference in job satisfaction with the work by qualification type (relative to HE) among those in the same occupations (regression results)</w:t>
      </w:r>
      <w:bookmarkEnd w:id="92"/>
    </w:p>
    <w:p w14:paraId="61419378"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354DF6E9" wp14:editId="0B060CE8">
            <wp:extent cx="5024628" cy="3654552"/>
            <wp:effectExtent l="0" t="0" r="5080" b="31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BC3554F" w14:textId="77777777" w:rsidR="00840D6F" w:rsidRPr="00840D6F" w:rsidRDefault="00840D6F" w:rsidP="00302C1E">
      <w:pPr>
        <w:pStyle w:val="Source"/>
        <w:rPr>
          <w:rFonts w:eastAsia="Calibri"/>
        </w:rPr>
      </w:pPr>
      <w:r w:rsidRPr="00840D6F">
        <w:rPr>
          <w:rFonts w:eastAsia="Calibri"/>
        </w:rPr>
        <w:t>Interpretation example: In 2011, the job satisfaction with the work was about 1.5 point lower for individuals with VET and HE qualifications than for those with a HE qualification only.</w:t>
      </w:r>
    </w:p>
    <w:p w14:paraId="7FAC950E"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ADF46BB"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02A9252A" w14:textId="77777777" w:rsidR="00840D6F" w:rsidRPr="00840D6F" w:rsidRDefault="00840D6F" w:rsidP="00302C1E">
      <w:pPr>
        <w:pStyle w:val="Source"/>
        <w:rPr>
          <w:rFonts w:eastAsia="Calibri"/>
          <w:sz w:val="24"/>
          <w:szCs w:val="24"/>
        </w:rPr>
      </w:pPr>
    </w:p>
    <w:p w14:paraId="2E037CB3"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56D39A99" w14:textId="625A976D" w:rsidR="00840D6F" w:rsidRPr="00840D6F" w:rsidRDefault="00840D6F" w:rsidP="0045414A">
      <w:pPr>
        <w:pStyle w:val="Figuretitle"/>
        <w:ind w:left="1134" w:hanging="1134"/>
        <w:rPr>
          <w:rFonts w:eastAsia="Calibri"/>
          <w:lang w:val="en-GB"/>
        </w:rPr>
      </w:pPr>
      <w:bookmarkStart w:id="93" w:name="_Toc102041150"/>
      <w:r w:rsidRPr="00840D6F">
        <w:rPr>
          <w:rFonts w:eastAsia="Calibri"/>
          <w:lang w:val="en-GB"/>
        </w:rPr>
        <w:lastRenderedPageBreak/>
        <w:t>Figure A36</w:t>
      </w:r>
      <w:r w:rsidR="003C4890">
        <w:rPr>
          <w:rFonts w:eastAsia="Calibri"/>
          <w:lang w:val="en-GB"/>
        </w:rPr>
        <w:tab/>
      </w:r>
      <w:r w:rsidRPr="00840D6F">
        <w:rPr>
          <w:rFonts w:eastAsia="Calibri"/>
          <w:lang w:val="en-GB"/>
        </w:rPr>
        <w:t>Difference in job satisfaction with job security by qualification type (relative to HE) among those in the same occupations (regression results)</w:t>
      </w:r>
      <w:bookmarkEnd w:id="93"/>
    </w:p>
    <w:p w14:paraId="0EDEB993"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0229E5F8" wp14:editId="1C680BBA">
            <wp:extent cx="5024628" cy="3654552"/>
            <wp:effectExtent l="0" t="0" r="5080" b="31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181F5A7" w14:textId="77777777" w:rsidR="00840D6F" w:rsidRPr="00840D6F" w:rsidRDefault="00840D6F" w:rsidP="00302C1E">
      <w:pPr>
        <w:pStyle w:val="Source"/>
        <w:rPr>
          <w:rFonts w:eastAsia="Calibri"/>
        </w:rPr>
      </w:pPr>
      <w:r w:rsidRPr="00840D6F">
        <w:rPr>
          <w:rFonts w:eastAsia="Calibri"/>
        </w:rPr>
        <w:t>Interpretation example: In 2011, the job satisfaction with job security was about 2.3 point lower for individuals with VET and HE qualifications than for those with a HE qualification only.</w:t>
      </w:r>
      <w:r w:rsidRPr="00840D6F">
        <w:rPr>
          <w:rFonts w:eastAsia="Calibri"/>
          <w:color w:val="FF0000"/>
        </w:rPr>
        <w:t xml:space="preserve"> </w:t>
      </w:r>
    </w:p>
    <w:p w14:paraId="41B9B274"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BFFDB1E"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185D29B" w14:textId="77777777" w:rsidR="00840D6F" w:rsidRPr="00840D6F" w:rsidRDefault="00840D6F" w:rsidP="00302C1E">
      <w:pPr>
        <w:pStyle w:val="Source"/>
        <w:rPr>
          <w:rFonts w:eastAsia="Calibri"/>
          <w:sz w:val="24"/>
          <w:szCs w:val="24"/>
        </w:rPr>
      </w:pPr>
    </w:p>
    <w:p w14:paraId="35ED73CE"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1806419" w14:textId="558E12A5" w:rsidR="00840D6F" w:rsidRPr="00840D6F" w:rsidRDefault="00840D6F" w:rsidP="0045414A">
      <w:pPr>
        <w:pStyle w:val="Figuretitle"/>
        <w:ind w:left="1134" w:hanging="1134"/>
        <w:rPr>
          <w:rFonts w:eastAsia="Calibri"/>
          <w:lang w:val="en-GB"/>
        </w:rPr>
      </w:pPr>
      <w:bookmarkStart w:id="94" w:name="_Toc102041151"/>
      <w:r w:rsidRPr="00840D6F">
        <w:rPr>
          <w:rFonts w:eastAsia="Calibri"/>
          <w:lang w:val="en-GB"/>
        </w:rPr>
        <w:lastRenderedPageBreak/>
        <w:t>Figure A37</w:t>
      </w:r>
      <w:r w:rsidR="003C4890">
        <w:rPr>
          <w:rFonts w:eastAsia="Calibri"/>
          <w:lang w:val="en-GB"/>
        </w:rPr>
        <w:tab/>
      </w:r>
      <w:r w:rsidRPr="00840D6F">
        <w:rPr>
          <w:rFonts w:eastAsia="Calibri"/>
          <w:lang w:val="en-GB"/>
        </w:rPr>
        <w:t>Difference in job satisfaction with the hours to work by qualification type (relative to HE) among those in the same occupations (regression results)</w:t>
      </w:r>
      <w:bookmarkEnd w:id="94"/>
    </w:p>
    <w:p w14:paraId="658D111C"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5E968DA0" wp14:editId="50C426AA">
            <wp:extent cx="5024628" cy="3654552"/>
            <wp:effectExtent l="0" t="0" r="508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FD64D17" w14:textId="77777777" w:rsidR="00840D6F" w:rsidRPr="00840D6F" w:rsidRDefault="00840D6F" w:rsidP="00302C1E">
      <w:pPr>
        <w:pStyle w:val="Source"/>
        <w:rPr>
          <w:rFonts w:eastAsia="Calibri"/>
        </w:rPr>
      </w:pPr>
      <w:r w:rsidRPr="00840D6F">
        <w:rPr>
          <w:rFonts w:eastAsia="Calibri"/>
        </w:rPr>
        <w:t>Interpretation example: In 2011, the job satisfaction with the hours of work was about 1.3 point lower for individuals with VET and HE qualification than for those with HE qualification only.</w:t>
      </w:r>
    </w:p>
    <w:p w14:paraId="0B58571B"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7126213"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774966BD" w14:textId="77777777" w:rsidR="00840D6F" w:rsidRPr="00840D6F" w:rsidRDefault="00840D6F" w:rsidP="00302C1E">
      <w:pPr>
        <w:pStyle w:val="Source"/>
        <w:rPr>
          <w:rFonts w:eastAsia="Calibri"/>
          <w:sz w:val="24"/>
          <w:szCs w:val="24"/>
        </w:rPr>
      </w:pPr>
    </w:p>
    <w:p w14:paraId="55F759D1"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0D3D9C31" w14:textId="4E57BAA5" w:rsidR="00840D6F" w:rsidRPr="00840D6F" w:rsidRDefault="00840D6F" w:rsidP="00F30173">
      <w:pPr>
        <w:pStyle w:val="Figuretitle"/>
        <w:ind w:left="1134" w:hanging="1134"/>
        <w:rPr>
          <w:rFonts w:eastAsia="Calibri"/>
          <w:lang w:val="en-GB"/>
        </w:rPr>
      </w:pPr>
      <w:bookmarkStart w:id="95" w:name="_Toc102041152"/>
      <w:r w:rsidRPr="00840D6F">
        <w:rPr>
          <w:rFonts w:eastAsia="Calibri"/>
          <w:lang w:val="en-GB"/>
        </w:rPr>
        <w:lastRenderedPageBreak/>
        <w:t>Figure A38</w:t>
      </w:r>
      <w:r w:rsidR="003C4890">
        <w:rPr>
          <w:rFonts w:eastAsia="Calibri"/>
          <w:lang w:val="en-GB"/>
        </w:rPr>
        <w:tab/>
      </w:r>
      <w:r w:rsidRPr="00840D6F">
        <w:rPr>
          <w:rFonts w:eastAsia="Calibri"/>
          <w:lang w:val="en-GB"/>
        </w:rPr>
        <w:t>Difference in job satisfaction with the pay by qualification type (relative to HE) among those in the same occupations (regression results)</w:t>
      </w:r>
      <w:bookmarkEnd w:id="95"/>
    </w:p>
    <w:p w14:paraId="0F9DC18C"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100C250C" wp14:editId="3CF5F64E">
            <wp:extent cx="5024628" cy="3654552"/>
            <wp:effectExtent l="0" t="0" r="5080"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216BEC0" w14:textId="77777777" w:rsidR="00840D6F" w:rsidRPr="00840D6F" w:rsidRDefault="00840D6F" w:rsidP="00302C1E">
      <w:pPr>
        <w:pStyle w:val="Source"/>
        <w:rPr>
          <w:rFonts w:eastAsia="Calibri"/>
        </w:rPr>
      </w:pPr>
      <w:r w:rsidRPr="00840D6F">
        <w:rPr>
          <w:rFonts w:eastAsia="Calibri"/>
        </w:rPr>
        <w:t>Interpretation example: In 2011, the job satisfaction with the pay was about 3 points lower for individuals with VET and HE qualifications than for those with a HE qualification only.</w:t>
      </w:r>
    </w:p>
    <w:p w14:paraId="2DA089A4"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02CD33C5"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1547C238" w14:textId="77777777" w:rsidR="00840D6F" w:rsidRPr="00840D6F" w:rsidRDefault="00840D6F" w:rsidP="00302C1E">
      <w:pPr>
        <w:pStyle w:val="Source"/>
        <w:rPr>
          <w:rFonts w:eastAsia="Calibri"/>
          <w:sz w:val="24"/>
          <w:szCs w:val="24"/>
        </w:rPr>
      </w:pPr>
    </w:p>
    <w:p w14:paraId="7CF293EB"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01218A59" w14:textId="28A13618" w:rsidR="00840D6F" w:rsidRPr="00840D6F" w:rsidRDefault="00840D6F" w:rsidP="00F30173">
      <w:pPr>
        <w:pStyle w:val="Figuretitle"/>
        <w:ind w:left="1134" w:hanging="1134"/>
        <w:rPr>
          <w:rFonts w:eastAsia="Calibri"/>
          <w:lang w:val="en-GB"/>
        </w:rPr>
      </w:pPr>
      <w:bookmarkStart w:id="96" w:name="_Toc102041153"/>
      <w:r w:rsidRPr="00840D6F">
        <w:rPr>
          <w:rFonts w:eastAsia="Calibri"/>
          <w:lang w:val="en-GB"/>
        </w:rPr>
        <w:lastRenderedPageBreak/>
        <w:t>Figure A39</w:t>
      </w:r>
      <w:r w:rsidR="00BA5C2D">
        <w:rPr>
          <w:rFonts w:eastAsia="Calibri"/>
          <w:lang w:val="en-GB"/>
        </w:rPr>
        <w:tab/>
      </w:r>
      <w:r w:rsidRPr="00840D6F">
        <w:rPr>
          <w:rFonts w:eastAsia="Calibri"/>
          <w:lang w:val="en-GB"/>
        </w:rPr>
        <w:t>Difference in rates of wanting to work more hours by qualification type (relative to HE) among those in the same occupations (regression results)</w:t>
      </w:r>
      <w:bookmarkEnd w:id="96"/>
    </w:p>
    <w:p w14:paraId="7EC52210"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42F6E9F9" wp14:editId="157AD4EB">
            <wp:extent cx="5024628" cy="3654552"/>
            <wp:effectExtent l="0" t="0" r="5080" b="317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BB8C6AF" w14:textId="77777777" w:rsidR="00840D6F" w:rsidRPr="00840D6F" w:rsidRDefault="00840D6F" w:rsidP="00302C1E">
      <w:pPr>
        <w:pStyle w:val="Source"/>
        <w:rPr>
          <w:rFonts w:eastAsia="Calibri"/>
        </w:rPr>
      </w:pPr>
      <w:r w:rsidRPr="00840D6F">
        <w:rPr>
          <w:rFonts w:eastAsia="Calibri"/>
        </w:rPr>
        <w:t>Interpretation example: In 2011, individuals with VET and HE qualifications were about 3.3 percentage points more likely to want to work more hours than those with a HE qualification only.</w:t>
      </w:r>
    </w:p>
    <w:p w14:paraId="2AAB0B28" w14:textId="77777777" w:rsidR="00840D6F" w:rsidRPr="00840D6F" w:rsidRDefault="00840D6F" w:rsidP="00302C1E">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ED7C070" w14:textId="77777777" w:rsidR="00840D6F" w:rsidRPr="00840D6F" w:rsidRDefault="00840D6F" w:rsidP="00302C1E">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35FE90C2" w14:textId="77777777" w:rsidR="00840D6F" w:rsidRPr="00840D6F" w:rsidRDefault="00840D6F" w:rsidP="00302C1E">
      <w:pPr>
        <w:pStyle w:val="Source"/>
        <w:rPr>
          <w:rFonts w:eastAsia="Calibri"/>
          <w:sz w:val="24"/>
          <w:szCs w:val="24"/>
        </w:rPr>
      </w:pPr>
    </w:p>
    <w:p w14:paraId="020436ED" w14:textId="77777777" w:rsidR="00840D6F" w:rsidRPr="00840D6F" w:rsidRDefault="00840D6F" w:rsidP="00840D6F">
      <w:pPr>
        <w:spacing w:before="0" w:line="240" w:lineRule="auto"/>
        <w:rPr>
          <w:rFonts w:ascii="Calibri" w:eastAsia="Calibri" w:hAnsi="Calibri"/>
          <w:sz w:val="24"/>
          <w:szCs w:val="24"/>
          <w:lang w:val="en-GB"/>
        </w:rPr>
      </w:pPr>
      <w:r w:rsidRPr="00840D6F">
        <w:rPr>
          <w:rFonts w:ascii="Calibri" w:eastAsia="Calibri" w:hAnsi="Calibri"/>
          <w:sz w:val="24"/>
          <w:szCs w:val="24"/>
          <w:lang w:val="en-GB"/>
        </w:rPr>
        <w:br w:type="page"/>
      </w:r>
    </w:p>
    <w:p w14:paraId="76BBCA68" w14:textId="6AC4B479" w:rsidR="00840D6F" w:rsidRPr="00840D6F" w:rsidRDefault="00840D6F" w:rsidP="00F30173">
      <w:pPr>
        <w:pStyle w:val="Figuretitle"/>
        <w:ind w:left="1134" w:hanging="1134"/>
        <w:rPr>
          <w:rFonts w:eastAsia="Calibri"/>
          <w:lang w:val="en-GB"/>
        </w:rPr>
      </w:pPr>
      <w:bookmarkStart w:id="97" w:name="_Toc102041154"/>
      <w:r w:rsidRPr="00840D6F">
        <w:rPr>
          <w:rFonts w:eastAsia="Calibri"/>
          <w:lang w:val="en-GB"/>
        </w:rPr>
        <w:lastRenderedPageBreak/>
        <w:t>Figure A40</w:t>
      </w:r>
      <w:r w:rsidR="00BA5C2D">
        <w:rPr>
          <w:rFonts w:eastAsia="Calibri"/>
          <w:lang w:val="en-GB"/>
        </w:rPr>
        <w:tab/>
      </w:r>
      <w:r w:rsidRPr="00840D6F">
        <w:rPr>
          <w:rFonts w:eastAsia="Calibri"/>
          <w:lang w:val="en-GB"/>
        </w:rPr>
        <w:t xml:space="preserve">Difference in </w:t>
      </w:r>
      <w:r w:rsidRPr="00840D6F">
        <w:rPr>
          <w:rFonts w:eastAsia="Calibri"/>
          <w:color w:val="000000"/>
          <w:lang w:val="en-GB"/>
        </w:rPr>
        <w:t xml:space="preserve">rates of wanting to work less hours </w:t>
      </w:r>
      <w:r w:rsidRPr="00840D6F">
        <w:rPr>
          <w:rFonts w:eastAsia="Calibri"/>
          <w:lang w:val="en-GB"/>
        </w:rPr>
        <w:t>by qualification type (relative to HE) among those in the same occupations (regression results)</w:t>
      </w:r>
      <w:bookmarkEnd w:id="97"/>
    </w:p>
    <w:p w14:paraId="1D50ED59" w14:textId="77777777" w:rsidR="00840D6F" w:rsidRPr="00840D6F" w:rsidRDefault="00840D6F" w:rsidP="00840D6F">
      <w:pPr>
        <w:spacing w:before="0" w:line="240" w:lineRule="auto"/>
        <w:rPr>
          <w:rFonts w:ascii="Arial" w:hAnsi="Arial"/>
          <w:sz w:val="20"/>
          <w:lang w:eastAsia="en-AU"/>
        </w:rPr>
      </w:pPr>
      <w:r w:rsidRPr="00840D6F">
        <w:rPr>
          <w:rFonts w:ascii="Arial" w:hAnsi="Arial"/>
          <w:noProof/>
          <w:sz w:val="20"/>
          <w:lang w:val="en-GB" w:eastAsia="en-GB"/>
        </w:rPr>
        <w:drawing>
          <wp:inline distT="0" distB="0" distL="0" distR="0" wp14:anchorId="2446FE95" wp14:editId="52A17158">
            <wp:extent cx="5024628" cy="3654552"/>
            <wp:effectExtent l="0" t="0" r="508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4AE3996" w14:textId="77777777" w:rsidR="00840D6F" w:rsidRPr="00840D6F" w:rsidRDefault="00840D6F" w:rsidP="00321399">
      <w:pPr>
        <w:pStyle w:val="Source"/>
        <w:rPr>
          <w:rFonts w:eastAsia="Calibri"/>
        </w:rPr>
      </w:pPr>
      <w:r w:rsidRPr="00840D6F">
        <w:rPr>
          <w:rFonts w:eastAsia="Calibri"/>
        </w:rPr>
        <w:t>Interpretation example: In 2011, individuals with VET and HE qualifications were about 0.6 percentage point less likely to want to work less hours than those with a HE qualification only.</w:t>
      </w:r>
    </w:p>
    <w:p w14:paraId="6AE4098E" w14:textId="77777777" w:rsidR="00840D6F" w:rsidRPr="00840D6F" w:rsidRDefault="00840D6F" w:rsidP="00321399">
      <w:pPr>
        <w:pStyle w:val="Source"/>
        <w:rPr>
          <w:rFonts w:eastAsia="Calibri"/>
          <w:lang w:val="en-GB"/>
        </w:rPr>
      </w:pPr>
      <w:r w:rsidRPr="00840D6F">
        <w:rPr>
          <w:rFonts w:eastAsia="Calibri"/>
        </w:rPr>
        <w:t>Notes: The estimated coefficients are derived from regressions that compare outcomes of: (</w:t>
      </w:r>
      <w:proofErr w:type="spellStart"/>
      <w:r w:rsidRPr="00840D6F">
        <w:rPr>
          <w:rFonts w:eastAsia="Calibri"/>
        </w:rPr>
        <w:t>i</w:t>
      </w:r>
      <w:proofErr w:type="spellEnd"/>
      <w:r w:rsidRPr="00840D6F">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94F732A" w14:textId="77777777" w:rsidR="00840D6F" w:rsidRPr="00840D6F" w:rsidRDefault="00840D6F" w:rsidP="00321399">
      <w:pPr>
        <w:pStyle w:val="Source"/>
        <w:rPr>
          <w:rFonts w:eastAsia="Calibri"/>
          <w:lang w:val="en-GB"/>
        </w:rPr>
      </w:pPr>
      <w:r w:rsidRPr="00840D6F">
        <w:rPr>
          <w:rFonts w:eastAsia="Calibri"/>
          <w:lang w:val="en-GB"/>
        </w:rPr>
        <w:t>Sample: HILDA 2011-2019, respondents aged 25-56 years old with a VET and/or HE qualification and in an occupation that contains a mix of VET and HE qualifications in 2011 (N=2,723).</w:t>
      </w:r>
    </w:p>
    <w:p w14:paraId="6C1E96DA" w14:textId="77777777" w:rsidR="00840D6F" w:rsidRPr="00840D6F" w:rsidRDefault="00840D6F" w:rsidP="00840D6F">
      <w:pPr>
        <w:pStyle w:val="Text"/>
      </w:pPr>
    </w:p>
    <w:p w14:paraId="1D2E577B" w14:textId="77777777" w:rsidR="00891FE3" w:rsidRDefault="00891FE3">
      <w:pPr>
        <w:spacing w:before="0" w:line="240" w:lineRule="auto"/>
      </w:pPr>
      <w:r>
        <w:br w:type="page"/>
      </w:r>
    </w:p>
    <w:p w14:paraId="7ED9A99D" w14:textId="79D0C5FB" w:rsidR="00891FE3" w:rsidRDefault="00891FE3" w:rsidP="00891FE3">
      <w:pPr>
        <w:pStyle w:val="Heading1"/>
      </w:pPr>
      <w:bookmarkStart w:id="98" w:name="_Toc102040948"/>
      <w:r>
        <w:lastRenderedPageBreak/>
        <w:t>Appendix B</w:t>
      </w:r>
      <w:r w:rsidR="003A1E69">
        <w:t xml:space="preserve"> – Robustness check: Restricted list of control variables</w:t>
      </w:r>
      <w:bookmarkEnd w:id="98"/>
    </w:p>
    <w:p w14:paraId="326A5E51" w14:textId="26A02F3F" w:rsidR="003A1E69" w:rsidRPr="003A1E69" w:rsidRDefault="003A1E69" w:rsidP="00F30173">
      <w:pPr>
        <w:pStyle w:val="Figuretitle"/>
        <w:ind w:left="1134" w:hanging="1134"/>
        <w:rPr>
          <w:rFonts w:eastAsia="Calibri"/>
          <w:lang w:val="en-GB"/>
        </w:rPr>
      </w:pPr>
      <w:bookmarkStart w:id="99" w:name="_Toc102041155"/>
      <w:r w:rsidRPr="003A1E69">
        <w:rPr>
          <w:rFonts w:eastAsia="Calibri"/>
          <w:lang w:val="en-GB"/>
        </w:rPr>
        <w:t>Figure B1</w:t>
      </w:r>
      <w:r w:rsidR="00BA5C2D">
        <w:rPr>
          <w:rFonts w:eastAsia="Calibri"/>
          <w:lang w:val="en-GB"/>
        </w:rPr>
        <w:tab/>
      </w:r>
      <w:r w:rsidRPr="003A1E69">
        <w:rPr>
          <w:rFonts w:eastAsia="Calibri"/>
          <w:lang w:val="en-GB"/>
        </w:rPr>
        <w:t>Difference in rates of employment by qualification type (relative to HE) among those in the same occupations (regression results)</w:t>
      </w:r>
      <w:bookmarkEnd w:id="99"/>
    </w:p>
    <w:p w14:paraId="35B11630"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64012400" wp14:editId="1ACF1242">
            <wp:extent cx="5024628" cy="3654552"/>
            <wp:effectExtent l="0" t="0" r="508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5AD0BD2"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3AAB7612"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5EDD50E7" w14:textId="77777777" w:rsidR="003A1E69" w:rsidRPr="003A1E69" w:rsidRDefault="003A1E69" w:rsidP="003A1E69">
      <w:pPr>
        <w:spacing w:before="0" w:line="288" w:lineRule="auto"/>
        <w:ind w:left="720"/>
        <w:contextualSpacing/>
        <w:jc w:val="both"/>
        <w:rPr>
          <w:rFonts w:ascii="Calibri" w:eastAsia="Calibri" w:hAnsi="Calibri"/>
          <w:color w:val="000000"/>
          <w:sz w:val="22"/>
          <w:szCs w:val="22"/>
        </w:rPr>
      </w:pPr>
    </w:p>
    <w:p w14:paraId="6B7588E1"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17110D36" w14:textId="58EF4FF0" w:rsidR="003A1E69" w:rsidRPr="003A1E69" w:rsidRDefault="003A1E69" w:rsidP="00F30173">
      <w:pPr>
        <w:pStyle w:val="Figuretitle"/>
        <w:ind w:left="1134" w:hanging="1134"/>
        <w:rPr>
          <w:rFonts w:eastAsia="Calibri"/>
          <w:lang w:val="en-GB"/>
        </w:rPr>
      </w:pPr>
      <w:bookmarkStart w:id="100" w:name="_Toc102041156"/>
      <w:r w:rsidRPr="003A1E69">
        <w:rPr>
          <w:rFonts w:eastAsia="Calibri"/>
          <w:lang w:val="en-GB"/>
        </w:rPr>
        <w:lastRenderedPageBreak/>
        <w:t>Figure B2</w:t>
      </w:r>
      <w:r w:rsidR="00BA5C2D">
        <w:rPr>
          <w:rFonts w:eastAsia="Calibri"/>
          <w:lang w:val="en-GB"/>
        </w:rPr>
        <w:tab/>
      </w:r>
      <w:r w:rsidRPr="003A1E69">
        <w:rPr>
          <w:rFonts w:eastAsia="Calibri"/>
          <w:lang w:val="en-GB"/>
        </w:rPr>
        <w:t>Difference in rates of casual employment by qualification type (relative to HE) among those in the same occupations (regression results)</w:t>
      </w:r>
      <w:bookmarkEnd w:id="100"/>
    </w:p>
    <w:p w14:paraId="043492A2"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14FC23EE" wp14:editId="27FB0C8C">
            <wp:extent cx="5024628" cy="3654552"/>
            <wp:effectExtent l="0" t="0" r="508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FEA054C"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7FDA3A81"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7203577A" w14:textId="77777777" w:rsidR="003A1E69" w:rsidRPr="003A1E69" w:rsidRDefault="003A1E69" w:rsidP="003A1E69">
      <w:pPr>
        <w:spacing w:before="0" w:line="288" w:lineRule="auto"/>
        <w:ind w:left="720"/>
        <w:contextualSpacing/>
        <w:jc w:val="both"/>
        <w:rPr>
          <w:rFonts w:ascii="Calibri" w:eastAsia="Calibri" w:hAnsi="Calibri"/>
          <w:color w:val="000000"/>
          <w:sz w:val="22"/>
          <w:szCs w:val="22"/>
        </w:rPr>
      </w:pPr>
    </w:p>
    <w:p w14:paraId="053FE3D4"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7F13DCE8" w14:textId="7CCEF0DC" w:rsidR="003A1E69" w:rsidRPr="003A1E69" w:rsidRDefault="003A1E69" w:rsidP="00F30173">
      <w:pPr>
        <w:pStyle w:val="Figuretitle"/>
        <w:ind w:left="1134" w:hanging="1134"/>
        <w:rPr>
          <w:rFonts w:eastAsia="Calibri"/>
          <w:lang w:val="en-GB"/>
        </w:rPr>
      </w:pPr>
      <w:bookmarkStart w:id="101" w:name="_Toc102041157"/>
      <w:r w:rsidRPr="003A1E69">
        <w:rPr>
          <w:rFonts w:eastAsia="Calibri"/>
          <w:lang w:val="en-GB"/>
        </w:rPr>
        <w:lastRenderedPageBreak/>
        <w:t>Figure B3</w:t>
      </w:r>
      <w:r w:rsidR="00BA5C2D">
        <w:rPr>
          <w:rFonts w:eastAsia="Calibri"/>
          <w:lang w:val="en-GB"/>
        </w:rPr>
        <w:tab/>
      </w:r>
      <w:r w:rsidRPr="003A1E69">
        <w:rPr>
          <w:rFonts w:eastAsia="Calibri"/>
          <w:lang w:val="en-GB"/>
        </w:rPr>
        <w:t>Difference in the usual number of hours of work per week by qualification type (relative to HE) among those in the same occupations (regression results)</w:t>
      </w:r>
      <w:bookmarkEnd w:id="101"/>
    </w:p>
    <w:p w14:paraId="380EA685"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651D1B58" wp14:editId="28AED98F">
            <wp:extent cx="5024628" cy="3654552"/>
            <wp:effectExtent l="0" t="0" r="508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5170812"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7F9D6683"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5472B6D6"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4FDD0456" w14:textId="0E40D0F5" w:rsidR="003A1E69" w:rsidRPr="003A1E69" w:rsidRDefault="003A1E69" w:rsidP="00F30173">
      <w:pPr>
        <w:pStyle w:val="Figuretitle"/>
        <w:ind w:left="1134" w:hanging="1134"/>
        <w:rPr>
          <w:rFonts w:eastAsia="Calibri"/>
          <w:lang w:val="en-GB"/>
        </w:rPr>
      </w:pPr>
      <w:bookmarkStart w:id="102" w:name="_Toc102041158"/>
      <w:r w:rsidRPr="003A1E69">
        <w:rPr>
          <w:rFonts w:eastAsia="Calibri"/>
          <w:lang w:val="en-GB"/>
        </w:rPr>
        <w:lastRenderedPageBreak/>
        <w:t>Figure B4</w:t>
      </w:r>
      <w:r w:rsidR="00BA5C2D">
        <w:rPr>
          <w:rFonts w:eastAsia="Calibri"/>
          <w:lang w:val="en-GB"/>
        </w:rPr>
        <w:tab/>
      </w:r>
      <w:r w:rsidRPr="003A1E69">
        <w:rPr>
          <w:rFonts w:eastAsia="Calibri"/>
          <w:lang w:val="en-GB"/>
        </w:rPr>
        <w:t>Difference in rates of non-standard work schedule by qualification type (relative to HE) among those in the same occupations (regression results)</w:t>
      </w:r>
      <w:bookmarkEnd w:id="102"/>
    </w:p>
    <w:p w14:paraId="6CFC33DA"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56DD0D94" wp14:editId="795EBD4E">
            <wp:extent cx="5024628" cy="3654552"/>
            <wp:effectExtent l="0" t="0" r="508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25E1F85"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0FEBE565"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67CC1062" w14:textId="77777777" w:rsidR="003A1E69" w:rsidRPr="003A1E69" w:rsidRDefault="003A1E69" w:rsidP="003A1E69">
      <w:pPr>
        <w:spacing w:before="0" w:line="288" w:lineRule="auto"/>
        <w:ind w:left="720"/>
        <w:jc w:val="both"/>
        <w:rPr>
          <w:rFonts w:ascii="Calibri" w:eastAsia="Calibri" w:hAnsi="Calibri"/>
          <w:color w:val="000000"/>
          <w:sz w:val="22"/>
          <w:szCs w:val="22"/>
          <w:lang w:val="en-GB"/>
        </w:rPr>
      </w:pPr>
    </w:p>
    <w:p w14:paraId="1A9D5E63"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223ACD30" w14:textId="12DC8D1D" w:rsidR="003A1E69" w:rsidRPr="003A1E69" w:rsidRDefault="003A1E69" w:rsidP="00F30173">
      <w:pPr>
        <w:pStyle w:val="Figuretitle"/>
        <w:ind w:left="1134" w:hanging="1134"/>
        <w:rPr>
          <w:rFonts w:eastAsia="Calibri"/>
          <w:lang w:val="en-GB"/>
        </w:rPr>
      </w:pPr>
      <w:bookmarkStart w:id="103" w:name="_Toc102041159"/>
      <w:r w:rsidRPr="003A1E69">
        <w:rPr>
          <w:rFonts w:eastAsia="Calibri"/>
          <w:lang w:val="en-GB"/>
        </w:rPr>
        <w:lastRenderedPageBreak/>
        <w:t>Figure B5</w:t>
      </w:r>
      <w:r w:rsidR="00BA5C2D">
        <w:rPr>
          <w:rFonts w:eastAsia="Calibri"/>
          <w:lang w:val="en-GB"/>
        </w:rPr>
        <w:tab/>
      </w:r>
      <w:r w:rsidRPr="003A1E69">
        <w:rPr>
          <w:rFonts w:eastAsia="Calibri"/>
          <w:lang w:val="en-GB"/>
        </w:rPr>
        <w:t>Difference in hourly gross wage (main job) by qualification type (relative to HE) among those in the same occupations (regression results)</w:t>
      </w:r>
      <w:bookmarkEnd w:id="103"/>
    </w:p>
    <w:p w14:paraId="44DE8061"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429151AC" wp14:editId="5BF70288">
            <wp:extent cx="5024628" cy="3654552"/>
            <wp:effectExtent l="0" t="0" r="508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6EFF031"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5DDE514E"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34E1FE72" w14:textId="77777777" w:rsidR="003A1E69" w:rsidRPr="003A1E69" w:rsidRDefault="003A1E69" w:rsidP="003A1E69">
      <w:pPr>
        <w:spacing w:before="0" w:line="288" w:lineRule="auto"/>
        <w:ind w:left="720"/>
        <w:jc w:val="both"/>
        <w:rPr>
          <w:rFonts w:ascii="Calibri" w:eastAsia="Calibri" w:hAnsi="Calibri"/>
          <w:color w:val="000000"/>
          <w:sz w:val="22"/>
          <w:szCs w:val="22"/>
          <w:lang w:val="en-GB"/>
        </w:rPr>
      </w:pPr>
    </w:p>
    <w:p w14:paraId="5CEB1E79"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42FCF79A" w14:textId="63D14B6C" w:rsidR="003A1E69" w:rsidRPr="003A1E69" w:rsidRDefault="003A1E69" w:rsidP="00F30173">
      <w:pPr>
        <w:pStyle w:val="Figuretitle"/>
        <w:ind w:left="1134" w:hanging="1134"/>
        <w:rPr>
          <w:rFonts w:eastAsia="Calibri"/>
          <w:lang w:val="en-GB"/>
        </w:rPr>
      </w:pPr>
      <w:bookmarkStart w:id="104" w:name="_Toc102041160"/>
      <w:r w:rsidRPr="003A1E69">
        <w:rPr>
          <w:rFonts w:eastAsia="Calibri"/>
          <w:lang w:val="en-GB"/>
        </w:rPr>
        <w:lastRenderedPageBreak/>
        <w:t>Figure B6</w:t>
      </w:r>
      <w:r w:rsidR="00BA5C2D">
        <w:rPr>
          <w:rFonts w:eastAsia="Calibri"/>
          <w:lang w:val="en-GB"/>
        </w:rPr>
        <w:tab/>
      </w:r>
      <w:r w:rsidRPr="003A1E69">
        <w:rPr>
          <w:rFonts w:eastAsia="Calibri"/>
          <w:lang w:val="en-GB"/>
        </w:rPr>
        <w:t>Difference in workplace entitlements for paid maternity leave by qualification type (relative to HE) among those in the same occupations (regression results)</w:t>
      </w:r>
      <w:bookmarkEnd w:id="104"/>
    </w:p>
    <w:p w14:paraId="7DB39B25"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2E290D73" wp14:editId="77F5B9C9">
            <wp:extent cx="5024628" cy="3654552"/>
            <wp:effectExtent l="0" t="0" r="508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E53D03A"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20682F98"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57F68AB2" w14:textId="77777777" w:rsidR="003A1E69" w:rsidRPr="003A1E69" w:rsidRDefault="003A1E69" w:rsidP="003A1E69">
      <w:pPr>
        <w:spacing w:before="0" w:line="288" w:lineRule="auto"/>
        <w:ind w:left="720"/>
        <w:jc w:val="both"/>
        <w:rPr>
          <w:rFonts w:ascii="Calibri" w:eastAsia="Calibri" w:hAnsi="Calibri"/>
          <w:color w:val="000000"/>
          <w:sz w:val="22"/>
          <w:szCs w:val="22"/>
          <w:lang w:val="en-GB"/>
        </w:rPr>
      </w:pPr>
    </w:p>
    <w:p w14:paraId="2833BC83"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63D3AC01" w14:textId="61556921" w:rsidR="003A1E69" w:rsidRPr="003A1E69" w:rsidRDefault="003A1E69" w:rsidP="00F30173">
      <w:pPr>
        <w:pStyle w:val="Figuretitle"/>
        <w:ind w:left="1134" w:hanging="1134"/>
        <w:rPr>
          <w:rFonts w:eastAsia="Calibri"/>
          <w:lang w:val="en-GB"/>
        </w:rPr>
      </w:pPr>
      <w:bookmarkStart w:id="105" w:name="_Toc102041161"/>
      <w:r w:rsidRPr="003A1E69">
        <w:rPr>
          <w:rFonts w:eastAsia="Calibri"/>
          <w:lang w:val="en-GB"/>
        </w:rPr>
        <w:lastRenderedPageBreak/>
        <w:t>Figure B7</w:t>
      </w:r>
      <w:r w:rsidR="00BA5C2D">
        <w:rPr>
          <w:rFonts w:eastAsia="Calibri"/>
          <w:lang w:val="en-GB"/>
        </w:rPr>
        <w:tab/>
      </w:r>
      <w:r w:rsidRPr="003A1E69">
        <w:rPr>
          <w:rFonts w:eastAsia="Calibri"/>
          <w:lang w:val="en-GB"/>
        </w:rPr>
        <w:t>Difference in rates of supervisory responsibilities by qualification type (relative to HE) among those in the same occupations (regression results)</w:t>
      </w:r>
      <w:bookmarkEnd w:id="105"/>
    </w:p>
    <w:p w14:paraId="4A7A87F7"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28E53906" wp14:editId="7CC96F52">
            <wp:extent cx="5024628" cy="3654552"/>
            <wp:effectExtent l="0" t="0" r="508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9BEF442"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0DAD668A"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50437873" w14:textId="77777777" w:rsidR="003A1E69" w:rsidRPr="003A1E69" w:rsidRDefault="003A1E69" w:rsidP="003A1E69">
      <w:pPr>
        <w:spacing w:before="0" w:line="240" w:lineRule="auto"/>
        <w:rPr>
          <w:rFonts w:ascii="Calibri" w:eastAsia="Calibri" w:hAnsi="Calibri"/>
          <w:color w:val="000000"/>
          <w:sz w:val="22"/>
          <w:szCs w:val="22"/>
          <w:lang w:val="en-GB"/>
        </w:rPr>
      </w:pPr>
      <w:r w:rsidRPr="003A1E69">
        <w:rPr>
          <w:rFonts w:ascii="Calibri" w:eastAsia="Calibri" w:hAnsi="Calibri"/>
          <w:color w:val="000000"/>
          <w:sz w:val="22"/>
          <w:szCs w:val="22"/>
          <w:lang w:val="en-GB"/>
        </w:rPr>
        <w:br w:type="page"/>
      </w:r>
    </w:p>
    <w:p w14:paraId="4770B615" w14:textId="53A36908" w:rsidR="003A1E69" w:rsidRPr="003A1E69" w:rsidRDefault="003A1E69" w:rsidP="00714869">
      <w:pPr>
        <w:pStyle w:val="Figuretitle"/>
        <w:ind w:left="1134" w:hanging="1134"/>
        <w:rPr>
          <w:rFonts w:eastAsia="Calibri"/>
          <w:lang w:val="en-GB"/>
        </w:rPr>
      </w:pPr>
      <w:bookmarkStart w:id="106" w:name="_Toc102041162"/>
      <w:r w:rsidRPr="003A1E69">
        <w:rPr>
          <w:rFonts w:eastAsia="Calibri"/>
          <w:lang w:val="en-GB"/>
        </w:rPr>
        <w:lastRenderedPageBreak/>
        <w:t>Figure B8</w:t>
      </w:r>
      <w:r w:rsidR="00BA5C2D">
        <w:rPr>
          <w:rFonts w:eastAsia="Calibri"/>
          <w:lang w:val="en-GB"/>
        </w:rPr>
        <w:tab/>
      </w:r>
      <w:r w:rsidRPr="003A1E69">
        <w:rPr>
          <w:rFonts w:eastAsia="Calibri"/>
          <w:lang w:val="en-GB"/>
        </w:rPr>
        <w:t>Difference in job characteristics (index weighted by factor loading, standardised) by qualification type (relative to HE) among those in the same occupations (regression results)</w:t>
      </w:r>
      <w:bookmarkEnd w:id="106"/>
    </w:p>
    <w:p w14:paraId="4A062975"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56C09C51" wp14:editId="3639AF43">
            <wp:extent cx="5024628" cy="3654552"/>
            <wp:effectExtent l="0" t="0" r="508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9714192"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point level.</w:t>
      </w:r>
    </w:p>
    <w:p w14:paraId="38ED7699"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08EBAF64" w14:textId="77777777" w:rsidR="003A1E69" w:rsidRPr="003A1E69" w:rsidRDefault="003A1E69" w:rsidP="003A1E69">
      <w:pPr>
        <w:spacing w:before="0" w:line="288" w:lineRule="auto"/>
        <w:jc w:val="both"/>
        <w:rPr>
          <w:rFonts w:ascii="Calibri" w:eastAsia="Calibri" w:hAnsi="Calibri"/>
          <w:color w:val="000000"/>
          <w:sz w:val="22"/>
          <w:szCs w:val="22"/>
          <w:lang w:val="en-GB"/>
        </w:rPr>
      </w:pPr>
    </w:p>
    <w:p w14:paraId="54B440B4"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22232E22" w14:textId="402D6855" w:rsidR="003A1E69" w:rsidRPr="003A1E69" w:rsidRDefault="003A1E69" w:rsidP="00714869">
      <w:pPr>
        <w:pStyle w:val="Figuretitle"/>
        <w:ind w:left="1134" w:hanging="1134"/>
        <w:rPr>
          <w:rFonts w:eastAsia="Calibri"/>
          <w:lang w:val="en-GB"/>
        </w:rPr>
      </w:pPr>
      <w:bookmarkStart w:id="107" w:name="_Toc102041163"/>
      <w:r w:rsidRPr="003A1E69">
        <w:rPr>
          <w:rFonts w:eastAsia="Calibri"/>
          <w:lang w:val="en-GB"/>
        </w:rPr>
        <w:lastRenderedPageBreak/>
        <w:t>Figure B9</w:t>
      </w:r>
      <w:r w:rsidR="00BA5C2D">
        <w:rPr>
          <w:rFonts w:eastAsia="Calibri"/>
          <w:lang w:val="en-GB"/>
        </w:rPr>
        <w:tab/>
      </w:r>
      <w:r w:rsidRPr="003A1E69">
        <w:rPr>
          <w:rFonts w:eastAsia="Calibri"/>
          <w:lang w:val="en-GB"/>
        </w:rPr>
        <w:t>Difference in job satisfaction (index weighted by factor loading, standardised) by qualification type (relative to HE) among those in the same occupations (regression results)</w:t>
      </w:r>
      <w:bookmarkEnd w:id="107"/>
    </w:p>
    <w:p w14:paraId="3AAD81AE"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5E055D07" wp14:editId="0ECEBE85">
            <wp:extent cx="5024628" cy="3654552"/>
            <wp:effectExtent l="0" t="0" r="508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D54B3F3"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25882C8C"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7421C455" w14:textId="77777777" w:rsidR="003A1E69" w:rsidRPr="003A1E69" w:rsidRDefault="003A1E69" w:rsidP="003A1E69">
      <w:pPr>
        <w:spacing w:before="0" w:line="288" w:lineRule="auto"/>
        <w:jc w:val="both"/>
        <w:rPr>
          <w:rFonts w:ascii="Calibri" w:eastAsia="Calibri" w:hAnsi="Calibri"/>
          <w:color w:val="000000"/>
          <w:sz w:val="22"/>
          <w:szCs w:val="22"/>
          <w:lang w:val="en-GB"/>
        </w:rPr>
      </w:pPr>
    </w:p>
    <w:p w14:paraId="4E75EA0A" w14:textId="77777777" w:rsidR="003A1E69" w:rsidRPr="003A1E69" w:rsidRDefault="003A1E69" w:rsidP="003A1E69">
      <w:pPr>
        <w:spacing w:before="0" w:line="240" w:lineRule="auto"/>
        <w:rPr>
          <w:rFonts w:ascii="Calibri" w:eastAsia="Calibri" w:hAnsi="Calibri"/>
          <w:color w:val="000000"/>
          <w:sz w:val="24"/>
          <w:szCs w:val="24"/>
          <w:lang w:val="en-GB"/>
        </w:rPr>
      </w:pPr>
      <w:r w:rsidRPr="003A1E69">
        <w:rPr>
          <w:rFonts w:ascii="Calibri" w:eastAsia="Calibri" w:hAnsi="Calibri"/>
          <w:color w:val="000000"/>
          <w:sz w:val="24"/>
          <w:szCs w:val="24"/>
          <w:lang w:val="en-GB"/>
        </w:rPr>
        <w:br w:type="page"/>
      </w:r>
    </w:p>
    <w:p w14:paraId="1CA05089" w14:textId="389DC3D2" w:rsidR="003A1E69" w:rsidRPr="003A1E69" w:rsidRDefault="003A1E69" w:rsidP="00CB24B5">
      <w:pPr>
        <w:pStyle w:val="Figuretitle"/>
        <w:ind w:left="1134" w:hanging="1134"/>
        <w:rPr>
          <w:rFonts w:eastAsia="Calibri"/>
          <w:lang w:val="en-GB"/>
        </w:rPr>
      </w:pPr>
      <w:bookmarkStart w:id="108" w:name="_Toc102041164"/>
      <w:r w:rsidRPr="003A1E69">
        <w:rPr>
          <w:rFonts w:eastAsia="Calibri"/>
          <w:lang w:val="en-GB"/>
        </w:rPr>
        <w:lastRenderedPageBreak/>
        <w:t>Figure B10</w:t>
      </w:r>
      <w:r w:rsidR="00BA5C2D">
        <w:rPr>
          <w:rFonts w:eastAsia="Calibri"/>
          <w:lang w:val="en-GB"/>
        </w:rPr>
        <w:tab/>
      </w:r>
      <w:r w:rsidRPr="003A1E69">
        <w:rPr>
          <w:rFonts w:eastAsia="Calibri"/>
          <w:lang w:val="en-GB"/>
        </w:rPr>
        <w:t>Difference in satisfaction with work opportunities by qualification type (relative to HE) among those in the same occupations (regression results)</w:t>
      </w:r>
      <w:bookmarkEnd w:id="108"/>
    </w:p>
    <w:p w14:paraId="4D3E5583"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2C6FBA27" wp14:editId="554528BB">
            <wp:extent cx="5024628" cy="3654552"/>
            <wp:effectExtent l="0" t="0" r="508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B634FD7"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5BFACF5C"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3FF1D7C3" w14:textId="77777777" w:rsidR="003A1E69" w:rsidRPr="003A1E69" w:rsidRDefault="003A1E69" w:rsidP="003A1E69">
      <w:pPr>
        <w:spacing w:before="0" w:line="240" w:lineRule="auto"/>
        <w:rPr>
          <w:rFonts w:ascii="Calibri" w:eastAsia="Calibri" w:hAnsi="Calibri"/>
          <w:color w:val="000000"/>
          <w:sz w:val="22"/>
          <w:szCs w:val="22"/>
          <w:lang w:val="en-GB"/>
        </w:rPr>
      </w:pPr>
    </w:p>
    <w:p w14:paraId="3BEF176D"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5E62844B" w14:textId="20BCDE4D" w:rsidR="003A1E69" w:rsidRPr="003A1E69" w:rsidRDefault="003A1E69" w:rsidP="00CB24B5">
      <w:pPr>
        <w:pStyle w:val="Figuretitle"/>
        <w:ind w:left="1134" w:hanging="1134"/>
        <w:rPr>
          <w:rFonts w:eastAsia="Calibri"/>
          <w:lang w:val="en-GB"/>
        </w:rPr>
      </w:pPr>
      <w:bookmarkStart w:id="109" w:name="_Toc102041165"/>
      <w:r w:rsidRPr="003A1E69">
        <w:rPr>
          <w:rFonts w:eastAsia="Calibri"/>
          <w:lang w:val="en-GB"/>
        </w:rPr>
        <w:lastRenderedPageBreak/>
        <w:t>Figure B11</w:t>
      </w:r>
      <w:r w:rsidR="00BA5C2D">
        <w:rPr>
          <w:rFonts w:eastAsia="Calibri"/>
          <w:lang w:val="en-GB"/>
        </w:rPr>
        <w:tab/>
      </w:r>
      <w:r w:rsidRPr="003A1E69">
        <w:rPr>
          <w:rFonts w:eastAsia="Calibri"/>
          <w:lang w:val="en-GB"/>
        </w:rPr>
        <w:t>Difference in tenure in the occupation (years) by qualification type (relative to HE) among those in the same occupations (regression results)</w:t>
      </w:r>
      <w:bookmarkEnd w:id="109"/>
    </w:p>
    <w:p w14:paraId="047A06F8"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59388179" wp14:editId="67CBDC3E">
            <wp:extent cx="5024628" cy="3654552"/>
            <wp:effectExtent l="0" t="0" r="508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86A03C7"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761FBF28"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3AF567E1" w14:textId="77777777" w:rsidR="003A1E69" w:rsidRPr="003A1E69" w:rsidRDefault="003A1E69" w:rsidP="003A1E69">
      <w:pPr>
        <w:spacing w:before="0" w:line="288" w:lineRule="auto"/>
        <w:ind w:left="720"/>
        <w:jc w:val="both"/>
        <w:rPr>
          <w:rFonts w:ascii="Calibri" w:eastAsia="Calibri" w:hAnsi="Calibri"/>
          <w:color w:val="000000"/>
          <w:sz w:val="22"/>
          <w:szCs w:val="22"/>
          <w:lang w:val="en-GB"/>
        </w:rPr>
      </w:pPr>
    </w:p>
    <w:p w14:paraId="739EF070" w14:textId="77777777" w:rsidR="003A1E69" w:rsidRPr="003A1E69" w:rsidRDefault="003A1E69" w:rsidP="003A1E69">
      <w:pPr>
        <w:spacing w:before="0" w:line="240" w:lineRule="auto"/>
        <w:rPr>
          <w:rFonts w:ascii="Calibri" w:eastAsia="Calibri" w:hAnsi="Calibri"/>
          <w:sz w:val="24"/>
          <w:szCs w:val="24"/>
          <w:lang w:val="en-GB"/>
        </w:rPr>
      </w:pPr>
      <w:r w:rsidRPr="003A1E69">
        <w:rPr>
          <w:rFonts w:ascii="Calibri" w:eastAsia="Calibri" w:hAnsi="Calibri"/>
          <w:sz w:val="24"/>
          <w:szCs w:val="24"/>
          <w:lang w:val="en-GB"/>
        </w:rPr>
        <w:br w:type="page"/>
      </w:r>
    </w:p>
    <w:p w14:paraId="337AE064" w14:textId="6C031EC3" w:rsidR="003A1E69" w:rsidRPr="003A1E69" w:rsidRDefault="003A1E69" w:rsidP="00CB24B5">
      <w:pPr>
        <w:pStyle w:val="Figuretitle"/>
        <w:ind w:left="1134" w:hanging="1134"/>
        <w:rPr>
          <w:rFonts w:eastAsia="Calibri"/>
          <w:lang w:val="en-GB"/>
        </w:rPr>
      </w:pPr>
      <w:bookmarkStart w:id="110" w:name="_Toc102041166"/>
      <w:r w:rsidRPr="003A1E69">
        <w:rPr>
          <w:rFonts w:eastAsia="Calibri"/>
          <w:lang w:val="en-GB"/>
        </w:rPr>
        <w:lastRenderedPageBreak/>
        <w:t>Figure B12</w:t>
      </w:r>
      <w:r w:rsidR="00BA5C2D">
        <w:rPr>
          <w:rFonts w:eastAsia="Calibri"/>
          <w:lang w:val="en-GB"/>
        </w:rPr>
        <w:tab/>
      </w:r>
      <w:r w:rsidRPr="003A1E69">
        <w:rPr>
          <w:rFonts w:eastAsia="Calibri"/>
          <w:lang w:val="en-GB"/>
        </w:rPr>
        <w:t>Difference in tenure in the job (years) by qualification type (relative to HE) among those in the same occupations (regression results)</w:t>
      </w:r>
      <w:bookmarkEnd w:id="110"/>
    </w:p>
    <w:p w14:paraId="0BFF1ECB" w14:textId="77777777" w:rsidR="003A1E69" w:rsidRPr="003A1E69" w:rsidRDefault="003A1E69" w:rsidP="003A1E69">
      <w:pPr>
        <w:spacing w:before="0" w:line="240" w:lineRule="auto"/>
        <w:rPr>
          <w:rFonts w:ascii="Arial" w:hAnsi="Arial"/>
          <w:sz w:val="20"/>
          <w:lang w:eastAsia="en-AU"/>
        </w:rPr>
      </w:pPr>
      <w:r w:rsidRPr="003A1E69">
        <w:rPr>
          <w:rFonts w:ascii="Arial" w:hAnsi="Arial"/>
          <w:noProof/>
          <w:sz w:val="20"/>
          <w:lang w:val="en-GB" w:eastAsia="en-GB"/>
        </w:rPr>
        <w:drawing>
          <wp:inline distT="0" distB="0" distL="0" distR="0" wp14:anchorId="12CD15D6" wp14:editId="60CB6804">
            <wp:extent cx="5024628" cy="3654552"/>
            <wp:effectExtent l="0" t="0" r="508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54D09A4" w14:textId="77777777" w:rsidR="003A1E69" w:rsidRPr="003A1E69" w:rsidRDefault="003A1E69" w:rsidP="003A1E69">
      <w:pPr>
        <w:pStyle w:val="Source"/>
        <w:rPr>
          <w:rFonts w:eastAsia="Calibri"/>
          <w:lang w:val="en-GB"/>
        </w:rPr>
      </w:pPr>
      <w:r w:rsidRPr="003A1E69">
        <w:rPr>
          <w:rFonts w:eastAsia="Calibri"/>
        </w:rPr>
        <w:t>Notes: The estimated coefficients are derived from regressions that compare outcomes of: (</w:t>
      </w:r>
      <w:proofErr w:type="spellStart"/>
      <w:r w:rsidRPr="003A1E69">
        <w:rPr>
          <w:rFonts w:eastAsia="Calibri"/>
        </w:rPr>
        <w:t>i</w:t>
      </w:r>
      <w:proofErr w:type="spellEnd"/>
      <w:r w:rsidRPr="003A1E69">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(age, sex, Indigenous status, born in Australia, language spoken other than English, State of residence, Region of residence). Regressions are run separately for each year. Dashed vertical lines denote statistical significance at the 5% level.</w:t>
      </w:r>
    </w:p>
    <w:p w14:paraId="0777C5C1" w14:textId="77777777" w:rsidR="003A1E69" w:rsidRPr="003A1E69" w:rsidRDefault="003A1E69" w:rsidP="003A1E69">
      <w:pPr>
        <w:pStyle w:val="Source"/>
        <w:rPr>
          <w:rFonts w:eastAsia="Calibri"/>
          <w:lang w:val="en-GB"/>
        </w:rPr>
      </w:pPr>
      <w:r w:rsidRPr="003A1E69">
        <w:rPr>
          <w:rFonts w:eastAsia="Calibri"/>
          <w:lang w:val="en-GB"/>
        </w:rPr>
        <w:t>Sample: HILDA 2011-2019, respondents aged 25-56 years old with a VET and/or HE qualification and in an occupation that contains a mix of VET and HE qualifications in 2011 (N=2,723).</w:t>
      </w:r>
    </w:p>
    <w:p w14:paraId="18EA232E" w14:textId="77777777" w:rsidR="003A1E69" w:rsidRPr="003A1E69" w:rsidRDefault="003A1E69" w:rsidP="003A1E69">
      <w:pPr>
        <w:spacing w:before="0" w:line="240" w:lineRule="auto"/>
        <w:rPr>
          <w:rFonts w:ascii="Calibri" w:eastAsia="Calibri" w:hAnsi="Calibri"/>
          <w:sz w:val="24"/>
          <w:szCs w:val="24"/>
          <w:lang w:val="en-GB"/>
        </w:rPr>
      </w:pPr>
    </w:p>
    <w:p w14:paraId="695459AD" w14:textId="77777777" w:rsidR="003A1E69" w:rsidRPr="003A1E69" w:rsidRDefault="003A1E69" w:rsidP="003A1E69">
      <w:pPr>
        <w:spacing w:before="0" w:line="240" w:lineRule="auto"/>
        <w:contextualSpacing/>
        <w:outlineLvl w:val="0"/>
        <w:rPr>
          <w:rFonts w:ascii="Calibri" w:eastAsia="Calibri" w:hAnsi="Calibri"/>
          <w:sz w:val="22"/>
          <w:szCs w:val="22"/>
        </w:rPr>
      </w:pPr>
    </w:p>
    <w:p w14:paraId="1618C25C" w14:textId="77777777" w:rsidR="000F7B43" w:rsidRDefault="000F7B43">
      <w:pPr>
        <w:spacing w:before="0" w:line="240" w:lineRule="auto"/>
      </w:pPr>
      <w:r>
        <w:br w:type="page"/>
      </w:r>
    </w:p>
    <w:p w14:paraId="39BADE10" w14:textId="01DAD03A" w:rsidR="000F7B43" w:rsidRDefault="000F7B43" w:rsidP="000F7B43">
      <w:pPr>
        <w:pStyle w:val="Heading1"/>
      </w:pPr>
      <w:bookmarkStart w:id="111" w:name="_Toc102040949"/>
      <w:r>
        <w:lastRenderedPageBreak/>
        <w:t>Appendix C</w:t>
      </w:r>
      <w:r w:rsidR="00A570A4">
        <w:t>- Robustness check: Balanced Panel</w:t>
      </w:r>
      <w:bookmarkEnd w:id="111"/>
    </w:p>
    <w:p w14:paraId="70C5D4F9" w14:textId="74EB7909" w:rsidR="00A35F86" w:rsidRPr="00A35F86" w:rsidRDefault="00A35F86" w:rsidP="00CB24B5">
      <w:pPr>
        <w:pStyle w:val="Figuretitle"/>
        <w:ind w:left="1134" w:hanging="1134"/>
        <w:rPr>
          <w:rFonts w:eastAsia="Calibri"/>
          <w:lang w:val="en-GB"/>
        </w:rPr>
      </w:pPr>
      <w:bookmarkStart w:id="112" w:name="_Toc102041167"/>
      <w:r w:rsidRPr="00A35F86">
        <w:rPr>
          <w:rFonts w:eastAsia="Calibri"/>
          <w:lang w:val="en-GB"/>
        </w:rPr>
        <w:t>Figure C1</w:t>
      </w:r>
      <w:r w:rsidR="00BA5C2D">
        <w:rPr>
          <w:rFonts w:eastAsia="Calibri"/>
          <w:lang w:val="en-GB"/>
        </w:rPr>
        <w:tab/>
      </w:r>
      <w:r w:rsidRPr="00A35F86">
        <w:rPr>
          <w:rFonts w:eastAsia="Calibri"/>
          <w:lang w:val="en-GB"/>
        </w:rPr>
        <w:t>Difference in rates of employment by qualification type (relative to HE) among those in the same occupations (regression results)</w:t>
      </w:r>
      <w:bookmarkEnd w:id="112"/>
    </w:p>
    <w:p w14:paraId="70884825"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0E768428" wp14:editId="73B8BA3C">
            <wp:extent cx="5024628" cy="3654552"/>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7449EAA"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E87B6E6"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178078EA" w14:textId="77777777" w:rsidR="00A35F86" w:rsidRPr="00A35F86" w:rsidRDefault="00A35F86" w:rsidP="00A35F86">
      <w:pPr>
        <w:spacing w:before="0" w:line="288" w:lineRule="auto"/>
        <w:ind w:left="720"/>
        <w:contextualSpacing/>
        <w:jc w:val="both"/>
        <w:rPr>
          <w:rFonts w:ascii="Calibri" w:eastAsia="Calibri" w:hAnsi="Calibri"/>
          <w:color w:val="000000"/>
          <w:sz w:val="22"/>
          <w:szCs w:val="22"/>
        </w:rPr>
      </w:pPr>
    </w:p>
    <w:p w14:paraId="36AB56F1"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66331C49" w14:textId="282E988B" w:rsidR="00A35F86" w:rsidRPr="00A35F86" w:rsidRDefault="00A35F86" w:rsidP="00CB24B5">
      <w:pPr>
        <w:pStyle w:val="Figuretitle"/>
        <w:ind w:left="1134" w:hanging="1134"/>
        <w:rPr>
          <w:rFonts w:eastAsia="Calibri"/>
          <w:lang w:val="en-GB"/>
        </w:rPr>
      </w:pPr>
      <w:bookmarkStart w:id="113" w:name="_Toc102041168"/>
      <w:r w:rsidRPr="00A35F86">
        <w:rPr>
          <w:rFonts w:eastAsia="Calibri"/>
          <w:lang w:val="en-GB"/>
        </w:rPr>
        <w:lastRenderedPageBreak/>
        <w:t>Figure C2</w:t>
      </w:r>
      <w:r w:rsidR="00BA5C2D">
        <w:rPr>
          <w:rFonts w:eastAsia="Calibri"/>
          <w:lang w:val="en-GB"/>
        </w:rPr>
        <w:tab/>
      </w:r>
      <w:r w:rsidRPr="00A35F86">
        <w:rPr>
          <w:rFonts w:eastAsia="Calibri"/>
          <w:lang w:val="en-GB"/>
        </w:rPr>
        <w:t>Difference in rates of casual employment by qualification type (relative to HE) among those in the same occupations (regression results)</w:t>
      </w:r>
      <w:bookmarkEnd w:id="113"/>
    </w:p>
    <w:p w14:paraId="51D11A53"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10CD897C" wp14:editId="38200CED">
            <wp:extent cx="5024628" cy="3654552"/>
            <wp:effectExtent l="0" t="0" r="508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DEBBB04"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77272A1"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3CA44CBA" w14:textId="77777777" w:rsidR="00A35F86" w:rsidRPr="00A35F86" w:rsidRDefault="00A35F86" w:rsidP="00A35F86">
      <w:pPr>
        <w:spacing w:before="0" w:line="288" w:lineRule="auto"/>
        <w:ind w:left="720"/>
        <w:contextualSpacing/>
        <w:jc w:val="both"/>
        <w:rPr>
          <w:rFonts w:ascii="Calibri" w:eastAsia="Calibri" w:hAnsi="Calibri"/>
          <w:color w:val="000000"/>
          <w:sz w:val="22"/>
          <w:szCs w:val="22"/>
        </w:rPr>
      </w:pPr>
    </w:p>
    <w:p w14:paraId="062044EE"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1F010B45" w14:textId="5C1CBB5F" w:rsidR="00A35F86" w:rsidRPr="00A35F86" w:rsidRDefault="00A35F86" w:rsidP="00CB24B5">
      <w:pPr>
        <w:pStyle w:val="Figuretitle"/>
        <w:ind w:left="1134" w:hanging="1134"/>
        <w:rPr>
          <w:rFonts w:eastAsia="Calibri"/>
          <w:lang w:val="en-GB"/>
        </w:rPr>
      </w:pPr>
      <w:bookmarkStart w:id="114" w:name="_Toc102041169"/>
      <w:r w:rsidRPr="00A35F86">
        <w:rPr>
          <w:rFonts w:eastAsia="Calibri"/>
          <w:lang w:val="en-GB"/>
        </w:rPr>
        <w:lastRenderedPageBreak/>
        <w:t>Figure C3</w:t>
      </w:r>
      <w:r w:rsidR="00BA5C2D">
        <w:rPr>
          <w:rFonts w:eastAsia="Calibri"/>
          <w:lang w:val="en-GB"/>
        </w:rPr>
        <w:tab/>
      </w:r>
      <w:r w:rsidRPr="00A35F86">
        <w:rPr>
          <w:rFonts w:eastAsia="Calibri"/>
          <w:lang w:val="en-GB"/>
        </w:rPr>
        <w:t>Difference in the usual number of hours of work per week by qualification type (relative to HE) among those in the same occupations (regression results)</w:t>
      </w:r>
      <w:bookmarkEnd w:id="114"/>
    </w:p>
    <w:p w14:paraId="061A2160"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409CA063" wp14:editId="53C1C9F5">
            <wp:extent cx="5024628" cy="3654552"/>
            <wp:effectExtent l="0" t="0" r="508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37F020B"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A7E333E"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4680A3CB"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50188D85" w14:textId="2A636C09" w:rsidR="00A35F86" w:rsidRPr="00A35F86" w:rsidRDefault="00A35F86" w:rsidP="00CB24B5">
      <w:pPr>
        <w:pStyle w:val="Figuretitle"/>
        <w:ind w:left="1134" w:hanging="1134"/>
        <w:rPr>
          <w:rFonts w:eastAsia="Calibri"/>
          <w:lang w:val="en-GB"/>
        </w:rPr>
      </w:pPr>
      <w:bookmarkStart w:id="115" w:name="_Toc102041170"/>
      <w:r w:rsidRPr="00A35F86">
        <w:rPr>
          <w:rFonts w:eastAsia="Calibri"/>
          <w:lang w:val="en-GB"/>
        </w:rPr>
        <w:lastRenderedPageBreak/>
        <w:t>Figure C4</w:t>
      </w:r>
      <w:r w:rsidR="00BA5C2D">
        <w:rPr>
          <w:rFonts w:eastAsia="Calibri"/>
          <w:lang w:val="en-GB"/>
        </w:rPr>
        <w:tab/>
      </w:r>
      <w:r w:rsidRPr="00A35F86">
        <w:rPr>
          <w:rFonts w:eastAsia="Calibri"/>
          <w:lang w:val="en-GB"/>
        </w:rPr>
        <w:t>Difference in rates of non-standard work schedule by qualification type (relative to HE) among those in the same occupations (regression results)</w:t>
      </w:r>
      <w:bookmarkEnd w:id="115"/>
    </w:p>
    <w:p w14:paraId="58F9FAEF"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4C6DAD98" wp14:editId="26A98825">
            <wp:extent cx="5024628" cy="3654552"/>
            <wp:effectExtent l="0" t="0" r="508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91C97F1"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8FDA85B"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2630808E" w14:textId="77777777" w:rsidR="00A35F86" w:rsidRPr="00A35F86" w:rsidRDefault="00A35F86" w:rsidP="00A35F86">
      <w:pPr>
        <w:spacing w:before="0" w:line="288" w:lineRule="auto"/>
        <w:ind w:left="720"/>
        <w:jc w:val="both"/>
        <w:rPr>
          <w:rFonts w:ascii="Calibri" w:eastAsia="Calibri" w:hAnsi="Calibri"/>
          <w:color w:val="000000"/>
          <w:sz w:val="22"/>
          <w:szCs w:val="22"/>
          <w:lang w:val="en-GB"/>
        </w:rPr>
      </w:pPr>
    </w:p>
    <w:p w14:paraId="2DC084BB"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4DB0B5CD" w14:textId="77824BFB" w:rsidR="00A35F86" w:rsidRPr="00A35F86" w:rsidRDefault="00A35F86" w:rsidP="00CB24B5">
      <w:pPr>
        <w:pStyle w:val="Figuretitle"/>
        <w:ind w:left="1134" w:hanging="1134"/>
        <w:rPr>
          <w:rFonts w:eastAsia="Calibri"/>
          <w:lang w:val="en-GB"/>
        </w:rPr>
      </w:pPr>
      <w:bookmarkStart w:id="116" w:name="_Toc102041171"/>
      <w:r w:rsidRPr="00A35F86">
        <w:rPr>
          <w:rFonts w:eastAsia="Calibri"/>
          <w:lang w:val="en-GB"/>
        </w:rPr>
        <w:lastRenderedPageBreak/>
        <w:t>Figure C5</w:t>
      </w:r>
      <w:r w:rsidR="00BA5C2D">
        <w:rPr>
          <w:rFonts w:eastAsia="Calibri"/>
          <w:lang w:val="en-GB"/>
        </w:rPr>
        <w:tab/>
      </w:r>
      <w:r w:rsidRPr="00A35F86">
        <w:rPr>
          <w:rFonts w:eastAsia="Calibri"/>
          <w:lang w:val="en-GB"/>
        </w:rPr>
        <w:t>Difference in hourly gross wage (main job) by qualification type (relative to HE) among those in the same occupations (regression results)</w:t>
      </w:r>
      <w:bookmarkEnd w:id="116"/>
    </w:p>
    <w:p w14:paraId="0F3B5856"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50D8CACF" wp14:editId="27E93919">
            <wp:extent cx="5024628" cy="3654552"/>
            <wp:effectExtent l="0" t="0" r="508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2B88D11"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D08BD5D"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435559C0" w14:textId="77777777" w:rsidR="00A35F86" w:rsidRPr="00A35F86" w:rsidRDefault="00A35F86" w:rsidP="00A35F86">
      <w:pPr>
        <w:pStyle w:val="Source"/>
        <w:rPr>
          <w:rFonts w:eastAsia="Calibri"/>
          <w:sz w:val="22"/>
          <w:szCs w:val="22"/>
          <w:lang w:val="en-GB"/>
        </w:rPr>
      </w:pPr>
    </w:p>
    <w:p w14:paraId="3C60E0BC"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6B9A58CC" w14:textId="57995041" w:rsidR="00A35F86" w:rsidRPr="00A35F86" w:rsidRDefault="00A35F86" w:rsidP="00CB24B5">
      <w:pPr>
        <w:pStyle w:val="Figuretitle"/>
        <w:ind w:left="1134" w:hanging="1134"/>
        <w:rPr>
          <w:rFonts w:eastAsia="Calibri"/>
          <w:lang w:val="en-GB"/>
        </w:rPr>
      </w:pPr>
      <w:bookmarkStart w:id="117" w:name="_Toc102041172"/>
      <w:r w:rsidRPr="00A35F86">
        <w:rPr>
          <w:rFonts w:eastAsia="Calibri"/>
          <w:lang w:val="en-GB"/>
        </w:rPr>
        <w:lastRenderedPageBreak/>
        <w:t>Figure C6</w:t>
      </w:r>
      <w:r w:rsidR="00BA5C2D">
        <w:rPr>
          <w:rFonts w:eastAsia="Calibri"/>
          <w:lang w:val="en-GB"/>
        </w:rPr>
        <w:tab/>
      </w:r>
      <w:r w:rsidRPr="00A35F86">
        <w:rPr>
          <w:rFonts w:eastAsia="Calibri"/>
          <w:lang w:val="en-GB"/>
        </w:rPr>
        <w:t>Difference in workplace entitlements for paid maternity leave by qualification type (relative to HE) among those in the same occupations (regression results)</w:t>
      </w:r>
      <w:bookmarkEnd w:id="117"/>
    </w:p>
    <w:p w14:paraId="1B4D7569"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39403C04" wp14:editId="704B2750">
            <wp:extent cx="5024628" cy="3654552"/>
            <wp:effectExtent l="0" t="0" r="508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059DF4D2"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7C5CE32"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1A840698" w14:textId="77777777" w:rsidR="00A35F86" w:rsidRPr="00A35F86" w:rsidRDefault="00A35F86" w:rsidP="00A35F86">
      <w:pPr>
        <w:pStyle w:val="Source"/>
        <w:rPr>
          <w:rFonts w:eastAsia="Calibri"/>
          <w:sz w:val="22"/>
          <w:szCs w:val="22"/>
          <w:lang w:val="en-GB"/>
        </w:rPr>
      </w:pPr>
    </w:p>
    <w:p w14:paraId="55FDB20F"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00A4D62D" w14:textId="1C420AFD" w:rsidR="00A35F86" w:rsidRPr="00A35F86" w:rsidRDefault="00A35F86" w:rsidP="00CB24B5">
      <w:pPr>
        <w:pStyle w:val="Figuretitle"/>
        <w:ind w:left="1134" w:hanging="1134"/>
        <w:rPr>
          <w:rFonts w:eastAsia="Calibri"/>
          <w:lang w:val="en-GB"/>
        </w:rPr>
      </w:pPr>
      <w:bookmarkStart w:id="118" w:name="_Toc102041173"/>
      <w:r w:rsidRPr="00A35F86">
        <w:rPr>
          <w:rFonts w:eastAsia="Calibri"/>
          <w:lang w:val="en-GB"/>
        </w:rPr>
        <w:lastRenderedPageBreak/>
        <w:t>Figure C7</w:t>
      </w:r>
      <w:r w:rsidR="00BA5C2D">
        <w:rPr>
          <w:rFonts w:eastAsia="Calibri"/>
          <w:lang w:val="en-GB"/>
        </w:rPr>
        <w:tab/>
      </w:r>
      <w:r w:rsidRPr="00A35F86">
        <w:rPr>
          <w:rFonts w:eastAsia="Calibri"/>
          <w:lang w:val="en-GB"/>
        </w:rPr>
        <w:t>Difference in rates of supervisory responsibilities by qualification type (relative to HE) among those in the same occupations (regression results)</w:t>
      </w:r>
      <w:bookmarkEnd w:id="118"/>
    </w:p>
    <w:p w14:paraId="4EB91EF7"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0E301B4E" wp14:editId="669440E5">
            <wp:extent cx="5024628" cy="3654552"/>
            <wp:effectExtent l="0" t="0" r="508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EE5C06D"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F13DA9B"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77B6514F" w14:textId="77777777" w:rsidR="00A35F86" w:rsidRPr="00A35F86" w:rsidRDefault="00A35F86" w:rsidP="00A35F86">
      <w:pPr>
        <w:pStyle w:val="Source"/>
        <w:rPr>
          <w:rFonts w:eastAsia="Calibri"/>
          <w:sz w:val="22"/>
          <w:szCs w:val="22"/>
          <w:lang w:val="en-GB"/>
        </w:rPr>
      </w:pPr>
      <w:r w:rsidRPr="00A35F86">
        <w:rPr>
          <w:rFonts w:eastAsia="Calibri"/>
          <w:sz w:val="22"/>
          <w:szCs w:val="22"/>
          <w:lang w:val="en-GB"/>
        </w:rPr>
        <w:br w:type="page"/>
      </w:r>
    </w:p>
    <w:p w14:paraId="285A3E35" w14:textId="1EF86F5B" w:rsidR="00A35F86" w:rsidRPr="00A35F86" w:rsidRDefault="00A35F86" w:rsidP="00CB24B5">
      <w:pPr>
        <w:pStyle w:val="Figuretitle"/>
        <w:ind w:left="1134" w:hanging="1134"/>
        <w:rPr>
          <w:rFonts w:eastAsia="Calibri"/>
          <w:lang w:val="en-GB"/>
        </w:rPr>
      </w:pPr>
      <w:bookmarkStart w:id="119" w:name="_Toc102041174"/>
      <w:r w:rsidRPr="00A35F86">
        <w:rPr>
          <w:rFonts w:eastAsia="Calibri"/>
          <w:lang w:val="en-GB"/>
        </w:rPr>
        <w:lastRenderedPageBreak/>
        <w:t>Figure C8</w:t>
      </w:r>
      <w:r w:rsidR="00BA5C2D">
        <w:rPr>
          <w:rFonts w:eastAsia="Calibri"/>
          <w:lang w:val="en-GB"/>
        </w:rPr>
        <w:tab/>
      </w:r>
      <w:r w:rsidRPr="00A35F86">
        <w:rPr>
          <w:rFonts w:eastAsia="Calibri"/>
          <w:lang w:val="en-GB"/>
        </w:rPr>
        <w:t>Difference in job characteristics (index weighted by factor loading, standardised) by qualification type (relative to HE) among those in the same occupations (regression results)</w:t>
      </w:r>
      <w:bookmarkEnd w:id="119"/>
    </w:p>
    <w:p w14:paraId="2911507F"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608A8EEB" wp14:editId="3E99C5A2">
            <wp:extent cx="5024628" cy="3654552"/>
            <wp:effectExtent l="0" t="0" r="508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9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849D86E"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point level.</w:t>
      </w:r>
    </w:p>
    <w:p w14:paraId="6400A197"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07440F73" w14:textId="77777777" w:rsidR="00A35F86" w:rsidRPr="00A35F86" w:rsidRDefault="00A35F86" w:rsidP="00A35F86">
      <w:pPr>
        <w:pStyle w:val="Source"/>
        <w:rPr>
          <w:rFonts w:eastAsia="Calibri"/>
          <w:sz w:val="22"/>
          <w:szCs w:val="22"/>
          <w:lang w:val="en-GB"/>
        </w:rPr>
      </w:pPr>
    </w:p>
    <w:p w14:paraId="59117057"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0D0F90FA" w14:textId="496F99EA" w:rsidR="00A35F86" w:rsidRPr="00A35F86" w:rsidRDefault="00A35F86" w:rsidP="00CB24B5">
      <w:pPr>
        <w:pStyle w:val="Figuretitle"/>
        <w:ind w:left="1134" w:hanging="1134"/>
        <w:rPr>
          <w:rFonts w:eastAsia="Calibri"/>
          <w:lang w:val="en-GB"/>
        </w:rPr>
      </w:pPr>
      <w:bookmarkStart w:id="120" w:name="_Toc102041175"/>
      <w:r w:rsidRPr="00A35F86">
        <w:rPr>
          <w:rFonts w:eastAsia="Calibri"/>
          <w:lang w:val="en-GB"/>
        </w:rPr>
        <w:lastRenderedPageBreak/>
        <w:t>Figure C9</w:t>
      </w:r>
      <w:r w:rsidR="00BA5C2D">
        <w:rPr>
          <w:rFonts w:eastAsia="Calibri"/>
          <w:lang w:val="en-GB"/>
        </w:rPr>
        <w:tab/>
      </w:r>
      <w:r w:rsidRPr="00A35F86">
        <w:rPr>
          <w:rFonts w:eastAsia="Calibri"/>
          <w:lang w:val="en-GB"/>
        </w:rPr>
        <w:t>Difference in job satisfaction (index weighted by factor loading, standardised) by qualification type (relative to HE) among those in the same occupations (regression results)</w:t>
      </w:r>
      <w:bookmarkEnd w:id="120"/>
    </w:p>
    <w:p w14:paraId="2939725B"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2C3F9FC9" wp14:editId="1FE1A3E2">
            <wp:extent cx="5024628" cy="3654552"/>
            <wp:effectExtent l="0" t="0" r="508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BE4D4FE"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4CBD623"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0AE2C998" w14:textId="77777777" w:rsidR="00A35F86" w:rsidRPr="00A35F86" w:rsidRDefault="00A35F86" w:rsidP="00A35F86">
      <w:pPr>
        <w:spacing w:before="0" w:line="288" w:lineRule="auto"/>
        <w:jc w:val="both"/>
        <w:rPr>
          <w:rFonts w:ascii="Calibri" w:eastAsia="Calibri" w:hAnsi="Calibri"/>
          <w:color w:val="000000"/>
          <w:sz w:val="22"/>
          <w:szCs w:val="22"/>
          <w:lang w:val="en-GB"/>
        </w:rPr>
      </w:pPr>
    </w:p>
    <w:p w14:paraId="395C8DA2" w14:textId="77777777" w:rsidR="00A35F86" w:rsidRPr="00A35F86" w:rsidRDefault="00A35F86" w:rsidP="00A35F86">
      <w:pPr>
        <w:spacing w:before="0" w:line="240" w:lineRule="auto"/>
        <w:rPr>
          <w:rFonts w:ascii="Calibri" w:eastAsia="Calibri" w:hAnsi="Calibri"/>
          <w:color w:val="000000"/>
          <w:sz w:val="24"/>
          <w:szCs w:val="24"/>
          <w:lang w:val="en-GB"/>
        </w:rPr>
      </w:pPr>
      <w:r w:rsidRPr="00A35F86">
        <w:rPr>
          <w:rFonts w:ascii="Calibri" w:eastAsia="Calibri" w:hAnsi="Calibri"/>
          <w:color w:val="000000"/>
          <w:sz w:val="24"/>
          <w:szCs w:val="24"/>
          <w:lang w:val="en-GB"/>
        </w:rPr>
        <w:br w:type="page"/>
      </w:r>
    </w:p>
    <w:p w14:paraId="2EB24948" w14:textId="28234541" w:rsidR="00A35F86" w:rsidRPr="00A35F86" w:rsidRDefault="00A35F86" w:rsidP="00CB24B5">
      <w:pPr>
        <w:pStyle w:val="Figuretitle"/>
        <w:ind w:left="1134" w:hanging="1134"/>
        <w:rPr>
          <w:rFonts w:eastAsia="Calibri"/>
          <w:lang w:val="en-GB"/>
        </w:rPr>
      </w:pPr>
      <w:bookmarkStart w:id="121" w:name="_Toc102041176"/>
      <w:r w:rsidRPr="00A35F86">
        <w:rPr>
          <w:rFonts w:eastAsia="Calibri"/>
          <w:lang w:val="en-GB"/>
        </w:rPr>
        <w:lastRenderedPageBreak/>
        <w:t>Figure C10</w:t>
      </w:r>
      <w:r w:rsidR="00BA5C2D">
        <w:rPr>
          <w:rFonts w:eastAsia="Calibri"/>
          <w:lang w:val="en-GB"/>
        </w:rPr>
        <w:tab/>
      </w:r>
      <w:r w:rsidRPr="00A35F86">
        <w:rPr>
          <w:rFonts w:eastAsia="Calibri"/>
          <w:lang w:val="en-GB"/>
        </w:rPr>
        <w:t>Difference in satisfaction with work opportunities by qualification type (relative to HE) among those in the same occupations (regression results)</w:t>
      </w:r>
      <w:bookmarkEnd w:id="121"/>
    </w:p>
    <w:p w14:paraId="08B2294C"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2E58E1FB" wp14:editId="22E21B99">
            <wp:extent cx="5024628" cy="3654552"/>
            <wp:effectExtent l="0" t="0" r="508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5E70FCB"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C55A7A6"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7D0D8163" w14:textId="77777777" w:rsidR="00A35F86" w:rsidRPr="00A35F86" w:rsidRDefault="00A35F86" w:rsidP="00A35F86">
      <w:pPr>
        <w:spacing w:before="0" w:line="240" w:lineRule="auto"/>
        <w:rPr>
          <w:rFonts w:ascii="Calibri" w:eastAsia="Calibri" w:hAnsi="Calibri"/>
          <w:color w:val="000000"/>
          <w:sz w:val="22"/>
          <w:szCs w:val="22"/>
          <w:lang w:val="en-GB"/>
        </w:rPr>
      </w:pPr>
    </w:p>
    <w:p w14:paraId="0A29BD5C"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7E5238C7" w14:textId="70073F3A" w:rsidR="00A35F86" w:rsidRPr="00A35F86" w:rsidRDefault="00A35F86" w:rsidP="00CB24B5">
      <w:pPr>
        <w:pStyle w:val="Figuretitle"/>
        <w:ind w:left="1134" w:hanging="1134"/>
        <w:rPr>
          <w:rFonts w:eastAsia="Calibri"/>
          <w:lang w:val="en-GB"/>
        </w:rPr>
      </w:pPr>
      <w:bookmarkStart w:id="122" w:name="_Toc102041177"/>
      <w:r w:rsidRPr="00A35F86">
        <w:rPr>
          <w:rFonts w:eastAsia="Calibri"/>
          <w:lang w:val="en-GB"/>
        </w:rPr>
        <w:lastRenderedPageBreak/>
        <w:t>Figure C11</w:t>
      </w:r>
      <w:r w:rsidR="00BA5C2D">
        <w:rPr>
          <w:rFonts w:eastAsia="Calibri"/>
          <w:lang w:val="en-GB"/>
        </w:rPr>
        <w:tab/>
      </w:r>
      <w:r w:rsidRPr="00A35F86">
        <w:rPr>
          <w:rFonts w:eastAsia="Calibri"/>
          <w:lang w:val="en-GB"/>
        </w:rPr>
        <w:t>Difference in tenure in the occupation (years) by qualification type (relative to HE) among those in the same occupations (regression results)</w:t>
      </w:r>
      <w:bookmarkEnd w:id="122"/>
    </w:p>
    <w:p w14:paraId="335919A3"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57498603" wp14:editId="3AA6FB3B">
            <wp:extent cx="5024628" cy="3654552"/>
            <wp:effectExtent l="0" t="0" r="508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C39590E"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F1A5BEE"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71459E63" w14:textId="77777777" w:rsidR="00A35F86" w:rsidRPr="00A35F86" w:rsidRDefault="00A35F86" w:rsidP="00A35F86">
      <w:pPr>
        <w:pStyle w:val="Source"/>
        <w:rPr>
          <w:rFonts w:eastAsia="Calibri"/>
          <w:sz w:val="22"/>
          <w:szCs w:val="22"/>
          <w:lang w:val="en-GB"/>
        </w:rPr>
      </w:pPr>
    </w:p>
    <w:p w14:paraId="16DA2F82" w14:textId="77777777" w:rsidR="00A35F86" w:rsidRPr="00A35F86" w:rsidRDefault="00A35F86" w:rsidP="00A35F86">
      <w:pPr>
        <w:spacing w:before="0" w:line="240" w:lineRule="auto"/>
        <w:rPr>
          <w:rFonts w:ascii="Calibri" w:eastAsia="Calibri" w:hAnsi="Calibri"/>
          <w:sz w:val="24"/>
          <w:szCs w:val="24"/>
          <w:lang w:val="en-GB"/>
        </w:rPr>
      </w:pPr>
      <w:r w:rsidRPr="00A35F86">
        <w:rPr>
          <w:rFonts w:ascii="Calibri" w:eastAsia="Calibri" w:hAnsi="Calibri"/>
          <w:sz w:val="24"/>
          <w:szCs w:val="24"/>
          <w:lang w:val="en-GB"/>
        </w:rPr>
        <w:br w:type="page"/>
      </w:r>
    </w:p>
    <w:p w14:paraId="4B5D454C" w14:textId="08671DD0" w:rsidR="00A35F86" w:rsidRPr="00A35F86" w:rsidRDefault="00A35F86" w:rsidP="00CB24B5">
      <w:pPr>
        <w:pStyle w:val="Figuretitle"/>
        <w:ind w:left="1134" w:hanging="1134"/>
        <w:rPr>
          <w:rFonts w:eastAsia="Calibri"/>
          <w:lang w:val="en-GB"/>
        </w:rPr>
      </w:pPr>
      <w:bookmarkStart w:id="123" w:name="_Toc102041178"/>
      <w:r w:rsidRPr="00A35F86">
        <w:rPr>
          <w:rFonts w:eastAsia="Calibri"/>
          <w:lang w:val="en-GB"/>
        </w:rPr>
        <w:lastRenderedPageBreak/>
        <w:t>Figure C12</w:t>
      </w:r>
      <w:r w:rsidR="00BA5C2D">
        <w:rPr>
          <w:rFonts w:eastAsia="Calibri"/>
          <w:lang w:val="en-GB"/>
        </w:rPr>
        <w:tab/>
      </w:r>
      <w:r w:rsidRPr="00A35F86">
        <w:rPr>
          <w:rFonts w:eastAsia="Calibri"/>
          <w:lang w:val="en-GB"/>
        </w:rPr>
        <w:t>Difference in tenure in the job (years) by qualification type (relative to HE) among those in the same occupations (regression results)</w:t>
      </w:r>
      <w:bookmarkEnd w:id="123"/>
    </w:p>
    <w:p w14:paraId="543861DB" w14:textId="77777777" w:rsidR="00A35F86" w:rsidRPr="00A35F86" w:rsidRDefault="00A35F86" w:rsidP="00A35F86">
      <w:pPr>
        <w:spacing w:before="0" w:line="240" w:lineRule="auto"/>
        <w:rPr>
          <w:rFonts w:ascii="Arial" w:hAnsi="Arial"/>
          <w:sz w:val="20"/>
          <w:lang w:eastAsia="en-AU"/>
        </w:rPr>
      </w:pPr>
      <w:r w:rsidRPr="00A35F86">
        <w:rPr>
          <w:rFonts w:ascii="Arial" w:hAnsi="Arial"/>
          <w:noProof/>
          <w:sz w:val="20"/>
          <w:lang w:val="en-GB" w:eastAsia="en-GB"/>
        </w:rPr>
        <w:drawing>
          <wp:inline distT="0" distB="0" distL="0" distR="0" wp14:anchorId="3300CD9E" wp14:editId="40DCEF4E">
            <wp:extent cx="5024628" cy="3654552"/>
            <wp:effectExtent l="0" t="0" r="508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20EE1F5" w14:textId="77777777" w:rsidR="00A35F86" w:rsidRPr="00A35F86" w:rsidRDefault="00A35F86" w:rsidP="00A35F86">
      <w:pPr>
        <w:pStyle w:val="Source"/>
        <w:rPr>
          <w:rFonts w:eastAsia="Calibri"/>
          <w:lang w:val="en-GB"/>
        </w:rPr>
      </w:pPr>
      <w:r w:rsidRPr="00A35F86">
        <w:rPr>
          <w:rFonts w:eastAsia="Calibri"/>
        </w:rPr>
        <w:t>Notes: The estimated coefficients are derived from regressions that compare outcomes of: (</w:t>
      </w:r>
      <w:proofErr w:type="spellStart"/>
      <w:r w:rsidRPr="00A35F86">
        <w:rPr>
          <w:rFonts w:eastAsia="Calibri"/>
        </w:rPr>
        <w:t>i</w:t>
      </w:r>
      <w:proofErr w:type="spellEnd"/>
      <w:r w:rsidRPr="00A35F86">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FFF2DD9" w14:textId="77777777" w:rsidR="00A35F86" w:rsidRPr="00A35F86" w:rsidRDefault="00A35F86" w:rsidP="00A35F86">
      <w:pPr>
        <w:pStyle w:val="Source"/>
        <w:rPr>
          <w:rFonts w:eastAsia="Calibri"/>
          <w:lang w:val="en-GB"/>
        </w:rPr>
      </w:pPr>
      <w:r w:rsidRPr="00A35F86">
        <w:rPr>
          <w:rFonts w:eastAsia="Calibri"/>
          <w:lang w:val="en-GB"/>
        </w:rPr>
        <w:t>Sample: HILDA 2011-2019, respondents aged 25-56 years old with a VET and/or HE qualification and in an occupation that contains a mix of VET and HE qualifications in 2011 (N=2,001).</w:t>
      </w:r>
    </w:p>
    <w:p w14:paraId="5B8EC05D" w14:textId="77777777" w:rsidR="00A35F86" w:rsidRPr="00A35F86" w:rsidRDefault="00A35F86" w:rsidP="00A35F86">
      <w:pPr>
        <w:spacing w:before="0" w:line="240" w:lineRule="auto"/>
        <w:rPr>
          <w:rFonts w:ascii="Calibri" w:eastAsia="Calibri" w:hAnsi="Calibri"/>
          <w:sz w:val="24"/>
          <w:szCs w:val="24"/>
          <w:lang w:val="en-GB"/>
        </w:rPr>
      </w:pPr>
    </w:p>
    <w:p w14:paraId="42730362" w14:textId="77777777" w:rsidR="00A570A4" w:rsidRPr="00A570A4" w:rsidRDefault="00A570A4" w:rsidP="00A570A4">
      <w:pPr>
        <w:pStyle w:val="Text"/>
      </w:pPr>
    </w:p>
    <w:p w14:paraId="2BA4A99E" w14:textId="77777777" w:rsidR="00F74BCD" w:rsidRDefault="00F74BCD">
      <w:pPr>
        <w:spacing w:before="0" w:line="240" w:lineRule="auto"/>
        <w:rPr>
          <w:rFonts w:ascii="Arial" w:hAnsi="Arial" w:cs="Tahoma"/>
          <w:color w:val="000000"/>
          <w:kern w:val="28"/>
          <w:sz w:val="56"/>
          <w:szCs w:val="56"/>
        </w:rPr>
      </w:pPr>
      <w:r>
        <w:br w:type="page"/>
      </w:r>
    </w:p>
    <w:p w14:paraId="24FEA97C" w14:textId="0D8638FE" w:rsidR="00A570A4" w:rsidRPr="006716DF" w:rsidRDefault="00F74BCD" w:rsidP="00A570A4">
      <w:pPr>
        <w:pStyle w:val="Heading1"/>
      </w:pPr>
      <w:bookmarkStart w:id="124" w:name="_Toc102040950"/>
      <w:r>
        <w:lastRenderedPageBreak/>
        <w:t>Appendix D</w:t>
      </w:r>
      <w:r w:rsidR="00A570A4">
        <w:t xml:space="preserve"> – Robustness check: Extended list of occupations</w:t>
      </w:r>
      <w:bookmarkEnd w:id="124"/>
    </w:p>
    <w:p w14:paraId="1383F774" w14:textId="68FA2B0E" w:rsidR="00F74BCD" w:rsidRPr="00F74BCD" w:rsidRDefault="00F74BCD" w:rsidP="00CB24B5">
      <w:pPr>
        <w:pStyle w:val="Figuretitle"/>
        <w:ind w:left="1134" w:hanging="1134"/>
        <w:rPr>
          <w:rFonts w:eastAsia="Calibri"/>
          <w:lang w:val="en-GB"/>
        </w:rPr>
      </w:pPr>
      <w:bookmarkStart w:id="125" w:name="_Toc102041179"/>
      <w:r w:rsidRPr="00F74BCD">
        <w:rPr>
          <w:rFonts w:eastAsia="Calibri"/>
          <w:lang w:val="en-GB"/>
        </w:rPr>
        <w:t>Figure D1</w:t>
      </w:r>
      <w:r w:rsidR="00BA5C2D">
        <w:rPr>
          <w:rFonts w:eastAsia="Calibri"/>
          <w:lang w:val="en-GB"/>
        </w:rPr>
        <w:tab/>
      </w:r>
      <w:r w:rsidRPr="00F74BCD">
        <w:rPr>
          <w:rFonts w:eastAsia="Calibri"/>
          <w:lang w:val="en-GB"/>
        </w:rPr>
        <w:t>Difference in rates of employment by qualification type (relative to HE) among those in the same occupations (regression results)</w:t>
      </w:r>
      <w:bookmarkEnd w:id="125"/>
    </w:p>
    <w:p w14:paraId="48B8CA06"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469F0917" wp14:editId="5E2C8967">
            <wp:extent cx="5024628" cy="3654552"/>
            <wp:effectExtent l="0" t="0" r="508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42B1A73" w14:textId="77777777" w:rsidR="00F74BCD" w:rsidRPr="00F74BCD" w:rsidRDefault="00F74BCD" w:rsidP="00257B86">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4A2988D" w14:textId="603966F4" w:rsidR="00257B86" w:rsidRDefault="00F74BCD" w:rsidP="00257B86">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152F861F" w14:textId="77777777" w:rsidR="00257B86" w:rsidRDefault="00257B86">
      <w:pPr>
        <w:spacing w:before="0" w:line="240" w:lineRule="auto"/>
        <w:rPr>
          <w:rFonts w:ascii="Arial" w:eastAsia="Calibri" w:hAnsi="Arial"/>
          <w:sz w:val="15"/>
          <w:lang w:val="en-GB"/>
        </w:rPr>
      </w:pPr>
      <w:r>
        <w:rPr>
          <w:rFonts w:eastAsia="Calibri"/>
          <w:lang w:val="en-GB"/>
        </w:rPr>
        <w:br w:type="page"/>
      </w:r>
    </w:p>
    <w:p w14:paraId="377E7A72" w14:textId="2F95AD1F" w:rsidR="00F74BCD" w:rsidRPr="00F74BCD" w:rsidRDefault="00F74BCD" w:rsidP="00CB24B5">
      <w:pPr>
        <w:pStyle w:val="Figuretitle"/>
        <w:ind w:left="1134" w:hanging="1134"/>
        <w:rPr>
          <w:rFonts w:eastAsia="Calibri"/>
          <w:lang w:val="en-GB"/>
        </w:rPr>
      </w:pPr>
      <w:bookmarkStart w:id="126" w:name="_Toc102041180"/>
      <w:r w:rsidRPr="00F74BCD">
        <w:rPr>
          <w:rFonts w:eastAsia="Calibri"/>
          <w:lang w:val="en-GB"/>
        </w:rPr>
        <w:lastRenderedPageBreak/>
        <w:t>Figure D2</w:t>
      </w:r>
      <w:r w:rsidR="00BA5C2D">
        <w:rPr>
          <w:rFonts w:eastAsia="Calibri"/>
          <w:lang w:val="en-GB"/>
        </w:rPr>
        <w:tab/>
      </w:r>
      <w:r w:rsidRPr="00F74BCD">
        <w:rPr>
          <w:rFonts w:eastAsia="Calibri"/>
          <w:lang w:val="en-GB"/>
        </w:rPr>
        <w:t>Difference in rates of casual employment by qualification type (relative to HE) among those in the same occupations (regression results)</w:t>
      </w:r>
      <w:bookmarkEnd w:id="126"/>
    </w:p>
    <w:p w14:paraId="0A2C37BE"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2BD064F1" wp14:editId="74BD3A4E">
            <wp:extent cx="5024628" cy="3654552"/>
            <wp:effectExtent l="0" t="0" r="508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5D631CB5" w14:textId="77777777" w:rsidR="00F74BCD" w:rsidRPr="00F74BCD" w:rsidRDefault="00F74BCD" w:rsidP="00257B86">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3E513DCC" w14:textId="77777777" w:rsidR="00F74BCD" w:rsidRPr="00F74BCD" w:rsidRDefault="00F74BCD" w:rsidP="00257B86">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4DBC801E" w14:textId="77777777" w:rsidR="00F74BCD" w:rsidRPr="00F74BCD" w:rsidRDefault="00F74BCD" w:rsidP="00257B86">
      <w:pPr>
        <w:pStyle w:val="Source"/>
        <w:rPr>
          <w:rFonts w:eastAsia="Calibri"/>
          <w:sz w:val="22"/>
          <w:szCs w:val="22"/>
        </w:rPr>
      </w:pPr>
    </w:p>
    <w:p w14:paraId="538BE3E7"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38B2E910" w14:textId="2D5E6CA0" w:rsidR="00F74BCD" w:rsidRPr="00F74BCD" w:rsidRDefault="00F74BCD" w:rsidP="00CB24B5">
      <w:pPr>
        <w:pStyle w:val="Figuretitle"/>
        <w:ind w:left="1134" w:hanging="1134"/>
        <w:rPr>
          <w:rFonts w:eastAsia="Calibri"/>
          <w:lang w:val="en-GB"/>
        </w:rPr>
      </w:pPr>
      <w:bookmarkStart w:id="127" w:name="_Toc102041181"/>
      <w:r w:rsidRPr="00F74BCD">
        <w:rPr>
          <w:rFonts w:eastAsia="Calibri"/>
          <w:lang w:val="en-GB"/>
        </w:rPr>
        <w:lastRenderedPageBreak/>
        <w:t>Figure D3</w:t>
      </w:r>
      <w:r w:rsidR="00BA5C2D">
        <w:rPr>
          <w:rFonts w:eastAsia="Calibri"/>
          <w:lang w:val="en-GB"/>
        </w:rPr>
        <w:tab/>
      </w:r>
      <w:r w:rsidRPr="00F74BCD">
        <w:rPr>
          <w:rFonts w:eastAsia="Calibri"/>
          <w:lang w:val="en-GB"/>
        </w:rPr>
        <w:t>Difference in the usual number of hours of work per week by qualification type (relative to HE) among those in the same occupations (regression results)</w:t>
      </w:r>
      <w:bookmarkEnd w:id="127"/>
    </w:p>
    <w:p w14:paraId="42A3E3FA"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1A72AA7D" wp14:editId="3C034378">
            <wp:extent cx="5024628" cy="3654552"/>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46DCD81" w14:textId="77777777" w:rsidR="00F74BCD" w:rsidRPr="00F74BCD" w:rsidRDefault="00F74BCD" w:rsidP="00257B86">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2371A5FB" w14:textId="77777777" w:rsidR="00F74BCD" w:rsidRPr="00F74BCD" w:rsidRDefault="00F74BCD" w:rsidP="00257B86">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59F95909"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4DD999B7" w14:textId="3B8C2FFA" w:rsidR="00F74BCD" w:rsidRPr="00F74BCD" w:rsidRDefault="00F74BCD" w:rsidP="00CB24B5">
      <w:pPr>
        <w:pStyle w:val="Figuretitle"/>
        <w:ind w:left="1134" w:hanging="1134"/>
        <w:rPr>
          <w:rFonts w:eastAsia="Calibri"/>
          <w:lang w:val="en-GB"/>
        </w:rPr>
      </w:pPr>
      <w:bookmarkStart w:id="128" w:name="_Toc102041182"/>
      <w:r w:rsidRPr="00F74BCD">
        <w:rPr>
          <w:rFonts w:eastAsia="Calibri"/>
          <w:lang w:val="en-GB"/>
        </w:rPr>
        <w:lastRenderedPageBreak/>
        <w:t>Figure D4</w:t>
      </w:r>
      <w:r w:rsidR="00BA5C2D">
        <w:rPr>
          <w:rFonts w:eastAsia="Calibri"/>
          <w:lang w:val="en-GB"/>
        </w:rPr>
        <w:tab/>
      </w:r>
      <w:r w:rsidRPr="00F74BCD">
        <w:rPr>
          <w:rFonts w:eastAsia="Calibri"/>
          <w:lang w:val="en-GB"/>
        </w:rPr>
        <w:t>Difference in rates of non-standard work schedule by qualification type (relative to HE) among those in the same occupations (regression results)</w:t>
      </w:r>
      <w:bookmarkEnd w:id="128"/>
    </w:p>
    <w:p w14:paraId="2FEAED74"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64402610" wp14:editId="0C011AFE">
            <wp:extent cx="5024628" cy="3654552"/>
            <wp:effectExtent l="0" t="0" r="508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2A44B2A" w14:textId="77777777" w:rsidR="00F74BCD" w:rsidRPr="00F74BCD" w:rsidRDefault="00F74BCD" w:rsidP="00257B86">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53E463CC" w14:textId="77777777" w:rsidR="00F74BCD" w:rsidRPr="00F74BCD" w:rsidRDefault="00F74BCD" w:rsidP="00257B86">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7BD56545" w14:textId="77777777" w:rsidR="00F74BCD" w:rsidRPr="00F74BCD" w:rsidRDefault="00F74BCD" w:rsidP="00F74BCD">
      <w:pPr>
        <w:spacing w:before="0" w:line="288" w:lineRule="auto"/>
        <w:ind w:left="720"/>
        <w:jc w:val="both"/>
        <w:rPr>
          <w:rFonts w:ascii="Calibri" w:eastAsia="Calibri" w:hAnsi="Calibri"/>
          <w:color w:val="000000"/>
          <w:sz w:val="22"/>
          <w:szCs w:val="22"/>
          <w:lang w:val="en-GB"/>
        </w:rPr>
      </w:pPr>
    </w:p>
    <w:p w14:paraId="449AF1F1"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0740775B" w14:textId="3F5639FA" w:rsidR="00F74BCD" w:rsidRPr="00F74BCD" w:rsidRDefault="00F74BCD" w:rsidP="00CB24B5">
      <w:pPr>
        <w:pStyle w:val="Figuretitle"/>
        <w:ind w:left="1134" w:hanging="1134"/>
        <w:rPr>
          <w:rFonts w:eastAsia="Calibri"/>
          <w:lang w:val="en-GB"/>
        </w:rPr>
      </w:pPr>
      <w:bookmarkStart w:id="129" w:name="_Toc102041183"/>
      <w:r w:rsidRPr="00F74BCD">
        <w:rPr>
          <w:rFonts w:eastAsia="Calibri"/>
          <w:lang w:val="en-GB"/>
        </w:rPr>
        <w:lastRenderedPageBreak/>
        <w:t>Figure D5</w:t>
      </w:r>
      <w:r w:rsidR="00BA5C2D">
        <w:rPr>
          <w:rFonts w:eastAsia="Calibri"/>
          <w:lang w:val="en-GB"/>
        </w:rPr>
        <w:tab/>
      </w:r>
      <w:r w:rsidRPr="00F74BCD">
        <w:rPr>
          <w:rFonts w:eastAsia="Calibri"/>
          <w:lang w:val="en-GB"/>
        </w:rPr>
        <w:t>Difference in hourly gross wage (main job) by qualification type (relative to HE) among those in the same occupations (regression results)</w:t>
      </w:r>
      <w:bookmarkEnd w:id="129"/>
    </w:p>
    <w:p w14:paraId="4F2F9881"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21753A52" wp14:editId="294B3089">
            <wp:extent cx="5024628" cy="3654552"/>
            <wp:effectExtent l="0" t="0" r="508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FFA5A69"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26B6E45"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1E723E49" w14:textId="77777777" w:rsidR="00F74BCD" w:rsidRPr="00F74BCD" w:rsidRDefault="00F74BCD" w:rsidP="00A570A4">
      <w:pPr>
        <w:pStyle w:val="Source"/>
        <w:rPr>
          <w:rFonts w:eastAsia="Calibri"/>
          <w:sz w:val="22"/>
          <w:szCs w:val="22"/>
          <w:lang w:val="en-GB"/>
        </w:rPr>
      </w:pPr>
    </w:p>
    <w:p w14:paraId="1FCC3BAE"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791A4EC9" w14:textId="1A5660A9" w:rsidR="00F74BCD" w:rsidRPr="00F74BCD" w:rsidRDefault="00F74BCD" w:rsidP="00CB24B5">
      <w:pPr>
        <w:pStyle w:val="Figuretitle"/>
        <w:ind w:left="1134" w:hanging="1134"/>
        <w:rPr>
          <w:rFonts w:eastAsia="Calibri"/>
          <w:lang w:val="en-GB"/>
        </w:rPr>
      </w:pPr>
      <w:bookmarkStart w:id="130" w:name="_Toc102041184"/>
      <w:r w:rsidRPr="00F74BCD">
        <w:rPr>
          <w:rFonts w:eastAsia="Calibri"/>
          <w:lang w:val="en-GB"/>
        </w:rPr>
        <w:lastRenderedPageBreak/>
        <w:t>Figure D6</w:t>
      </w:r>
      <w:r w:rsidR="00BA5C2D">
        <w:rPr>
          <w:rFonts w:eastAsia="Calibri"/>
          <w:lang w:val="en-GB"/>
        </w:rPr>
        <w:tab/>
      </w:r>
      <w:r w:rsidRPr="00F74BCD">
        <w:rPr>
          <w:rFonts w:eastAsia="Calibri"/>
          <w:lang w:val="en-GB"/>
        </w:rPr>
        <w:t>Difference in workplace entitlements for paid maternity leave by qualification type (relative to HE) among those in the same occupations (regression results)</w:t>
      </w:r>
      <w:bookmarkEnd w:id="130"/>
    </w:p>
    <w:p w14:paraId="014D674A"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4491BBF4" wp14:editId="25E464B9">
            <wp:extent cx="5024628" cy="3654552"/>
            <wp:effectExtent l="0" t="0" r="508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11803583"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E919BD5"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33143D64" w14:textId="77777777" w:rsidR="00F74BCD" w:rsidRPr="00F74BCD" w:rsidRDefault="00F74BCD" w:rsidP="00F74BCD">
      <w:pPr>
        <w:spacing w:before="0" w:line="288" w:lineRule="auto"/>
        <w:ind w:left="720"/>
        <w:jc w:val="both"/>
        <w:rPr>
          <w:rFonts w:ascii="Calibri" w:eastAsia="Calibri" w:hAnsi="Calibri"/>
          <w:color w:val="000000"/>
          <w:sz w:val="22"/>
          <w:szCs w:val="22"/>
          <w:lang w:val="en-GB"/>
        </w:rPr>
      </w:pPr>
    </w:p>
    <w:p w14:paraId="2A840311"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25765F92" w14:textId="1685480F" w:rsidR="00F74BCD" w:rsidRPr="00F74BCD" w:rsidRDefault="00F74BCD" w:rsidP="00CB24B5">
      <w:pPr>
        <w:pStyle w:val="Figuretitle"/>
        <w:ind w:left="1134" w:hanging="1134"/>
        <w:rPr>
          <w:rFonts w:eastAsia="Calibri"/>
          <w:lang w:val="en-GB"/>
        </w:rPr>
      </w:pPr>
      <w:bookmarkStart w:id="131" w:name="_Toc102041185"/>
      <w:r w:rsidRPr="00F74BCD">
        <w:rPr>
          <w:rFonts w:eastAsia="Calibri"/>
          <w:lang w:val="en-GB"/>
        </w:rPr>
        <w:lastRenderedPageBreak/>
        <w:t>Figure D7</w:t>
      </w:r>
      <w:r w:rsidR="00BA5C2D">
        <w:rPr>
          <w:rFonts w:eastAsia="Calibri"/>
          <w:lang w:val="en-GB"/>
        </w:rPr>
        <w:tab/>
      </w:r>
      <w:r w:rsidRPr="00F74BCD">
        <w:rPr>
          <w:rFonts w:eastAsia="Calibri"/>
          <w:lang w:val="en-GB"/>
        </w:rPr>
        <w:t>Difference in rates of supervisory responsibilities by qualification type (relative to HE) among those in the same occupations (regression results)</w:t>
      </w:r>
      <w:bookmarkEnd w:id="131"/>
    </w:p>
    <w:p w14:paraId="493D26F3"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45F8C1F5" wp14:editId="7335A90B">
            <wp:extent cx="5024628" cy="3654552"/>
            <wp:effectExtent l="0" t="0" r="508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A0C19FC"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D4DACFE"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37F25AF3" w14:textId="77777777" w:rsidR="00F74BCD" w:rsidRPr="00F74BCD" w:rsidRDefault="00F74BCD" w:rsidP="00F74BCD">
      <w:pPr>
        <w:spacing w:before="0" w:line="240" w:lineRule="auto"/>
        <w:rPr>
          <w:rFonts w:ascii="Calibri" w:eastAsia="Calibri" w:hAnsi="Calibri"/>
          <w:color w:val="000000"/>
          <w:sz w:val="22"/>
          <w:szCs w:val="22"/>
          <w:lang w:val="en-GB"/>
        </w:rPr>
      </w:pPr>
      <w:r w:rsidRPr="00F74BCD">
        <w:rPr>
          <w:rFonts w:ascii="Calibri" w:eastAsia="Calibri" w:hAnsi="Calibri"/>
          <w:color w:val="000000"/>
          <w:sz w:val="22"/>
          <w:szCs w:val="22"/>
          <w:lang w:val="en-GB"/>
        </w:rPr>
        <w:br w:type="page"/>
      </w:r>
    </w:p>
    <w:p w14:paraId="6797EB79" w14:textId="4A129FD6" w:rsidR="00F74BCD" w:rsidRPr="00F74BCD" w:rsidRDefault="00F74BCD" w:rsidP="00CB24B5">
      <w:pPr>
        <w:pStyle w:val="Figuretitle"/>
        <w:ind w:left="1134" w:hanging="1134"/>
        <w:rPr>
          <w:rFonts w:eastAsia="Calibri"/>
          <w:lang w:val="en-GB"/>
        </w:rPr>
      </w:pPr>
      <w:bookmarkStart w:id="132" w:name="_Toc102041186"/>
      <w:r w:rsidRPr="00F74BCD">
        <w:rPr>
          <w:rFonts w:eastAsia="Calibri"/>
          <w:lang w:val="en-GB"/>
        </w:rPr>
        <w:lastRenderedPageBreak/>
        <w:t>Figure D8</w:t>
      </w:r>
      <w:r w:rsidR="00BA5C2D">
        <w:rPr>
          <w:rFonts w:eastAsia="Calibri"/>
          <w:lang w:val="en-GB"/>
        </w:rPr>
        <w:tab/>
      </w:r>
      <w:r w:rsidRPr="00F74BCD">
        <w:rPr>
          <w:rFonts w:eastAsia="Calibri"/>
          <w:lang w:val="en-GB"/>
        </w:rPr>
        <w:t>Difference in job characteristics (index weighted by factor loading, standardised) by qualification type (relative to HE) among those in the same occupations (regression results)</w:t>
      </w:r>
      <w:bookmarkEnd w:id="132"/>
    </w:p>
    <w:p w14:paraId="4A3180EF"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6CA3116A" wp14:editId="46E00A9D">
            <wp:extent cx="5024628" cy="3654552"/>
            <wp:effectExtent l="0" t="0" r="508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682C33F4"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point level.</w:t>
      </w:r>
    </w:p>
    <w:p w14:paraId="02D1FD66"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4CF2D8CB" w14:textId="77777777" w:rsidR="00F74BCD" w:rsidRPr="00F74BCD" w:rsidRDefault="00F74BCD" w:rsidP="00F74BCD">
      <w:pPr>
        <w:spacing w:before="0" w:line="288" w:lineRule="auto"/>
        <w:jc w:val="both"/>
        <w:rPr>
          <w:rFonts w:ascii="Calibri" w:eastAsia="Calibri" w:hAnsi="Calibri"/>
          <w:color w:val="000000"/>
          <w:sz w:val="22"/>
          <w:szCs w:val="22"/>
          <w:lang w:val="en-GB"/>
        </w:rPr>
      </w:pPr>
    </w:p>
    <w:p w14:paraId="1B73BA12"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41B5F23F" w14:textId="2FFEB0EB" w:rsidR="00F74BCD" w:rsidRPr="00F74BCD" w:rsidRDefault="00F74BCD" w:rsidP="00CB24B5">
      <w:pPr>
        <w:pStyle w:val="Figuretitle"/>
        <w:ind w:left="1134" w:hanging="1134"/>
        <w:rPr>
          <w:rFonts w:eastAsia="Calibri"/>
          <w:lang w:val="en-GB"/>
        </w:rPr>
      </w:pPr>
      <w:bookmarkStart w:id="133" w:name="_Toc102041187"/>
      <w:r w:rsidRPr="00F74BCD">
        <w:rPr>
          <w:rFonts w:eastAsia="Calibri"/>
          <w:lang w:val="en-GB"/>
        </w:rPr>
        <w:lastRenderedPageBreak/>
        <w:t>Figure D9</w:t>
      </w:r>
      <w:r w:rsidR="00BA5C2D">
        <w:rPr>
          <w:rFonts w:eastAsia="Calibri"/>
          <w:lang w:val="en-GB"/>
        </w:rPr>
        <w:tab/>
      </w:r>
      <w:r w:rsidRPr="00F74BCD">
        <w:rPr>
          <w:rFonts w:eastAsia="Calibri"/>
          <w:lang w:val="en-GB"/>
        </w:rPr>
        <w:t>Difference in job satisfaction (index weighted by factor loading, standardised) by qualification type (relative to HE) among those in the same occupations (regression results)</w:t>
      </w:r>
      <w:bookmarkEnd w:id="133"/>
    </w:p>
    <w:p w14:paraId="7C1B2D14"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1C0413A9" wp14:editId="63730013">
            <wp:extent cx="5024628" cy="3654552"/>
            <wp:effectExtent l="0" t="0" r="508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399D626F"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65D61410"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p>
    <w:p w14:paraId="60CC9E8D" w14:textId="77777777" w:rsidR="00F74BCD" w:rsidRPr="00F74BCD" w:rsidRDefault="00F74BCD" w:rsidP="00A570A4">
      <w:pPr>
        <w:pStyle w:val="Source"/>
        <w:rPr>
          <w:rFonts w:eastAsia="Calibri"/>
          <w:sz w:val="22"/>
          <w:szCs w:val="22"/>
          <w:lang w:val="en-GB"/>
        </w:rPr>
      </w:pPr>
    </w:p>
    <w:p w14:paraId="24EB60EA" w14:textId="77777777" w:rsidR="00F74BCD" w:rsidRPr="00F74BCD" w:rsidRDefault="00F74BCD" w:rsidP="00F74BCD">
      <w:pPr>
        <w:spacing w:before="0" w:line="240" w:lineRule="auto"/>
        <w:rPr>
          <w:rFonts w:ascii="Calibri" w:eastAsia="Calibri" w:hAnsi="Calibri"/>
          <w:color w:val="000000"/>
          <w:sz w:val="24"/>
          <w:szCs w:val="24"/>
          <w:lang w:val="en-GB"/>
        </w:rPr>
      </w:pPr>
      <w:bookmarkStart w:id="134" w:name="_Hlk81922713"/>
      <w:r w:rsidRPr="00F74BCD">
        <w:rPr>
          <w:rFonts w:ascii="Calibri" w:eastAsia="Calibri" w:hAnsi="Calibri"/>
          <w:color w:val="000000"/>
          <w:sz w:val="24"/>
          <w:szCs w:val="24"/>
          <w:lang w:val="en-GB"/>
        </w:rPr>
        <w:br w:type="page"/>
      </w:r>
    </w:p>
    <w:p w14:paraId="74F1B4BD" w14:textId="24D2905E" w:rsidR="00F74BCD" w:rsidRPr="00F74BCD" w:rsidRDefault="00F74BCD" w:rsidP="00CB24B5">
      <w:pPr>
        <w:pStyle w:val="Figuretitle"/>
        <w:ind w:left="1134" w:hanging="1134"/>
        <w:rPr>
          <w:rFonts w:eastAsia="Calibri"/>
          <w:lang w:val="en-GB"/>
        </w:rPr>
      </w:pPr>
      <w:bookmarkStart w:id="135" w:name="_Toc102041188"/>
      <w:r w:rsidRPr="00F74BCD">
        <w:rPr>
          <w:rFonts w:eastAsia="Calibri"/>
          <w:lang w:val="en-GB"/>
        </w:rPr>
        <w:lastRenderedPageBreak/>
        <w:t>Figure D10</w:t>
      </w:r>
      <w:r w:rsidR="00BA5C2D">
        <w:rPr>
          <w:rFonts w:eastAsia="Calibri"/>
          <w:lang w:val="en-GB"/>
        </w:rPr>
        <w:tab/>
      </w:r>
      <w:r w:rsidRPr="00F74BCD">
        <w:rPr>
          <w:rFonts w:eastAsia="Calibri"/>
          <w:lang w:val="en-GB"/>
        </w:rPr>
        <w:t>Difference in satisfaction with work opportunities by qualification type (relative to HE) among those in the same occupations (regression results)</w:t>
      </w:r>
      <w:bookmarkEnd w:id="135"/>
    </w:p>
    <w:p w14:paraId="77AFBEA7"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4DD6D642" wp14:editId="45E67765">
            <wp:extent cx="5024628" cy="3654552"/>
            <wp:effectExtent l="0" t="0" r="508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2C320095"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154D2DF9"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bookmarkEnd w:id="134"/>
    </w:p>
    <w:p w14:paraId="4CE954C4" w14:textId="77777777" w:rsidR="00F74BCD" w:rsidRPr="00F74BCD" w:rsidRDefault="00F74BCD" w:rsidP="00F74BCD">
      <w:pPr>
        <w:spacing w:before="0" w:line="240" w:lineRule="auto"/>
        <w:rPr>
          <w:rFonts w:ascii="Calibri" w:eastAsia="Calibri" w:hAnsi="Calibri"/>
          <w:color w:val="000000"/>
          <w:sz w:val="22"/>
          <w:szCs w:val="22"/>
          <w:lang w:val="en-GB"/>
        </w:rPr>
      </w:pPr>
      <w:bookmarkStart w:id="136" w:name="_Hlk81989273"/>
    </w:p>
    <w:p w14:paraId="2E65BC98"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1000E172" w14:textId="05266F9A" w:rsidR="00F74BCD" w:rsidRPr="00F74BCD" w:rsidRDefault="00F74BCD" w:rsidP="00CB24B5">
      <w:pPr>
        <w:pStyle w:val="Figuretitle"/>
        <w:ind w:left="1134" w:hanging="1134"/>
        <w:rPr>
          <w:rFonts w:eastAsia="Calibri"/>
          <w:lang w:val="en-GB"/>
        </w:rPr>
      </w:pPr>
      <w:bookmarkStart w:id="137" w:name="_Toc102041189"/>
      <w:r w:rsidRPr="00F74BCD">
        <w:rPr>
          <w:rFonts w:eastAsia="Calibri"/>
          <w:lang w:val="en-GB"/>
        </w:rPr>
        <w:lastRenderedPageBreak/>
        <w:t>Figure D11</w:t>
      </w:r>
      <w:r w:rsidR="00BA5C2D">
        <w:rPr>
          <w:rFonts w:eastAsia="Calibri"/>
          <w:lang w:val="en-GB"/>
        </w:rPr>
        <w:tab/>
      </w:r>
      <w:r w:rsidRPr="00F74BCD">
        <w:rPr>
          <w:rFonts w:eastAsia="Calibri"/>
          <w:lang w:val="en-GB"/>
        </w:rPr>
        <w:t>Difference in tenure in the occupation (years) by qualification type (relative to HE) among those in the same occupations (regression results)</w:t>
      </w:r>
      <w:bookmarkEnd w:id="137"/>
    </w:p>
    <w:p w14:paraId="0CD59E2C"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357F3A3B" wp14:editId="6CE9A96C">
            <wp:extent cx="5024628" cy="3654552"/>
            <wp:effectExtent l="0" t="0" r="508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7A21A398"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778E0576" w14:textId="77777777" w:rsidR="00F74BCD" w:rsidRPr="00F74BCD" w:rsidRDefault="00F74BCD" w:rsidP="00A570A4">
      <w:pPr>
        <w:pStyle w:val="Source"/>
        <w:rPr>
          <w:rFonts w:eastAsia="Calibri"/>
          <w:lang w:val="en-GB"/>
        </w:rPr>
      </w:pPr>
      <w:r w:rsidRPr="00F74BCD">
        <w:rPr>
          <w:rFonts w:eastAsia="Calibri"/>
          <w:lang w:val="en-GB"/>
        </w:rPr>
        <w:t>Sample: HILDA 2011-2019, respondents aged 25-56 years old with a VET and/or HE qualification and in an occupation that contains a mix of VET and HE qualifications in 2011 (N=3,745).</w:t>
      </w:r>
      <w:bookmarkEnd w:id="136"/>
    </w:p>
    <w:p w14:paraId="1E747AD4" w14:textId="77777777" w:rsidR="00F74BCD" w:rsidRPr="00F74BCD" w:rsidRDefault="00F74BCD" w:rsidP="00F74BCD">
      <w:pPr>
        <w:spacing w:before="0" w:line="288" w:lineRule="auto"/>
        <w:ind w:left="720"/>
        <w:jc w:val="both"/>
        <w:rPr>
          <w:rFonts w:ascii="Calibri" w:eastAsia="Calibri" w:hAnsi="Calibri"/>
          <w:color w:val="000000"/>
          <w:sz w:val="22"/>
          <w:szCs w:val="22"/>
          <w:lang w:val="en-GB"/>
        </w:rPr>
      </w:pPr>
    </w:p>
    <w:p w14:paraId="7598CD56" w14:textId="77777777" w:rsidR="00F74BCD" w:rsidRPr="00F74BCD" w:rsidRDefault="00F74BCD" w:rsidP="00F74BCD">
      <w:pPr>
        <w:spacing w:before="0" w:line="240" w:lineRule="auto"/>
        <w:rPr>
          <w:rFonts w:ascii="Calibri" w:eastAsia="Calibri" w:hAnsi="Calibri"/>
          <w:sz w:val="24"/>
          <w:szCs w:val="24"/>
          <w:lang w:val="en-GB"/>
        </w:rPr>
      </w:pPr>
      <w:r w:rsidRPr="00F74BCD">
        <w:rPr>
          <w:rFonts w:ascii="Calibri" w:eastAsia="Calibri" w:hAnsi="Calibri"/>
          <w:sz w:val="24"/>
          <w:szCs w:val="24"/>
          <w:lang w:val="en-GB"/>
        </w:rPr>
        <w:br w:type="page"/>
      </w:r>
    </w:p>
    <w:p w14:paraId="020A5089" w14:textId="12FE0B99" w:rsidR="00F74BCD" w:rsidRPr="00F74BCD" w:rsidRDefault="00F74BCD" w:rsidP="00CB24B5">
      <w:pPr>
        <w:pStyle w:val="Figuretitle"/>
        <w:ind w:left="1134" w:hanging="1134"/>
        <w:rPr>
          <w:rFonts w:eastAsia="Calibri"/>
          <w:lang w:val="en-GB"/>
        </w:rPr>
      </w:pPr>
      <w:bookmarkStart w:id="138" w:name="_Toc102041190"/>
      <w:r w:rsidRPr="00F74BCD">
        <w:rPr>
          <w:rFonts w:eastAsia="Calibri"/>
          <w:lang w:val="en-GB"/>
        </w:rPr>
        <w:lastRenderedPageBreak/>
        <w:t>Figure D12</w:t>
      </w:r>
      <w:r w:rsidR="00BA5C2D">
        <w:rPr>
          <w:rFonts w:eastAsia="Calibri"/>
          <w:lang w:val="en-GB"/>
        </w:rPr>
        <w:tab/>
      </w:r>
      <w:r w:rsidRPr="00F74BCD">
        <w:rPr>
          <w:rFonts w:eastAsia="Calibri"/>
          <w:lang w:val="en-GB"/>
        </w:rPr>
        <w:t>Di</w:t>
      </w:r>
      <w:r w:rsidR="009C738F">
        <w:rPr>
          <w:rFonts w:eastAsia="Calibri"/>
          <w:lang w:val="en-GB"/>
        </w:rPr>
        <w:t>0</w:t>
      </w:r>
      <w:r w:rsidRPr="00F74BCD">
        <w:rPr>
          <w:rFonts w:eastAsia="Calibri"/>
          <w:lang w:val="en-GB"/>
        </w:rPr>
        <w:t>fference in tenure in the job (years) by qualification type (relative to HE) among those in the same occupations (regression results)</w:t>
      </w:r>
      <w:bookmarkEnd w:id="138"/>
    </w:p>
    <w:p w14:paraId="60C047A6" w14:textId="77777777" w:rsidR="00F74BCD" w:rsidRPr="00F74BCD" w:rsidRDefault="00F74BCD" w:rsidP="00F74BCD">
      <w:pPr>
        <w:spacing w:before="0" w:line="240" w:lineRule="auto"/>
        <w:rPr>
          <w:rFonts w:ascii="Arial" w:hAnsi="Arial"/>
          <w:sz w:val="20"/>
          <w:lang w:eastAsia="en-AU"/>
        </w:rPr>
      </w:pPr>
      <w:r w:rsidRPr="00F74BCD">
        <w:rPr>
          <w:rFonts w:ascii="Arial" w:hAnsi="Arial"/>
          <w:noProof/>
          <w:sz w:val="20"/>
          <w:lang w:val="en-GB" w:eastAsia="en-GB"/>
        </w:rPr>
        <w:drawing>
          <wp:inline distT="0" distB="0" distL="0" distR="0" wp14:anchorId="5B1572B8" wp14:editId="60DED8A1">
            <wp:extent cx="5024628" cy="3654552"/>
            <wp:effectExtent l="0" t="0" r="508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5024628" cy="3654552"/>
                    </a:xfrm>
                    <a:prstGeom prst="rect">
                      <a:avLst/>
                    </a:prstGeom>
                  </pic:spPr>
                </pic:pic>
              </a:graphicData>
            </a:graphic>
          </wp:inline>
        </w:drawing>
      </w:r>
    </w:p>
    <w:p w14:paraId="4B8987C5" w14:textId="77777777" w:rsidR="00F74BCD" w:rsidRPr="00F74BCD" w:rsidRDefault="00F74BCD" w:rsidP="00A570A4">
      <w:pPr>
        <w:pStyle w:val="Source"/>
        <w:rPr>
          <w:rFonts w:eastAsia="Calibri"/>
          <w:lang w:val="en-GB"/>
        </w:rPr>
      </w:pPr>
      <w:r w:rsidRPr="00F74BCD">
        <w:rPr>
          <w:rFonts w:eastAsia="Calibri"/>
        </w:rPr>
        <w:t>Notes: The estimated coefficients are derived from regressions that compare outcomes of: (</w:t>
      </w:r>
      <w:proofErr w:type="spellStart"/>
      <w:r w:rsidRPr="00F74BCD">
        <w:rPr>
          <w:rFonts w:eastAsia="Calibri"/>
        </w:rPr>
        <w:t>i</w:t>
      </w:r>
      <w:proofErr w:type="spellEnd"/>
      <w:r w:rsidRPr="00F74BCD">
        <w:rPr>
          <w:rFonts w:eastAsia="Calibri"/>
        </w:rPr>
        <w:t>) respondents with VET only qualifications; (ii) VET and HE qualifications to respondents with HE qualifications only (in the same regression using dummy indicators for qualification type). Those comparisons are operated within occupations (i.e. regressions include occupation fixed effects) and for respondents with the same individual characteristics as described in table 4. Regressions are run separately for each year. Dashed vertical lines denote statistical significance at the 5% level.</w:t>
      </w:r>
    </w:p>
    <w:p w14:paraId="4FB7AF90" w14:textId="5006786C" w:rsidR="00AB00C0" w:rsidRDefault="00F74BCD" w:rsidP="0020164A">
      <w:pPr>
        <w:pStyle w:val="Source"/>
        <w:rPr>
          <w:rFonts w:cs="Tahoma"/>
          <w:color w:val="000000"/>
          <w:kern w:val="28"/>
          <w:sz w:val="56"/>
          <w:szCs w:val="56"/>
        </w:rPr>
      </w:pPr>
      <w:r w:rsidRPr="00F74BCD">
        <w:rPr>
          <w:rFonts w:eastAsia="Calibri"/>
          <w:lang w:val="en-GB"/>
        </w:rPr>
        <w:t>Sample: HILDA 2011-2019, respondents aged 25-56 years old with a VET and/or HE qualification and in an occupation that contains a mix of VET and HE qualifications in 2011 (N=3,745).</w:t>
      </w:r>
    </w:p>
    <w:bookmarkEnd w:id="4"/>
    <w:bookmarkEnd w:id="5"/>
    <w:bookmarkEnd w:id="6"/>
    <w:bookmarkEnd w:id="7"/>
    <w:sectPr w:rsidR="00AB00C0" w:rsidSect="00357C16">
      <w:headerReference w:type="even" r:id="rId111"/>
      <w:headerReference w:type="default" r:id="rId112"/>
      <w:footerReference w:type="even" r:id="rId113"/>
      <w:footerReference w:type="default" r:id="rId114"/>
      <w:headerReference w:type="first" r:id="rId115"/>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57216"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BF08297" w:rsidR="009E17EF" w:rsidRPr="000124C6" w:rsidRDefault="000124C6" w:rsidP="000124C6">
    <w:pPr>
      <w:tabs>
        <w:tab w:val="right" w:pos="9072"/>
      </w:tabs>
      <w:spacing w:before="0"/>
      <w:ind w:right="-1986"/>
      <w:rPr>
        <w:rFonts w:ascii="Arial Bold" w:hAnsi="Arial Bold" w:cs="Arial"/>
        <w:b/>
        <w:color w:val="000000"/>
        <w:sz w:val="16"/>
        <w:szCs w:val="16"/>
      </w:rPr>
    </w:pPr>
    <w:r w:rsidRPr="009D114D">
      <w:rPr>
        <w:rFonts w:ascii="Arial Bold" w:hAnsi="Arial Bold" w:cs="Arial"/>
        <w:b/>
        <w:color w:val="000000"/>
        <w:sz w:val="16"/>
        <w:szCs w:val="16"/>
      </w:rPr>
      <w:t>VET and higher education pathways – do outcomes differ for the same occupation — support document</w:t>
    </w:r>
    <w:r w:rsidRPr="009D114D">
      <w:rPr>
        <w:rFonts w:ascii="Arial Bold" w:hAnsi="Arial Bold" w:cs="Arial"/>
        <w:b/>
        <w:color w:val="000000"/>
        <w:sz w:val="16"/>
        <w:szCs w:val="16"/>
      </w:rPr>
      <w:tab/>
      <w:t xml:space="preserve">NCVER | </w:t>
    </w:r>
    <w:r w:rsidRPr="009D114D">
      <w:rPr>
        <w:rFonts w:ascii="Arial" w:hAnsi="Arial" w:cs="Arial"/>
        <w:color w:val="000000"/>
        <w:sz w:val="16"/>
        <w:szCs w:val="16"/>
      </w:rPr>
      <w:fldChar w:fldCharType="begin"/>
    </w:r>
    <w:r w:rsidRPr="009D114D">
      <w:rPr>
        <w:rFonts w:ascii="Arial" w:hAnsi="Arial" w:cs="Arial"/>
        <w:b/>
        <w:color w:val="000000"/>
        <w:sz w:val="16"/>
        <w:szCs w:val="16"/>
      </w:rPr>
      <w:instrText xml:space="preserve"> PAGE </w:instrText>
    </w:r>
    <w:r w:rsidRPr="009D114D">
      <w:rPr>
        <w:rFonts w:ascii="Arial" w:hAnsi="Arial" w:cs="Arial"/>
        <w:color w:val="000000"/>
        <w:sz w:val="16"/>
        <w:szCs w:val="16"/>
      </w:rPr>
      <w:fldChar w:fldCharType="separate"/>
    </w:r>
    <w:r>
      <w:rPr>
        <w:rFonts w:ascii="Arial" w:hAnsi="Arial" w:cs="Arial"/>
        <w:color w:val="000000"/>
        <w:sz w:val="16"/>
        <w:szCs w:val="16"/>
      </w:rPr>
      <w:t>7</w:t>
    </w:r>
    <w:r w:rsidRPr="009D114D">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546B1EFE" w:rsidR="009E17EF" w:rsidRPr="009D114D" w:rsidRDefault="009D114D" w:rsidP="009D114D">
    <w:pPr>
      <w:tabs>
        <w:tab w:val="right" w:pos="9072"/>
      </w:tabs>
      <w:spacing w:before="0"/>
      <w:ind w:right="-1986"/>
      <w:rPr>
        <w:rFonts w:ascii="Arial Bold" w:hAnsi="Arial Bold" w:cs="Arial"/>
        <w:b/>
        <w:color w:val="000000"/>
        <w:sz w:val="16"/>
        <w:szCs w:val="16"/>
      </w:rPr>
    </w:pPr>
    <w:r w:rsidRPr="009D114D">
      <w:rPr>
        <w:rFonts w:ascii="Arial Bold" w:hAnsi="Arial Bold" w:cs="Arial"/>
        <w:b/>
        <w:color w:val="000000"/>
        <w:sz w:val="16"/>
        <w:szCs w:val="16"/>
      </w:rPr>
      <w:t>VET and higher education pathways – do outcomes differ for the same occupation — support document</w:t>
    </w:r>
    <w:r w:rsidRPr="009D114D">
      <w:rPr>
        <w:rFonts w:ascii="Arial Bold" w:hAnsi="Arial Bold" w:cs="Arial"/>
        <w:b/>
        <w:color w:val="000000"/>
        <w:sz w:val="16"/>
        <w:szCs w:val="16"/>
      </w:rPr>
      <w:tab/>
      <w:t xml:space="preserve">NCVER | </w:t>
    </w:r>
    <w:r w:rsidRPr="009D114D">
      <w:rPr>
        <w:rFonts w:ascii="Arial" w:hAnsi="Arial" w:cs="Arial"/>
        <w:color w:val="000000"/>
        <w:sz w:val="16"/>
        <w:szCs w:val="16"/>
      </w:rPr>
      <w:fldChar w:fldCharType="begin"/>
    </w:r>
    <w:r w:rsidRPr="009D114D">
      <w:rPr>
        <w:rFonts w:ascii="Arial" w:hAnsi="Arial" w:cs="Arial"/>
        <w:b/>
        <w:color w:val="000000"/>
        <w:sz w:val="16"/>
        <w:szCs w:val="16"/>
      </w:rPr>
      <w:instrText xml:space="preserve"> PAGE </w:instrText>
    </w:r>
    <w:r w:rsidRPr="009D114D">
      <w:rPr>
        <w:rFonts w:ascii="Arial" w:hAnsi="Arial" w:cs="Arial"/>
        <w:color w:val="000000"/>
        <w:sz w:val="16"/>
        <w:szCs w:val="16"/>
      </w:rPr>
      <w:fldChar w:fldCharType="separate"/>
    </w:r>
    <w:r w:rsidRPr="009D114D">
      <w:rPr>
        <w:rFonts w:ascii="Arial" w:hAnsi="Arial" w:cs="Arial"/>
        <w:color w:val="000000"/>
        <w:sz w:val="16"/>
        <w:szCs w:val="16"/>
      </w:rPr>
      <w:t>5</w:t>
    </w:r>
    <w:r w:rsidRPr="009D114D">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46694F39" w14:textId="48BB441A" w:rsidR="00316C0D" w:rsidRDefault="00316C0D">
      <w:pPr>
        <w:pStyle w:val="FootnoteText"/>
      </w:pPr>
      <w:r w:rsidRPr="000124C6">
        <w:rPr>
          <w:rStyle w:val="FootnoteReference"/>
          <w:vertAlign w:val="baseline"/>
        </w:rPr>
        <w:footnoteRef/>
      </w:r>
      <w:r>
        <w:t xml:space="preserve"> See </w:t>
      </w:r>
      <w:r w:rsidRPr="00316C0D">
        <w:t>https://melbourneinstitute.unimelb.edu.au/hilda</w:t>
      </w:r>
    </w:p>
  </w:footnote>
  <w:footnote w:id="2">
    <w:p w14:paraId="6E48EB47" w14:textId="69FFB8B7" w:rsidR="00E87543" w:rsidRDefault="00E87543">
      <w:pPr>
        <w:pStyle w:val="FootnoteText"/>
      </w:pPr>
      <w:r w:rsidRPr="000124C6">
        <w:rPr>
          <w:rStyle w:val="FootnoteReference"/>
          <w:vertAlign w:val="baseline"/>
        </w:rPr>
        <w:footnoteRef/>
      </w:r>
      <w:r>
        <w:t xml:space="preserve"> About 17,000 Australian</w:t>
      </w:r>
      <w:r w:rsidR="00BF2DE3">
        <w:t>s</w:t>
      </w:r>
      <w:r>
        <w:t xml:space="preserve"> each year</w:t>
      </w:r>
      <w:r w:rsidR="00BF2DE3">
        <w:t>.</w:t>
      </w:r>
    </w:p>
  </w:footnote>
  <w:footnote w:id="3">
    <w:p w14:paraId="4B709CAF" w14:textId="77777777" w:rsidR="00D044B5" w:rsidRPr="00E35D15" w:rsidRDefault="00D044B5" w:rsidP="00E35D15">
      <w:pPr>
        <w:pStyle w:val="FootnoteText"/>
      </w:pPr>
      <w:r w:rsidRPr="001061D8">
        <w:footnoteRef/>
      </w:r>
      <w:r w:rsidRPr="00113CD6">
        <w:t xml:space="preserve"> </w:t>
      </w:r>
      <w:r w:rsidRPr="00E35D15">
        <w:t>Blue-collar occupations include: 3: Technicians and trades workers; 7: machinery operators and drivers; 8: labourers.</w:t>
      </w:r>
    </w:p>
  </w:footnote>
  <w:footnote w:id="4">
    <w:p w14:paraId="3A37CCE7" w14:textId="77777777" w:rsidR="00D044B5" w:rsidRPr="00E35D15" w:rsidRDefault="00D044B5" w:rsidP="00E35D15">
      <w:pPr>
        <w:pStyle w:val="FootnoteText"/>
      </w:pPr>
      <w:r w:rsidRPr="00E35D15">
        <w:rPr>
          <w:rStyle w:val="FootnoteReference"/>
          <w:vertAlign w:val="baseline"/>
        </w:rPr>
        <w:footnoteRef/>
      </w:r>
      <w:r w:rsidRPr="00E35D15">
        <w:t xml:space="preserve"> This means that respondents’ belonging to the sample is defined once and for all in 2011. If respondents change occupations over time, it does not change their being part of the sample (if the sample changed over time, it would be impossible to know how much of the evolutions observed over time are actually due to variations in the sample over time rather than variations in the outcomes). However, it will affect their outcomes, e.g. tenure in occupation.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692B" w14:textId="3B896359" w:rsidR="0027343E" w:rsidRDefault="0027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BFD" w14:textId="77777777" w:rsidR="0027343E" w:rsidRDefault="00273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EC7" w14:textId="77777777" w:rsidR="0027343E" w:rsidRDefault="00273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0773" w14:textId="77777777" w:rsidR="0027343E" w:rsidRDefault="00273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E17600"/>
    <w:multiLevelType w:val="hybridMultilevel"/>
    <w:tmpl w:val="FC3A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4380"/>
    <w:multiLevelType w:val="hybridMultilevel"/>
    <w:tmpl w:val="B332120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67C7825"/>
    <w:multiLevelType w:val="hybridMultilevel"/>
    <w:tmpl w:val="0D026C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7E6CC2"/>
    <w:multiLevelType w:val="hybridMultilevel"/>
    <w:tmpl w:val="5ED21CAE"/>
    <w:lvl w:ilvl="0" w:tplc="0DE8DA3A">
      <w:start w:val="19"/>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C3651F"/>
    <w:multiLevelType w:val="hybridMultilevel"/>
    <w:tmpl w:val="5F4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37BA0"/>
    <w:multiLevelType w:val="hybridMultilevel"/>
    <w:tmpl w:val="ED1CF3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B69631A"/>
    <w:multiLevelType w:val="hybridMultilevel"/>
    <w:tmpl w:val="CAB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0"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35A43"/>
    <w:multiLevelType w:val="hybridMultilevel"/>
    <w:tmpl w:val="DB6A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85827"/>
    <w:multiLevelType w:val="hybridMultilevel"/>
    <w:tmpl w:val="CC78910E"/>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7"/>
  </w:num>
  <w:num w:numId="3">
    <w:abstractNumId w:val="0"/>
  </w:num>
  <w:num w:numId="4">
    <w:abstractNumId w:val="9"/>
  </w:num>
  <w:num w:numId="5">
    <w:abstractNumId w:val="4"/>
  </w:num>
  <w:num w:numId="6">
    <w:abstractNumId w:val="11"/>
  </w:num>
  <w:num w:numId="7">
    <w:abstractNumId w:val="5"/>
  </w:num>
  <w:num w:numId="8">
    <w:abstractNumId w:val="1"/>
  </w:num>
  <w:num w:numId="9">
    <w:abstractNumId w:val="8"/>
  </w:num>
  <w:num w:numId="10">
    <w:abstractNumId w:val="3"/>
  </w:num>
  <w:num w:numId="11">
    <w:abstractNumId w:val="6"/>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108B2"/>
    <w:rsid w:val="000124C6"/>
    <w:rsid w:val="00013265"/>
    <w:rsid w:val="00016A39"/>
    <w:rsid w:val="00017FE4"/>
    <w:rsid w:val="00022290"/>
    <w:rsid w:val="000315D7"/>
    <w:rsid w:val="0004720B"/>
    <w:rsid w:val="00053653"/>
    <w:rsid w:val="0006125F"/>
    <w:rsid w:val="0007300D"/>
    <w:rsid w:val="00074BD4"/>
    <w:rsid w:val="00087E74"/>
    <w:rsid w:val="000A5C58"/>
    <w:rsid w:val="000B543D"/>
    <w:rsid w:val="000C1642"/>
    <w:rsid w:val="000F641C"/>
    <w:rsid w:val="000F7B43"/>
    <w:rsid w:val="001061D8"/>
    <w:rsid w:val="0010761A"/>
    <w:rsid w:val="00116D1E"/>
    <w:rsid w:val="0012193E"/>
    <w:rsid w:val="00123B5C"/>
    <w:rsid w:val="00135C75"/>
    <w:rsid w:val="00150874"/>
    <w:rsid w:val="001509F3"/>
    <w:rsid w:val="001511AA"/>
    <w:rsid w:val="00152F49"/>
    <w:rsid w:val="00155839"/>
    <w:rsid w:val="00166281"/>
    <w:rsid w:val="001709B1"/>
    <w:rsid w:val="00177827"/>
    <w:rsid w:val="00184504"/>
    <w:rsid w:val="001A52BA"/>
    <w:rsid w:val="001B43CF"/>
    <w:rsid w:val="001B628F"/>
    <w:rsid w:val="001F7D84"/>
    <w:rsid w:val="001F7E01"/>
    <w:rsid w:val="002013D8"/>
    <w:rsid w:val="0020164A"/>
    <w:rsid w:val="00203BA9"/>
    <w:rsid w:val="002116CD"/>
    <w:rsid w:val="002277A9"/>
    <w:rsid w:val="00233BFA"/>
    <w:rsid w:val="00233C8D"/>
    <w:rsid w:val="00257B86"/>
    <w:rsid w:val="00265EF9"/>
    <w:rsid w:val="0027343E"/>
    <w:rsid w:val="00273D3B"/>
    <w:rsid w:val="00284FCB"/>
    <w:rsid w:val="002914F3"/>
    <w:rsid w:val="002949F5"/>
    <w:rsid w:val="00297C1D"/>
    <w:rsid w:val="002A3629"/>
    <w:rsid w:val="002B0C13"/>
    <w:rsid w:val="002B144E"/>
    <w:rsid w:val="002E196B"/>
    <w:rsid w:val="002E6BC6"/>
    <w:rsid w:val="002F6BE3"/>
    <w:rsid w:val="002F787C"/>
    <w:rsid w:val="00302C1E"/>
    <w:rsid w:val="00316C0D"/>
    <w:rsid w:val="003179FF"/>
    <w:rsid w:val="00321399"/>
    <w:rsid w:val="00334CE3"/>
    <w:rsid w:val="00340B4D"/>
    <w:rsid w:val="00357C16"/>
    <w:rsid w:val="00380B3F"/>
    <w:rsid w:val="003A1E69"/>
    <w:rsid w:val="003B16DA"/>
    <w:rsid w:val="003B483E"/>
    <w:rsid w:val="003C4890"/>
    <w:rsid w:val="003D5CFD"/>
    <w:rsid w:val="003E67CB"/>
    <w:rsid w:val="00405E3C"/>
    <w:rsid w:val="00413CA3"/>
    <w:rsid w:val="00451D64"/>
    <w:rsid w:val="0045414A"/>
    <w:rsid w:val="00454906"/>
    <w:rsid w:val="00457C3A"/>
    <w:rsid w:val="0048643A"/>
    <w:rsid w:val="0049453B"/>
    <w:rsid w:val="00494E7C"/>
    <w:rsid w:val="004C4063"/>
    <w:rsid w:val="004D4802"/>
    <w:rsid w:val="004E7227"/>
    <w:rsid w:val="00520315"/>
    <w:rsid w:val="0052276C"/>
    <w:rsid w:val="00541AE7"/>
    <w:rsid w:val="00560C71"/>
    <w:rsid w:val="00570758"/>
    <w:rsid w:val="005801D1"/>
    <w:rsid w:val="00581546"/>
    <w:rsid w:val="005C277E"/>
    <w:rsid w:val="005C61F8"/>
    <w:rsid w:val="005E4764"/>
    <w:rsid w:val="006372F4"/>
    <w:rsid w:val="00652973"/>
    <w:rsid w:val="00656679"/>
    <w:rsid w:val="0067712D"/>
    <w:rsid w:val="00696A48"/>
    <w:rsid w:val="006A3659"/>
    <w:rsid w:val="006A702B"/>
    <w:rsid w:val="006B681F"/>
    <w:rsid w:val="006C5DA9"/>
    <w:rsid w:val="006E7E2A"/>
    <w:rsid w:val="006F1935"/>
    <w:rsid w:val="00700B0C"/>
    <w:rsid w:val="007037A4"/>
    <w:rsid w:val="00707780"/>
    <w:rsid w:val="00714869"/>
    <w:rsid w:val="00715F2C"/>
    <w:rsid w:val="007224CE"/>
    <w:rsid w:val="00722F98"/>
    <w:rsid w:val="00731EC8"/>
    <w:rsid w:val="0076723C"/>
    <w:rsid w:val="00783F44"/>
    <w:rsid w:val="007A2079"/>
    <w:rsid w:val="007B244B"/>
    <w:rsid w:val="007C3281"/>
    <w:rsid w:val="007C50A7"/>
    <w:rsid w:val="007D79E4"/>
    <w:rsid w:val="007E2D8C"/>
    <w:rsid w:val="007E52E6"/>
    <w:rsid w:val="007F39BA"/>
    <w:rsid w:val="00800A2B"/>
    <w:rsid w:val="00806C1C"/>
    <w:rsid w:val="00826757"/>
    <w:rsid w:val="00832CF7"/>
    <w:rsid w:val="00840D6F"/>
    <w:rsid w:val="00863A62"/>
    <w:rsid w:val="00874DA5"/>
    <w:rsid w:val="00884F23"/>
    <w:rsid w:val="0089036D"/>
    <w:rsid w:val="00891FE3"/>
    <w:rsid w:val="008923B6"/>
    <w:rsid w:val="00894271"/>
    <w:rsid w:val="008C0A74"/>
    <w:rsid w:val="008E6C3A"/>
    <w:rsid w:val="008F20BA"/>
    <w:rsid w:val="009058B5"/>
    <w:rsid w:val="00933317"/>
    <w:rsid w:val="00937314"/>
    <w:rsid w:val="00940830"/>
    <w:rsid w:val="009461ED"/>
    <w:rsid w:val="009538E6"/>
    <w:rsid w:val="009704E4"/>
    <w:rsid w:val="009775C7"/>
    <w:rsid w:val="009C22BE"/>
    <w:rsid w:val="009C738F"/>
    <w:rsid w:val="009D114D"/>
    <w:rsid w:val="009E17EF"/>
    <w:rsid w:val="009E231A"/>
    <w:rsid w:val="009E2F64"/>
    <w:rsid w:val="009E4AB9"/>
    <w:rsid w:val="00A03BF0"/>
    <w:rsid w:val="00A10A6B"/>
    <w:rsid w:val="00A10E2B"/>
    <w:rsid w:val="00A30084"/>
    <w:rsid w:val="00A35F86"/>
    <w:rsid w:val="00A50895"/>
    <w:rsid w:val="00A566CC"/>
    <w:rsid w:val="00A570A4"/>
    <w:rsid w:val="00A73318"/>
    <w:rsid w:val="00A8437A"/>
    <w:rsid w:val="00A84F05"/>
    <w:rsid w:val="00A9334E"/>
    <w:rsid w:val="00A93867"/>
    <w:rsid w:val="00A94231"/>
    <w:rsid w:val="00AA44D4"/>
    <w:rsid w:val="00AB00C0"/>
    <w:rsid w:val="00AB7E26"/>
    <w:rsid w:val="00AE310C"/>
    <w:rsid w:val="00AF1005"/>
    <w:rsid w:val="00B05F5C"/>
    <w:rsid w:val="00B2410F"/>
    <w:rsid w:val="00B31EC5"/>
    <w:rsid w:val="00B41272"/>
    <w:rsid w:val="00B426FE"/>
    <w:rsid w:val="00B57CC9"/>
    <w:rsid w:val="00B61CED"/>
    <w:rsid w:val="00B77043"/>
    <w:rsid w:val="00B81A9D"/>
    <w:rsid w:val="00B86D06"/>
    <w:rsid w:val="00B95148"/>
    <w:rsid w:val="00BA5C2D"/>
    <w:rsid w:val="00BB113D"/>
    <w:rsid w:val="00BC265D"/>
    <w:rsid w:val="00BC770A"/>
    <w:rsid w:val="00BC7C47"/>
    <w:rsid w:val="00BD00B7"/>
    <w:rsid w:val="00BD5EE0"/>
    <w:rsid w:val="00BE18A0"/>
    <w:rsid w:val="00BF2DE3"/>
    <w:rsid w:val="00BF690E"/>
    <w:rsid w:val="00C053D5"/>
    <w:rsid w:val="00C05CDE"/>
    <w:rsid w:val="00C54125"/>
    <w:rsid w:val="00C63294"/>
    <w:rsid w:val="00C664FC"/>
    <w:rsid w:val="00C77DC6"/>
    <w:rsid w:val="00C801DA"/>
    <w:rsid w:val="00C926F0"/>
    <w:rsid w:val="00C9656D"/>
    <w:rsid w:val="00CA28B7"/>
    <w:rsid w:val="00CA4AFC"/>
    <w:rsid w:val="00CA7119"/>
    <w:rsid w:val="00CB24B5"/>
    <w:rsid w:val="00CD0BFB"/>
    <w:rsid w:val="00CD5F32"/>
    <w:rsid w:val="00D0291E"/>
    <w:rsid w:val="00D044B5"/>
    <w:rsid w:val="00D076F0"/>
    <w:rsid w:val="00D12A7F"/>
    <w:rsid w:val="00D239B8"/>
    <w:rsid w:val="00D3689E"/>
    <w:rsid w:val="00D42A61"/>
    <w:rsid w:val="00D43B5F"/>
    <w:rsid w:val="00D557B7"/>
    <w:rsid w:val="00D67FB0"/>
    <w:rsid w:val="00DA44CE"/>
    <w:rsid w:val="00DB599C"/>
    <w:rsid w:val="00DC1942"/>
    <w:rsid w:val="00DC5F5C"/>
    <w:rsid w:val="00E06B95"/>
    <w:rsid w:val="00E110EA"/>
    <w:rsid w:val="00E123CB"/>
    <w:rsid w:val="00E14FA9"/>
    <w:rsid w:val="00E16B81"/>
    <w:rsid w:val="00E236D0"/>
    <w:rsid w:val="00E35D15"/>
    <w:rsid w:val="00E365F8"/>
    <w:rsid w:val="00E52313"/>
    <w:rsid w:val="00E56EC1"/>
    <w:rsid w:val="00E60466"/>
    <w:rsid w:val="00E81A91"/>
    <w:rsid w:val="00E8455B"/>
    <w:rsid w:val="00E87543"/>
    <w:rsid w:val="00E92B8B"/>
    <w:rsid w:val="00E95812"/>
    <w:rsid w:val="00E95948"/>
    <w:rsid w:val="00E9625F"/>
    <w:rsid w:val="00EC3B66"/>
    <w:rsid w:val="00EC5A02"/>
    <w:rsid w:val="00ED4D6D"/>
    <w:rsid w:val="00ED5BB5"/>
    <w:rsid w:val="00EE42D9"/>
    <w:rsid w:val="00EE67B3"/>
    <w:rsid w:val="00EF5821"/>
    <w:rsid w:val="00F30173"/>
    <w:rsid w:val="00F544AC"/>
    <w:rsid w:val="00F74BCD"/>
    <w:rsid w:val="00F93048"/>
    <w:rsid w:val="00FA0C15"/>
    <w:rsid w:val="00FA79F7"/>
    <w:rsid w:val="00FD014F"/>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character" w:customStyle="1" w:styleId="FootnoteTextChar">
    <w:name w:val="Footnote Text Char"/>
    <w:basedOn w:val="DefaultParagraphFont"/>
    <w:link w:val="FootnoteText"/>
    <w:uiPriority w:val="99"/>
    <w:rsid w:val="00D044B5"/>
    <w:rPr>
      <w:rFonts w:ascii="Trebuchet MS" w:hAnsi="Trebuchet MS"/>
      <w:sz w:val="16"/>
      <w:lang w:val="en-AU"/>
    </w:rPr>
  </w:style>
  <w:style w:type="character" w:styleId="FootnoteReference">
    <w:name w:val="footnote reference"/>
    <w:basedOn w:val="DefaultParagraphFont"/>
    <w:uiPriority w:val="99"/>
    <w:unhideWhenUsed/>
    <w:rsid w:val="00D044B5"/>
    <w:rPr>
      <w:vertAlign w:val="superscript"/>
    </w:rPr>
  </w:style>
  <w:style w:type="paragraph" w:styleId="DocumentMap">
    <w:name w:val="Document Map"/>
    <w:basedOn w:val="Normal"/>
    <w:link w:val="DocumentMapChar"/>
    <w:uiPriority w:val="99"/>
    <w:semiHidden/>
    <w:unhideWhenUsed/>
    <w:rsid w:val="00E8455B"/>
    <w:pPr>
      <w:spacing w:before="0" w:line="240" w:lineRule="auto"/>
    </w:pPr>
    <w:rPr>
      <w:rFonts w:ascii="Times New Roman" w:eastAsiaTheme="minorHAnsi" w:hAnsi="Times New Roman"/>
      <w:sz w:val="24"/>
      <w:szCs w:val="24"/>
      <w:lang w:val="en-GB"/>
    </w:rPr>
  </w:style>
  <w:style w:type="character" w:customStyle="1" w:styleId="DocumentMapChar">
    <w:name w:val="Document Map Char"/>
    <w:basedOn w:val="DefaultParagraphFont"/>
    <w:link w:val="DocumentMap"/>
    <w:uiPriority w:val="99"/>
    <w:semiHidden/>
    <w:rsid w:val="00E8455B"/>
    <w:rPr>
      <w:rFonts w:eastAsiaTheme="minorHAnsi"/>
      <w:sz w:val="24"/>
      <w:szCs w:val="24"/>
      <w:lang w:val="en-GB"/>
    </w:rPr>
  </w:style>
  <w:style w:type="paragraph" w:styleId="Revision">
    <w:name w:val="Revision"/>
    <w:hidden/>
    <w:uiPriority w:val="99"/>
    <w:semiHidden/>
    <w:rsid w:val="00E8455B"/>
    <w:rPr>
      <w:rFonts w:asciiTheme="minorHAnsi" w:eastAsiaTheme="minorHAnsi" w:hAnsiTheme="minorHAnsi" w:cstheme="minorBidi"/>
      <w:sz w:val="24"/>
      <w:szCs w:val="24"/>
      <w:lang w:val="en-GB"/>
    </w:rPr>
  </w:style>
  <w:style w:type="character" w:styleId="PlaceholderText">
    <w:name w:val="Placeholder Text"/>
    <w:basedOn w:val="DefaultParagraphFont"/>
    <w:uiPriority w:val="99"/>
    <w:semiHidden/>
    <w:rsid w:val="00E8455B"/>
    <w:rPr>
      <w:color w:val="808080"/>
    </w:rPr>
  </w:style>
  <w:style w:type="character" w:styleId="CommentReference">
    <w:name w:val="annotation reference"/>
    <w:basedOn w:val="DefaultParagraphFont"/>
    <w:uiPriority w:val="99"/>
    <w:semiHidden/>
    <w:unhideWhenUsed/>
    <w:rsid w:val="00E8455B"/>
    <w:rPr>
      <w:sz w:val="16"/>
      <w:szCs w:val="16"/>
    </w:rPr>
  </w:style>
  <w:style w:type="paragraph" w:styleId="CommentText">
    <w:name w:val="annotation text"/>
    <w:basedOn w:val="Normal"/>
    <w:link w:val="CommentTextChar"/>
    <w:uiPriority w:val="99"/>
    <w:unhideWhenUsed/>
    <w:rsid w:val="00E8455B"/>
    <w:pPr>
      <w:spacing w:before="0" w:line="240" w:lineRule="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E8455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E8455B"/>
    <w:rPr>
      <w:b/>
      <w:bCs/>
    </w:rPr>
  </w:style>
  <w:style w:type="character" w:customStyle="1" w:styleId="CommentSubjectChar">
    <w:name w:val="Comment Subject Char"/>
    <w:basedOn w:val="CommentTextChar"/>
    <w:link w:val="CommentSubject"/>
    <w:uiPriority w:val="99"/>
    <w:semiHidden/>
    <w:rsid w:val="00E8455B"/>
    <w:rPr>
      <w:rFonts w:asciiTheme="minorHAnsi" w:eastAsiaTheme="minorHAnsi" w:hAnsiTheme="minorHAnsi" w:cstheme="minorBidi"/>
      <w:b/>
      <w:bCs/>
      <w:lang w:val="en-GB"/>
    </w:rPr>
  </w:style>
  <w:style w:type="character" w:customStyle="1" w:styleId="FooterChar">
    <w:name w:val="Footer Char"/>
    <w:basedOn w:val="DefaultParagraphFont"/>
    <w:link w:val="Footer"/>
    <w:uiPriority w:val="99"/>
    <w:rsid w:val="00E8455B"/>
    <w:rPr>
      <w:rFonts w:ascii="Arial" w:hAnsi="Arial"/>
      <w:sz w:val="17"/>
      <w:szCs w:val="17"/>
      <w:lang w:val="en-AU"/>
    </w:rPr>
  </w:style>
  <w:style w:type="character" w:styleId="Emphasis">
    <w:name w:val="Emphasis"/>
    <w:basedOn w:val="DefaultParagraphFont"/>
    <w:uiPriority w:val="20"/>
    <w:qFormat/>
    <w:rsid w:val="00E87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theme" Target="theme/theme1.xml"/><Relationship Id="rId21" Type="http://schemas.openxmlformats.org/officeDocument/2006/relationships/hyperlink" Target="https://www.acer.org/au/ausei06" TargetMode="External"/><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5.emf"/><Relationship Id="rId68" Type="http://schemas.openxmlformats.org/officeDocument/2006/relationships/image" Target="media/image50.emf"/><Relationship Id="rId84" Type="http://schemas.openxmlformats.org/officeDocument/2006/relationships/image" Target="media/image66.emf"/><Relationship Id="rId89" Type="http://schemas.openxmlformats.org/officeDocument/2006/relationships/image" Target="media/image71.emf"/><Relationship Id="rId112" Type="http://schemas.openxmlformats.org/officeDocument/2006/relationships/header" Target="header3.xml"/><Relationship Id="rId16" Type="http://schemas.openxmlformats.org/officeDocument/2006/relationships/hyperlink" Target="mailto:ncver@ncver.edu.au" TargetMode="External"/><Relationship Id="rId107" Type="http://schemas.openxmlformats.org/officeDocument/2006/relationships/image" Target="media/image89.emf"/><Relationship Id="rId11" Type="http://schemas.openxmlformats.org/officeDocument/2006/relationships/image" Target="media/image2.wmf"/><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9.emf"/><Relationship Id="rId102" Type="http://schemas.openxmlformats.org/officeDocument/2006/relationships/image" Target="media/image84.emf"/><Relationship Id="rId110" Type="http://schemas.openxmlformats.org/officeDocument/2006/relationships/image" Target="media/image92.emf"/><Relationship Id="rId115"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43.emf"/><Relationship Id="rId82" Type="http://schemas.openxmlformats.org/officeDocument/2006/relationships/image" Target="media/image64.emf"/><Relationship Id="rId90" Type="http://schemas.openxmlformats.org/officeDocument/2006/relationships/image" Target="media/image72.emf"/><Relationship Id="rId95" Type="http://schemas.openxmlformats.org/officeDocument/2006/relationships/image" Target="media/image77.emf"/><Relationship Id="rId1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s://melbourneinstitute.unimelb.edu.au/assets/documents/hilda-bibliography/hilda-technical-papers/htec212.pdf" TargetMode="External"/><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100" Type="http://schemas.openxmlformats.org/officeDocument/2006/relationships/image" Target="media/image82.emf"/><Relationship Id="rId105" Type="http://schemas.openxmlformats.org/officeDocument/2006/relationships/image" Target="media/image87.emf"/><Relationship Id="rId113"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7.emf"/><Relationship Id="rId93" Type="http://schemas.openxmlformats.org/officeDocument/2006/relationships/image" Target="media/image75.emf"/><Relationship Id="rId98" Type="http://schemas.openxmlformats.org/officeDocument/2006/relationships/image" Target="media/image80.emf"/><Relationship Id="rId3" Type="http://schemas.openxmlformats.org/officeDocument/2006/relationships/styles" Target="styles.xml"/><Relationship Id="rId12" Type="http://schemas.openxmlformats.org/officeDocument/2006/relationships/hyperlink" Target="mailto:ncver@ncver.edu.au" TargetMode="External"/><Relationship Id="rId17" Type="http://schemas.openxmlformats.org/officeDocument/2006/relationships/image" Target="media/image310.emf"/><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103" Type="http://schemas.openxmlformats.org/officeDocument/2006/relationships/image" Target="media/image85.emf"/><Relationship Id="rId108" Type="http://schemas.openxmlformats.org/officeDocument/2006/relationships/image" Target="media/image90.emf"/><Relationship Id="rId11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88" Type="http://schemas.openxmlformats.org/officeDocument/2006/relationships/image" Target="media/image70.emf"/><Relationship Id="rId91" Type="http://schemas.openxmlformats.org/officeDocument/2006/relationships/image" Target="media/image73.emf"/><Relationship Id="rId96" Type="http://schemas.openxmlformats.org/officeDocument/2006/relationships/image" Target="media/image78.emf"/><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0.wmf"/><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6" Type="http://schemas.openxmlformats.org/officeDocument/2006/relationships/image" Target="media/image88.emf"/><Relationship Id="rId114" Type="http://schemas.openxmlformats.org/officeDocument/2006/relationships/footer" Target="footer3.xml"/><Relationship Id="rId10" Type="http://schemas.openxmlformats.org/officeDocument/2006/relationships/hyperlink" Target="https://www.ncver.edu.au" TargetMode="Externa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8.emf"/><Relationship Id="rId94" Type="http://schemas.openxmlformats.org/officeDocument/2006/relationships/image" Target="media/image76.emf"/><Relationship Id="rId99" Type="http://schemas.openxmlformats.org/officeDocument/2006/relationships/image" Target="media/image81.emf"/><Relationship Id="rId101" Type="http://schemas.openxmlformats.org/officeDocument/2006/relationships/image" Target="media/image83.emf"/><Relationship Id="rId4" Type="http://schemas.openxmlformats.org/officeDocument/2006/relationships/settings" Target="settings.xml"/><Relationship Id="rId9" Type="http://schemas.openxmlformats.org/officeDocument/2006/relationships/hyperlink" Target="https://www.ncver.edu.au" TargetMode="External"/><Relationship Id="rId13" Type="http://schemas.openxmlformats.org/officeDocument/2006/relationships/image" Target="media/image3.emf"/><Relationship Id="rId18" Type="http://schemas.openxmlformats.org/officeDocument/2006/relationships/image" Target="media/image410.emf"/><Relationship Id="rId39" Type="http://schemas.openxmlformats.org/officeDocument/2006/relationships/image" Target="media/image21.emf"/><Relationship Id="rId109" Type="http://schemas.openxmlformats.org/officeDocument/2006/relationships/image" Target="media/image91.emf"/><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8.emf"/><Relationship Id="rId97" Type="http://schemas.openxmlformats.org/officeDocument/2006/relationships/image" Target="media/image79.emf"/><Relationship Id="rId104" Type="http://schemas.openxmlformats.org/officeDocument/2006/relationships/image" Target="media/image86.emf"/><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74.emf"/><Relationship Id="rId2" Type="http://schemas.openxmlformats.org/officeDocument/2006/relationships/numbering" Target="numbering.xml"/><Relationship Id="rId29"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105</Pages>
  <Words>20084</Words>
  <Characters>115284</Characters>
  <Application>Microsoft Office Word</Application>
  <DocSecurity>0</DocSecurity>
  <Lines>2352</Lines>
  <Paragraphs>1381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133987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and higher education pathways – do outcomes differ for the same occupation? — support document</dc:title>
  <dc:creator>NCVER</dc:creator>
  <cp:lastModifiedBy>Rocky Barbaro</cp:lastModifiedBy>
  <cp:revision>2</cp:revision>
  <cp:lastPrinted>2011-08-01T00:29:00Z</cp:lastPrinted>
  <dcterms:created xsi:type="dcterms:W3CDTF">2022-08-17T02:46:00Z</dcterms:created>
  <dcterms:modified xsi:type="dcterms:W3CDTF">2022-08-17T02:46:00Z</dcterms:modified>
</cp:coreProperties>
</file>