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010D5A4D" w:rsidR="009E231A" w:rsidRPr="0036062F" w:rsidRDefault="009104FA" w:rsidP="0036062F">
      <w:pPr>
        <w:pStyle w:val="PublicationTitle"/>
        <w:spacing w:before="1600"/>
      </w:pPr>
      <w:bookmarkStart w:id="2" w:name="_Hlk110511742"/>
      <w:r w:rsidRPr="0036062F">
        <w:t>Government</w:t>
      </w:r>
      <w:r>
        <w:t>-</w:t>
      </w:r>
      <w:r w:rsidR="0036062F" w:rsidRPr="0036062F">
        <w:t>funded students and courses</w:t>
      </w:r>
      <w:bookmarkEnd w:id="0"/>
      <w:bookmarkEnd w:id="1"/>
      <w:bookmarkEnd w:id="2"/>
      <w:r w:rsidR="00B502B7">
        <w:t>: explanatory notes</w:t>
      </w:r>
    </w:p>
    <w:p w14:paraId="20710B99" w14:textId="51FAEF04" w:rsidR="00B502B7" w:rsidRDefault="00B502B7" w:rsidP="002E0F2F">
      <w:pPr>
        <w:pStyle w:val="Organisation"/>
      </w:pPr>
      <w:r>
        <w:t>National Centre for Vocational</w:t>
      </w:r>
      <w:r w:rsidR="002E0F2F">
        <w:t xml:space="preserve"> </w:t>
      </w:r>
      <w:r>
        <w:t>Education Research</w:t>
      </w:r>
    </w:p>
    <w:p w14:paraId="3151A67D" w14:textId="4A7F6322"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532113BA" w14:textId="77777777" w:rsidR="00B502B7" w:rsidRDefault="00B502B7" w:rsidP="00260346">
      <w:pPr>
        <w:pStyle w:val="Text"/>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579EBF69" w:rsidR="00DB599C" w:rsidRDefault="00DB599C" w:rsidP="00A9334E">
      <w:pPr>
        <w:pStyle w:val="Text"/>
        <w:ind w:left="2552"/>
      </w:pPr>
    </w:p>
    <w:p w14:paraId="03471EBD" w14:textId="6F303B14" w:rsidR="00DB599C" w:rsidRDefault="00DB599C" w:rsidP="00A9334E">
      <w:pPr>
        <w:pStyle w:val="Text"/>
        <w:ind w:left="2552"/>
      </w:pPr>
    </w:p>
    <w:p w14:paraId="5A72EE02" w14:textId="108706A7" w:rsidR="00DB599C" w:rsidRDefault="00DB599C" w:rsidP="00A9334E">
      <w:pPr>
        <w:pStyle w:val="Heading3"/>
        <w:ind w:left="2552" w:right="-1"/>
      </w:pPr>
      <w:r>
        <w:softHyphen/>
      </w:r>
    </w:p>
    <w:p w14:paraId="0621A929" w14:textId="5374AC02" w:rsidR="00177827" w:rsidRDefault="002E0F2F" w:rsidP="00A9334E">
      <w:pPr>
        <w:pStyle w:val="Heading3"/>
        <w:ind w:left="2552" w:right="-1"/>
      </w:pPr>
      <w:r w:rsidRPr="00610753">
        <w:rPr>
          <w:noProof/>
          <w:sz w:val="22"/>
        </w:rPr>
        <mc:AlternateContent>
          <mc:Choice Requires="wps">
            <w:drawing>
              <wp:anchor distT="0" distB="0" distL="114300" distR="114300" simplePos="0" relativeHeight="251667456" behindDoc="0" locked="0" layoutInCell="1" allowOverlap="1" wp14:anchorId="3DF7AF14" wp14:editId="3458616D">
                <wp:simplePos x="0" y="0"/>
                <wp:positionH relativeFrom="column">
                  <wp:posOffset>1530527</wp:posOffset>
                </wp:positionH>
                <wp:positionV relativeFrom="paragraph">
                  <wp:posOffset>658199</wp:posOffset>
                </wp:positionV>
                <wp:extent cx="368617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3985"/>
                        </a:xfrm>
                        <a:prstGeom prst="rect">
                          <a:avLst/>
                        </a:prstGeom>
                        <a:solidFill>
                          <a:schemeClr val="tx1"/>
                        </a:solidFill>
                        <a:ln w="9525">
                          <a:solidFill>
                            <a:srgbClr val="000000"/>
                          </a:solidFill>
                          <a:miter lim="800000"/>
                          <a:headEnd/>
                          <a:tailEnd/>
                        </a:ln>
                      </wps:spPr>
                      <wps:txbx>
                        <w:txbxContent>
                          <w:p w14:paraId="420DFDCA" w14:textId="77777777" w:rsidR="002E0F2F" w:rsidRPr="00DD415B" w:rsidRDefault="002E0F2F" w:rsidP="002E0F2F">
                            <w:pPr>
                              <w:spacing w:before="0" w:line="276" w:lineRule="auto"/>
                              <w:rPr>
                                <w:szCs w:val="19"/>
                              </w:rPr>
                            </w:pPr>
                            <w:r w:rsidRPr="00DD415B">
                              <w:rPr>
                                <w:szCs w:val="19"/>
                              </w:rPr>
                              <w:t xml:space="preserve">This document was produced as an added resource for the publications sourced from the </w:t>
                            </w:r>
                            <w:r w:rsidRPr="00A776EE">
                              <w:rPr>
                                <w:szCs w:val="19"/>
                              </w:rPr>
                              <w:t>National VET Provider Collection.</w:t>
                            </w:r>
                            <w:r w:rsidRPr="00DD415B">
                              <w:rPr>
                                <w:szCs w:val="19"/>
                              </w:rPr>
                              <w:t xml:space="preserve"> These publications are available on the NCVER’s Portal: &lt;http</w:t>
                            </w:r>
                            <w:r>
                              <w:rPr>
                                <w:szCs w:val="19"/>
                              </w:rPr>
                              <w:t>s</w:t>
                            </w:r>
                            <w:r w:rsidRPr="00DD415B">
                              <w:rPr>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7AF14" id="_x0000_t202" coordsize="21600,21600" o:spt="202" path="m,l,21600r21600,l21600,xe">
                <v:stroke joinstyle="miter"/>
                <v:path gradientshapeok="t" o:connecttype="rect"/>
              </v:shapetype>
              <v:shape id="Text Box 2" o:spid="_x0000_s1026" type="#_x0000_t202" style="position:absolute;left:0;text-align:left;margin-left:120.5pt;margin-top:51.85pt;width:290.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" fillcolor="black [3213]">
                <v:textbox style="mso-fit-shape-to-text:t">
                  <w:txbxContent>
                    <w:p w14:paraId="420DFDCA" w14:textId="77777777" w:rsidR="002E0F2F" w:rsidRPr="00DD415B" w:rsidRDefault="002E0F2F" w:rsidP="002E0F2F">
                      <w:pPr>
                        <w:spacing w:before="0" w:line="276" w:lineRule="auto"/>
                        <w:rPr>
                          <w:szCs w:val="19"/>
                        </w:rPr>
                      </w:pPr>
                      <w:r w:rsidRPr="00DD415B">
                        <w:rPr>
                          <w:szCs w:val="19"/>
                        </w:rPr>
                        <w:t xml:space="preserve">This document was produced as an added resource for the publications sourced from the </w:t>
                      </w:r>
                      <w:r w:rsidRPr="00A776EE">
                        <w:rPr>
                          <w:szCs w:val="19"/>
                        </w:rPr>
                        <w:t>National VET Provider Collection.</w:t>
                      </w:r>
                      <w:r w:rsidRPr="00DD415B">
                        <w:rPr>
                          <w:szCs w:val="19"/>
                        </w:rPr>
                        <w:t xml:space="preserve"> These publications are available on the NCVER’s Portal: &lt;http</w:t>
                      </w:r>
                      <w:r>
                        <w:rPr>
                          <w:szCs w:val="19"/>
                        </w:rPr>
                        <w:t>s</w:t>
                      </w:r>
                      <w:r w:rsidRPr="00DD415B">
                        <w:rPr>
                          <w:szCs w:val="19"/>
                        </w:rPr>
                        <w:t>://www.ncver.edu.au&gt;.</w:t>
                      </w:r>
                    </w:p>
                  </w:txbxContent>
                </v:textbox>
              </v:shape>
            </w:pict>
          </mc:Fallback>
        </mc:AlternateContent>
      </w:r>
      <w:r w:rsidR="00FE4A2D" w:rsidRPr="005C2FCF">
        <w:br w:type="page"/>
      </w:r>
      <w:bookmarkStart w:id="3" w:name="_Toc495748330"/>
      <w:bookmarkStart w:id="4" w:name="_Toc495810630"/>
      <w:bookmarkStart w:id="5" w:name="_Toc6031787"/>
      <w:bookmarkStart w:id="6" w:name="_Toc6031844"/>
    </w:p>
    <w:p w14:paraId="5463399F" w14:textId="77777777" w:rsidR="008E6C3A" w:rsidRPr="005C2FCF" w:rsidRDefault="008E6C3A" w:rsidP="008E6C3A">
      <w:pPr>
        <w:pStyle w:val="Heading3"/>
        <w:ind w:right="-1"/>
      </w:pPr>
      <w:r w:rsidRPr="005C2FCF">
        <w:lastRenderedPageBreak/>
        <w:t>Publisher’s note</w:t>
      </w:r>
    </w:p>
    <w:p w14:paraId="7DA67DA5" w14:textId="72388FCA"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001470D1">
        <w:t>m</w:t>
      </w:r>
      <w:r w:rsidRPr="008E6C3A">
        <w:t xml:space="preserve"> and do not necessarily reflect the views of the Australian Government, state and territory governments or NCVER. Any errors and omissions are the responsibility of the author(s).</w:t>
      </w:r>
    </w:p>
    <w:p w14:paraId="7EF127DF" w14:textId="5B197A0D" w:rsidR="001F7AE0" w:rsidRDefault="001F7AE0" w:rsidP="008E6C3A">
      <w:pPr>
        <w:pStyle w:val="Imprint"/>
      </w:pPr>
    </w:p>
    <w:p w14:paraId="12626DBB" w14:textId="4AB1FF1A" w:rsidR="006D3CA1" w:rsidRDefault="006D3CA1" w:rsidP="008E6C3A">
      <w:pPr>
        <w:pStyle w:val="Imprint"/>
      </w:pPr>
    </w:p>
    <w:p w14:paraId="718B92E6" w14:textId="380C8487" w:rsidR="006D3CA1" w:rsidRDefault="006D3CA1" w:rsidP="008E6C3A">
      <w:pPr>
        <w:pStyle w:val="Imprint"/>
      </w:pPr>
    </w:p>
    <w:p w14:paraId="25E7C76F" w14:textId="77777777" w:rsidR="006D3CA1" w:rsidRDefault="006D3CA1" w:rsidP="008E6C3A">
      <w:pPr>
        <w:pStyle w:val="Imprint"/>
      </w:pPr>
    </w:p>
    <w:p w14:paraId="6B0371C0" w14:textId="6BB47050" w:rsidR="006A702B" w:rsidRDefault="006A702B" w:rsidP="008E6C3A">
      <w:pPr>
        <w:pStyle w:val="Imprint"/>
      </w:pPr>
    </w:p>
    <w:p w14:paraId="7E2FC264" w14:textId="77777777" w:rsidR="006A702B" w:rsidRDefault="006A702B" w:rsidP="008E6C3A">
      <w:pPr>
        <w:pStyle w:val="Imprint"/>
      </w:pPr>
    </w:p>
    <w:p w14:paraId="0941690C" w14:textId="5E1DEB87" w:rsidR="006A702B" w:rsidRDefault="006A702B" w:rsidP="008E6C3A">
      <w:pPr>
        <w:pStyle w:val="Imprint"/>
      </w:pPr>
    </w:p>
    <w:p w14:paraId="2D67A86F" w14:textId="1AC3FE2F" w:rsidR="006A702B" w:rsidRDefault="006A702B" w:rsidP="008E6C3A">
      <w:pPr>
        <w:pStyle w:val="Imprint"/>
      </w:pPr>
    </w:p>
    <w:p w14:paraId="7CB57134" w14:textId="79B5B6DD" w:rsidR="006A702B" w:rsidRDefault="006A702B" w:rsidP="008E6C3A">
      <w:pPr>
        <w:pStyle w:val="Imprint"/>
      </w:pPr>
    </w:p>
    <w:p w14:paraId="57C4D1A6" w14:textId="77777777" w:rsidR="006A702B" w:rsidRDefault="006A702B" w:rsidP="008E6C3A">
      <w:pPr>
        <w:pStyle w:val="Imprint"/>
      </w:pPr>
    </w:p>
    <w:p w14:paraId="34ABAD97" w14:textId="2B636F9C" w:rsidR="006A702B" w:rsidRDefault="001F7AE0" w:rsidP="008E6C3A">
      <w:pPr>
        <w:pStyle w:val="Imprint"/>
      </w:pPr>
      <w:r>
        <w:rPr>
          <w:noProof/>
          <w:kern w:val="28"/>
          <w:lang w:eastAsia="en-AU"/>
        </w:rPr>
        <mc:AlternateContent>
          <mc:Choice Requires="wps">
            <w:drawing>
              <wp:anchor distT="0" distB="0" distL="114300" distR="114300" simplePos="0" relativeHeight="251669504" behindDoc="0" locked="0" layoutInCell="1" allowOverlap="1" wp14:anchorId="3B6719ED" wp14:editId="7F689836">
                <wp:simplePos x="0" y="0"/>
                <wp:positionH relativeFrom="margin">
                  <wp:align>left</wp:align>
                </wp:positionH>
                <wp:positionV relativeFrom="margin">
                  <wp:posOffset>3623517</wp:posOffset>
                </wp:positionV>
                <wp:extent cx="5762625" cy="5241851"/>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241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7F0FF" w14:textId="24306847" w:rsidR="006D3CA1" w:rsidRPr="00A021FC" w:rsidRDefault="006D3CA1" w:rsidP="006D3CA1">
                            <w:pPr>
                              <w:pStyle w:val="Imprint"/>
                              <w:rPr>
                                <w:b/>
                              </w:rPr>
                            </w:pPr>
                            <w:r w:rsidRPr="00A021FC">
                              <w:rPr>
                                <w:b/>
                              </w:rPr>
                              <w:t xml:space="preserve">© </w:t>
                            </w:r>
                            <w:r w:rsidR="00375FB6" w:rsidRPr="00DE6ECB">
                              <w:rPr>
                                <w:b/>
                              </w:rPr>
                              <w:t>Commonwealth of Australia</w:t>
                            </w:r>
                            <w:r w:rsidRPr="00A021FC">
                              <w:rPr>
                                <w:b/>
                              </w:rPr>
                              <w:t xml:space="preserve">, </w:t>
                            </w:r>
                            <w:r>
                              <w:rPr>
                                <w:b/>
                              </w:rPr>
                              <w:t>2022</w:t>
                            </w:r>
                          </w:p>
                          <w:p w14:paraId="496547BE" w14:textId="77777777" w:rsidR="006D3CA1" w:rsidRDefault="006D3CA1" w:rsidP="006D3CA1">
                            <w:pPr>
                              <w:pStyle w:val="Imprint"/>
                              <w:rPr>
                                <w:sz w:val="20"/>
                              </w:rPr>
                            </w:pPr>
                            <w:r w:rsidRPr="00E80270">
                              <w:rPr>
                                <w:noProof/>
                                <w:sz w:val="20"/>
                                <w:lang w:eastAsia="en-AU"/>
                              </w:rPr>
                              <w:drawing>
                                <wp:inline distT="0" distB="0" distL="0" distR="0" wp14:anchorId="32BB8428" wp14:editId="5EC9B345">
                                  <wp:extent cx="850265" cy="302895"/>
                                  <wp:effectExtent l="19050" t="0" r="6985" b="0"/>
                                  <wp:docPr id="9"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4D7E2D72" w14:textId="77777777" w:rsidR="006D3CA1" w:rsidRDefault="006D3CA1" w:rsidP="006D3CA1">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7CA25E0E" w14:textId="77777777" w:rsidR="006D3CA1" w:rsidRPr="001D321A" w:rsidRDefault="006D3CA1" w:rsidP="006D3CA1">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7BFF31A6" w14:textId="77777777" w:rsidR="006D3CA1" w:rsidRDefault="006D3CA1" w:rsidP="006D3CA1">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820A32C" w14:textId="2EF4D147" w:rsidR="006D3CA1" w:rsidRPr="00A021FC" w:rsidRDefault="006D3CA1" w:rsidP="006D3CA1">
                            <w:pPr>
                              <w:pStyle w:val="Imprint"/>
                            </w:pPr>
                            <w:r w:rsidRPr="00A021FC">
                              <w:t xml:space="preserve">This document should be attributed as </w:t>
                            </w:r>
                            <w:r w:rsidRPr="00B502B7">
                              <w:t>NCVER 202</w:t>
                            </w:r>
                            <w:r>
                              <w:t>2</w:t>
                            </w:r>
                            <w:r w:rsidRPr="00B502B7">
                              <w:t xml:space="preserve">, </w:t>
                            </w:r>
                            <w:r w:rsidRPr="000A4A66">
                              <w:rPr>
                                <w:i/>
                                <w:iCs/>
                              </w:rPr>
                              <w:t>Government-funded students and courses: explanatory notes</w:t>
                            </w:r>
                            <w:r w:rsidRPr="00B502B7">
                              <w:t>, NCVER, Adelaide.</w:t>
                            </w:r>
                            <w:r>
                              <w:t xml:space="preserve"> </w:t>
                            </w:r>
                          </w:p>
                          <w:p w14:paraId="672077D1" w14:textId="77777777" w:rsidR="006D3CA1" w:rsidRPr="001D321A" w:rsidRDefault="006D3CA1" w:rsidP="006D3CA1">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w:t>
                            </w:r>
                            <w:r>
                              <w:t>Employment and Workplace Relations</w:t>
                            </w:r>
                            <w:r w:rsidRPr="001D321A">
                              <w:t xml:space="preserve">. </w:t>
                            </w:r>
                          </w:p>
                          <w:p w14:paraId="63A18CE7" w14:textId="77777777" w:rsidR="006D3CA1" w:rsidRPr="00D42A61" w:rsidRDefault="006D3CA1" w:rsidP="006D3CA1">
                            <w:pPr>
                              <w:pStyle w:val="Imprint"/>
                              <w:rPr>
                                <w:color w:val="000000"/>
                              </w:rPr>
                            </w:pPr>
                            <w:r w:rsidRPr="00D42A61">
                              <w:rPr>
                                <w:color w:val="000000"/>
                              </w:rPr>
                              <w:t>Published by NCVER, ABN 87 007 967 311</w:t>
                            </w:r>
                          </w:p>
                          <w:p w14:paraId="47A75D0C" w14:textId="77777777" w:rsidR="006D3CA1" w:rsidRPr="00D42A61" w:rsidRDefault="006D3CA1" w:rsidP="006D3CA1">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7AA97B1C" w14:textId="77777777" w:rsidR="006D3CA1" w:rsidRDefault="006D3CA1" w:rsidP="006D3CA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0" w:history="1">
                              <w:r w:rsidRPr="00D42A61">
                                <w:rPr>
                                  <w:rStyle w:val="Hyperlink"/>
                                  <w:sz w:val="16"/>
                                </w:rPr>
                                <w:t>ncver@ncver.edu.au</w:t>
                              </w:r>
                            </w:hyperlink>
                            <w:r w:rsidRPr="00D42A61">
                              <w:rPr>
                                <w:color w:val="000000"/>
                              </w:rPr>
                              <w:t xml:space="preserve">     </w:t>
                            </w:r>
                          </w:p>
                          <w:p w14:paraId="52E4D4A3" w14:textId="77777777" w:rsidR="006D3CA1" w:rsidRPr="00D42A61" w:rsidRDefault="006D3CA1" w:rsidP="006D3CA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A4A66">
                              <w:rPr>
                                <w:color w:val="000000"/>
                              </w:rPr>
                              <w:t>&lt;</w:t>
                            </w:r>
                            <w:proofErr w:type="gramEnd"/>
                            <w:hyperlink r:id="rId11" w:history="1">
                              <w:r w:rsidRPr="000A4A66">
                                <w:rPr>
                                  <w:rStyle w:val="Hyperlink"/>
                                  <w:sz w:val="16"/>
                                </w:rPr>
                                <w:t>https://www.lsay.edu.au</w:t>
                              </w:r>
                            </w:hyperlink>
                            <w:r w:rsidRPr="000A4A66">
                              <w:rPr>
                                <w:color w:val="000000"/>
                              </w:rPr>
                              <w:t>&gt;</w:t>
                            </w:r>
                          </w:p>
                          <w:p w14:paraId="2FBE479C" w14:textId="77777777" w:rsidR="006D3CA1" w:rsidRPr="00D42A61" w:rsidRDefault="006D3CA1" w:rsidP="006D3CA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AEF3581" wp14:editId="45E49517">
                                  <wp:extent cx="123825"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6D387DAD" wp14:editId="2B3A4C63">
                                  <wp:extent cx="133350"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31CDEFB5" w14:textId="77777777" w:rsidR="006D3CA1" w:rsidRPr="00D42A61" w:rsidRDefault="006D3CA1" w:rsidP="006D3CA1">
                            <w:pPr>
                              <w:pStyle w:val="Imprint"/>
                            </w:pPr>
                          </w:p>
                          <w:p w14:paraId="4471C9E5" w14:textId="77777777" w:rsidR="006D3CA1" w:rsidRPr="006A702B" w:rsidRDefault="006D3CA1" w:rsidP="006D3CA1"/>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B6719ED" id="Text Box 22" o:spid="_x0000_s1027" type="#_x0000_t202" style="position:absolute;margin-left:0;margin-top:285.3pt;width:453.75pt;height:412.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" filled="f" stroked="f">
                <v:textbox>
                  <w:txbxContent>
                    <w:p w14:paraId="3977F0FF" w14:textId="24306847" w:rsidR="006D3CA1" w:rsidRPr="00A021FC" w:rsidRDefault="006D3CA1" w:rsidP="006D3CA1">
                      <w:pPr>
                        <w:pStyle w:val="Imprint"/>
                        <w:rPr>
                          <w:b/>
                        </w:rPr>
                      </w:pPr>
                      <w:r w:rsidRPr="00A021FC">
                        <w:rPr>
                          <w:b/>
                        </w:rPr>
                        <w:t xml:space="preserve">© </w:t>
                      </w:r>
                      <w:r w:rsidR="00375FB6" w:rsidRPr="00DE6ECB">
                        <w:rPr>
                          <w:b/>
                        </w:rPr>
                        <w:t>Commonwealth of Australia</w:t>
                      </w:r>
                      <w:r w:rsidRPr="00A021FC">
                        <w:rPr>
                          <w:b/>
                        </w:rPr>
                        <w:t xml:space="preserve">, </w:t>
                      </w:r>
                      <w:r>
                        <w:rPr>
                          <w:b/>
                        </w:rPr>
                        <w:t>2022</w:t>
                      </w:r>
                    </w:p>
                    <w:p w14:paraId="496547BE" w14:textId="77777777" w:rsidR="006D3CA1" w:rsidRDefault="006D3CA1" w:rsidP="006D3CA1">
                      <w:pPr>
                        <w:pStyle w:val="Imprint"/>
                        <w:rPr>
                          <w:sz w:val="20"/>
                        </w:rPr>
                      </w:pPr>
                      <w:r w:rsidRPr="00E80270">
                        <w:rPr>
                          <w:noProof/>
                          <w:sz w:val="20"/>
                          <w:lang w:eastAsia="en-AU"/>
                        </w:rPr>
                        <w:drawing>
                          <wp:inline distT="0" distB="0" distL="0" distR="0" wp14:anchorId="32BB8428" wp14:editId="5EC9B345">
                            <wp:extent cx="850265" cy="302895"/>
                            <wp:effectExtent l="19050" t="0" r="6985" b="0"/>
                            <wp:docPr id="9"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4D7E2D72" w14:textId="77777777" w:rsidR="006D3CA1" w:rsidRDefault="006D3CA1" w:rsidP="006D3CA1">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7CA25E0E" w14:textId="77777777" w:rsidR="006D3CA1" w:rsidRPr="001D321A" w:rsidRDefault="006D3CA1" w:rsidP="006D3CA1">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7BFF31A6" w14:textId="77777777" w:rsidR="006D3CA1" w:rsidRDefault="006D3CA1" w:rsidP="006D3CA1">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820A32C" w14:textId="2EF4D147" w:rsidR="006D3CA1" w:rsidRPr="00A021FC" w:rsidRDefault="006D3CA1" w:rsidP="006D3CA1">
                      <w:pPr>
                        <w:pStyle w:val="Imprint"/>
                      </w:pPr>
                      <w:r w:rsidRPr="00A021FC">
                        <w:t xml:space="preserve">This document should be attributed as </w:t>
                      </w:r>
                      <w:r w:rsidRPr="00B502B7">
                        <w:t>NCVER 202</w:t>
                      </w:r>
                      <w:r>
                        <w:t>2</w:t>
                      </w:r>
                      <w:r w:rsidRPr="00B502B7">
                        <w:t xml:space="preserve">, </w:t>
                      </w:r>
                      <w:r w:rsidRPr="000A4A66">
                        <w:rPr>
                          <w:i/>
                          <w:iCs/>
                        </w:rPr>
                        <w:t>Government-funded students and courses: explanatory notes</w:t>
                      </w:r>
                      <w:r w:rsidRPr="00B502B7">
                        <w:t>, NCVER, Adelaide.</w:t>
                      </w:r>
                      <w:r>
                        <w:t xml:space="preserve"> </w:t>
                      </w:r>
                    </w:p>
                    <w:p w14:paraId="672077D1" w14:textId="77777777" w:rsidR="006D3CA1" w:rsidRPr="001D321A" w:rsidRDefault="006D3CA1" w:rsidP="006D3CA1">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w:t>
                      </w:r>
                      <w:r>
                        <w:t>Employment and Workplace Relations</w:t>
                      </w:r>
                      <w:r w:rsidRPr="001D321A">
                        <w:t xml:space="preserve">. </w:t>
                      </w:r>
                    </w:p>
                    <w:p w14:paraId="63A18CE7" w14:textId="77777777" w:rsidR="006D3CA1" w:rsidRPr="00D42A61" w:rsidRDefault="006D3CA1" w:rsidP="006D3CA1">
                      <w:pPr>
                        <w:pStyle w:val="Imprint"/>
                        <w:rPr>
                          <w:color w:val="000000"/>
                        </w:rPr>
                      </w:pPr>
                      <w:r w:rsidRPr="00D42A61">
                        <w:rPr>
                          <w:color w:val="000000"/>
                        </w:rPr>
                        <w:t>Published by NCVER, ABN 87 007 967 311</w:t>
                      </w:r>
                    </w:p>
                    <w:p w14:paraId="47A75D0C" w14:textId="77777777" w:rsidR="006D3CA1" w:rsidRPr="00D42A61" w:rsidRDefault="006D3CA1" w:rsidP="006D3CA1">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7AA97B1C" w14:textId="77777777" w:rsidR="006D3CA1" w:rsidRDefault="006D3CA1" w:rsidP="006D3CA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4" w:history="1">
                        <w:r w:rsidRPr="00D42A61">
                          <w:rPr>
                            <w:rStyle w:val="Hyperlink"/>
                            <w:sz w:val="16"/>
                          </w:rPr>
                          <w:t>ncver@ncver.edu.au</w:t>
                        </w:r>
                      </w:hyperlink>
                      <w:r w:rsidRPr="00D42A61">
                        <w:rPr>
                          <w:color w:val="000000"/>
                        </w:rPr>
                        <w:t xml:space="preserve">     </w:t>
                      </w:r>
                    </w:p>
                    <w:p w14:paraId="52E4D4A3" w14:textId="77777777" w:rsidR="006D3CA1" w:rsidRPr="00D42A61" w:rsidRDefault="006D3CA1" w:rsidP="006D3CA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A4A66">
                        <w:rPr>
                          <w:color w:val="000000"/>
                        </w:rPr>
                        <w:t>&lt;</w:t>
                      </w:r>
                      <w:proofErr w:type="gramEnd"/>
                      <w:hyperlink r:id="rId15" w:history="1">
                        <w:r w:rsidRPr="000A4A66">
                          <w:rPr>
                            <w:rStyle w:val="Hyperlink"/>
                            <w:sz w:val="16"/>
                          </w:rPr>
                          <w:t>https://www.lsay.edu.au</w:t>
                        </w:r>
                      </w:hyperlink>
                      <w:r w:rsidRPr="000A4A66">
                        <w:rPr>
                          <w:color w:val="000000"/>
                        </w:rPr>
                        <w:t>&gt;</w:t>
                      </w:r>
                    </w:p>
                    <w:p w14:paraId="2FBE479C" w14:textId="77777777" w:rsidR="006D3CA1" w:rsidRPr="00D42A61" w:rsidRDefault="006D3CA1" w:rsidP="006D3CA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AEF3581" wp14:editId="45E49517">
                            <wp:extent cx="123825"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6D387DAD" wp14:editId="2B3A4C63">
                            <wp:extent cx="133350"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31CDEFB5" w14:textId="77777777" w:rsidR="006D3CA1" w:rsidRPr="00D42A61" w:rsidRDefault="006D3CA1" w:rsidP="006D3CA1">
                      <w:pPr>
                        <w:pStyle w:val="Imprint"/>
                      </w:pPr>
                    </w:p>
                    <w:p w14:paraId="4471C9E5" w14:textId="77777777" w:rsidR="006D3CA1" w:rsidRPr="006A702B" w:rsidRDefault="006D3CA1" w:rsidP="006D3CA1"/>
                  </w:txbxContent>
                </v:textbox>
                <w10:wrap anchorx="margin" anchory="margin"/>
              </v:shape>
            </w:pict>
          </mc:Fallback>
        </mc:AlternateContent>
      </w:r>
    </w:p>
    <w:p w14:paraId="392F3CFE" w14:textId="524E92D2" w:rsidR="006A702B" w:rsidRDefault="006A702B" w:rsidP="008E6C3A">
      <w:pPr>
        <w:pStyle w:val="Imprint"/>
      </w:pPr>
    </w:p>
    <w:p w14:paraId="6443AC85" w14:textId="7D13D852" w:rsidR="006A702B" w:rsidRDefault="006A702B" w:rsidP="006A702B">
      <w:pPr>
        <w:pStyle w:val="Text"/>
      </w:pPr>
    </w:p>
    <w:p w14:paraId="133E58C4" w14:textId="62A9B33B" w:rsidR="006A702B" w:rsidRDefault="006A702B" w:rsidP="006A702B">
      <w:pPr>
        <w:pStyle w:val="Text"/>
      </w:pPr>
    </w:p>
    <w:p w14:paraId="59E000A3" w14:textId="26B8F7F1" w:rsidR="006A702B" w:rsidRDefault="006A702B" w:rsidP="006A702B">
      <w:pPr>
        <w:pStyle w:val="Text"/>
      </w:pPr>
    </w:p>
    <w:p w14:paraId="01855837" w14:textId="6958300A" w:rsidR="006A702B" w:rsidRDefault="006A702B" w:rsidP="006A702B">
      <w:pPr>
        <w:pStyle w:val="Text"/>
      </w:pPr>
    </w:p>
    <w:p w14:paraId="7395F824" w14:textId="07E9E08F" w:rsidR="006A702B" w:rsidRDefault="006A702B" w:rsidP="006A702B">
      <w:pPr>
        <w:pStyle w:val="Text"/>
      </w:pPr>
    </w:p>
    <w:p w14:paraId="5B5D65D4" w14:textId="4C645825" w:rsidR="006A702B" w:rsidRDefault="006A702B" w:rsidP="006A702B">
      <w:pPr>
        <w:pStyle w:val="Text"/>
      </w:pPr>
    </w:p>
    <w:p w14:paraId="291858D9" w14:textId="6AC6F74D" w:rsidR="00177827" w:rsidRDefault="00177827" w:rsidP="00874DA5">
      <w:pPr>
        <w:pStyle w:val="Contents"/>
      </w:pPr>
    </w:p>
    <w:p w14:paraId="261546B7" w14:textId="4E771DF6"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16"/>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7" w:name="_Toc98394880"/>
      <w:bookmarkStart w:id="8" w:name="_Toc296423683"/>
      <w:bookmarkStart w:id="9" w:name="_Toc296497514"/>
      <w:r w:rsidRPr="00DC5F5C">
        <w:lastRenderedPageBreak/>
        <w:t>Contents</w:t>
      </w:r>
      <w:bookmarkEnd w:id="7"/>
      <w:bookmarkEnd w:id="8"/>
      <w:bookmarkEnd w:id="9"/>
    </w:p>
    <w:p w14:paraId="4CFE3AA8" w14:textId="7F093BCB" w:rsidR="005F602F" w:rsidRDefault="00E110EA" w:rsidP="00DF41F1">
      <w:pPr>
        <w:pStyle w:val="TOC1"/>
        <w:tabs>
          <w:tab w:val="clear" w:pos="6804"/>
          <w:tab w:val="right" w:pos="9214"/>
        </w:tabs>
        <w:ind w:right="84"/>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5F602F">
        <w:t>Tables</w:t>
      </w:r>
      <w:r w:rsidR="005F602F">
        <w:tab/>
      </w:r>
      <w:r w:rsidR="005F602F">
        <w:fldChar w:fldCharType="begin"/>
      </w:r>
      <w:r w:rsidR="005F602F">
        <w:instrText xml:space="preserve"> PAGEREF _Toc111046630 \h </w:instrText>
      </w:r>
      <w:r w:rsidR="005F602F">
        <w:fldChar w:fldCharType="separate"/>
      </w:r>
      <w:r w:rsidR="005F602F">
        <w:t>4</w:t>
      </w:r>
      <w:r w:rsidR="005F602F">
        <w:fldChar w:fldCharType="end"/>
      </w:r>
    </w:p>
    <w:p w14:paraId="501D2E13" w14:textId="2C6D1B52" w:rsidR="005F602F" w:rsidRDefault="005F602F" w:rsidP="00DF41F1">
      <w:pPr>
        <w:pStyle w:val="TOC1"/>
        <w:tabs>
          <w:tab w:val="clear" w:pos="6804"/>
          <w:tab w:val="right" w:pos="9214"/>
        </w:tabs>
        <w:ind w:right="84"/>
        <w:rPr>
          <w:rFonts w:asciiTheme="minorHAnsi" w:eastAsiaTheme="minorEastAsia" w:hAnsiTheme="minorHAnsi" w:cstheme="minorBidi"/>
          <w:color w:val="auto"/>
          <w:sz w:val="22"/>
          <w:szCs w:val="22"/>
          <w:lang w:eastAsia="en-AU"/>
        </w:rPr>
      </w:pPr>
      <w:r>
        <w:t>Explanatory notes</w:t>
      </w:r>
      <w:r>
        <w:tab/>
      </w:r>
      <w:r>
        <w:fldChar w:fldCharType="begin"/>
      </w:r>
      <w:r>
        <w:instrText xml:space="preserve"> PAGEREF _Toc111046631 \h </w:instrText>
      </w:r>
      <w:r>
        <w:fldChar w:fldCharType="separate"/>
      </w:r>
      <w:r>
        <w:t>5</w:t>
      </w:r>
      <w:r>
        <w:fldChar w:fldCharType="end"/>
      </w:r>
    </w:p>
    <w:p w14:paraId="0A7D7017" w14:textId="5267F3CD"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t>Scope</w:t>
      </w:r>
      <w:r>
        <w:tab/>
      </w:r>
      <w:r>
        <w:fldChar w:fldCharType="begin"/>
      </w:r>
      <w:r>
        <w:instrText xml:space="preserve"> PAGEREF _Toc111046632 \h </w:instrText>
      </w:r>
      <w:r>
        <w:fldChar w:fldCharType="separate"/>
      </w:r>
      <w:r>
        <w:t>5</w:t>
      </w:r>
      <w:r>
        <w:fldChar w:fldCharType="end"/>
      </w:r>
    </w:p>
    <w:p w14:paraId="0941C606" w14:textId="6FBDCE3D"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rPr>
          <w:lang w:eastAsia="en-AU"/>
        </w:rPr>
        <w:t>Student counts and participation</w:t>
      </w:r>
      <w:r>
        <w:tab/>
      </w:r>
      <w:r>
        <w:fldChar w:fldCharType="begin"/>
      </w:r>
      <w:r>
        <w:instrText xml:space="preserve"> PAGEREF _Toc111046633 \h </w:instrText>
      </w:r>
      <w:r>
        <w:fldChar w:fldCharType="separate"/>
      </w:r>
      <w:r>
        <w:t>5</w:t>
      </w:r>
      <w:r>
        <w:fldChar w:fldCharType="end"/>
      </w:r>
    </w:p>
    <w:p w14:paraId="3B569957" w14:textId="5876C318"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t>Reporting derivations</w:t>
      </w:r>
      <w:r>
        <w:tab/>
      </w:r>
      <w:r>
        <w:fldChar w:fldCharType="begin"/>
      </w:r>
      <w:r>
        <w:instrText xml:space="preserve"> PAGEREF _Toc111046634 \h </w:instrText>
      </w:r>
      <w:r>
        <w:fldChar w:fldCharType="separate"/>
      </w:r>
      <w:r>
        <w:t>5</w:t>
      </w:r>
      <w:r>
        <w:fldChar w:fldCharType="end"/>
      </w:r>
    </w:p>
    <w:p w14:paraId="04456B30" w14:textId="78B96F1E"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t>Data quality and comparability issues</w:t>
      </w:r>
      <w:r>
        <w:tab/>
      </w:r>
      <w:r>
        <w:fldChar w:fldCharType="begin"/>
      </w:r>
      <w:r>
        <w:instrText xml:space="preserve"> PAGEREF _Toc111046635 \h </w:instrText>
      </w:r>
      <w:r>
        <w:fldChar w:fldCharType="separate"/>
      </w:r>
      <w:r>
        <w:t>6</w:t>
      </w:r>
      <w:r>
        <w:fldChar w:fldCharType="end"/>
      </w:r>
    </w:p>
    <w:p w14:paraId="762DB5F9" w14:textId="077C0A3D"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rPr>
          <w:lang w:eastAsia="en-AU"/>
        </w:rPr>
        <w:t>Australian Bureau of Statistics data</w:t>
      </w:r>
      <w:r>
        <w:tab/>
      </w:r>
      <w:r>
        <w:fldChar w:fldCharType="begin"/>
      </w:r>
      <w:r>
        <w:instrText xml:space="preserve"> PAGEREF _Toc111046636 \h </w:instrText>
      </w:r>
      <w:r>
        <w:fldChar w:fldCharType="separate"/>
      </w:r>
      <w:r>
        <w:t>7</w:t>
      </w:r>
      <w:r>
        <w:fldChar w:fldCharType="end"/>
      </w:r>
    </w:p>
    <w:p w14:paraId="52AB11BC" w14:textId="190D6607"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rPr>
          <w:lang w:eastAsia="en-AU"/>
        </w:rPr>
        <w:t>Training providers</w:t>
      </w:r>
      <w:r>
        <w:tab/>
      </w:r>
      <w:r>
        <w:fldChar w:fldCharType="begin"/>
      </w:r>
      <w:r>
        <w:instrText xml:space="preserve"> PAGEREF _Toc111046637 \h </w:instrText>
      </w:r>
      <w:r>
        <w:fldChar w:fldCharType="separate"/>
      </w:r>
      <w:r>
        <w:t>7</w:t>
      </w:r>
      <w:r>
        <w:fldChar w:fldCharType="end"/>
      </w:r>
    </w:p>
    <w:p w14:paraId="07D431F1" w14:textId="7061B09E"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t>‘Not known’ information</w:t>
      </w:r>
      <w:r>
        <w:tab/>
      </w:r>
      <w:r>
        <w:fldChar w:fldCharType="begin"/>
      </w:r>
      <w:r>
        <w:instrText xml:space="preserve"> PAGEREF _Toc111046638 \h </w:instrText>
      </w:r>
      <w:r>
        <w:fldChar w:fldCharType="separate"/>
      </w:r>
      <w:r>
        <w:t>8</w:t>
      </w:r>
      <w:r>
        <w:fldChar w:fldCharType="end"/>
      </w:r>
    </w:p>
    <w:p w14:paraId="728C9974" w14:textId="125EC3E1"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rPr>
          <w:lang w:eastAsia="en-AU"/>
        </w:rPr>
        <w:t>Miscellaneous</w:t>
      </w:r>
      <w:r>
        <w:tab/>
      </w:r>
      <w:r>
        <w:fldChar w:fldCharType="begin"/>
      </w:r>
      <w:r>
        <w:instrText xml:space="preserve"> PAGEREF _Toc111046639 \h </w:instrText>
      </w:r>
      <w:r>
        <w:fldChar w:fldCharType="separate"/>
      </w:r>
      <w:r>
        <w:t>8</w:t>
      </w:r>
      <w:r>
        <w:fldChar w:fldCharType="end"/>
      </w:r>
    </w:p>
    <w:p w14:paraId="7F1DB90A" w14:textId="796D8F00" w:rsidR="004E7227" w:rsidRDefault="00E110EA" w:rsidP="00814C67">
      <w:pPr>
        <w:pStyle w:val="Text"/>
        <w:tabs>
          <w:tab w:val="right" w:pos="9214"/>
        </w:tabs>
        <w:ind w:right="84"/>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59883F0B" w:rsidR="004E7227" w:rsidRDefault="004E7227" w:rsidP="004E7227">
      <w:pPr>
        <w:pStyle w:val="Heading1"/>
      </w:pPr>
      <w:bookmarkStart w:id="10" w:name="_Toc111046630"/>
      <w:bookmarkStart w:id="11" w:name="_Toc73535964"/>
      <w:r>
        <w:lastRenderedPageBreak/>
        <w:t>Tables</w:t>
      </w:r>
      <w:bookmarkEnd w:id="10"/>
      <w:r>
        <w:t xml:space="preserve"> </w:t>
      </w:r>
      <w:bookmarkEnd w:id="11"/>
    </w:p>
    <w:p w14:paraId="2F46CC70" w14:textId="425669B0" w:rsidR="00E93B33" w:rsidRDefault="00E110EA" w:rsidP="00317478">
      <w:pPr>
        <w:pStyle w:val="TableofFigures"/>
        <w:tabs>
          <w:tab w:val="clear" w:pos="6804"/>
          <w:tab w:val="right" w:pos="9214"/>
        </w:tabs>
        <w:ind w:right="141"/>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E93B33">
        <w:t>Provider reporting type by state/territory, 202</w:t>
      </w:r>
      <w:r w:rsidR="00A13F09">
        <w:t>2</w:t>
      </w:r>
      <w:r w:rsidR="00E93B33">
        <w:tab/>
      </w:r>
      <w:r w:rsidR="00E93B33">
        <w:fldChar w:fldCharType="begin"/>
      </w:r>
      <w:r w:rsidR="00E93B33">
        <w:instrText xml:space="preserve"> PAGEREF _Toc75275441 \h </w:instrText>
      </w:r>
      <w:r w:rsidR="00E93B33">
        <w:fldChar w:fldCharType="separate"/>
      </w:r>
      <w:r w:rsidR="00C06DF2">
        <w:t>7</w:t>
      </w:r>
      <w:r w:rsidR="00E93B33">
        <w:fldChar w:fldCharType="end"/>
      </w:r>
    </w:p>
    <w:p w14:paraId="4A1DB130" w14:textId="15842E4E" w:rsidR="00E93B33" w:rsidRDefault="00E93B33" w:rsidP="00317478">
      <w:pPr>
        <w:pStyle w:val="TableofFigures"/>
        <w:tabs>
          <w:tab w:val="clear" w:pos="6804"/>
          <w:tab w:val="right" w:pos="9214"/>
        </w:tabs>
        <w:ind w:right="141"/>
        <w:rPr>
          <w:rFonts w:asciiTheme="minorHAnsi" w:eastAsiaTheme="minorEastAsia" w:hAnsiTheme="minorHAnsi" w:cstheme="minorBidi"/>
          <w:color w:val="auto"/>
          <w:sz w:val="22"/>
          <w:szCs w:val="22"/>
          <w:lang w:eastAsia="en-AU"/>
        </w:rPr>
      </w:pPr>
      <w:r>
        <w:t>Provider reporting type, 201</w:t>
      </w:r>
      <w:r w:rsidR="00A13F09">
        <w:t>8</w:t>
      </w:r>
      <w:r>
        <w:t xml:space="preserve"> to 202</w:t>
      </w:r>
      <w:r w:rsidR="00A13F09">
        <w:t>2</w:t>
      </w:r>
      <w:r>
        <w:tab/>
      </w:r>
      <w:r w:rsidR="00860F02">
        <w:t>8</w:t>
      </w:r>
    </w:p>
    <w:p w14:paraId="199C2F56" w14:textId="01AB5C13" w:rsidR="00E93B33" w:rsidRDefault="00E93B33" w:rsidP="00317478">
      <w:pPr>
        <w:pStyle w:val="TableofFigures"/>
        <w:tabs>
          <w:tab w:val="clear" w:pos="6804"/>
          <w:tab w:val="right" w:pos="9214"/>
        </w:tabs>
        <w:ind w:right="141"/>
        <w:rPr>
          <w:rFonts w:asciiTheme="minorHAnsi" w:eastAsiaTheme="minorEastAsia" w:hAnsiTheme="minorHAnsi" w:cstheme="minorBidi"/>
          <w:color w:val="auto"/>
          <w:sz w:val="22"/>
          <w:szCs w:val="22"/>
          <w:lang w:eastAsia="en-AU"/>
        </w:rPr>
      </w:pPr>
      <w:r>
        <w:t>Government-funded students with ‘not known’ data, 201</w:t>
      </w:r>
      <w:r w:rsidR="00A13F09">
        <w:t>8</w:t>
      </w:r>
      <w:r>
        <w:t xml:space="preserve"> to 202</w:t>
      </w:r>
      <w:r w:rsidR="00A13F09">
        <w:t>2</w:t>
      </w:r>
      <w:r>
        <w:t xml:space="preserve"> (%)</w:t>
      </w:r>
      <w:r>
        <w:tab/>
      </w:r>
      <w:r>
        <w:fldChar w:fldCharType="begin"/>
      </w:r>
      <w:r>
        <w:instrText xml:space="preserve"> PAGEREF _Toc75275443 \h </w:instrText>
      </w:r>
      <w:r>
        <w:fldChar w:fldCharType="separate"/>
      </w:r>
      <w:r w:rsidR="00C06DF2">
        <w:t>8</w:t>
      </w:r>
      <w:r>
        <w:fldChar w:fldCharType="end"/>
      </w:r>
    </w:p>
    <w:p w14:paraId="1CA85E69" w14:textId="3FF6EF3B" w:rsidR="00A93867" w:rsidRPr="00A93867" w:rsidRDefault="00E110EA" w:rsidP="00317478">
      <w:pPr>
        <w:pStyle w:val="Heading2"/>
        <w:tabs>
          <w:tab w:val="right" w:pos="8364"/>
          <w:tab w:val="right" w:pos="9214"/>
        </w:tabs>
        <w:ind w:right="141"/>
        <w:rPr>
          <w:rFonts w:ascii="Tahoma" w:hAnsi="Tahoma"/>
          <w:b/>
          <w:color w:val="000000"/>
          <w:kern w:val="28"/>
          <w:sz w:val="56"/>
          <w:szCs w:val="56"/>
        </w:rPr>
      </w:pPr>
      <w:r>
        <w:fldChar w:fldCharType="end"/>
      </w:r>
      <w:bookmarkStart w:id="12" w:name="_Toc298162803"/>
      <w:r w:rsidR="00A93867" w:rsidRPr="00A93867">
        <w:rPr>
          <w:b/>
        </w:rPr>
        <w:br w:type="page"/>
      </w:r>
    </w:p>
    <w:p w14:paraId="023AA9C8" w14:textId="16604DCA" w:rsidR="009E231A" w:rsidRPr="005C2FCF" w:rsidRDefault="0036062F" w:rsidP="008C0A74">
      <w:pPr>
        <w:pStyle w:val="Heading1"/>
      </w:pPr>
      <w:bookmarkStart w:id="13" w:name="_Toc73535967"/>
      <w:bookmarkStart w:id="14" w:name="_Toc111046631"/>
      <w:bookmarkEnd w:id="12"/>
      <w:r>
        <w:lastRenderedPageBreak/>
        <w:t>Explanatory notes</w:t>
      </w:r>
      <w:bookmarkEnd w:id="13"/>
      <w:bookmarkEnd w:id="14"/>
    </w:p>
    <w:p w14:paraId="1F9003A6" w14:textId="22352D23" w:rsidR="00A50895" w:rsidRDefault="0036062F" w:rsidP="00A50895">
      <w:pPr>
        <w:pStyle w:val="Heading2"/>
      </w:pPr>
      <w:bookmarkStart w:id="15" w:name="_Toc111046632"/>
      <w:r>
        <w:t>Scope</w:t>
      </w:r>
      <w:bookmarkEnd w:id="15"/>
    </w:p>
    <w:p w14:paraId="6181A050" w14:textId="77777777" w:rsidR="0036062F" w:rsidRPr="00F309CB" w:rsidRDefault="0036062F" w:rsidP="00317478">
      <w:pPr>
        <w:pStyle w:val="NumberedText"/>
        <w:tabs>
          <w:tab w:val="clear" w:pos="567"/>
        </w:tabs>
        <w:ind w:left="426" w:hanging="426"/>
      </w:pPr>
      <w:bookmarkStart w:id="16" w:name="_Hlk13748787"/>
      <w:r w:rsidRPr="00F309CB">
        <w:t xml:space="preserve">The data are </w:t>
      </w:r>
      <w:r w:rsidRPr="00E8656F">
        <w:t>sourced</w:t>
      </w:r>
      <w:r w:rsidRPr="00F309CB">
        <w:t xml:space="preserve"> from the administrative records held by the state training authorities and other relevant bodies. The tables provide information on the government-funded VET delivered by:</w:t>
      </w:r>
    </w:p>
    <w:bookmarkEnd w:id="16"/>
    <w:p w14:paraId="44F00789" w14:textId="77777777" w:rsidR="0036062F" w:rsidRPr="00471A1E" w:rsidRDefault="0036062F" w:rsidP="00317478">
      <w:pPr>
        <w:pStyle w:val="Dotpoint1"/>
        <w:tabs>
          <w:tab w:val="clear" w:pos="567"/>
          <w:tab w:val="left" w:pos="851"/>
        </w:tabs>
        <w:ind w:left="851" w:hanging="425"/>
        <w:rPr>
          <w:szCs w:val="19"/>
        </w:rPr>
      </w:pPr>
      <w:r w:rsidRPr="00471A1E">
        <w:rPr>
          <w:szCs w:val="19"/>
        </w:rPr>
        <w:t xml:space="preserve">TAFE institutes and other government VET providers </w:t>
      </w:r>
    </w:p>
    <w:p w14:paraId="475DF0E1" w14:textId="77777777" w:rsidR="0036062F" w:rsidRPr="00471A1E" w:rsidRDefault="0036062F" w:rsidP="00317478">
      <w:pPr>
        <w:pStyle w:val="Dotpoint1"/>
        <w:tabs>
          <w:tab w:val="clear" w:pos="567"/>
          <w:tab w:val="left" w:pos="851"/>
        </w:tabs>
        <w:ind w:left="851" w:hanging="425"/>
        <w:rPr>
          <w:szCs w:val="19"/>
        </w:rPr>
      </w:pPr>
      <w:r w:rsidRPr="00471A1E">
        <w:rPr>
          <w:szCs w:val="19"/>
        </w:rPr>
        <w:t>community education providers</w:t>
      </w:r>
    </w:p>
    <w:p w14:paraId="79EEC6F8" w14:textId="77777777" w:rsidR="0036062F" w:rsidRPr="00471A1E" w:rsidRDefault="0036062F" w:rsidP="00317478">
      <w:pPr>
        <w:pStyle w:val="Dotpoint1"/>
        <w:tabs>
          <w:tab w:val="clear" w:pos="567"/>
          <w:tab w:val="left" w:pos="851"/>
        </w:tabs>
        <w:ind w:left="851" w:hanging="425"/>
        <w:rPr>
          <w:szCs w:val="19"/>
        </w:rPr>
      </w:pPr>
      <w:r w:rsidRPr="00471A1E">
        <w:rPr>
          <w:szCs w:val="19"/>
        </w:rPr>
        <w:t>private training providers</w:t>
      </w:r>
    </w:p>
    <w:p w14:paraId="58541320" w14:textId="77777777" w:rsidR="0036062F" w:rsidRPr="00471A1E" w:rsidRDefault="0036062F" w:rsidP="00317478">
      <w:pPr>
        <w:pStyle w:val="Dotpoint1"/>
        <w:tabs>
          <w:tab w:val="clear" w:pos="567"/>
          <w:tab w:val="left" w:pos="851"/>
        </w:tabs>
        <w:ind w:left="851" w:hanging="425"/>
        <w:rPr>
          <w:szCs w:val="19"/>
        </w:rPr>
      </w:pPr>
      <w:r w:rsidRPr="00471A1E">
        <w:rPr>
          <w:szCs w:val="19"/>
        </w:rPr>
        <w:t xml:space="preserve">other training providers. </w:t>
      </w:r>
    </w:p>
    <w:p w14:paraId="2C6E965B" w14:textId="77777777" w:rsidR="0036062F" w:rsidRPr="000654FE" w:rsidRDefault="0036062F" w:rsidP="00317478">
      <w:pPr>
        <w:pStyle w:val="NumberedText"/>
        <w:ind w:left="426" w:hanging="426"/>
      </w:pPr>
      <w:r w:rsidRPr="000654FE">
        <w:t>This publication does not cover the following types of training activity:</w:t>
      </w:r>
    </w:p>
    <w:p w14:paraId="298AF1D5" w14:textId="77777777" w:rsidR="0036062F" w:rsidRPr="00317478" w:rsidRDefault="0036062F" w:rsidP="00317478">
      <w:pPr>
        <w:pStyle w:val="Dotpoint1"/>
        <w:tabs>
          <w:tab w:val="clear" w:pos="567"/>
          <w:tab w:val="left" w:pos="851"/>
        </w:tabs>
        <w:ind w:left="851" w:hanging="425"/>
        <w:rPr>
          <w:szCs w:val="19"/>
        </w:rPr>
      </w:pPr>
      <w:r w:rsidRPr="00317478">
        <w:rPr>
          <w:szCs w:val="19"/>
        </w:rPr>
        <w:t xml:space="preserve">fee-for-service training activity </w:t>
      </w:r>
    </w:p>
    <w:p w14:paraId="526C4AE0" w14:textId="77777777" w:rsidR="0036062F" w:rsidRPr="00317478" w:rsidRDefault="0036062F" w:rsidP="00317478">
      <w:pPr>
        <w:pStyle w:val="Dotpoint1"/>
        <w:tabs>
          <w:tab w:val="clear" w:pos="567"/>
          <w:tab w:val="left" w:pos="851"/>
        </w:tabs>
        <w:ind w:left="851" w:hanging="425"/>
        <w:rPr>
          <w:szCs w:val="19"/>
        </w:rPr>
      </w:pPr>
      <w:r w:rsidRPr="00317478">
        <w:rPr>
          <w:szCs w:val="19"/>
        </w:rPr>
        <w:t>delivery undertaken at overseas campuses of Australian VET institutions</w:t>
      </w:r>
    </w:p>
    <w:p w14:paraId="1F814CB1" w14:textId="77777777" w:rsidR="0036062F" w:rsidRPr="00317478" w:rsidRDefault="0036062F" w:rsidP="00317478">
      <w:pPr>
        <w:pStyle w:val="Dotpoint1"/>
        <w:tabs>
          <w:tab w:val="clear" w:pos="567"/>
          <w:tab w:val="left" w:pos="851"/>
        </w:tabs>
        <w:ind w:left="851" w:hanging="425"/>
        <w:rPr>
          <w:szCs w:val="19"/>
        </w:rPr>
      </w:pPr>
      <w:r w:rsidRPr="00317478">
        <w:rPr>
          <w:szCs w:val="19"/>
        </w:rPr>
        <w:t>credit transfer</w:t>
      </w:r>
    </w:p>
    <w:p w14:paraId="3E67E98F" w14:textId="3C35A784" w:rsidR="0036062F" w:rsidRPr="00317478" w:rsidRDefault="0036062F" w:rsidP="00317478">
      <w:pPr>
        <w:pStyle w:val="Dotpoint1"/>
        <w:tabs>
          <w:tab w:val="clear" w:pos="567"/>
          <w:tab w:val="left" w:pos="851"/>
        </w:tabs>
        <w:ind w:left="851" w:hanging="425"/>
        <w:rPr>
          <w:szCs w:val="19"/>
        </w:rPr>
      </w:pPr>
      <w:r w:rsidRPr="00317478">
        <w:rPr>
          <w:szCs w:val="19"/>
        </w:rPr>
        <w:t>superseded training (reported with national outcome identifier '61 - superseded training')</w:t>
      </w:r>
    </w:p>
    <w:p w14:paraId="5BFDBACD" w14:textId="77777777" w:rsidR="00BD6455" w:rsidRPr="00317478" w:rsidRDefault="00BD6455" w:rsidP="00317478">
      <w:pPr>
        <w:pStyle w:val="Dotpoint1"/>
        <w:tabs>
          <w:tab w:val="clear" w:pos="567"/>
          <w:tab w:val="left" w:pos="851"/>
        </w:tabs>
        <w:ind w:left="851" w:hanging="425"/>
        <w:rPr>
          <w:szCs w:val="19"/>
        </w:rPr>
      </w:pPr>
      <w:r w:rsidRPr="00317478">
        <w:rPr>
          <w:szCs w:val="19"/>
        </w:rPr>
        <w:t>not yet started training (reported with national outcome identifier ’85 – not yet started’)</w:t>
      </w:r>
    </w:p>
    <w:p w14:paraId="3377E2D3" w14:textId="77777777" w:rsidR="0036062F" w:rsidRPr="00317478" w:rsidRDefault="0036062F" w:rsidP="00317478">
      <w:pPr>
        <w:pStyle w:val="Dotpoint1"/>
        <w:tabs>
          <w:tab w:val="clear" w:pos="567"/>
          <w:tab w:val="left" w:pos="851"/>
        </w:tabs>
        <w:ind w:left="851" w:hanging="425"/>
        <w:rPr>
          <w:szCs w:val="19"/>
        </w:rPr>
      </w:pPr>
      <w:r w:rsidRPr="00317478">
        <w:rPr>
          <w:szCs w:val="19"/>
        </w:rPr>
        <w:t>VET delivered in schools, where the training activity was undertaken as part of a senior secondary certificate</w:t>
      </w:r>
    </w:p>
    <w:p w14:paraId="19458442" w14:textId="77777777" w:rsidR="0036062F" w:rsidRPr="00317478" w:rsidRDefault="0036062F" w:rsidP="00317478">
      <w:pPr>
        <w:pStyle w:val="Dotpoint1"/>
        <w:tabs>
          <w:tab w:val="clear" w:pos="567"/>
          <w:tab w:val="left" w:pos="851"/>
        </w:tabs>
        <w:ind w:left="851" w:hanging="425"/>
        <w:rPr>
          <w:szCs w:val="19"/>
        </w:rPr>
      </w:pPr>
      <w:r w:rsidRPr="00317478">
        <w:rPr>
          <w:szCs w:val="19"/>
        </w:rPr>
        <w:t xml:space="preserve">any activity where revenue was earned from another training provider in terms of subcontracting, </w:t>
      </w:r>
      <w:proofErr w:type="spellStart"/>
      <w:r w:rsidRPr="00317478">
        <w:rPr>
          <w:szCs w:val="19"/>
        </w:rPr>
        <w:t>auspicing</w:t>
      </w:r>
      <w:proofErr w:type="spellEnd"/>
      <w:r w:rsidRPr="00317478">
        <w:rPr>
          <w:szCs w:val="19"/>
        </w:rPr>
        <w:t>, partnership or similar arrangements.</w:t>
      </w:r>
    </w:p>
    <w:p w14:paraId="27ED4AB7" w14:textId="77777777" w:rsidR="000654FE" w:rsidRPr="00F75796" w:rsidRDefault="000654FE" w:rsidP="000654FE">
      <w:pPr>
        <w:pStyle w:val="Heading2"/>
        <w:rPr>
          <w:lang w:eastAsia="en-AU"/>
        </w:rPr>
      </w:pPr>
      <w:bookmarkStart w:id="17" w:name="_Toc111046633"/>
      <w:r>
        <w:rPr>
          <w:lang w:eastAsia="en-AU"/>
        </w:rPr>
        <w:t>Student counts and participation</w:t>
      </w:r>
      <w:bookmarkEnd w:id="17"/>
    </w:p>
    <w:p w14:paraId="49B50B58" w14:textId="77777777" w:rsidR="000654FE" w:rsidRPr="00390422" w:rsidRDefault="000654FE" w:rsidP="00317478">
      <w:pPr>
        <w:pStyle w:val="NumberedText"/>
        <w:ind w:left="426" w:hanging="426"/>
      </w:pPr>
      <w:r w:rsidRPr="00A977DD">
        <w:t xml:space="preserve">NCVER </w:t>
      </w:r>
      <w:r w:rsidRPr="00A977DD">
        <w:rPr>
          <w:lang w:eastAsia="en-AU"/>
        </w:rPr>
        <w:t xml:space="preserve">applies a methodology to distinctly count students who may be enrolled at multiple training providers.  For further information, refer to the fact sheet Student counts in 'total VET activity' located at </w:t>
      </w:r>
      <w:r w:rsidRPr="00390422">
        <w:rPr>
          <w:lang w:eastAsia="en-AU"/>
        </w:rPr>
        <w:t>&lt;</w:t>
      </w:r>
      <w:hyperlink r:id="rId17" w:history="1">
        <w:r w:rsidRPr="00390422">
          <w:rPr>
            <w:rStyle w:val="Hyperlink"/>
            <w:lang w:eastAsia="en-AU"/>
          </w:rPr>
          <w:t>https://www.ncver.edu.au/research-and-statistics/collections/students-and-courses-collection/total-vet-activity-tva-fact-sheets</w:t>
        </w:r>
      </w:hyperlink>
      <w:r w:rsidRPr="00390422">
        <w:rPr>
          <w:lang w:eastAsia="en-AU"/>
        </w:rPr>
        <w:t>&gt;.</w:t>
      </w:r>
    </w:p>
    <w:p w14:paraId="3A599A43" w14:textId="77777777" w:rsidR="00171BB9" w:rsidRDefault="00171BB9" w:rsidP="00171BB9">
      <w:pPr>
        <w:pStyle w:val="Heading2"/>
      </w:pPr>
      <w:bookmarkStart w:id="18" w:name="_Toc111046634"/>
      <w:r>
        <w:t>Reporting derivations</w:t>
      </w:r>
      <w:bookmarkEnd w:id="18"/>
    </w:p>
    <w:p w14:paraId="6E655FA8" w14:textId="089D236F" w:rsidR="00171BB9" w:rsidRPr="00160D2B" w:rsidRDefault="00171BB9" w:rsidP="00317478">
      <w:pPr>
        <w:pStyle w:val="NumberedText"/>
        <w:ind w:left="426" w:hanging="426"/>
      </w:pPr>
      <w:r w:rsidRPr="00F66668">
        <w:t>Students</w:t>
      </w:r>
      <w:r w:rsidRPr="00F66668">
        <w:rPr>
          <w:lang w:eastAsia="en-AU"/>
        </w:rPr>
        <w:t xml:space="preserve"> undertaking nationally recognised training have </w:t>
      </w:r>
      <w:r w:rsidRPr="00CF0164">
        <w:rPr>
          <w:lang w:eastAsia="en-AU"/>
        </w:rPr>
        <w:t>undertaken</w:t>
      </w:r>
      <w:r>
        <w:rPr>
          <w:lang w:eastAsia="en-AU"/>
        </w:rPr>
        <w:t xml:space="preserve"> </w:t>
      </w:r>
      <w:r w:rsidRPr="00F66668">
        <w:rPr>
          <w:lang w:eastAsia="en-AU"/>
        </w:rPr>
        <w:t xml:space="preserve">at least one </w:t>
      </w:r>
      <w:r w:rsidRPr="00CF0164">
        <w:rPr>
          <w:lang w:eastAsia="en-AU"/>
        </w:rPr>
        <w:t>nationally recognised</w:t>
      </w:r>
      <w:r w:rsidRPr="00F66668">
        <w:rPr>
          <w:lang w:eastAsia="en-AU"/>
        </w:rPr>
        <w:t xml:space="preserve"> </w:t>
      </w:r>
      <w:r w:rsidRPr="00CF0164">
        <w:rPr>
          <w:lang w:eastAsia="en-AU"/>
        </w:rPr>
        <w:t>subject delivered</w:t>
      </w:r>
      <w:r w:rsidRPr="00F66668">
        <w:rPr>
          <w:lang w:eastAsia="en-AU"/>
        </w:rPr>
        <w:t xml:space="preserve"> by a registered training organisation. Because students may enrol in multiple programs and/or subjects in a calendar year, the sum of students will not add to the total (</w:t>
      </w:r>
      <w:r w:rsidR="009867F1">
        <w:rPr>
          <w:lang w:eastAsia="en-AU"/>
        </w:rPr>
        <w:t>708</w:t>
      </w:r>
      <w:r w:rsidR="00515DE9" w:rsidRPr="00D44097">
        <w:rPr>
          <w:lang w:eastAsia="en-AU"/>
        </w:rPr>
        <w:t xml:space="preserve"> </w:t>
      </w:r>
      <w:r w:rsidR="009867F1">
        <w:rPr>
          <w:lang w:eastAsia="en-AU"/>
        </w:rPr>
        <w:t>4</w:t>
      </w:r>
      <w:r w:rsidR="008B556D">
        <w:rPr>
          <w:lang w:eastAsia="en-AU"/>
        </w:rPr>
        <w:t>50</w:t>
      </w:r>
      <w:r w:rsidRPr="00C12219">
        <w:rPr>
          <w:lang w:eastAsia="en-AU"/>
        </w:rPr>
        <w:t xml:space="preserve"> </w:t>
      </w:r>
      <w:r w:rsidRPr="00F66668">
        <w:rPr>
          <w:lang w:eastAsia="en-AU"/>
        </w:rPr>
        <w:t>students</w:t>
      </w:r>
      <w:r w:rsidR="009867F1">
        <w:rPr>
          <w:lang w:eastAsia="en-AU"/>
        </w:rPr>
        <w:t xml:space="preserve"> for January to March 2022</w:t>
      </w:r>
      <w:r w:rsidRPr="00F66668">
        <w:rPr>
          <w:lang w:eastAsia="en-AU"/>
        </w:rPr>
        <w:t>).</w:t>
      </w:r>
    </w:p>
    <w:p w14:paraId="42139675" w14:textId="20D76182" w:rsidR="00171BB9" w:rsidRPr="00C12219" w:rsidRDefault="00171BB9" w:rsidP="00317478">
      <w:pPr>
        <w:pStyle w:val="NumberedText"/>
        <w:ind w:left="426" w:hanging="426"/>
      </w:pPr>
      <w:r w:rsidRPr="00C12219">
        <w:rPr>
          <w:i/>
          <w:iCs/>
          <w:lang w:eastAsia="en-AU"/>
        </w:rPr>
        <w:t>Government-funded students and courses</w:t>
      </w:r>
      <w:r w:rsidRPr="00C12219">
        <w:rPr>
          <w:lang w:eastAsia="en-AU"/>
        </w:rPr>
        <w:t xml:space="preserve"> reports </w:t>
      </w:r>
      <w:r w:rsidRPr="00C12219">
        <w:t>training</w:t>
      </w:r>
      <w:r w:rsidRPr="00C12219">
        <w:rPr>
          <w:lang w:eastAsia="en-AU"/>
        </w:rPr>
        <w:t xml:space="preserve"> activity according to the state/territory that administered the funding of that training. NCVER applies </w:t>
      </w:r>
      <w:proofErr w:type="gramStart"/>
      <w:r w:rsidRPr="00C12219">
        <w:rPr>
          <w:lang w:eastAsia="en-AU"/>
        </w:rPr>
        <w:t>a number of</w:t>
      </w:r>
      <w:proofErr w:type="gramEnd"/>
      <w:r w:rsidRPr="00C12219">
        <w:rPr>
          <w:lang w:eastAsia="en-AU"/>
        </w:rPr>
        <w:t xml:space="preserve"> derivations to the data in scope of </w:t>
      </w:r>
      <w:r w:rsidR="00496655">
        <w:rPr>
          <w:lang w:eastAsia="en-AU"/>
        </w:rPr>
        <w:t xml:space="preserve">the </w:t>
      </w:r>
      <w:r w:rsidRPr="00C12219">
        <w:rPr>
          <w:lang w:eastAsia="en-AU"/>
        </w:rPr>
        <w:t xml:space="preserve">government-funded collection, submitted by state training authorities so that the data are reported from a state/territory perspective. </w:t>
      </w:r>
    </w:p>
    <w:p w14:paraId="047FEC09" w14:textId="3C7834BF" w:rsidR="00171BB9" w:rsidRPr="00F128E2" w:rsidRDefault="00171BB9" w:rsidP="00317478">
      <w:pPr>
        <w:pStyle w:val="NumberedText"/>
        <w:numPr>
          <w:ilvl w:val="0"/>
          <w:numId w:val="0"/>
        </w:numPr>
        <w:ind w:left="426"/>
      </w:pPr>
      <w:r w:rsidRPr="006B0BF6">
        <w:t xml:space="preserve">One of the other major derivations is </w:t>
      </w:r>
      <w:r w:rsidRPr="00492350">
        <w:rPr>
          <w:i/>
        </w:rPr>
        <w:t>provider</w:t>
      </w:r>
      <w:r>
        <w:t xml:space="preserve"> </w:t>
      </w:r>
      <w:r w:rsidRPr="006B0BF6">
        <w:rPr>
          <w:i/>
        </w:rPr>
        <w:t>reporting type</w:t>
      </w:r>
      <w:r w:rsidRPr="00F66668">
        <w:t xml:space="preserve">, which determines how training organisations are reported in the various </w:t>
      </w:r>
      <w:r w:rsidRPr="00F66668">
        <w:rPr>
          <w:i/>
          <w:iCs/>
        </w:rPr>
        <w:t xml:space="preserve">Government-funded students and courses </w:t>
      </w:r>
      <w:r w:rsidRPr="00F66668">
        <w:t xml:space="preserve">resources. </w:t>
      </w:r>
      <w:r w:rsidR="00C4702E">
        <w:br/>
      </w:r>
      <w:r w:rsidRPr="00F66668">
        <w:t xml:space="preserve">A matrix was developed by NCVER — in consultation with the state training authorities in each jurisdiction — which determines how different types of training providers are reported in each </w:t>
      </w:r>
      <w:r w:rsidRPr="00F66668">
        <w:lastRenderedPageBreak/>
        <w:t xml:space="preserve">state/territory. The </w:t>
      </w:r>
      <w:r w:rsidRPr="006432A9">
        <w:rPr>
          <w:i/>
        </w:rPr>
        <w:t xml:space="preserve">provider </w:t>
      </w:r>
      <w:r w:rsidRPr="00F66668">
        <w:rPr>
          <w:i/>
          <w:iCs/>
        </w:rPr>
        <w:t>reporting type</w:t>
      </w:r>
      <w:r w:rsidRPr="00F66668">
        <w:t xml:space="preserve"> derived field is based on the </w:t>
      </w:r>
      <w:r w:rsidRPr="00E8656F">
        <w:t>combination of the submitter identif</w:t>
      </w:r>
      <w:r w:rsidRPr="00F128E2">
        <w:t>ier and training organisation type identifier. For example, training delivered by a TAFE institute in its own jurisdiction is reported as being delivered by a TAFE institute. However, if the TAFE institute successfully contests funding contracts in other jurisdictions, then any training delivery is reported as being delivered by ‘other training provider’ in that jurisdiction.</w:t>
      </w:r>
    </w:p>
    <w:p w14:paraId="3A8ECD77" w14:textId="77777777" w:rsidR="00171BB9" w:rsidRDefault="00171BB9" w:rsidP="00317478">
      <w:pPr>
        <w:pStyle w:val="NumberedText"/>
        <w:numPr>
          <w:ilvl w:val="0"/>
          <w:numId w:val="0"/>
        </w:numPr>
        <w:ind w:left="426"/>
      </w:pPr>
      <w:r w:rsidRPr="00F128E2">
        <w:t xml:space="preserve">In South Australia (up to and including 2016) and New </w:t>
      </w:r>
      <w:r w:rsidRPr="00F66668">
        <w:t>South Wales</w:t>
      </w:r>
      <w:r>
        <w:t>,</w:t>
      </w:r>
      <w:r w:rsidRPr="00F66668">
        <w:t xml:space="preserve"> there are separate data submissions for adult and community education</w:t>
      </w:r>
      <w:r>
        <w:t xml:space="preserve"> (ACE)</w:t>
      </w:r>
      <w:r w:rsidRPr="00F66668">
        <w:t xml:space="preserve"> training. Training submitted through these submitters are all reported as being delivered by community education providers, irrespective of the actual training organisation type identifier of the training providers. A consequence of this approach is that in these two states, a training provider that submits ACE and other activity may be reported as having two different training provider types.</w:t>
      </w:r>
    </w:p>
    <w:p w14:paraId="5437FE7D" w14:textId="77777777" w:rsidR="00171BB9" w:rsidRDefault="00171BB9" w:rsidP="00171BB9">
      <w:pPr>
        <w:pStyle w:val="Heading2"/>
      </w:pPr>
      <w:bookmarkStart w:id="19" w:name="_Toc45553612"/>
      <w:bookmarkStart w:id="20" w:name="_Toc73535971"/>
      <w:bookmarkStart w:id="21" w:name="_Toc111046635"/>
      <w:r w:rsidRPr="005B3C26">
        <w:t xml:space="preserve">Data </w:t>
      </w:r>
      <w:r w:rsidRPr="009E1400">
        <w:t>quality and comparability issues</w:t>
      </w:r>
      <w:bookmarkEnd w:id="19"/>
      <w:bookmarkEnd w:id="20"/>
      <w:bookmarkEnd w:id="21"/>
    </w:p>
    <w:p w14:paraId="652F9668" w14:textId="3D1CE18C" w:rsidR="00171BB9" w:rsidRDefault="00171BB9" w:rsidP="00317478">
      <w:pPr>
        <w:pStyle w:val="NumberedText"/>
        <w:ind w:left="426" w:hanging="426"/>
      </w:pPr>
      <w:r w:rsidRPr="005776C2">
        <w:rPr>
          <w:lang w:eastAsia="en-AU"/>
        </w:rPr>
        <w:t>The</w:t>
      </w:r>
      <w:r w:rsidRPr="005776C2">
        <w:t xml:space="preserve"> COVID-19 pandemic, and states and territories’ economic responses, may have impacted training data, particularly from March </w:t>
      </w:r>
      <w:r w:rsidR="001470D1">
        <w:t xml:space="preserve">2020 </w:t>
      </w:r>
      <w:r w:rsidRPr="005776C2">
        <w:t>onwards. Any comparison with previous years should be made with caution.</w:t>
      </w:r>
    </w:p>
    <w:p w14:paraId="18059932" w14:textId="432299D0" w:rsidR="004E53FF" w:rsidRDefault="004E53FF" w:rsidP="00317478">
      <w:pPr>
        <w:pStyle w:val="NumberedText"/>
        <w:tabs>
          <w:tab w:val="clear" w:pos="567"/>
        </w:tabs>
        <w:ind w:left="426"/>
      </w:pPr>
      <w:r w:rsidRPr="004E53FF">
        <w:t>Caution must be used for quarter-to-quarter comparisons as several jurisdictions have experienced implementation and system issues in different quarterly submissions. Furthermore, some training providers do not report data for the first three quarters to training authorities, which affects the completeness of data provided to NCVER. This limits comparisons that can be made from this publication to annual publications.</w:t>
      </w:r>
    </w:p>
    <w:p w14:paraId="46F40208" w14:textId="77777777" w:rsidR="00171BB9" w:rsidRDefault="00171BB9" w:rsidP="00171BB9">
      <w:pPr>
        <w:pStyle w:val="Heading3"/>
      </w:pPr>
      <w:r>
        <w:rPr>
          <w:lang w:eastAsia="en-AU"/>
        </w:rPr>
        <w:t>New South Wales</w:t>
      </w:r>
    </w:p>
    <w:p w14:paraId="19FEC480" w14:textId="77777777" w:rsidR="00171BB9" w:rsidRDefault="00171BB9" w:rsidP="00317478">
      <w:pPr>
        <w:pStyle w:val="NumberedText"/>
        <w:ind w:left="426" w:hanging="426"/>
        <w:rPr>
          <w:lang w:eastAsia="en-AU"/>
        </w:rPr>
      </w:pPr>
      <w:r>
        <w:t xml:space="preserve">The increase in training activity for New South Wales in 2020 is due to the introduction of fee-free online short courses by TAFE NSW to people wanting to upskill during the COVID-19 pandemic. </w:t>
      </w:r>
      <w:proofErr w:type="gramStart"/>
      <w:r>
        <w:t>The majority of</w:t>
      </w:r>
      <w:proofErr w:type="gramEnd"/>
      <w:r>
        <w:t xml:space="preserve"> these fee-free short courses are locally developed skill sets.</w:t>
      </w:r>
    </w:p>
    <w:p w14:paraId="2483B206" w14:textId="77777777" w:rsidR="0049706A" w:rsidRDefault="00171BB9" w:rsidP="00317478">
      <w:pPr>
        <w:pStyle w:val="NumberedText"/>
        <w:ind w:left="426" w:hanging="426"/>
        <w:rPr>
          <w:lang w:eastAsia="en-AU"/>
        </w:rPr>
      </w:pPr>
      <w:r>
        <w:t>NSW Private Providers reported locally developed skill sets for the first time in 2020. This training activity was previously reported as subject only enrolments.</w:t>
      </w:r>
    </w:p>
    <w:p w14:paraId="6EDA331E" w14:textId="77777777" w:rsidR="00171BB9" w:rsidRPr="009E1400" w:rsidRDefault="00171BB9" w:rsidP="00171BB9">
      <w:pPr>
        <w:pStyle w:val="Heading3"/>
      </w:pPr>
      <w:bookmarkStart w:id="22" w:name="_Toc45553613"/>
      <w:bookmarkStart w:id="23" w:name="_Toc42851868"/>
      <w:r w:rsidRPr="009E1400">
        <w:t>South Australia</w:t>
      </w:r>
      <w:bookmarkEnd w:id="22"/>
    </w:p>
    <w:p w14:paraId="43E7EF3F" w14:textId="55DB15A8" w:rsidR="00171BB9" w:rsidRPr="00D10D7E" w:rsidRDefault="00171BB9" w:rsidP="00317478">
      <w:pPr>
        <w:pStyle w:val="NumberedText"/>
        <w:ind w:left="426" w:hanging="426"/>
        <w:rPr>
          <w:b/>
          <w:lang w:eastAsia="en-AU"/>
        </w:rPr>
      </w:pPr>
      <w:r w:rsidRPr="00190377">
        <w:rPr>
          <w:lang w:eastAsia="en-AU"/>
        </w:rPr>
        <w:t xml:space="preserve">Training activity </w:t>
      </w:r>
      <w:bookmarkStart w:id="24" w:name="_Hlk45722058"/>
      <w:r>
        <w:rPr>
          <w:lang w:eastAsia="en-AU"/>
        </w:rPr>
        <w:t xml:space="preserve">in South Australia </w:t>
      </w:r>
      <w:bookmarkEnd w:id="24"/>
      <w:r w:rsidRPr="00190377">
        <w:rPr>
          <w:lang w:eastAsia="en-AU"/>
        </w:rPr>
        <w:t xml:space="preserve">for 2015 </w:t>
      </w:r>
      <w:r>
        <w:rPr>
          <w:lang w:eastAsia="en-AU"/>
        </w:rPr>
        <w:t>and</w:t>
      </w:r>
      <w:r w:rsidRPr="00190377">
        <w:rPr>
          <w:lang w:eastAsia="en-AU"/>
        </w:rPr>
        <w:t xml:space="preserve"> 2016 is under-reported due to an omission of some VET in Schools data that was </w:t>
      </w:r>
      <w:r w:rsidRPr="00190377">
        <w:t>corrected</w:t>
      </w:r>
      <w:r w:rsidRPr="00190377">
        <w:rPr>
          <w:lang w:eastAsia="en-AU"/>
        </w:rPr>
        <w:t xml:space="preserve"> for 2017 and beyond</w:t>
      </w:r>
      <w:r>
        <w:rPr>
          <w:lang w:eastAsia="en-AU"/>
        </w:rPr>
        <w:t>.</w:t>
      </w:r>
    </w:p>
    <w:p w14:paraId="33D22CB6" w14:textId="77777777" w:rsidR="00171BB9" w:rsidRPr="009E1400" w:rsidRDefault="00171BB9" w:rsidP="00171BB9">
      <w:pPr>
        <w:pStyle w:val="Heading3"/>
      </w:pPr>
      <w:bookmarkStart w:id="25" w:name="_Toc45553614"/>
      <w:r w:rsidRPr="00D10D7E">
        <w:t>Northern Territory</w:t>
      </w:r>
      <w:bookmarkEnd w:id="23"/>
      <w:bookmarkEnd w:id="25"/>
    </w:p>
    <w:p w14:paraId="210A2061" w14:textId="317FA8A1" w:rsidR="00171BB9" w:rsidRDefault="00171BB9" w:rsidP="00317478">
      <w:pPr>
        <w:pStyle w:val="NumberedText"/>
        <w:ind w:left="426" w:hanging="426"/>
      </w:pPr>
      <w:r w:rsidRPr="009E1400">
        <w:t>The decline</w:t>
      </w:r>
      <w:r w:rsidRPr="00B62874">
        <w:t xml:space="preserve"> in training activity in the Northern Territory between 2018 and 2019 was partly due to improvements in reporting practices in 2019. Previously, some students were enrolled in their training activity prior to commencing the actual training component, and their participation was reported as ‘continuing’. Using the </w:t>
      </w:r>
      <w:r>
        <w:t>‘</w:t>
      </w:r>
      <w:r w:rsidRPr="00B62874">
        <w:t xml:space="preserve">70 – continuing’ </w:t>
      </w:r>
      <w:r w:rsidRPr="00E8656F">
        <w:t>outcome</w:t>
      </w:r>
      <w:r w:rsidRPr="00B62874">
        <w:t xml:space="preserve"> identifier meant that the student and their training activity were ‘in scope’ for reporting purposes. This practice changed in the January-March 2019 period, and their participation was reported as ‘not yet started’. This ‘85 – not yet started’ outcome identifier was introduced in AVETMISS release 8.0, for reporting from 2018 onwards. Subjects with an outcome identifier of ‘85 – not yet started’ are not in scope </w:t>
      </w:r>
      <w:r>
        <w:t>of this publication.</w:t>
      </w:r>
    </w:p>
    <w:p w14:paraId="0974E7F5" w14:textId="4F12BD79" w:rsidR="001470D1" w:rsidRDefault="001470D1" w:rsidP="00317478">
      <w:pPr>
        <w:pStyle w:val="NumberedText"/>
        <w:ind w:left="426" w:hanging="426"/>
      </w:pPr>
      <w:r w:rsidRPr="00AC035B">
        <w:t xml:space="preserve">Types of training reported by NT may be different in 2021 compared </w:t>
      </w:r>
      <w:r w:rsidR="001104B6">
        <w:t>with</w:t>
      </w:r>
      <w:r w:rsidRPr="00AC035B">
        <w:t xml:space="preserve"> previous years due to</w:t>
      </w:r>
      <w:r>
        <w:t xml:space="preserve"> further</w:t>
      </w:r>
      <w:r w:rsidRPr="00AC035B">
        <w:t xml:space="preserve"> reporting and policy changes. </w:t>
      </w:r>
    </w:p>
    <w:p w14:paraId="1134537F" w14:textId="77777777" w:rsidR="00222709" w:rsidRDefault="00222709" w:rsidP="00375FB6">
      <w:pPr>
        <w:pStyle w:val="Heading3"/>
      </w:pPr>
      <w:r>
        <w:lastRenderedPageBreak/>
        <w:t>Western Australia</w:t>
      </w:r>
    </w:p>
    <w:p w14:paraId="1F73F9EB" w14:textId="77777777" w:rsidR="00222709" w:rsidRPr="002C4BFB" w:rsidRDefault="00222709" w:rsidP="00317478">
      <w:pPr>
        <w:pStyle w:val="NumberedText"/>
        <w:ind w:left="426" w:hanging="426"/>
      </w:pPr>
      <w:r>
        <w:t>The increase in training activity for Western Australia in 2020 and 2021 is due to the introduction, by the Department of Training and Workforce Development, of a wide range of initiatives during the COVID-19 pandemic to encourage people to enrol fee-free or at much reduced rates in targeted areas of training both at the qualification and skill set level</w:t>
      </w:r>
      <w:r w:rsidRPr="002C4BFB">
        <w:t xml:space="preserve">. </w:t>
      </w:r>
    </w:p>
    <w:p w14:paraId="47F31154" w14:textId="77777777" w:rsidR="00171BB9" w:rsidRPr="00F75796" w:rsidRDefault="00171BB9" w:rsidP="00171BB9">
      <w:pPr>
        <w:pStyle w:val="Heading2"/>
      </w:pPr>
      <w:bookmarkStart w:id="26" w:name="_Toc73535973"/>
      <w:bookmarkStart w:id="27" w:name="_Toc111046636"/>
      <w:r w:rsidRPr="00F75796">
        <w:rPr>
          <w:lang w:eastAsia="en-AU"/>
        </w:rPr>
        <w:t>Australian Bureau of Statistics data</w:t>
      </w:r>
      <w:bookmarkEnd w:id="26"/>
      <w:bookmarkEnd w:id="27"/>
    </w:p>
    <w:p w14:paraId="5BD8ECA8" w14:textId="77777777" w:rsidR="00171BB9" w:rsidRPr="00504A68" w:rsidRDefault="00171BB9" w:rsidP="00317478">
      <w:pPr>
        <w:pStyle w:val="NumberedText"/>
        <w:ind w:left="426" w:hanging="426"/>
      </w:pPr>
      <w:r w:rsidRPr="00504A68">
        <w:rPr>
          <w:lang w:eastAsia="en-AU"/>
        </w:rPr>
        <w:t xml:space="preserve">Socio-Economic Indexes </w:t>
      </w:r>
      <w:r>
        <w:rPr>
          <w:lang w:eastAsia="en-AU"/>
        </w:rPr>
        <w:t>f</w:t>
      </w:r>
      <w:r w:rsidRPr="00504A68">
        <w:rPr>
          <w:lang w:eastAsia="en-AU"/>
        </w:rPr>
        <w:t>or Areas (SEIFA) is an ABS-developed product that ranks areas in Australia according to relative socio-economic advantage and disadvantage. This publication uses the</w:t>
      </w:r>
      <w:r>
        <w:rPr>
          <w:lang w:eastAsia="en-AU"/>
        </w:rPr>
        <w:t xml:space="preserve"> </w:t>
      </w:r>
      <w:r w:rsidRPr="00504A68">
        <w:rPr>
          <w:lang w:eastAsia="en-AU"/>
        </w:rPr>
        <w:t xml:space="preserve">Index of Relative Socio-Economic Disadvantage (IRSD). Further information on SEIFA can be found at &lt;http://www.abs.gov.au/websitedbs/censushome.nsf/home/seifa&gt;. </w:t>
      </w:r>
    </w:p>
    <w:p w14:paraId="2BFBE1E4" w14:textId="77777777" w:rsidR="00171BB9" w:rsidRPr="00F75796" w:rsidRDefault="00171BB9" w:rsidP="00317478">
      <w:pPr>
        <w:pStyle w:val="NumberedText"/>
        <w:ind w:left="426" w:hanging="426"/>
      </w:pPr>
      <w:r w:rsidRPr="00F75796">
        <w:rPr>
          <w:lang w:eastAsia="en-AU"/>
        </w:rPr>
        <w:t xml:space="preserve">Student remoteness is based on the Access/Remoteness Index of Australia (ARIA+), </w:t>
      </w:r>
      <w:r>
        <w:rPr>
          <w:lang w:eastAsia="en-AU"/>
        </w:rPr>
        <w:t>produced</w:t>
      </w:r>
      <w:r w:rsidRPr="00F75796">
        <w:rPr>
          <w:lang w:eastAsia="en-AU"/>
        </w:rPr>
        <w:t xml:space="preserve"> by</w:t>
      </w:r>
      <w:r>
        <w:rPr>
          <w:lang w:eastAsia="en-AU"/>
        </w:rPr>
        <w:t xml:space="preserve"> the Hugo Centre for Population and Housing, </w:t>
      </w:r>
      <w:r w:rsidRPr="00F75796">
        <w:rPr>
          <w:lang w:eastAsia="en-AU"/>
        </w:rPr>
        <w:t>the standard ABS-endorsed measure of remoteness. For more details of ARIA+ refer to &lt;</w:t>
      </w:r>
      <w:r w:rsidRPr="00D97A19">
        <w:rPr>
          <w:lang w:eastAsia="en-AU"/>
        </w:rPr>
        <w:t>https://arts.adelaide.edu.au/hugo-centre/services/aria</w:t>
      </w:r>
      <w:r w:rsidRPr="00F75796">
        <w:rPr>
          <w:lang w:eastAsia="en-AU"/>
        </w:rPr>
        <w:t>&gt;.</w:t>
      </w:r>
    </w:p>
    <w:p w14:paraId="7915C124" w14:textId="77777777" w:rsidR="00171BB9" w:rsidRPr="000A02FB" w:rsidRDefault="00171BB9" w:rsidP="00171BB9">
      <w:pPr>
        <w:pStyle w:val="Heading2"/>
      </w:pPr>
      <w:bookmarkStart w:id="28" w:name="_Toc45553615"/>
      <w:bookmarkStart w:id="29" w:name="_Toc73535974"/>
      <w:bookmarkStart w:id="30" w:name="_Toc111046637"/>
      <w:r w:rsidRPr="000A02FB">
        <w:rPr>
          <w:lang w:eastAsia="en-AU"/>
        </w:rPr>
        <w:t>Training provider</w:t>
      </w:r>
      <w:r>
        <w:rPr>
          <w:lang w:eastAsia="en-AU"/>
        </w:rPr>
        <w:t>s</w:t>
      </w:r>
      <w:bookmarkEnd w:id="28"/>
      <w:bookmarkEnd w:id="29"/>
      <w:bookmarkEnd w:id="30"/>
    </w:p>
    <w:p w14:paraId="3CD13429" w14:textId="05B311B8" w:rsidR="007B4CB6" w:rsidRDefault="00171BB9" w:rsidP="00317478">
      <w:pPr>
        <w:pStyle w:val="NumberedText"/>
        <w:ind w:left="426" w:hanging="426"/>
      </w:pPr>
      <w:r w:rsidRPr="00F56D56">
        <w:t xml:space="preserve">There have been reductions in the number of TAFE </w:t>
      </w:r>
      <w:r>
        <w:t>institutes</w:t>
      </w:r>
      <w:r w:rsidRPr="00F56D56">
        <w:t xml:space="preserve"> reported in New South Wales, Western Australia</w:t>
      </w:r>
      <w:r>
        <w:t xml:space="preserve"> </w:t>
      </w:r>
      <w:r w:rsidRPr="00C23DC0">
        <w:t>and Queensland in recent years due to the implementation of reform measures in those jurisdictions. For example, from 1 January 2019 the number of TAFEs reported in New South Wales declined from 11 to one as part of the One TAFE consolidation program.</w:t>
      </w:r>
    </w:p>
    <w:p w14:paraId="41BB7CC3" w14:textId="33A9FBD2" w:rsidR="0018758A" w:rsidRPr="00C23DC0" w:rsidRDefault="0018758A" w:rsidP="00317478">
      <w:pPr>
        <w:pStyle w:val="NumberedText"/>
        <w:ind w:left="426" w:hanging="426"/>
      </w:pPr>
      <w:r>
        <w:t>Victorian funded training provider types are subject to differing reporting schedules</w:t>
      </w:r>
      <w:r w:rsidR="00254A06">
        <w:t>.</w:t>
      </w:r>
      <w:r>
        <w:t xml:space="preserve"> </w:t>
      </w:r>
      <w:r w:rsidR="00254A06">
        <w:t xml:space="preserve">This </w:t>
      </w:r>
      <w:r>
        <w:t>can result in fluctuations in provider numbers when comparing against the same period for previous years. For example, TAFE institutes are required to report monthly, while community education providers supply data on a quarterly basis.</w:t>
      </w:r>
    </w:p>
    <w:p w14:paraId="498CF5FA" w14:textId="77777777" w:rsidR="00171BB9" w:rsidRPr="00C23DC0" w:rsidRDefault="00171BB9" w:rsidP="00317478">
      <w:pPr>
        <w:pStyle w:val="NumberedText"/>
        <w:ind w:left="426" w:hanging="426"/>
      </w:pPr>
      <w:r w:rsidRPr="00C23DC0">
        <w:t>Training providers submit data via state training authorities as part of their funding agreement. Consequently, some training providers may be reported in more than one state/territory. In New South Wales and South Australia (up to 2016), some training providers may be reported both as a ‘Community education provider’ and ‘Other provider’. However, they are only reported once in the total.</w:t>
      </w:r>
    </w:p>
    <w:p w14:paraId="3FC54A64" w14:textId="77777777" w:rsidR="00171BB9" w:rsidRPr="00C23DC0" w:rsidRDefault="00171BB9" w:rsidP="00317478">
      <w:pPr>
        <w:pStyle w:val="NumberedText"/>
        <w:ind w:left="426" w:hanging="426"/>
      </w:pPr>
      <w:r w:rsidRPr="00C23DC0">
        <w:t>The total is a distinct count of training providers that submitted data through the state training authorities. Some training providers deliver VET in more than one state/territory. Therefore, they are counted in each state/territory’s figures, but only counted once in the total.</w:t>
      </w:r>
    </w:p>
    <w:p w14:paraId="3391939A" w14:textId="6F7C3D75" w:rsidR="00171BB9" w:rsidRPr="00C23DC0" w:rsidRDefault="00171BB9" w:rsidP="00171BB9">
      <w:pPr>
        <w:pStyle w:val="tabletitle"/>
      </w:pPr>
      <w:bookmarkStart w:id="31" w:name="_Toc75275441"/>
      <w:r w:rsidRPr="00C23DC0">
        <w:t xml:space="preserve">Provider reporting type by state/territory, </w:t>
      </w:r>
      <w:r w:rsidR="006B3DB5">
        <w:t>January to March 2022</w:t>
      </w:r>
      <w:bookmarkEnd w:id="31"/>
    </w:p>
    <w:tbl>
      <w:tblPr>
        <w:tblW w:w="5000" w:type="pct"/>
        <w:jc w:val="center"/>
        <w:tblLayout w:type="fixed"/>
        <w:tblLook w:val="04A0" w:firstRow="1" w:lastRow="0" w:firstColumn="1" w:lastColumn="0" w:noHBand="0" w:noVBand="1"/>
      </w:tblPr>
      <w:tblGrid>
        <w:gridCol w:w="2416"/>
        <w:gridCol w:w="771"/>
        <w:gridCol w:w="771"/>
        <w:gridCol w:w="771"/>
        <w:gridCol w:w="771"/>
        <w:gridCol w:w="771"/>
        <w:gridCol w:w="771"/>
        <w:gridCol w:w="771"/>
        <w:gridCol w:w="771"/>
        <w:gridCol w:w="771"/>
      </w:tblGrid>
      <w:tr w:rsidR="005F602F" w:rsidRPr="005F602F" w14:paraId="35531047" w14:textId="77777777" w:rsidTr="00390422">
        <w:trPr>
          <w:trHeight w:val="300"/>
          <w:jc w:val="center"/>
        </w:trPr>
        <w:tc>
          <w:tcPr>
            <w:tcW w:w="1290" w:type="pct"/>
            <w:tcBorders>
              <w:top w:val="single" w:sz="8" w:space="0" w:color="439539"/>
              <w:left w:val="nil"/>
              <w:bottom w:val="single" w:sz="4" w:space="0" w:color="439539"/>
              <w:right w:val="nil"/>
            </w:tcBorders>
            <w:shd w:val="clear" w:color="auto" w:fill="auto"/>
            <w:vAlign w:val="center"/>
            <w:hideMark/>
          </w:tcPr>
          <w:p w14:paraId="72D83F47" w14:textId="77777777" w:rsidR="00171BB9" w:rsidRPr="00C70286" w:rsidRDefault="00171BB9" w:rsidP="00171BB9">
            <w:pPr>
              <w:pStyle w:val="Tablehead1"/>
              <w:rPr>
                <w:color w:val="32872A"/>
              </w:rPr>
            </w:pPr>
            <w:r w:rsidRPr="00C70286">
              <w:rPr>
                <w:color w:val="32872A"/>
              </w:rPr>
              <w:t>Training providers</w:t>
            </w:r>
          </w:p>
        </w:tc>
        <w:tc>
          <w:tcPr>
            <w:tcW w:w="412" w:type="pct"/>
            <w:tcBorders>
              <w:top w:val="single" w:sz="8" w:space="0" w:color="439539"/>
              <w:left w:val="nil"/>
              <w:bottom w:val="single" w:sz="4" w:space="0" w:color="439539"/>
              <w:right w:val="nil"/>
            </w:tcBorders>
            <w:shd w:val="clear" w:color="auto" w:fill="auto"/>
            <w:vAlign w:val="center"/>
            <w:hideMark/>
          </w:tcPr>
          <w:p w14:paraId="6D0079CE" w14:textId="77777777" w:rsidR="00171BB9" w:rsidRPr="00C70286" w:rsidRDefault="00171BB9" w:rsidP="00E00030">
            <w:pPr>
              <w:pStyle w:val="Tablehead1"/>
              <w:jc w:val="center"/>
              <w:rPr>
                <w:color w:val="32872A"/>
              </w:rPr>
            </w:pPr>
            <w:r w:rsidRPr="00C70286">
              <w:rPr>
                <w:color w:val="32872A"/>
              </w:rPr>
              <w:t>NSW</w:t>
            </w:r>
          </w:p>
        </w:tc>
        <w:tc>
          <w:tcPr>
            <w:tcW w:w="412" w:type="pct"/>
            <w:tcBorders>
              <w:top w:val="single" w:sz="8" w:space="0" w:color="439539"/>
              <w:left w:val="nil"/>
              <w:bottom w:val="single" w:sz="4" w:space="0" w:color="439539"/>
              <w:right w:val="nil"/>
            </w:tcBorders>
            <w:shd w:val="clear" w:color="auto" w:fill="auto"/>
            <w:vAlign w:val="center"/>
            <w:hideMark/>
          </w:tcPr>
          <w:p w14:paraId="464DCD25" w14:textId="77777777" w:rsidR="00171BB9" w:rsidRPr="00C70286" w:rsidRDefault="00171BB9" w:rsidP="00E00030">
            <w:pPr>
              <w:pStyle w:val="Tablehead1"/>
              <w:jc w:val="center"/>
              <w:rPr>
                <w:color w:val="32872A"/>
              </w:rPr>
            </w:pPr>
            <w:r w:rsidRPr="00C70286">
              <w:rPr>
                <w:color w:val="32872A"/>
              </w:rPr>
              <w:t>Vic.</w:t>
            </w:r>
          </w:p>
        </w:tc>
        <w:tc>
          <w:tcPr>
            <w:tcW w:w="412" w:type="pct"/>
            <w:tcBorders>
              <w:top w:val="single" w:sz="8" w:space="0" w:color="439539"/>
              <w:left w:val="nil"/>
              <w:bottom w:val="single" w:sz="4" w:space="0" w:color="439539"/>
              <w:right w:val="nil"/>
            </w:tcBorders>
            <w:shd w:val="clear" w:color="auto" w:fill="auto"/>
            <w:vAlign w:val="center"/>
            <w:hideMark/>
          </w:tcPr>
          <w:p w14:paraId="31C3E147" w14:textId="77777777" w:rsidR="00171BB9" w:rsidRPr="00C70286" w:rsidRDefault="00171BB9" w:rsidP="00E00030">
            <w:pPr>
              <w:pStyle w:val="Tablehead1"/>
              <w:ind w:right="-148"/>
              <w:jc w:val="center"/>
              <w:rPr>
                <w:color w:val="32872A"/>
              </w:rPr>
            </w:pPr>
            <w:r w:rsidRPr="00C70286">
              <w:rPr>
                <w:color w:val="32872A"/>
              </w:rPr>
              <w:t>Qld</w:t>
            </w:r>
          </w:p>
        </w:tc>
        <w:tc>
          <w:tcPr>
            <w:tcW w:w="412" w:type="pct"/>
            <w:tcBorders>
              <w:top w:val="single" w:sz="8" w:space="0" w:color="439539"/>
              <w:left w:val="nil"/>
              <w:bottom w:val="single" w:sz="4" w:space="0" w:color="439539"/>
              <w:right w:val="nil"/>
            </w:tcBorders>
            <w:shd w:val="clear" w:color="auto" w:fill="auto"/>
            <w:vAlign w:val="center"/>
            <w:hideMark/>
          </w:tcPr>
          <w:p w14:paraId="42A63CA8" w14:textId="77777777" w:rsidR="00171BB9" w:rsidRPr="00C70286" w:rsidRDefault="00171BB9" w:rsidP="00E00030">
            <w:pPr>
              <w:pStyle w:val="Tablehead1"/>
              <w:jc w:val="center"/>
              <w:rPr>
                <w:color w:val="32872A"/>
              </w:rPr>
            </w:pPr>
            <w:r w:rsidRPr="00C70286">
              <w:rPr>
                <w:color w:val="32872A"/>
              </w:rPr>
              <w:t>SA</w:t>
            </w:r>
          </w:p>
        </w:tc>
        <w:tc>
          <w:tcPr>
            <w:tcW w:w="412" w:type="pct"/>
            <w:tcBorders>
              <w:top w:val="single" w:sz="8" w:space="0" w:color="439539"/>
              <w:left w:val="nil"/>
              <w:bottom w:val="single" w:sz="4" w:space="0" w:color="439539"/>
              <w:right w:val="nil"/>
            </w:tcBorders>
            <w:shd w:val="clear" w:color="auto" w:fill="auto"/>
            <w:vAlign w:val="center"/>
            <w:hideMark/>
          </w:tcPr>
          <w:p w14:paraId="7E71C707" w14:textId="77777777" w:rsidR="00171BB9" w:rsidRPr="00C70286" w:rsidRDefault="00171BB9" w:rsidP="00E00030">
            <w:pPr>
              <w:pStyle w:val="Tablehead1"/>
              <w:jc w:val="center"/>
              <w:rPr>
                <w:color w:val="32872A"/>
              </w:rPr>
            </w:pPr>
            <w:r w:rsidRPr="00C70286">
              <w:rPr>
                <w:color w:val="32872A"/>
              </w:rPr>
              <w:t>WA</w:t>
            </w:r>
          </w:p>
        </w:tc>
        <w:tc>
          <w:tcPr>
            <w:tcW w:w="412" w:type="pct"/>
            <w:tcBorders>
              <w:top w:val="single" w:sz="8" w:space="0" w:color="439539"/>
              <w:left w:val="nil"/>
              <w:bottom w:val="single" w:sz="4" w:space="0" w:color="439539"/>
              <w:right w:val="nil"/>
            </w:tcBorders>
            <w:shd w:val="clear" w:color="auto" w:fill="auto"/>
            <w:vAlign w:val="center"/>
            <w:hideMark/>
          </w:tcPr>
          <w:p w14:paraId="6DED5B1D" w14:textId="77777777" w:rsidR="00171BB9" w:rsidRPr="00C70286" w:rsidRDefault="00171BB9" w:rsidP="00E00030">
            <w:pPr>
              <w:pStyle w:val="Tablehead1"/>
              <w:jc w:val="center"/>
              <w:rPr>
                <w:color w:val="32872A"/>
              </w:rPr>
            </w:pPr>
            <w:r w:rsidRPr="00C70286">
              <w:rPr>
                <w:color w:val="32872A"/>
              </w:rPr>
              <w:t>Tas.</w:t>
            </w:r>
          </w:p>
        </w:tc>
        <w:tc>
          <w:tcPr>
            <w:tcW w:w="412" w:type="pct"/>
            <w:tcBorders>
              <w:top w:val="single" w:sz="8" w:space="0" w:color="439539"/>
              <w:left w:val="nil"/>
              <w:bottom w:val="single" w:sz="4" w:space="0" w:color="439539"/>
              <w:right w:val="nil"/>
            </w:tcBorders>
            <w:shd w:val="clear" w:color="auto" w:fill="auto"/>
            <w:vAlign w:val="center"/>
            <w:hideMark/>
          </w:tcPr>
          <w:p w14:paraId="45CD663D" w14:textId="77777777" w:rsidR="00171BB9" w:rsidRPr="00C70286" w:rsidRDefault="00171BB9" w:rsidP="00E00030">
            <w:pPr>
              <w:pStyle w:val="Tablehead1"/>
              <w:jc w:val="center"/>
              <w:rPr>
                <w:color w:val="32872A"/>
              </w:rPr>
            </w:pPr>
            <w:r w:rsidRPr="00C70286">
              <w:rPr>
                <w:color w:val="32872A"/>
              </w:rPr>
              <w:t>NT</w:t>
            </w:r>
          </w:p>
        </w:tc>
        <w:tc>
          <w:tcPr>
            <w:tcW w:w="412" w:type="pct"/>
            <w:tcBorders>
              <w:top w:val="single" w:sz="8" w:space="0" w:color="439539"/>
              <w:left w:val="nil"/>
              <w:bottom w:val="single" w:sz="4" w:space="0" w:color="439539"/>
              <w:right w:val="nil"/>
            </w:tcBorders>
            <w:shd w:val="clear" w:color="auto" w:fill="auto"/>
            <w:vAlign w:val="center"/>
            <w:hideMark/>
          </w:tcPr>
          <w:p w14:paraId="73D811FE" w14:textId="77777777" w:rsidR="00171BB9" w:rsidRPr="00C70286" w:rsidRDefault="00171BB9" w:rsidP="00E00030">
            <w:pPr>
              <w:pStyle w:val="Tablehead1"/>
              <w:jc w:val="center"/>
              <w:rPr>
                <w:color w:val="32872A"/>
              </w:rPr>
            </w:pPr>
            <w:r w:rsidRPr="00C70286">
              <w:rPr>
                <w:color w:val="32872A"/>
              </w:rPr>
              <w:t>ACT</w:t>
            </w:r>
          </w:p>
        </w:tc>
        <w:tc>
          <w:tcPr>
            <w:tcW w:w="412" w:type="pct"/>
            <w:tcBorders>
              <w:top w:val="single" w:sz="8" w:space="0" w:color="439539"/>
              <w:left w:val="nil"/>
              <w:bottom w:val="single" w:sz="4" w:space="0" w:color="439539"/>
              <w:right w:val="nil"/>
            </w:tcBorders>
            <w:shd w:val="clear" w:color="auto" w:fill="auto"/>
            <w:vAlign w:val="center"/>
            <w:hideMark/>
          </w:tcPr>
          <w:p w14:paraId="43372353" w14:textId="77777777" w:rsidR="00171BB9" w:rsidRPr="00C70286" w:rsidRDefault="00171BB9" w:rsidP="00E00030">
            <w:pPr>
              <w:pStyle w:val="Tablehead1"/>
              <w:jc w:val="center"/>
              <w:rPr>
                <w:color w:val="32872A"/>
              </w:rPr>
            </w:pPr>
            <w:r w:rsidRPr="00C70286">
              <w:rPr>
                <w:color w:val="32872A"/>
              </w:rPr>
              <w:t>Aust.</w:t>
            </w:r>
          </w:p>
        </w:tc>
      </w:tr>
      <w:tr w:rsidR="001B34B1" w:rsidRPr="00112A30" w14:paraId="12A8BEDD" w14:textId="77777777" w:rsidTr="00390422">
        <w:trPr>
          <w:trHeight w:val="300"/>
          <w:jc w:val="center"/>
        </w:trPr>
        <w:tc>
          <w:tcPr>
            <w:tcW w:w="1290" w:type="pct"/>
            <w:tcBorders>
              <w:top w:val="nil"/>
              <w:left w:val="nil"/>
              <w:bottom w:val="nil"/>
              <w:right w:val="nil"/>
            </w:tcBorders>
            <w:shd w:val="clear" w:color="auto" w:fill="auto"/>
            <w:vAlign w:val="center"/>
            <w:hideMark/>
          </w:tcPr>
          <w:p w14:paraId="4EA44790" w14:textId="77777777" w:rsidR="001B34B1" w:rsidRPr="00112A30" w:rsidRDefault="001B34B1" w:rsidP="001B34B1">
            <w:pPr>
              <w:pStyle w:val="Tabletext"/>
              <w:rPr>
                <w:lang w:eastAsia="en-AU"/>
              </w:rPr>
            </w:pPr>
            <w:r>
              <w:rPr>
                <w:lang w:eastAsia="en-AU"/>
              </w:rPr>
              <w:t>TAFE institutes</w:t>
            </w:r>
          </w:p>
        </w:tc>
        <w:tc>
          <w:tcPr>
            <w:tcW w:w="412" w:type="pct"/>
            <w:tcBorders>
              <w:top w:val="nil"/>
              <w:left w:val="nil"/>
              <w:bottom w:val="nil"/>
              <w:right w:val="nil"/>
            </w:tcBorders>
            <w:shd w:val="clear" w:color="auto" w:fill="auto"/>
          </w:tcPr>
          <w:p w14:paraId="0F5A3C01" w14:textId="7474BD5B" w:rsidR="001B34B1" w:rsidRPr="00112A30" w:rsidRDefault="001B34B1" w:rsidP="001B34B1">
            <w:pPr>
              <w:pStyle w:val="Tabletext"/>
              <w:tabs>
                <w:tab w:val="decimal" w:pos="442"/>
              </w:tabs>
              <w:jc w:val="right"/>
              <w:rPr>
                <w:lang w:eastAsia="en-AU"/>
              </w:rPr>
            </w:pPr>
            <w:bookmarkStart w:id="32" w:name="table2"/>
            <w:bookmarkEnd w:id="32"/>
            <w:r w:rsidRPr="008726A6">
              <w:t>1</w:t>
            </w:r>
          </w:p>
        </w:tc>
        <w:tc>
          <w:tcPr>
            <w:tcW w:w="412" w:type="pct"/>
            <w:tcBorders>
              <w:top w:val="nil"/>
              <w:left w:val="nil"/>
              <w:bottom w:val="nil"/>
              <w:right w:val="nil"/>
            </w:tcBorders>
            <w:shd w:val="clear" w:color="auto" w:fill="auto"/>
          </w:tcPr>
          <w:p w14:paraId="13BC99EE" w14:textId="0927A3AD" w:rsidR="001B34B1" w:rsidRPr="00112A30" w:rsidRDefault="001B34B1" w:rsidP="001B34B1">
            <w:pPr>
              <w:pStyle w:val="Tabletext"/>
              <w:tabs>
                <w:tab w:val="decimal" w:pos="416"/>
              </w:tabs>
              <w:jc w:val="right"/>
              <w:rPr>
                <w:lang w:eastAsia="en-AU"/>
              </w:rPr>
            </w:pPr>
            <w:r w:rsidRPr="008726A6">
              <w:t>12</w:t>
            </w:r>
          </w:p>
        </w:tc>
        <w:tc>
          <w:tcPr>
            <w:tcW w:w="412" w:type="pct"/>
            <w:tcBorders>
              <w:top w:val="nil"/>
              <w:left w:val="nil"/>
              <w:bottom w:val="nil"/>
              <w:right w:val="nil"/>
            </w:tcBorders>
            <w:shd w:val="clear" w:color="auto" w:fill="auto"/>
          </w:tcPr>
          <w:p w14:paraId="4569EF57" w14:textId="43D602A5" w:rsidR="001B34B1" w:rsidRPr="00112A30" w:rsidRDefault="001B34B1" w:rsidP="001B34B1">
            <w:pPr>
              <w:pStyle w:val="Tabletext"/>
              <w:tabs>
                <w:tab w:val="decimal" w:pos="330"/>
              </w:tabs>
              <w:jc w:val="right"/>
              <w:rPr>
                <w:lang w:eastAsia="en-AU"/>
              </w:rPr>
            </w:pPr>
            <w:r w:rsidRPr="008726A6">
              <w:t>1</w:t>
            </w:r>
          </w:p>
        </w:tc>
        <w:tc>
          <w:tcPr>
            <w:tcW w:w="412" w:type="pct"/>
            <w:tcBorders>
              <w:top w:val="nil"/>
              <w:left w:val="nil"/>
              <w:bottom w:val="nil"/>
              <w:right w:val="nil"/>
            </w:tcBorders>
            <w:shd w:val="clear" w:color="auto" w:fill="auto"/>
          </w:tcPr>
          <w:p w14:paraId="0C0FB912" w14:textId="4B1F2F19" w:rsidR="001B34B1" w:rsidRPr="00112A30" w:rsidRDefault="001B34B1" w:rsidP="001B34B1">
            <w:pPr>
              <w:pStyle w:val="Tabletext"/>
              <w:tabs>
                <w:tab w:val="decimal" w:pos="348"/>
              </w:tabs>
              <w:jc w:val="right"/>
              <w:rPr>
                <w:lang w:eastAsia="en-AU"/>
              </w:rPr>
            </w:pPr>
            <w:r w:rsidRPr="008726A6">
              <w:t>1</w:t>
            </w:r>
          </w:p>
        </w:tc>
        <w:tc>
          <w:tcPr>
            <w:tcW w:w="412" w:type="pct"/>
            <w:tcBorders>
              <w:top w:val="nil"/>
              <w:left w:val="nil"/>
              <w:bottom w:val="nil"/>
              <w:right w:val="nil"/>
            </w:tcBorders>
            <w:shd w:val="clear" w:color="auto" w:fill="auto"/>
          </w:tcPr>
          <w:p w14:paraId="523BA08F" w14:textId="779A7E0D" w:rsidR="001B34B1" w:rsidRPr="00112A30" w:rsidRDefault="001B34B1" w:rsidP="001B34B1">
            <w:pPr>
              <w:pStyle w:val="Tabletext"/>
              <w:tabs>
                <w:tab w:val="decimal" w:pos="322"/>
              </w:tabs>
              <w:jc w:val="right"/>
              <w:rPr>
                <w:lang w:eastAsia="en-AU"/>
              </w:rPr>
            </w:pPr>
            <w:r w:rsidRPr="008726A6">
              <w:t>5</w:t>
            </w:r>
          </w:p>
        </w:tc>
        <w:tc>
          <w:tcPr>
            <w:tcW w:w="412" w:type="pct"/>
            <w:tcBorders>
              <w:top w:val="nil"/>
              <w:left w:val="nil"/>
              <w:bottom w:val="nil"/>
              <w:right w:val="nil"/>
            </w:tcBorders>
            <w:shd w:val="clear" w:color="auto" w:fill="auto"/>
          </w:tcPr>
          <w:p w14:paraId="548B708E" w14:textId="20C90EAD" w:rsidR="001B34B1" w:rsidRPr="00112A30" w:rsidRDefault="001B34B1" w:rsidP="001B34B1">
            <w:pPr>
              <w:pStyle w:val="Tabletext"/>
              <w:tabs>
                <w:tab w:val="decimal" w:pos="300"/>
              </w:tabs>
              <w:jc w:val="right"/>
              <w:rPr>
                <w:lang w:eastAsia="en-AU"/>
              </w:rPr>
            </w:pPr>
            <w:r w:rsidRPr="008726A6">
              <w:t>1</w:t>
            </w:r>
          </w:p>
        </w:tc>
        <w:tc>
          <w:tcPr>
            <w:tcW w:w="412" w:type="pct"/>
            <w:tcBorders>
              <w:top w:val="nil"/>
              <w:left w:val="nil"/>
              <w:bottom w:val="nil"/>
              <w:right w:val="nil"/>
            </w:tcBorders>
            <w:shd w:val="clear" w:color="auto" w:fill="auto"/>
          </w:tcPr>
          <w:p w14:paraId="0469D2ED" w14:textId="5757AEAE" w:rsidR="001B34B1" w:rsidRPr="00112A30" w:rsidRDefault="001B34B1" w:rsidP="001B34B1">
            <w:pPr>
              <w:pStyle w:val="Tabletext"/>
              <w:tabs>
                <w:tab w:val="decimal" w:pos="270"/>
              </w:tabs>
              <w:jc w:val="right"/>
              <w:rPr>
                <w:lang w:eastAsia="en-AU"/>
              </w:rPr>
            </w:pPr>
            <w:r w:rsidRPr="008726A6">
              <w:t>2</w:t>
            </w:r>
          </w:p>
        </w:tc>
        <w:tc>
          <w:tcPr>
            <w:tcW w:w="412" w:type="pct"/>
            <w:tcBorders>
              <w:top w:val="nil"/>
              <w:left w:val="nil"/>
              <w:bottom w:val="nil"/>
              <w:right w:val="nil"/>
            </w:tcBorders>
            <w:shd w:val="clear" w:color="auto" w:fill="auto"/>
          </w:tcPr>
          <w:p w14:paraId="6ACD91AE" w14:textId="61A5B045" w:rsidR="001B34B1" w:rsidRPr="00112A30" w:rsidRDefault="001B34B1" w:rsidP="001B34B1">
            <w:pPr>
              <w:pStyle w:val="Tabletext"/>
              <w:tabs>
                <w:tab w:val="decimal" w:pos="370"/>
              </w:tabs>
              <w:jc w:val="right"/>
              <w:rPr>
                <w:lang w:eastAsia="en-AU"/>
              </w:rPr>
            </w:pPr>
            <w:r w:rsidRPr="008726A6">
              <w:t>1</w:t>
            </w:r>
          </w:p>
        </w:tc>
        <w:tc>
          <w:tcPr>
            <w:tcW w:w="412" w:type="pct"/>
            <w:tcBorders>
              <w:top w:val="nil"/>
              <w:left w:val="nil"/>
              <w:bottom w:val="nil"/>
              <w:right w:val="nil"/>
            </w:tcBorders>
            <w:shd w:val="clear" w:color="auto" w:fill="auto"/>
          </w:tcPr>
          <w:p w14:paraId="6B5ABA44" w14:textId="0C4EB35C" w:rsidR="001B34B1" w:rsidRPr="00112A30" w:rsidRDefault="001B34B1" w:rsidP="001B34B1">
            <w:pPr>
              <w:pStyle w:val="Tabletext"/>
              <w:tabs>
                <w:tab w:val="decimal" w:pos="344"/>
              </w:tabs>
              <w:jc w:val="right"/>
              <w:rPr>
                <w:lang w:eastAsia="en-AU"/>
              </w:rPr>
            </w:pPr>
            <w:r w:rsidRPr="00423689">
              <w:rPr>
                <w:rFonts w:cs="Arial"/>
                <w:szCs w:val="16"/>
              </w:rPr>
              <w:t>24</w:t>
            </w:r>
          </w:p>
        </w:tc>
      </w:tr>
      <w:tr w:rsidR="001B34B1" w:rsidRPr="00112A30" w14:paraId="7A5A6B66" w14:textId="77777777" w:rsidTr="00390422">
        <w:trPr>
          <w:trHeight w:val="300"/>
          <w:jc w:val="center"/>
        </w:trPr>
        <w:tc>
          <w:tcPr>
            <w:tcW w:w="1290" w:type="pct"/>
            <w:tcBorders>
              <w:top w:val="nil"/>
              <w:left w:val="nil"/>
              <w:bottom w:val="nil"/>
              <w:right w:val="nil"/>
            </w:tcBorders>
            <w:shd w:val="clear" w:color="auto" w:fill="auto"/>
            <w:vAlign w:val="center"/>
          </w:tcPr>
          <w:p w14:paraId="6EAED702" w14:textId="77777777" w:rsidR="001B34B1" w:rsidRDefault="001B34B1" w:rsidP="001B34B1">
            <w:pPr>
              <w:pStyle w:val="Tabletext"/>
              <w:rPr>
                <w:lang w:eastAsia="en-AU"/>
              </w:rPr>
            </w:pPr>
            <w:r>
              <w:rPr>
                <w:lang w:eastAsia="en-AU"/>
              </w:rPr>
              <w:t>Other government providers</w:t>
            </w:r>
          </w:p>
        </w:tc>
        <w:tc>
          <w:tcPr>
            <w:tcW w:w="412" w:type="pct"/>
            <w:tcBorders>
              <w:top w:val="nil"/>
              <w:left w:val="nil"/>
              <w:bottom w:val="nil"/>
              <w:right w:val="nil"/>
            </w:tcBorders>
            <w:shd w:val="clear" w:color="auto" w:fill="auto"/>
          </w:tcPr>
          <w:p w14:paraId="447B66CE" w14:textId="7F9B6DFD" w:rsidR="001B34B1" w:rsidRPr="00112A30" w:rsidRDefault="001B34B1" w:rsidP="001B34B1">
            <w:pPr>
              <w:pStyle w:val="Tabletext"/>
              <w:tabs>
                <w:tab w:val="decimal" w:pos="442"/>
              </w:tabs>
              <w:jc w:val="right"/>
              <w:rPr>
                <w:lang w:eastAsia="en-AU"/>
              </w:rPr>
            </w:pPr>
            <w:r w:rsidRPr="008726A6">
              <w:t>1</w:t>
            </w:r>
          </w:p>
        </w:tc>
        <w:tc>
          <w:tcPr>
            <w:tcW w:w="412" w:type="pct"/>
            <w:tcBorders>
              <w:top w:val="nil"/>
              <w:left w:val="nil"/>
              <w:bottom w:val="nil"/>
              <w:right w:val="nil"/>
            </w:tcBorders>
            <w:shd w:val="clear" w:color="auto" w:fill="auto"/>
          </w:tcPr>
          <w:p w14:paraId="4D23C912" w14:textId="42437BA8" w:rsidR="001B34B1" w:rsidRPr="00112A30" w:rsidRDefault="00950EE9" w:rsidP="001B34B1">
            <w:pPr>
              <w:pStyle w:val="Tabletext"/>
              <w:tabs>
                <w:tab w:val="decimal" w:pos="416"/>
              </w:tabs>
              <w:jc w:val="right"/>
              <w:rPr>
                <w:lang w:eastAsia="en-AU"/>
              </w:rPr>
            </w:pPr>
            <w:r>
              <w:t>3</w:t>
            </w:r>
          </w:p>
        </w:tc>
        <w:tc>
          <w:tcPr>
            <w:tcW w:w="412" w:type="pct"/>
            <w:tcBorders>
              <w:top w:val="nil"/>
              <w:left w:val="nil"/>
              <w:bottom w:val="nil"/>
              <w:right w:val="nil"/>
            </w:tcBorders>
            <w:shd w:val="clear" w:color="auto" w:fill="auto"/>
          </w:tcPr>
          <w:p w14:paraId="70E5A861" w14:textId="426C44CD" w:rsidR="001B34B1" w:rsidRPr="00112A30" w:rsidRDefault="001B34B1" w:rsidP="001B34B1">
            <w:pPr>
              <w:pStyle w:val="Tabletext"/>
              <w:tabs>
                <w:tab w:val="decimal" w:pos="330"/>
              </w:tabs>
              <w:jc w:val="right"/>
              <w:rPr>
                <w:lang w:eastAsia="en-AU"/>
              </w:rPr>
            </w:pPr>
            <w:r w:rsidRPr="008726A6">
              <w:t>3</w:t>
            </w:r>
          </w:p>
        </w:tc>
        <w:tc>
          <w:tcPr>
            <w:tcW w:w="412" w:type="pct"/>
            <w:tcBorders>
              <w:top w:val="nil"/>
              <w:left w:val="nil"/>
              <w:bottom w:val="nil"/>
              <w:right w:val="nil"/>
            </w:tcBorders>
            <w:shd w:val="clear" w:color="auto" w:fill="auto"/>
          </w:tcPr>
          <w:p w14:paraId="35798035" w14:textId="4A8990F3" w:rsidR="001B34B1" w:rsidRPr="00112A30" w:rsidRDefault="001B34B1" w:rsidP="001B34B1">
            <w:pPr>
              <w:pStyle w:val="Tabletext"/>
              <w:tabs>
                <w:tab w:val="decimal" w:pos="348"/>
              </w:tabs>
              <w:jc w:val="right"/>
              <w:rPr>
                <w:lang w:eastAsia="en-AU"/>
              </w:rPr>
            </w:pPr>
            <w:r>
              <w:t>-</w:t>
            </w:r>
          </w:p>
        </w:tc>
        <w:tc>
          <w:tcPr>
            <w:tcW w:w="412" w:type="pct"/>
            <w:tcBorders>
              <w:top w:val="nil"/>
              <w:left w:val="nil"/>
              <w:bottom w:val="nil"/>
              <w:right w:val="nil"/>
            </w:tcBorders>
            <w:shd w:val="clear" w:color="auto" w:fill="auto"/>
          </w:tcPr>
          <w:p w14:paraId="11384B8C" w14:textId="3BA906DE" w:rsidR="001B34B1" w:rsidRPr="00112A30" w:rsidRDefault="001B34B1" w:rsidP="001B34B1">
            <w:pPr>
              <w:pStyle w:val="Tabletext"/>
              <w:tabs>
                <w:tab w:val="decimal" w:pos="322"/>
              </w:tabs>
              <w:jc w:val="right"/>
              <w:rPr>
                <w:lang w:eastAsia="en-AU"/>
              </w:rPr>
            </w:pPr>
            <w:r w:rsidRPr="008726A6">
              <w:t>2</w:t>
            </w:r>
          </w:p>
        </w:tc>
        <w:tc>
          <w:tcPr>
            <w:tcW w:w="412" w:type="pct"/>
            <w:tcBorders>
              <w:top w:val="nil"/>
              <w:left w:val="nil"/>
              <w:bottom w:val="nil"/>
              <w:right w:val="nil"/>
            </w:tcBorders>
            <w:shd w:val="clear" w:color="auto" w:fill="auto"/>
          </w:tcPr>
          <w:p w14:paraId="37B6E89E" w14:textId="1A8A9D69" w:rsidR="001B34B1" w:rsidRPr="00112A30" w:rsidRDefault="001B34B1" w:rsidP="001B34B1">
            <w:pPr>
              <w:pStyle w:val="Tabletext"/>
              <w:tabs>
                <w:tab w:val="decimal" w:pos="300"/>
              </w:tabs>
              <w:jc w:val="right"/>
              <w:rPr>
                <w:lang w:eastAsia="en-AU"/>
              </w:rPr>
            </w:pPr>
            <w:r>
              <w:t>-</w:t>
            </w:r>
          </w:p>
        </w:tc>
        <w:tc>
          <w:tcPr>
            <w:tcW w:w="412" w:type="pct"/>
            <w:tcBorders>
              <w:top w:val="nil"/>
              <w:left w:val="nil"/>
              <w:bottom w:val="nil"/>
              <w:right w:val="nil"/>
            </w:tcBorders>
            <w:shd w:val="clear" w:color="auto" w:fill="auto"/>
          </w:tcPr>
          <w:p w14:paraId="7F06B60F" w14:textId="52C58488" w:rsidR="001B34B1" w:rsidRPr="00112A30" w:rsidRDefault="001B34B1" w:rsidP="001B34B1">
            <w:pPr>
              <w:pStyle w:val="Tabletext"/>
              <w:tabs>
                <w:tab w:val="decimal" w:pos="270"/>
              </w:tabs>
              <w:jc w:val="right"/>
              <w:rPr>
                <w:lang w:eastAsia="en-AU"/>
              </w:rPr>
            </w:pPr>
            <w:r>
              <w:t>-</w:t>
            </w:r>
          </w:p>
        </w:tc>
        <w:tc>
          <w:tcPr>
            <w:tcW w:w="412" w:type="pct"/>
            <w:tcBorders>
              <w:top w:val="nil"/>
              <w:left w:val="nil"/>
              <w:bottom w:val="nil"/>
              <w:right w:val="nil"/>
            </w:tcBorders>
            <w:shd w:val="clear" w:color="auto" w:fill="auto"/>
          </w:tcPr>
          <w:p w14:paraId="3F835449" w14:textId="7E7A48DE" w:rsidR="001B34B1" w:rsidRPr="00112A30" w:rsidRDefault="001B34B1" w:rsidP="001B34B1">
            <w:pPr>
              <w:pStyle w:val="Tabletext"/>
              <w:tabs>
                <w:tab w:val="decimal" w:pos="370"/>
              </w:tabs>
              <w:jc w:val="right"/>
              <w:rPr>
                <w:lang w:eastAsia="en-AU"/>
              </w:rPr>
            </w:pPr>
            <w:r>
              <w:t>-</w:t>
            </w:r>
          </w:p>
        </w:tc>
        <w:tc>
          <w:tcPr>
            <w:tcW w:w="412" w:type="pct"/>
            <w:tcBorders>
              <w:top w:val="nil"/>
              <w:left w:val="nil"/>
              <w:bottom w:val="nil"/>
              <w:right w:val="nil"/>
            </w:tcBorders>
            <w:shd w:val="clear" w:color="auto" w:fill="auto"/>
          </w:tcPr>
          <w:p w14:paraId="2C4551A8" w14:textId="31EBAE74" w:rsidR="001B34B1" w:rsidRPr="00112A30" w:rsidRDefault="001B34B1" w:rsidP="001B34B1">
            <w:pPr>
              <w:pStyle w:val="Tabletext"/>
              <w:tabs>
                <w:tab w:val="decimal" w:pos="344"/>
              </w:tabs>
              <w:jc w:val="right"/>
              <w:rPr>
                <w:lang w:eastAsia="en-AU"/>
              </w:rPr>
            </w:pPr>
            <w:r>
              <w:rPr>
                <w:rFonts w:cs="Arial"/>
                <w:szCs w:val="16"/>
              </w:rPr>
              <w:t>9</w:t>
            </w:r>
          </w:p>
        </w:tc>
      </w:tr>
      <w:tr w:rsidR="001B34B1" w:rsidRPr="00112A30" w14:paraId="74A74BAF" w14:textId="77777777" w:rsidTr="00390422">
        <w:trPr>
          <w:trHeight w:val="300"/>
          <w:jc w:val="center"/>
        </w:trPr>
        <w:tc>
          <w:tcPr>
            <w:tcW w:w="1290" w:type="pct"/>
            <w:tcBorders>
              <w:top w:val="nil"/>
              <w:left w:val="nil"/>
              <w:right w:val="nil"/>
            </w:tcBorders>
            <w:shd w:val="clear" w:color="auto" w:fill="auto"/>
            <w:vAlign w:val="center"/>
            <w:hideMark/>
          </w:tcPr>
          <w:p w14:paraId="79D7324B" w14:textId="77777777" w:rsidR="001B34B1" w:rsidRPr="00112A30" w:rsidRDefault="001B34B1" w:rsidP="001B34B1">
            <w:pPr>
              <w:pStyle w:val="Tabletext"/>
              <w:rPr>
                <w:lang w:eastAsia="en-AU"/>
              </w:rPr>
            </w:pPr>
            <w:r>
              <w:rPr>
                <w:lang w:eastAsia="en-AU"/>
              </w:rPr>
              <w:t>Community education providers</w:t>
            </w:r>
          </w:p>
        </w:tc>
        <w:tc>
          <w:tcPr>
            <w:tcW w:w="412" w:type="pct"/>
            <w:tcBorders>
              <w:top w:val="nil"/>
              <w:left w:val="nil"/>
              <w:right w:val="nil"/>
            </w:tcBorders>
            <w:shd w:val="clear" w:color="auto" w:fill="auto"/>
          </w:tcPr>
          <w:p w14:paraId="4FB16C65" w14:textId="69AD11E9" w:rsidR="001B34B1" w:rsidRPr="00112A30" w:rsidRDefault="001B34B1" w:rsidP="001B34B1">
            <w:pPr>
              <w:pStyle w:val="Tabletext"/>
              <w:tabs>
                <w:tab w:val="decimal" w:pos="442"/>
              </w:tabs>
              <w:jc w:val="right"/>
              <w:rPr>
                <w:lang w:eastAsia="en-AU"/>
              </w:rPr>
            </w:pPr>
            <w:r w:rsidRPr="008726A6">
              <w:t>33</w:t>
            </w:r>
          </w:p>
        </w:tc>
        <w:tc>
          <w:tcPr>
            <w:tcW w:w="412" w:type="pct"/>
            <w:tcBorders>
              <w:top w:val="nil"/>
              <w:left w:val="nil"/>
              <w:right w:val="nil"/>
            </w:tcBorders>
            <w:shd w:val="clear" w:color="auto" w:fill="auto"/>
          </w:tcPr>
          <w:p w14:paraId="64982FFD" w14:textId="39906A7D" w:rsidR="001B34B1" w:rsidRPr="00112A30" w:rsidRDefault="00950EE9" w:rsidP="001B34B1">
            <w:pPr>
              <w:pStyle w:val="Tabletext"/>
              <w:tabs>
                <w:tab w:val="decimal" w:pos="416"/>
              </w:tabs>
              <w:jc w:val="right"/>
              <w:rPr>
                <w:lang w:eastAsia="en-AU"/>
              </w:rPr>
            </w:pPr>
            <w:r>
              <w:t>50</w:t>
            </w:r>
          </w:p>
        </w:tc>
        <w:tc>
          <w:tcPr>
            <w:tcW w:w="412" w:type="pct"/>
            <w:tcBorders>
              <w:top w:val="nil"/>
              <w:left w:val="nil"/>
              <w:right w:val="nil"/>
            </w:tcBorders>
            <w:shd w:val="clear" w:color="auto" w:fill="auto"/>
          </w:tcPr>
          <w:p w14:paraId="3D75D9D2" w14:textId="745208C9" w:rsidR="001B34B1" w:rsidRPr="00112A30" w:rsidRDefault="001B34B1" w:rsidP="001B34B1">
            <w:pPr>
              <w:pStyle w:val="Tabletext"/>
              <w:tabs>
                <w:tab w:val="decimal" w:pos="330"/>
              </w:tabs>
              <w:jc w:val="right"/>
              <w:rPr>
                <w:lang w:eastAsia="en-AU"/>
              </w:rPr>
            </w:pPr>
            <w:r w:rsidRPr="008726A6">
              <w:t>1</w:t>
            </w:r>
            <w:r w:rsidR="00950EE9">
              <w:t>1</w:t>
            </w:r>
          </w:p>
        </w:tc>
        <w:tc>
          <w:tcPr>
            <w:tcW w:w="412" w:type="pct"/>
            <w:tcBorders>
              <w:top w:val="nil"/>
              <w:left w:val="nil"/>
              <w:right w:val="nil"/>
            </w:tcBorders>
            <w:shd w:val="clear" w:color="auto" w:fill="auto"/>
          </w:tcPr>
          <w:p w14:paraId="6D32301E" w14:textId="0A27FCE3" w:rsidR="001B34B1" w:rsidRPr="00112A30" w:rsidRDefault="00950EE9" w:rsidP="001B34B1">
            <w:pPr>
              <w:pStyle w:val="Tabletext"/>
              <w:tabs>
                <w:tab w:val="decimal" w:pos="348"/>
              </w:tabs>
              <w:jc w:val="right"/>
              <w:rPr>
                <w:lang w:eastAsia="en-AU"/>
              </w:rPr>
            </w:pPr>
            <w:r>
              <w:t>14</w:t>
            </w:r>
          </w:p>
        </w:tc>
        <w:tc>
          <w:tcPr>
            <w:tcW w:w="412" w:type="pct"/>
            <w:tcBorders>
              <w:top w:val="nil"/>
              <w:left w:val="nil"/>
              <w:right w:val="nil"/>
            </w:tcBorders>
            <w:shd w:val="clear" w:color="auto" w:fill="auto"/>
          </w:tcPr>
          <w:p w14:paraId="396CDF24" w14:textId="3B1D394D" w:rsidR="001B34B1" w:rsidRPr="00112A30" w:rsidRDefault="00950EE9" w:rsidP="001B34B1">
            <w:pPr>
              <w:pStyle w:val="Tabletext"/>
              <w:tabs>
                <w:tab w:val="decimal" w:pos="322"/>
              </w:tabs>
              <w:jc w:val="right"/>
              <w:rPr>
                <w:lang w:eastAsia="en-AU"/>
              </w:rPr>
            </w:pPr>
            <w:r>
              <w:t>5</w:t>
            </w:r>
          </w:p>
        </w:tc>
        <w:tc>
          <w:tcPr>
            <w:tcW w:w="412" w:type="pct"/>
            <w:tcBorders>
              <w:top w:val="nil"/>
              <w:left w:val="nil"/>
              <w:right w:val="nil"/>
            </w:tcBorders>
            <w:shd w:val="clear" w:color="auto" w:fill="auto"/>
          </w:tcPr>
          <w:p w14:paraId="20B945D1" w14:textId="344A6955" w:rsidR="001B34B1" w:rsidRPr="00112A30" w:rsidRDefault="001B34B1" w:rsidP="001B34B1">
            <w:pPr>
              <w:pStyle w:val="Tabletext"/>
              <w:tabs>
                <w:tab w:val="decimal" w:pos="300"/>
              </w:tabs>
              <w:jc w:val="right"/>
              <w:rPr>
                <w:lang w:eastAsia="en-AU"/>
              </w:rPr>
            </w:pPr>
            <w:r>
              <w:t>-</w:t>
            </w:r>
          </w:p>
        </w:tc>
        <w:tc>
          <w:tcPr>
            <w:tcW w:w="412" w:type="pct"/>
            <w:tcBorders>
              <w:top w:val="nil"/>
              <w:left w:val="nil"/>
              <w:right w:val="nil"/>
            </w:tcBorders>
            <w:shd w:val="clear" w:color="auto" w:fill="auto"/>
          </w:tcPr>
          <w:p w14:paraId="7EB81F51" w14:textId="25B79EF3" w:rsidR="001B34B1" w:rsidRPr="00112A30" w:rsidRDefault="001B34B1" w:rsidP="001B34B1">
            <w:pPr>
              <w:pStyle w:val="Tabletext"/>
              <w:tabs>
                <w:tab w:val="decimal" w:pos="270"/>
              </w:tabs>
              <w:jc w:val="right"/>
              <w:rPr>
                <w:lang w:eastAsia="en-AU"/>
              </w:rPr>
            </w:pPr>
            <w:r>
              <w:t>-</w:t>
            </w:r>
          </w:p>
        </w:tc>
        <w:tc>
          <w:tcPr>
            <w:tcW w:w="412" w:type="pct"/>
            <w:tcBorders>
              <w:top w:val="nil"/>
              <w:left w:val="nil"/>
              <w:right w:val="nil"/>
            </w:tcBorders>
            <w:shd w:val="clear" w:color="auto" w:fill="auto"/>
          </w:tcPr>
          <w:p w14:paraId="78964FB2" w14:textId="1059852E" w:rsidR="001B34B1" w:rsidRPr="00112A30" w:rsidRDefault="001B34B1" w:rsidP="001B34B1">
            <w:pPr>
              <w:pStyle w:val="Tabletext"/>
              <w:tabs>
                <w:tab w:val="decimal" w:pos="370"/>
              </w:tabs>
              <w:jc w:val="right"/>
              <w:rPr>
                <w:lang w:eastAsia="en-AU"/>
              </w:rPr>
            </w:pPr>
            <w:r>
              <w:t>-</w:t>
            </w:r>
          </w:p>
        </w:tc>
        <w:tc>
          <w:tcPr>
            <w:tcW w:w="412" w:type="pct"/>
            <w:tcBorders>
              <w:top w:val="nil"/>
              <w:left w:val="nil"/>
              <w:right w:val="nil"/>
            </w:tcBorders>
            <w:shd w:val="clear" w:color="auto" w:fill="auto"/>
          </w:tcPr>
          <w:p w14:paraId="397C67CF" w14:textId="6B2C1896" w:rsidR="001B34B1" w:rsidRPr="00112A30" w:rsidRDefault="001B34B1" w:rsidP="001B34B1">
            <w:pPr>
              <w:pStyle w:val="Tabletext"/>
              <w:tabs>
                <w:tab w:val="decimal" w:pos="344"/>
              </w:tabs>
              <w:jc w:val="right"/>
              <w:rPr>
                <w:lang w:eastAsia="en-AU"/>
              </w:rPr>
            </w:pPr>
            <w:r>
              <w:rPr>
                <w:rFonts w:cs="Arial"/>
                <w:szCs w:val="16"/>
              </w:rPr>
              <w:t>113</w:t>
            </w:r>
          </w:p>
        </w:tc>
      </w:tr>
      <w:tr w:rsidR="001B34B1" w:rsidRPr="00112A30" w14:paraId="4A2381FF" w14:textId="77777777" w:rsidTr="00390422">
        <w:trPr>
          <w:trHeight w:val="300"/>
          <w:jc w:val="center"/>
        </w:trPr>
        <w:tc>
          <w:tcPr>
            <w:tcW w:w="1290" w:type="pct"/>
            <w:tcBorders>
              <w:top w:val="nil"/>
              <w:left w:val="nil"/>
              <w:right w:val="nil"/>
            </w:tcBorders>
            <w:shd w:val="clear" w:color="auto" w:fill="auto"/>
            <w:vAlign w:val="center"/>
          </w:tcPr>
          <w:p w14:paraId="510F7075" w14:textId="77777777" w:rsidR="001B34B1" w:rsidRDefault="001B34B1" w:rsidP="001B34B1">
            <w:pPr>
              <w:pStyle w:val="Tabletext"/>
              <w:rPr>
                <w:lang w:eastAsia="en-AU"/>
              </w:rPr>
            </w:pPr>
            <w:r w:rsidRPr="00912389">
              <w:rPr>
                <w:lang w:eastAsia="en-AU"/>
              </w:rPr>
              <w:t>Private training providers</w:t>
            </w:r>
          </w:p>
        </w:tc>
        <w:tc>
          <w:tcPr>
            <w:tcW w:w="412" w:type="pct"/>
            <w:tcBorders>
              <w:left w:val="nil"/>
              <w:right w:val="nil"/>
            </w:tcBorders>
            <w:shd w:val="clear" w:color="auto" w:fill="auto"/>
          </w:tcPr>
          <w:p w14:paraId="585A2A52" w14:textId="15B815A0" w:rsidR="001B34B1" w:rsidRDefault="001B34B1" w:rsidP="001B34B1">
            <w:pPr>
              <w:pStyle w:val="Tabletext"/>
              <w:tabs>
                <w:tab w:val="decimal" w:pos="442"/>
              </w:tabs>
              <w:jc w:val="right"/>
              <w:rPr>
                <w:lang w:eastAsia="en-AU"/>
              </w:rPr>
            </w:pPr>
            <w:r w:rsidRPr="008726A6">
              <w:t>2</w:t>
            </w:r>
            <w:r w:rsidR="00FA1B38">
              <w:t>59</w:t>
            </w:r>
          </w:p>
        </w:tc>
        <w:tc>
          <w:tcPr>
            <w:tcW w:w="412" w:type="pct"/>
            <w:tcBorders>
              <w:left w:val="nil"/>
              <w:right w:val="nil"/>
            </w:tcBorders>
            <w:shd w:val="clear" w:color="auto" w:fill="auto"/>
          </w:tcPr>
          <w:p w14:paraId="16166242" w14:textId="52225A97" w:rsidR="001B34B1" w:rsidRDefault="001B34B1" w:rsidP="001B34B1">
            <w:pPr>
              <w:pStyle w:val="Tabletext"/>
              <w:tabs>
                <w:tab w:val="decimal" w:pos="416"/>
              </w:tabs>
              <w:jc w:val="right"/>
              <w:rPr>
                <w:lang w:eastAsia="en-AU"/>
              </w:rPr>
            </w:pPr>
            <w:r w:rsidRPr="008726A6">
              <w:t>1</w:t>
            </w:r>
            <w:r w:rsidR="00950EE9">
              <w:t>47</w:t>
            </w:r>
          </w:p>
        </w:tc>
        <w:tc>
          <w:tcPr>
            <w:tcW w:w="412" w:type="pct"/>
            <w:tcBorders>
              <w:left w:val="nil"/>
              <w:right w:val="nil"/>
            </w:tcBorders>
            <w:shd w:val="clear" w:color="auto" w:fill="auto"/>
          </w:tcPr>
          <w:p w14:paraId="73C448FA" w14:textId="0AFA26EE" w:rsidR="001B34B1" w:rsidRDefault="001B34B1" w:rsidP="001B34B1">
            <w:pPr>
              <w:pStyle w:val="Tabletext"/>
              <w:tabs>
                <w:tab w:val="decimal" w:pos="330"/>
              </w:tabs>
              <w:jc w:val="right"/>
              <w:rPr>
                <w:lang w:eastAsia="en-AU"/>
              </w:rPr>
            </w:pPr>
            <w:r w:rsidRPr="008726A6">
              <w:t>3</w:t>
            </w:r>
            <w:r w:rsidR="00950EE9">
              <w:t>36</w:t>
            </w:r>
          </w:p>
        </w:tc>
        <w:tc>
          <w:tcPr>
            <w:tcW w:w="412" w:type="pct"/>
            <w:tcBorders>
              <w:left w:val="nil"/>
              <w:right w:val="nil"/>
            </w:tcBorders>
            <w:shd w:val="clear" w:color="auto" w:fill="auto"/>
          </w:tcPr>
          <w:p w14:paraId="4C309834" w14:textId="39B4244B" w:rsidR="001B34B1" w:rsidRDefault="001B34B1" w:rsidP="001B34B1">
            <w:pPr>
              <w:pStyle w:val="Tabletext"/>
              <w:tabs>
                <w:tab w:val="decimal" w:pos="348"/>
              </w:tabs>
              <w:jc w:val="right"/>
              <w:rPr>
                <w:lang w:eastAsia="en-AU"/>
              </w:rPr>
            </w:pPr>
            <w:r w:rsidRPr="008726A6">
              <w:t>12</w:t>
            </w:r>
            <w:r w:rsidR="00950EE9">
              <w:t>1</w:t>
            </w:r>
          </w:p>
        </w:tc>
        <w:tc>
          <w:tcPr>
            <w:tcW w:w="412" w:type="pct"/>
            <w:tcBorders>
              <w:left w:val="nil"/>
              <w:right w:val="nil"/>
            </w:tcBorders>
            <w:shd w:val="clear" w:color="auto" w:fill="auto"/>
          </w:tcPr>
          <w:p w14:paraId="7F4BE69E" w14:textId="4EE1350D" w:rsidR="001B34B1" w:rsidRDefault="001B34B1" w:rsidP="001B34B1">
            <w:pPr>
              <w:pStyle w:val="Tabletext"/>
              <w:tabs>
                <w:tab w:val="decimal" w:pos="322"/>
              </w:tabs>
              <w:jc w:val="right"/>
              <w:rPr>
                <w:lang w:eastAsia="en-AU"/>
              </w:rPr>
            </w:pPr>
            <w:r w:rsidRPr="008726A6">
              <w:t>1</w:t>
            </w:r>
            <w:r w:rsidR="00950EE9">
              <w:t>35</w:t>
            </w:r>
          </w:p>
        </w:tc>
        <w:tc>
          <w:tcPr>
            <w:tcW w:w="412" w:type="pct"/>
            <w:tcBorders>
              <w:left w:val="nil"/>
              <w:right w:val="nil"/>
            </w:tcBorders>
            <w:shd w:val="clear" w:color="auto" w:fill="auto"/>
          </w:tcPr>
          <w:p w14:paraId="1DDB3289" w14:textId="30BD0B77" w:rsidR="001B34B1" w:rsidRDefault="00950EE9" w:rsidP="001B34B1">
            <w:pPr>
              <w:pStyle w:val="Tabletext"/>
              <w:tabs>
                <w:tab w:val="decimal" w:pos="300"/>
              </w:tabs>
              <w:jc w:val="right"/>
              <w:rPr>
                <w:lang w:eastAsia="en-AU"/>
              </w:rPr>
            </w:pPr>
            <w:r>
              <w:t>54</w:t>
            </w:r>
          </w:p>
        </w:tc>
        <w:tc>
          <w:tcPr>
            <w:tcW w:w="412" w:type="pct"/>
            <w:tcBorders>
              <w:left w:val="nil"/>
              <w:right w:val="nil"/>
            </w:tcBorders>
            <w:shd w:val="clear" w:color="auto" w:fill="auto"/>
          </w:tcPr>
          <w:p w14:paraId="7D2E8469" w14:textId="5F6DA29B" w:rsidR="001B34B1" w:rsidRDefault="00FA1B38" w:rsidP="001B34B1">
            <w:pPr>
              <w:pStyle w:val="Tabletext"/>
              <w:tabs>
                <w:tab w:val="decimal" w:pos="270"/>
              </w:tabs>
              <w:jc w:val="right"/>
              <w:rPr>
                <w:lang w:eastAsia="en-AU"/>
              </w:rPr>
            </w:pPr>
            <w:r>
              <w:t>36</w:t>
            </w:r>
          </w:p>
        </w:tc>
        <w:tc>
          <w:tcPr>
            <w:tcW w:w="412" w:type="pct"/>
            <w:tcBorders>
              <w:left w:val="nil"/>
              <w:right w:val="nil"/>
            </w:tcBorders>
            <w:shd w:val="clear" w:color="auto" w:fill="auto"/>
          </w:tcPr>
          <w:p w14:paraId="7C9ABDC1" w14:textId="0C03EE00" w:rsidR="001B34B1" w:rsidRDefault="00FA1B38" w:rsidP="001B34B1">
            <w:pPr>
              <w:pStyle w:val="Tabletext"/>
              <w:tabs>
                <w:tab w:val="decimal" w:pos="370"/>
              </w:tabs>
              <w:jc w:val="right"/>
              <w:rPr>
                <w:lang w:eastAsia="en-AU"/>
              </w:rPr>
            </w:pPr>
            <w:r>
              <w:t>49</w:t>
            </w:r>
          </w:p>
        </w:tc>
        <w:tc>
          <w:tcPr>
            <w:tcW w:w="412" w:type="pct"/>
            <w:tcBorders>
              <w:left w:val="nil"/>
              <w:right w:val="nil"/>
            </w:tcBorders>
            <w:shd w:val="clear" w:color="auto" w:fill="auto"/>
          </w:tcPr>
          <w:p w14:paraId="576EA101" w14:textId="0DCE39BD" w:rsidR="001B34B1" w:rsidRDefault="001B34B1" w:rsidP="001B34B1">
            <w:pPr>
              <w:pStyle w:val="Tabletext"/>
              <w:tabs>
                <w:tab w:val="decimal" w:pos="344"/>
              </w:tabs>
              <w:jc w:val="right"/>
              <w:rPr>
                <w:lang w:eastAsia="en-AU"/>
              </w:rPr>
            </w:pPr>
            <w:r>
              <w:rPr>
                <w:rFonts w:cs="Arial"/>
                <w:szCs w:val="16"/>
              </w:rPr>
              <w:t>865</w:t>
            </w:r>
          </w:p>
        </w:tc>
      </w:tr>
      <w:tr w:rsidR="001B34B1" w:rsidRPr="00112A30" w14:paraId="4A8F1C54" w14:textId="77777777" w:rsidTr="00390422">
        <w:trPr>
          <w:trHeight w:val="300"/>
          <w:jc w:val="center"/>
        </w:trPr>
        <w:tc>
          <w:tcPr>
            <w:tcW w:w="1290" w:type="pct"/>
            <w:tcBorders>
              <w:top w:val="nil"/>
              <w:left w:val="nil"/>
              <w:right w:val="nil"/>
            </w:tcBorders>
            <w:shd w:val="clear" w:color="auto" w:fill="auto"/>
            <w:vAlign w:val="center"/>
            <w:hideMark/>
          </w:tcPr>
          <w:p w14:paraId="4F3EFD49" w14:textId="77777777" w:rsidR="001B34B1" w:rsidRPr="00F045AB" w:rsidRDefault="001B34B1" w:rsidP="001B34B1">
            <w:pPr>
              <w:pStyle w:val="Tabletext"/>
              <w:rPr>
                <w:highlight w:val="yellow"/>
                <w:lang w:eastAsia="en-AU"/>
              </w:rPr>
            </w:pPr>
            <w:r w:rsidRPr="00E4450E">
              <w:rPr>
                <w:lang w:eastAsia="en-AU"/>
              </w:rPr>
              <w:t>Other training providers</w:t>
            </w:r>
          </w:p>
        </w:tc>
        <w:tc>
          <w:tcPr>
            <w:tcW w:w="412" w:type="pct"/>
            <w:tcBorders>
              <w:left w:val="nil"/>
              <w:right w:val="nil"/>
            </w:tcBorders>
            <w:shd w:val="clear" w:color="auto" w:fill="auto"/>
          </w:tcPr>
          <w:p w14:paraId="3E87B7B4" w14:textId="3B89C2EE" w:rsidR="001B34B1" w:rsidRPr="008919D2" w:rsidRDefault="00FA1B38" w:rsidP="001B34B1">
            <w:pPr>
              <w:pStyle w:val="Tabletext"/>
              <w:tabs>
                <w:tab w:val="decimal" w:pos="442"/>
              </w:tabs>
              <w:jc w:val="right"/>
              <w:rPr>
                <w:lang w:eastAsia="en-AU"/>
              </w:rPr>
            </w:pPr>
            <w:r w:rsidRPr="008726A6">
              <w:t>1</w:t>
            </w:r>
            <w:r>
              <w:t>01</w:t>
            </w:r>
          </w:p>
        </w:tc>
        <w:tc>
          <w:tcPr>
            <w:tcW w:w="412" w:type="pct"/>
            <w:tcBorders>
              <w:left w:val="nil"/>
              <w:right w:val="nil"/>
            </w:tcBorders>
            <w:shd w:val="clear" w:color="auto" w:fill="auto"/>
          </w:tcPr>
          <w:p w14:paraId="779F5A97" w14:textId="2F07F1F0" w:rsidR="001B34B1" w:rsidRPr="008919D2" w:rsidRDefault="00950EE9" w:rsidP="001B34B1">
            <w:pPr>
              <w:pStyle w:val="Tabletext"/>
              <w:tabs>
                <w:tab w:val="decimal" w:pos="416"/>
              </w:tabs>
              <w:jc w:val="right"/>
              <w:rPr>
                <w:lang w:eastAsia="en-AU"/>
              </w:rPr>
            </w:pPr>
            <w:r>
              <w:t>38</w:t>
            </w:r>
          </w:p>
        </w:tc>
        <w:tc>
          <w:tcPr>
            <w:tcW w:w="412" w:type="pct"/>
            <w:tcBorders>
              <w:left w:val="nil"/>
              <w:right w:val="nil"/>
            </w:tcBorders>
            <w:shd w:val="clear" w:color="auto" w:fill="auto"/>
          </w:tcPr>
          <w:p w14:paraId="376349C4" w14:textId="5ED956FB" w:rsidR="001B34B1" w:rsidRPr="008919D2" w:rsidRDefault="001B34B1" w:rsidP="001B34B1">
            <w:pPr>
              <w:pStyle w:val="Tabletext"/>
              <w:tabs>
                <w:tab w:val="decimal" w:pos="330"/>
              </w:tabs>
              <w:jc w:val="right"/>
              <w:rPr>
                <w:lang w:eastAsia="en-AU"/>
              </w:rPr>
            </w:pPr>
            <w:r w:rsidRPr="008726A6">
              <w:t>3</w:t>
            </w:r>
            <w:r w:rsidR="00950EE9">
              <w:t>1</w:t>
            </w:r>
          </w:p>
        </w:tc>
        <w:tc>
          <w:tcPr>
            <w:tcW w:w="412" w:type="pct"/>
            <w:tcBorders>
              <w:left w:val="nil"/>
              <w:right w:val="nil"/>
            </w:tcBorders>
            <w:shd w:val="clear" w:color="auto" w:fill="auto"/>
          </w:tcPr>
          <w:p w14:paraId="7711C83B" w14:textId="52EAD05F" w:rsidR="001B34B1" w:rsidRPr="008919D2" w:rsidRDefault="00950EE9" w:rsidP="001B34B1">
            <w:pPr>
              <w:pStyle w:val="Tabletext"/>
              <w:tabs>
                <w:tab w:val="decimal" w:pos="348"/>
              </w:tabs>
              <w:jc w:val="right"/>
              <w:rPr>
                <w:lang w:eastAsia="en-AU"/>
              </w:rPr>
            </w:pPr>
            <w:r>
              <w:t>3</w:t>
            </w:r>
            <w:r w:rsidR="001B34B1" w:rsidRPr="008726A6">
              <w:t>4</w:t>
            </w:r>
          </w:p>
        </w:tc>
        <w:tc>
          <w:tcPr>
            <w:tcW w:w="412" w:type="pct"/>
            <w:tcBorders>
              <w:left w:val="nil"/>
              <w:right w:val="nil"/>
            </w:tcBorders>
            <w:shd w:val="clear" w:color="auto" w:fill="auto"/>
          </w:tcPr>
          <w:p w14:paraId="003B6C15" w14:textId="1548A9A7" w:rsidR="001B34B1" w:rsidRPr="008919D2" w:rsidRDefault="001B34B1" w:rsidP="001B34B1">
            <w:pPr>
              <w:pStyle w:val="Tabletext"/>
              <w:tabs>
                <w:tab w:val="decimal" w:pos="322"/>
              </w:tabs>
              <w:jc w:val="right"/>
              <w:rPr>
                <w:lang w:eastAsia="en-AU"/>
              </w:rPr>
            </w:pPr>
            <w:r w:rsidRPr="008726A6">
              <w:t>1</w:t>
            </w:r>
            <w:r w:rsidR="00950EE9">
              <w:t>7</w:t>
            </w:r>
          </w:p>
        </w:tc>
        <w:tc>
          <w:tcPr>
            <w:tcW w:w="412" w:type="pct"/>
            <w:tcBorders>
              <w:left w:val="nil"/>
              <w:right w:val="nil"/>
            </w:tcBorders>
            <w:shd w:val="clear" w:color="auto" w:fill="auto"/>
          </w:tcPr>
          <w:p w14:paraId="02AE23CB" w14:textId="1FA116AE" w:rsidR="001B34B1" w:rsidRPr="008919D2" w:rsidRDefault="00950EE9" w:rsidP="001B34B1">
            <w:pPr>
              <w:pStyle w:val="Tabletext"/>
              <w:tabs>
                <w:tab w:val="decimal" w:pos="300"/>
              </w:tabs>
              <w:jc w:val="right"/>
              <w:rPr>
                <w:lang w:eastAsia="en-AU"/>
              </w:rPr>
            </w:pPr>
            <w:r>
              <w:t>28</w:t>
            </w:r>
          </w:p>
        </w:tc>
        <w:tc>
          <w:tcPr>
            <w:tcW w:w="412" w:type="pct"/>
            <w:tcBorders>
              <w:left w:val="nil"/>
              <w:right w:val="nil"/>
            </w:tcBorders>
            <w:shd w:val="clear" w:color="auto" w:fill="auto"/>
          </w:tcPr>
          <w:p w14:paraId="6D9FE522" w14:textId="01EFCEBB" w:rsidR="001B34B1" w:rsidRPr="008919D2" w:rsidRDefault="001B34B1" w:rsidP="001B34B1">
            <w:pPr>
              <w:pStyle w:val="Tabletext"/>
              <w:tabs>
                <w:tab w:val="decimal" w:pos="270"/>
              </w:tabs>
              <w:jc w:val="right"/>
              <w:rPr>
                <w:lang w:eastAsia="en-AU"/>
              </w:rPr>
            </w:pPr>
            <w:r w:rsidRPr="008726A6">
              <w:t>2</w:t>
            </w:r>
            <w:r w:rsidR="00FA1B38">
              <w:t>3</w:t>
            </w:r>
          </w:p>
        </w:tc>
        <w:tc>
          <w:tcPr>
            <w:tcW w:w="412" w:type="pct"/>
            <w:tcBorders>
              <w:left w:val="nil"/>
              <w:right w:val="nil"/>
            </w:tcBorders>
            <w:shd w:val="clear" w:color="auto" w:fill="auto"/>
          </w:tcPr>
          <w:p w14:paraId="2A262F05" w14:textId="19A89B43" w:rsidR="001B34B1" w:rsidRPr="008919D2" w:rsidRDefault="001B34B1" w:rsidP="001B34B1">
            <w:pPr>
              <w:pStyle w:val="Tabletext"/>
              <w:tabs>
                <w:tab w:val="decimal" w:pos="370"/>
              </w:tabs>
              <w:jc w:val="right"/>
              <w:rPr>
                <w:lang w:eastAsia="en-AU"/>
              </w:rPr>
            </w:pPr>
            <w:r w:rsidRPr="008726A6">
              <w:t>14</w:t>
            </w:r>
          </w:p>
        </w:tc>
        <w:tc>
          <w:tcPr>
            <w:tcW w:w="412" w:type="pct"/>
            <w:tcBorders>
              <w:left w:val="nil"/>
              <w:right w:val="nil"/>
            </w:tcBorders>
            <w:shd w:val="clear" w:color="auto" w:fill="auto"/>
          </w:tcPr>
          <w:p w14:paraId="15E6992D" w14:textId="67DA9447" w:rsidR="001B34B1" w:rsidRPr="008919D2" w:rsidRDefault="001B34B1" w:rsidP="001B34B1">
            <w:pPr>
              <w:pStyle w:val="Tabletext"/>
              <w:tabs>
                <w:tab w:val="decimal" w:pos="344"/>
              </w:tabs>
              <w:jc w:val="right"/>
              <w:rPr>
                <w:lang w:eastAsia="en-AU"/>
              </w:rPr>
            </w:pPr>
            <w:r w:rsidRPr="00423689">
              <w:rPr>
                <w:rFonts w:cs="Arial"/>
                <w:szCs w:val="16"/>
              </w:rPr>
              <w:t>2</w:t>
            </w:r>
            <w:r>
              <w:rPr>
                <w:rFonts w:cs="Arial"/>
                <w:szCs w:val="16"/>
              </w:rPr>
              <w:t>05</w:t>
            </w:r>
          </w:p>
        </w:tc>
      </w:tr>
      <w:tr w:rsidR="008168E1" w:rsidRPr="00112A30" w14:paraId="3CE406AF" w14:textId="77777777" w:rsidTr="00390422">
        <w:trPr>
          <w:trHeight w:val="315"/>
          <w:jc w:val="center"/>
        </w:trPr>
        <w:tc>
          <w:tcPr>
            <w:tcW w:w="1290" w:type="pct"/>
            <w:tcBorders>
              <w:top w:val="single" w:sz="4" w:space="0" w:color="439539"/>
              <w:left w:val="nil"/>
              <w:bottom w:val="single" w:sz="4" w:space="0" w:color="439539"/>
              <w:right w:val="nil"/>
            </w:tcBorders>
            <w:shd w:val="clear" w:color="auto" w:fill="auto"/>
            <w:vAlign w:val="center"/>
          </w:tcPr>
          <w:p w14:paraId="6F3E9935" w14:textId="77777777" w:rsidR="008168E1" w:rsidRDefault="008168E1" w:rsidP="008168E1">
            <w:pPr>
              <w:pStyle w:val="TableRowBold"/>
              <w:rPr>
                <w:lang w:eastAsia="en-AU"/>
              </w:rPr>
            </w:pPr>
            <w:r>
              <w:rPr>
                <w:lang w:eastAsia="en-AU"/>
              </w:rPr>
              <w:t>Total</w:t>
            </w:r>
          </w:p>
        </w:tc>
        <w:tc>
          <w:tcPr>
            <w:tcW w:w="412" w:type="pct"/>
            <w:tcBorders>
              <w:top w:val="single" w:sz="4" w:space="0" w:color="439539"/>
              <w:left w:val="nil"/>
              <w:bottom w:val="single" w:sz="4" w:space="0" w:color="439539"/>
              <w:right w:val="nil"/>
            </w:tcBorders>
            <w:shd w:val="clear" w:color="auto" w:fill="auto"/>
          </w:tcPr>
          <w:p w14:paraId="4F886629" w14:textId="4777586A" w:rsidR="008168E1" w:rsidRPr="00112A30" w:rsidRDefault="00FA1B38" w:rsidP="00AC035B">
            <w:pPr>
              <w:pStyle w:val="TableRowBold"/>
              <w:tabs>
                <w:tab w:val="decimal" w:pos="442"/>
              </w:tabs>
              <w:jc w:val="right"/>
              <w:rPr>
                <w:lang w:eastAsia="en-AU"/>
              </w:rPr>
            </w:pPr>
            <w:r>
              <w:t>362</w:t>
            </w:r>
          </w:p>
        </w:tc>
        <w:tc>
          <w:tcPr>
            <w:tcW w:w="412" w:type="pct"/>
            <w:tcBorders>
              <w:top w:val="single" w:sz="4" w:space="0" w:color="439539"/>
              <w:left w:val="nil"/>
              <w:bottom w:val="single" w:sz="4" w:space="0" w:color="439539"/>
              <w:right w:val="nil"/>
            </w:tcBorders>
            <w:shd w:val="clear" w:color="auto" w:fill="auto"/>
          </w:tcPr>
          <w:p w14:paraId="3EC41FEA" w14:textId="4887A536" w:rsidR="008168E1" w:rsidRPr="00112A30" w:rsidRDefault="00FA1B38" w:rsidP="00AC035B">
            <w:pPr>
              <w:pStyle w:val="TableRowBold"/>
              <w:tabs>
                <w:tab w:val="decimal" w:pos="416"/>
              </w:tabs>
              <w:jc w:val="right"/>
              <w:rPr>
                <w:lang w:eastAsia="en-AU"/>
              </w:rPr>
            </w:pPr>
            <w:r>
              <w:t>250</w:t>
            </w:r>
          </w:p>
        </w:tc>
        <w:tc>
          <w:tcPr>
            <w:tcW w:w="412" w:type="pct"/>
            <w:tcBorders>
              <w:top w:val="single" w:sz="4" w:space="0" w:color="439539"/>
              <w:left w:val="nil"/>
              <w:bottom w:val="single" w:sz="4" w:space="0" w:color="439539"/>
              <w:right w:val="nil"/>
            </w:tcBorders>
            <w:shd w:val="clear" w:color="auto" w:fill="auto"/>
          </w:tcPr>
          <w:p w14:paraId="050938DD" w14:textId="16D9E621" w:rsidR="008168E1" w:rsidRPr="00112A30" w:rsidRDefault="00FA1B38" w:rsidP="00AC035B">
            <w:pPr>
              <w:pStyle w:val="TableRowBold"/>
              <w:tabs>
                <w:tab w:val="decimal" w:pos="330"/>
              </w:tabs>
              <w:jc w:val="right"/>
              <w:rPr>
                <w:lang w:eastAsia="en-AU"/>
              </w:rPr>
            </w:pPr>
            <w:r>
              <w:t>382</w:t>
            </w:r>
          </w:p>
        </w:tc>
        <w:tc>
          <w:tcPr>
            <w:tcW w:w="412" w:type="pct"/>
            <w:tcBorders>
              <w:top w:val="single" w:sz="4" w:space="0" w:color="439539"/>
              <w:left w:val="nil"/>
              <w:bottom w:val="single" w:sz="4" w:space="0" w:color="439539"/>
              <w:right w:val="nil"/>
            </w:tcBorders>
            <w:shd w:val="clear" w:color="auto" w:fill="auto"/>
          </w:tcPr>
          <w:p w14:paraId="4DD73C7E" w14:textId="405E4DD7" w:rsidR="008168E1" w:rsidRPr="00112A30" w:rsidRDefault="00FA1B38" w:rsidP="00AC035B">
            <w:pPr>
              <w:pStyle w:val="TableRowBold"/>
              <w:tabs>
                <w:tab w:val="decimal" w:pos="348"/>
              </w:tabs>
              <w:jc w:val="right"/>
              <w:rPr>
                <w:lang w:eastAsia="en-AU"/>
              </w:rPr>
            </w:pPr>
            <w:r>
              <w:t>170</w:t>
            </w:r>
          </w:p>
        </w:tc>
        <w:tc>
          <w:tcPr>
            <w:tcW w:w="412" w:type="pct"/>
            <w:tcBorders>
              <w:top w:val="single" w:sz="4" w:space="0" w:color="439539"/>
              <w:left w:val="nil"/>
              <w:bottom w:val="single" w:sz="4" w:space="0" w:color="439539"/>
              <w:right w:val="nil"/>
            </w:tcBorders>
            <w:shd w:val="clear" w:color="auto" w:fill="auto"/>
          </w:tcPr>
          <w:p w14:paraId="55388F2E" w14:textId="7CDD0060" w:rsidR="008168E1" w:rsidRPr="00112A30" w:rsidRDefault="00FA1B38" w:rsidP="00AC035B">
            <w:pPr>
              <w:pStyle w:val="TableRowBold"/>
              <w:tabs>
                <w:tab w:val="decimal" w:pos="322"/>
              </w:tabs>
              <w:jc w:val="right"/>
              <w:rPr>
                <w:lang w:eastAsia="en-AU"/>
              </w:rPr>
            </w:pPr>
            <w:r w:rsidRPr="008726A6">
              <w:t>1</w:t>
            </w:r>
            <w:r>
              <w:t>64</w:t>
            </w:r>
          </w:p>
        </w:tc>
        <w:tc>
          <w:tcPr>
            <w:tcW w:w="412" w:type="pct"/>
            <w:tcBorders>
              <w:top w:val="single" w:sz="4" w:space="0" w:color="439539"/>
              <w:left w:val="nil"/>
              <w:bottom w:val="single" w:sz="4" w:space="0" w:color="439539"/>
              <w:right w:val="nil"/>
            </w:tcBorders>
            <w:shd w:val="clear" w:color="auto" w:fill="auto"/>
          </w:tcPr>
          <w:p w14:paraId="75D9B6A4" w14:textId="456469D2" w:rsidR="008168E1" w:rsidRPr="00112A30" w:rsidRDefault="00FA1B38" w:rsidP="00AC035B">
            <w:pPr>
              <w:pStyle w:val="TableRowBold"/>
              <w:tabs>
                <w:tab w:val="decimal" w:pos="300"/>
              </w:tabs>
              <w:jc w:val="right"/>
              <w:rPr>
                <w:lang w:eastAsia="en-AU"/>
              </w:rPr>
            </w:pPr>
            <w:r>
              <w:t>83</w:t>
            </w:r>
          </w:p>
        </w:tc>
        <w:tc>
          <w:tcPr>
            <w:tcW w:w="412" w:type="pct"/>
            <w:tcBorders>
              <w:top w:val="single" w:sz="4" w:space="0" w:color="439539"/>
              <w:left w:val="nil"/>
              <w:bottom w:val="single" w:sz="4" w:space="0" w:color="439539"/>
              <w:right w:val="nil"/>
            </w:tcBorders>
            <w:shd w:val="clear" w:color="auto" w:fill="auto"/>
          </w:tcPr>
          <w:p w14:paraId="3C40B71A" w14:textId="383C7C60" w:rsidR="008168E1" w:rsidRPr="00112A30" w:rsidRDefault="00FA1B38" w:rsidP="00AC035B">
            <w:pPr>
              <w:pStyle w:val="TableRowBold"/>
              <w:tabs>
                <w:tab w:val="decimal" w:pos="270"/>
              </w:tabs>
              <w:jc w:val="right"/>
              <w:rPr>
                <w:lang w:eastAsia="en-AU"/>
              </w:rPr>
            </w:pPr>
            <w:r>
              <w:t>61</w:t>
            </w:r>
          </w:p>
        </w:tc>
        <w:tc>
          <w:tcPr>
            <w:tcW w:w="412" w:type="pct"/>
            <w:tcBorders>
              <w:top w:val="single" w:sz="4" w:space="0" w:color="439539"/>
              <w:left w:val="nil"/>
              <w:bottom w:val="single" w:sz="4" w:space="0" w:color="439539"/>
              <w:right w:val="nil"/>
            </w:tcBorders>
            <w:shd w:val="clear" w:color="auto" w:fill="auto"/>
          </w:tcPr>
          <w:p w14:paraId="19BD2E4C" w14:textId="037C359D" w:rsidR="008168E1" w:rsidRPr="00112A30" w:rsidRDefault="00FA1B38" w:rsidP="00AC035B">
            <w:pPr>
              <w:pStyle w:val="TableRowBold"/>
              <w:tabs>
                <w:tab w:val="decimal" w:pos="370"/>
              </w:tabs>
              <w:jc w:val="right"/>
              <w:rPr>
                <w:lang w:eastAsia="en-AU"/>
              </w:rPr>
            </w:pPr>
            <w:r>
              <w:t>64</w:t>
            </w:r>
          </w:p>
        </w:tc>
        <w:tc>
          <w:tcPr>
            <w:tcW w:w="412" w:type="pct"/>
            <w:tcBorders>
              <w:top w:val="single" w:sz="4" w:space="0" w:color="439539"/>
              <w:left w:val="nil"/>
              <w:bottom w:val="single" w:sz="4" w:space="0" w:color="439539"/>
              <w:right w:val="nil"/>
            </w:tcBorders>
            <w:shd w:val="clear" w:color="auto" w:fill="auto"/>
          </w:tcPr>
          <w:p w14:paraId="09A5E8E3" w14:textId="4F216721" w:rsidR="008168E1" w:rsidRPr="00B57210" w:rsidRDefault="008168E1" w:rsidP="00AC035B">
            <w:pPr>
              <w:pStyle w:val="TableRowBold"/>
              <w:tabs>
                <w:tab w:val="decimal" w:pos="344"/>
              </w:tabs>
              <w:jc w:val="right"/>
            </w:pPr>
            <w:r w:rsidRPr="008726A6">
              <w:t>1</w:t>
            </w:r>
            <w:r w:rsidR="001470D1">
              <w:t xml:space="preserve"> </w:t>
            </w:r>
            <w:r w:rsidR="001B34B1">
              <w:t>166</w:t>
            </w:r>
          </w:p>
        </w:tc>
      </w:tr>
    </w:tbl>
    <w:p w14:paraId="5EFC3404" w14:textId="5BBFF555" w:rsidR="00180CE5" w:rsidRDefault="00171BB9" w:rsidP="00AC035B">
      <w:pPr>
        <w:pStyle w:val="Text"/>
        <w:spacing w:before="0"/>
        <w:ind w:right="0"/>
      </w:pPr>
      <w:r w:rsidRPr="00B57210">
        <w:rPr>
          <w:sz w:val="16"/>
          <w:szCs w:val="16"/>
        </w:rPr>
        <w:t>A dash (-) represents a true zero figure, with no data reported in this category.</w:t>
      </w:r>
      <w:bookmarkStart w:id="33" w:name="_Toc44402294"/>
      <w:bookmarkStart w:id="34" w:name="_Toc75275442"/>
    </w:p>
    <w:p w14:paraId="1A4BFC5A" w14:textId="77777777" w:rsidR="00A977DD" w:rsidRDefault="00A977DD">
      <w:pPr>
        <w:spacing w:before="0" w:line="240" w:lineRule="auto"/>
        <w:rPr>
          <w:rFonts w:ascii="Arial" w:hAnsi="Arial"/>
          <w:b/>
          <w:sz w:val="17"/>
        </w:rPr>
      </w:pPr>
      <w:r>
        <w:br w:type="page"/>
      </w:r>
    </w:p>
    <w:p w14:paraId="68F76EE5" w14:textId="4D503D49" w:rsidR="00B57210" w:rsidRPr="00C23DC0" w:rsidRDefault="00B57210" w:rsidP="00B57210">
      <w:pPr>
        <w:pStyle w:val="tabletitle"/>
      </w:pPr>
      <w:r w:rsidRPr="00C23DC0">
        <w:lastRenderedPageBreak/>
        <w:t xml:space="preserve">Provider reporting type, </w:t>
      </w:r>
      <w:r w:rsidR="006B3DB5">
        <w:t>January to March 2018 - 2022</w:t>
      </w:r>
      <w:bookmarkEnd w:id="33"/>
      <w:bookmarkEnd w:id="34"/>
    </w:p>
    <w:tbl>
      <w:tblPr>
        <w:tblW w:w="5000" w:type="pct"/>
        <w:tblLook w:val="04A0" w:firstRow="1" w:lastRow="0" w:firstColumn="1" w:lastColumn="0" w:noHBand="0" w:noVBand="1"/>
      </w:tblPr>
      <w:tblGrid>
        <w:gridCol w:w="2616"/>
        <w:gridCol w:w="1349"/>
        <w:gridCol w:w="1349"/>
        <w:gridCol w:w="1349"/>
        <w:gridCol w:w="1349"/>
        <w:gridCol w:w="1343"/>
      </w:tblGrid>
      <w:tr w:rsidR="005F602F" w:rsidRPr="005F602F" w14:paraId="569B78B5" w14:textId="77777777" w:rsidTr="002025D7">
        <w:trPr>
          <w:trHeight w:val="84"/>
        </w:trPr>
        <w:tc>
          <w:tcPr>
            <w:tcW w:w="1398" w:type="pct"/>
            <w:tcBorders>
              <w:top w:val="single" w:sz="8" w:space="0" w:color="439539"/>
              <w:left w:val="nil"/>
              <w:bottom w:val="single" w:sz="8" w:space="0" w:color="439539"/>
              <w:right w:val="nil"/>
            </w:tcBorders>
            <w:shd w:val="clear" w:color="auto" w:fill="auto"/>
            <w:vAlign w:val="center"/>
          </w:tcPr>
          <w:p w14:paraId="776645AB" w14:textId="77777777" w:rsidR="00521004" w:rsidRPr="00C70286" w:rsidRDefault="00521004" w:rsidP="00521004">
            <w:pPr>
              <w:pStyle w:val="Tablehead1"/>
              <w:rPr>
                <w:color w:val="32872A"/>
                <w:szCs w:val="16"/>
                <w:lang w:eastAsia="en-AU"/>
              </w:rPr>
            </w:pPr>
            <w:r w:rsidRPr="00C70286">
              <w:rPr>
                <w:color w:val="32872A"/>
                <w:lang w:eastAsia="en-AU"/>
              </w:rPr>
              <w:t>Training providers</w:t>
            </w:r>
          </w:p>
        </w:tc>
        <w:tc>
          <w:tcPr>
            <w:tcW w:w="721" w:type="pct"/>
            <w:tcBorders>
              <w:top w:val="single" w:sz="8" w:space="0" w:color="439539"/>
              <w:left w:val="nil"/>
              <w:bottom w:val="single" w:sz="8" w:space="0" w:color="439539"/>
              <w:right w:val="nil"/>
            </w:tcBorders>
            <w:shd w:val="clear" w:color="auto" w:fill="auto"/>
            <w:noWrap/>
            <w:vAlign w:val="center"/>
          </w:tcPr>
          <w:p w14:paraId="19CFAD5F" w14:textId="5BB8E0C3" w:rsidR="00363F86" w:rsidRPr="00C70286" w:rsidRDefault="00363F86" w:rsidP="00521004">
            <w:pPr>
              <w:pStyle w:val="Tablehead1"/>
              <w:jc w:val="center"/>
              <w:rPr>
                <w:color w:val="32872A"/>
              </w:rPr>
            </w:pPr>
            <w:r w:rsidRPr="00C70286">
              <w:rPr>
                <w:color w:val="32872A"/>
              </w:rPr>
              <w:t xml:space="preserve">Jan-Mar </w:t>
            </w:r>
          </w:p>
          <w:p w14:paraId="298BA257" w14:textId="1852D57B" w:rsidR="00521004" w:rsidRPr="00C70286" w:rsidRDefault="00521004" w:rsidP="00521004">
            <w:pPr>
              <w:pStyle w:val="Tablehead1"/>
              <w:jc w:val="center"/>
              <w:rPr>
                <w:color w:val="32872A"/>
                <w:lang w:eastAsia="en-AU"/>
              </w:rPr>
            </w:pPr>
            <w:r w:rsidRPr="00C70286">
              <w:rPr>
                <w:color w:val="32872A"/>
                <w:lang w:eastAsia="en-AU"/>
              </w:rPr>
              <w:t>201</w:t>
            </w:r>
            <w:r w:rsidR="009056F8" w:rsidRPr="00C70286">
              <w:rPr>
                <w:color w:val="32872A"/>
                <w:lang w:eastAsia="en-AU"/>
              </w:rPr>
              <w:t>8</w:t>
            </w:r>
          </w:p>
        </w:tc>
        <w:tc>
          <w:tcPr>
            <w:tcW w:w="721" w:type="pct"/>
            <w:tcBorders>
              <w:top w:val="single" w:sz="8" w:space="0" w:color="439539"/>
              <w:left w:val="nil"/>
              <w:bottom w:val="single" w:sz="8" w:space="0" w:color="439539"/>
              <w:right w:val="nil"/>
            </w:tcBorders>
            <w:shd w:val="clear" w:color="auto" w:fill="auto"/>
            <w:noWrap/>
            <w:vAlign w:val="center"/>
          </w:tcPr>
          <w:p w14:paraId="5B4CBBBE" w14:textId="2F779652" w:rsidR="00363F86" w:rsidRPr="00C70286" w:rsidRDefault="00363F86" w:rsidP="00521004">
            <w:pPr>
              <w:pStyle w:val="Tablehead1"/>
              <w:jc w:val="center"/>
              <w:rPr>
                <w:color w:val="32872A"/>
              </w:rPr>
            </w:pPr>
            <w:r w:rsidRPr="00C70286">
              <w:rPr>
                <w:color w:val="32872A"/>
              </w:rPr>
              <w:t xml:space="preserve">Jan-Mar </w:t>
            </w:r>
          </w:p>
          <w:p w14:paraId="6CDFA8C3" w14:textId="3CD49E35" w:rsidR="00521004" w:rsidRPr="00C70286" w:rsidRDefault="00521004" w:rsidP="00521004">
            <w:pPr>
              <w:pStyle w:val="Tablehead1"/>
              <w:jc w:val="center"/>
              <w:rPr>
                <w:color w:val="32872A"/>
                <w:lang w:eastAsia="en-AU"/>
              </w:rPr>
            </w:pPr>
            <w:r w:rsidRPr="00C70286">
              <w:rPr>
                <w:color w:val="32872A"/>
                <w:lang w:eastAsia="en-AU"/>
              </w:rPr>
              <w:t>201</w:t>
            </w:r>
            <w:r w:rsidR="009056F8" w:rsidRPr="00C70286">
              <w:rPr>
                <w:color w:val="32872A"/>
                <w:lang w:eastAsia="en-AU"/>
              </w:rPr>
              <w:t>9</w:t>
            </w:r>
          </w:p>
        </w:tc>
        <w:tc>
          <w:tcPr>
            <w:tcW w:w="721" w:type="pct"/>
            <w:tcBorders>
              <w:top w:val="single" w:sz="8" w:space="0" w:color="439539"/>
              <w:left w:val="nil"/>
              <w:bottom w:val="single" w:sz="8" w:space="0" w:color="439539"/>
              <w:right w:val="nil"/>
            </w:tcBorders>
            <w:shd w:val="clear" w:color="auto" w:fill="auto"/>
            <w:noWrap/>
            <w:vAlign w:val="center"/>
          </w:tcPr>
          <w:p w14:paraId="69B17683" w14:textId="77777777" w:rsidR="00363F86" w:rsidRPr="00C70286" w:rsidRDefault="00363F86" w:rsidP="00521004">
            <w:pPr>
              <w:pStyle w:val="Tablehead1"/>
              <w:jc w:val="center"/>
              <w:rPr>
                <w:color w:val="32872A"/>
              </w:rPr>
            </w:pPr>
            <w:r w:rsidRPr="00C70286">
              <w:rPr>
                <w:color w:val="32872A"/>
              </w:rPr>
              <w:t xml:space="preserve">Jan-Mar </w:t>
            </w:r>
          </w:p>
          <w:p w14:paraId="5B5A33C7" w14:textId="27671F99" w:rsidR="00521004" w:rsidRPr="00C70286" w:rsidRDefault="009056F8" w:rsidP="00521004">
            <w:pPr>
              <w:pStyle w:val="Tablehead1"/>
              <w:jc w:val="center"/>
              <w:rPr>
                <w:color w:val="32872A"/>
                <w:lang w:eastAsia="en-AU"/>
              </w:rPr>
            </w:pPr>
            <w:r w:rsidRPr="00C70286">
              <w:rPr>
                <w:color w:val="32872A"/>
                <w:lang w:eastAsia="en-AU"/>
              </w:rPr>
              <w:t>2020</w:t>
            </w:r>
          </w:p>
        </w:tc>
        <w:tc>
          <w:tcPr>
            <w:tcW w:w="721" w:type="pct"/>
            <w:tcBorders>
              <w:top w:val="single" w:sz="8" w:space="0" w:color="439539"/>
              <w:left w:val="nil"/>
              <w:bottom w:val="single" w:sz="8" w:space="0" w:color="439539"/>
              <w:right w:val="nil"/>
            </w:tcBorders>
            <w:shd w:val="clear" w:color="auto" w:fill="auto"/>
            <w:noWrap/>
            <w:vAlign w:val="center"/>
          </w:tcPr>
          <w:p w14:paraId="6311C2FB" w14:textId="77777777" w:rsidR="00363F86" w:rsidRPr="00C70286" w:rsidRDefault="00363F86" w:rsidP="00521004">
            <w:pPr>
              <w:pStyle w:val="Tablehead1"/>
              <w:jc w:val="center"/>
              <w:rPr>
                <w:color w:val="32872A"/>
              </w:rPr>
            </w:pPr>
            <w:r w:rsidRPr="00C70286">
              <w:rPr>
                <w:color w:val="32872A"/>
              </w:rPr>
              <w:t xml:space="preserve">Jan-Mar </w:t>
            </w:r>
          </w:p>
          <w:p w14:paraId="2E814BB6" w14:textId="75089660" w:rsidR="00521004" w:rsidRPr="00C70286" w:rsidRDefault="009056F8" w:rsidP="00521004">
            <w:pPr>
              <w:pStyle w:val="Tablehead1"/>
              <w:jc w:val="center"/>
              <w:rPr>
                <w:color w:val="32872A"/>
                <w:lang w:eastAsia="en-AU"/>
              </w:rPr>
            </w:pPr>
            <w:r w:rsidRPr="00C70286">
              <w:rPr>
                <w:color w:val="32872A"/>
                <w:lang w:eastAsia="en-AU"/>
              </w:rPr>
              <w:t>2021</w:t>
            </w:r>
          </w:p>
        </w:tc>
        <w:tc>
          <w:tcPr>
            <w:tcW w:w="718" w:type="pct"/>
            <w:tcBorders>
              <w:top w:val="single" w:sz="8" w:space="0" w:color="439539"/>
              <w:left w:val="nil"/>
              <w:bottom w:val="single" w:sz="8" w:space="0" w:color="439539"/>
              <w:right w:val="nil"/>
            </w:tcBorders>
            <w:vAlign w:val="center"/>
          </w:tcPr>
          <w:p w14:paraId="57D91F5D" w14:textId="77777777" w:rsidR="00363F86" w:rsidRPr="00C70286" w:rsidRDefault="00363F86" w:rsidP="00521004">
            <w:pPr>
              <w:pStyle w:val="Tablehead1"/>
              <w:jc w:val="center"/>
              <w:rPr>
                <w:color w:val="32872A"/>
              </w:rPr>
            </w:pPr>
            <w:r w:rsidRPr="00C70286">
              <w:rPr>
                <w:color w:val="32872A"/>
              </w:rPr>
              <w:t>Jan-Mar</w:t>
            </w:r>
          </w:p>
          <w:p w14:paraId="3142469B" w14:textId="27B51F16" w:rsidR="00521004" w:rsidRPr="00C70286" w:rsidRDefault="00363F86" w:rsidP="00521004">
            <w:pPr>
              <w:pStyle w:val="Tablehead1"/>
              <w:jc w:val="center"/>
              <w:rPr>
                <w:color w:val="32872A"/>
                <w:lang w:eastAsia="en-AU"/>
              </w:rPr>
            </w:pPr>
            <w:r w:rsidRPr="00C70286">
              <w:rPr>
                <w:color w:val="32872A"/>
              </w:rPr>
              <w:t xml:space="preserve"> </w:t>
            </w:r>
            <w:r w:rsidR="009056F8" w:rsidRPr="00C70286">
              <w:rPr>
                <w:color w:val="32872A"/>
                <w:lang w:eastAsia="en-AU"/>
              </w:rPr>
              <w:t>2022</w:t>
            </w:r>
          </w:p>
        </w:tc>
      </w:tr>
      <w:tr w:rsidR="00521004" w:rsidRPr="00112A30" w14:paraId="176AE21B" w14:textId="77777777" w:rsidTr="003314A2">
        <w:trPr>
          <w:trHeight w:val="318"/>
        </w:trPr>
        <w:tc>
          <w:tcPr>
            <w:tcW w:w="1398" w:type="pct"/>
            <w:tcBorders>
              <w:top w:val="single" w:sz="8" w:space="0" w:color="439539"/>
              <w:left w:val="nil"/>
              <w:bottom w:val="nil"/>
              <w:right w:val="nil"/>
            </w:tcBorders>
            <w:shd w:val="clear" w:color="auto" w:fill="auto"/>
            <w:vAlign w:val="center"/>
            <w:hideMark/>
          </w:tcPr>
          <w:p w14:paraId="25728DC6" w14:textId="77777777" w:rsidR="00521004" w:rsidRPr="00112A30" w:rsidRDefault="00521004" w:rsidP="00521004">
            <w:pPr>
              <w:pStyle w:val="Tabletext"/>
              <w:rPr>
                <w:lang w:eastAsia="en-AU"/>
              </w:rPr>
            </w:pPr>
            <w:r>
              <w:rPr>
                <w:lang w:eastAsia="en-AU"/>
              </w:rPr>
              <w:t>TAFE institutes</w:t>
            </w:r>
          </w:p>
        </w:tc>
        <w:tc>
          <w:tcPr>
            <w:tcW w:w="721" w:type="pct"/>
            <w:tcBorders>
              <w:top w:val="single" w:sz="8" w:space="0" w:color="439539"/>
              <w:left w:val="nil"/>
              <w:bottom w:val="nil"/>
              <w:right w:val="nil"/>
            </w:tcBorders>
            <w:shd w:val="clear" w:color="auto" w:fill="auto"/>
          </w:tcPr>
          <w:p w14:paraId="36B5AC7D" w14:textId="6A764FE1" w:rsidR="00521004" w:rsidRPr="00423689" w:rsidRDefault="00326B5D" w:rsidP="00AC035B">
            <w:pPr>
              <w:pStyle w:val="Tabletext"/>
              <w:tabs>
                <w:tab w:val="decimal" w:pos="762"/>
              </w:tabs>
              <w:jc w:val="right"/>
              <w:rPr>
                <w:rFonts w:cs="Arial"/>
                <w:szCs w:val="16"/>
                <w:lang w:eastAsia="en-AU"/>
              </w:rPr>
            </w:pPr>
            <w:bookmarkStart w:id="35" w:name="table3"/>
            <w:bookmarkEnd w:id="35"/>
            <w:r>
              <w:rPr>
                <w:rFonts w:cs="Arial"/>
                <w:szCs w:val="16"/>
              </w:rPr>
              <w:t>35</w:t>
            </w:r>
          </w:p>
        </w:tc>
        <w:tc>
          <w:tcPr>
            <w:tcW w:w="721" w:type="pct"/>
            <w:tcBorders>
              <w:top w:val="single" w:sz="8" w:space="0" w:color="439539"/>
              <w:left w:val="nil"/>
              <w:bottom w:val="nil"/>
              <w:right w:val="nil"/>
            </w:tcBorders>
            <w:shd w:val="clear" w:color="auto" w:fill="auto"/>
          </w:tcPr>
          <w:p w14:paraId="72A6FCCA" w14:textId="57E3501D" w:rsidR="00521004" w:rsidRPr="00423689" w:rsidRDefault="00326B5D" w:rsidP="00AC035B">
            <w:pPr>
              <w:pStyle w:val="Tabletext"/>
              <w:tabs>
                <w:tab w:val="decimal" w:pos="733"/>
              </w:tabs>
              <w:jc w:val="right"/>
              <w:rPr>
                <w:rFonts w:cs="Arial"/>
                <w:szCs w:val="16"/>
                <w:lang w:eastAsia="en-AU"/>
              </w:rPr>
            </w:pPr>
            <w:r>
              <w:rPr>
                <w:rFonts w:cs="Arial"/>
                <w:szCs w:val="16"/>
              </w:rPr>
              <w:t>2</w:t>
            </w:r>
            <w:r w:rsidR="00521004" w:rsidRPr="00423689">
              <w:rPr>
                <w:rFonts w:cs="Arial"/>
                <w:szCs w:val="16"/>
              </w:rPr>
              <w:t>5</w:t>
            </w:r>
          </w:p>
        </w:tc>
        <w:tc>
          <w:tcPr>
            <w:tcW w:w="721" w:type="pct"/>
            <w:tcBorders>
              <w:top w:val="single" w:sz="8" w:space="0" w:color="439539"/>
              <w:left w:val="nil"/>
              <w:bottom w:val="nil"/>
              <w:right w:val="nil"/>
            </w:tcBorders>
            <w:shd w:val="clear" w:color="auto" w:fill="auto"/>
          </w:tcPr>
          <w:p w14:paraId="0B3CD93B" w14:textId="46855F85" w:rsidR="00521004" w:rsidRPr="00423689" w:rsidRDefault="00521004" w:rsidP="00AC035B">
            <w:pPr>
              <w:pStyle w:val="Tabletext"/>
              <w:tabs>
                <w:tab w:val="decimal" w:pos="689"/>
              </w:tabs>
              <w:jc w:val="right"/>
              <w:rPr>
                <w:rFonts w:cs="Arial"/>
                <w:szCs w:val="16"/>
                <w:lang w:eastAsia="en-AU"/>
              </w:rPr>
            </w:pPr>
            <w:r w:rsidRPr="00423689">
              <w:rPr>
                <w:rFonts w:cs="Arial"/>
                <w:szCs w:val="16"/>
              </w:rPr>
              <w:t>2</w:t>
            </w:r>
            <w:r w:rsidR="00326B5D">
              <w:rPr>
                <w:rFonts w:cs="Arial"/>
                <w:szCs w:val="16"/>
              </w:rPr>
              <w:t>4</w:t>
            </w:r>
          </w:p>
        </w:tc>
        <w:tc>
          <w:tcPr>
            <w:tcW w:w="721" w:type="pct"/>
            <w:tcBorders>
              <w:top w:val="single" w:sz="8" w:space="0" w:color="439539"/>
              <w:left w:val="nil"/>
              <w:bottom w:val="nil"/>
              <w:right w:val="nil"/>
            </w:tcBorders>
            <w:shd w:val="clear" w:color="auto" w:fill="auto"/>
          </w:tcPr>
          <w:p w14:paraId="38666C0C" w14:textId="41A83B6A" w:rsidR="00521004" w:rsidRPr="00423689" w:rsidRDefault="00521004" w:rsidP="00AC035B">
            <w:pPr>
              <w:pStyle w:val="Tabletext"/>
              <w:tabs>
                <w:tab w:val="decimal" w:pos="660"/>
              </w:tabs>
              <w:jc w:val="right"/>
              <w:rPr>
                <w:rFonts w:cs="Arial"/>
                <w:szCs w:val="16"/>
                <w:lang w:eastAsia="en-AU"/>
              </w:rPr>
            </w:pPr>
            <w:r w:rsidRPr="00423689">
              <w:rPr>
                <w:rFonts w:cs="Arial"/>
                <w:szCs w:val="16"/>
              </w:rPr>
              <w:t>24</w:t>
            </w:r>
          </w:p>
        </w:tc>
        <w:tc>
          <w:tcPr>
            <w:tcW w:w="718" w:type="pct"/>
            <w:tcBorders>
              <w:top w:val="single" w:sz="8" w:space="0" w:color="439539"/>
              <w:left w:val="nil"/>
              <w:bottom w:val="nil"/>
              <w:right w:val="nil"/>
            </w:tcBorders>
          </w:tcPr>
          <w:p w14:paraId="4C4BEA5D" w14:textId="7C0F7E69" w:rsidR="00521004" w:rsidRPr="00423689" w:rsidRDefault="00521004" w:rsidP="00AC035B">
            <w:pPr>
              <w:pStyle w:val="Tabletext"/>
              <w:tabs>
                <w:tab w:val="decimal" w:pos="772"/>
              </w:tabs>
              <w:jc w:val="right"/>
              <w:rPr>
                <w:rFonts w:cs="Arial"/>
                <w:szCs w:val="16"/>
                <w:lang w:eastAsia="en-AU"/>
              </w:rPr>
            </w:pPr>
            <w:r w:rsidRPr="00423689">
              <w:rPr>
                <w:rFonts w:cs="Arial"/>
                <w:szCs w:val="16"/>
              </w:rPr>
              <w:t>24</w:t>
            </w:r>
          </w:p>
        </w:tc>
      </w:tr>
      <w:tr w:rsidR="00521004" w:rsidRPr="00112A30" w14:paraId="2788BDD5" w14:textId="77777777" w:rsidTr="003314A2">
        <w:trPr>
          <w:trHeight w:val="318"/>
        </w:trPr>
        <w:tc>
          <w:tcPr>
            <w:tcW w:w="1398" w:type="pct"/>
            <w:tcBorders>
              <w:top w:val="nil"/>
              <w:left w:val="nil"/>
              <w:bottom w:val="nil"/>
              <w:right w:val="nil"/>
            </w:tcBorders>
            <w:shd w:val="clear" w:color="auto" w:fill="auto"/>
            <w:vAlign w:val="center"/>
            <w:hideMark/>
          </w:tcPr>
          <w:p w14:paraId="7A70E3FF" w14:textId="77777777" w:rsidR="00521004" w:rsidRPr="00112A30" w:rsidRDefault="00521004" w:rsidP="00521004">
            <w:pPr>
              <w:pStyle w:val="Tabletext"/>
              <w:rPr>
                <w:lang w:eastAsia="en-AU"/>
              </w:rPr>
            </w:pPr>
            <w:r>
              <w:rPr>
                <w:lang w:eastAsia="en-AU"/>
              </w:rPr>
              <w:t>Other government providers</w:t>
            </w:r>
          </w:p>
        </w:tc>
        <w:tc>
          <w:tcPr>
            <w:tcW w:w="721" w:type="pct"/>
            <w:tcBorders>
              <w:top w:val="nil"/>
              <w:left w:val="nil"/>
              <w:bottom w:val="nil"/>
              <w:right w:val="nil"/>
            </w:tcBorders>
            <w:shd w:val="clear" w:color="auto" w:fill="auto"/>
          </w:tcPr>
          <w:p w14:paraId="57E7A4B2" w14:textId="0F60C796" w:rsidR="00521004" w:rsidRPr="00423689" w:rsidRDefault="00521004" w:rsidP="00AC035B">
            <w:pPr>
              <w:pStyle w:val="Tabletext"/>
              <w:tabs>
                <w:tab w:val="decimal" w:pos="762"/>
              </w:tabs>
              <w:jc w:val="right"/>
              <w:rPr>
                <w:rFonts w:cs="Arial"/>
                <w:szCs w:val="16"/>
                <w:lang w:eastAsia="en-AU"/>
              </w:rPr>
            </w:pPr>
            <w:r w:rsidRPr="00423689">
              <w:rPr>
                <w:rFonts w:cs="Arial"/>
                <w:szCs w:val="16"/>
              </w:rPr>
              <w:t>10</w:t>
            </w:r>
          </w:p>
        </w:tc>
        <w:tc>
          <w:tcPr>
            <w:tcW w:w="721" w:type="pct"/>
            <w:tcBorders>
              <w:top w:val="nil"/>
              <w:left w:val="nil"/>
              <w:bottom w:val="nil"/>
              <w:right w:val="nil"/>
            </w:tcBorders>
            <w:shd w:val="clear" w:color="auto" w:fill="auto"/>
          </w:tcPr>
          <w:p w14:paraId="6CA632A1" w14:textId="306BBE4C" w:rsidR="00521004" w:rsidRPr="00423689" w:rsidRDefault="00521004" w:rsidP="00AC035B">
            <w:pPr>
              <w:pStyle w:val="Tabletext"/>
              <w:tabs>
                <w:tab w:val="decimal" w:pos="733"/>
              </w:tabs>
              <w:jc w:val="right"/>
              <w:rPr>
                <w:rFonts w:cs="Arial"/>
                <w:szCs w:val="16"/>
                <w:lang w:eastAsia="en-AU"/>
              </w:rPr>
            </w:pPr>
            <w:r w:rsidRPr="00423689">
              <w:rPr>
                <w:rFonts w:cs="Arial"/>
                <w:szCs w:val="16"/>
              </w:rPr>
              <w:t>10</w:t>
            </w:r>
          </w:p>
        </w:tc>
        <w:tc>
          <w:tcPr>
            <w:tcW w:w="721" w:type="pct"/>
            <w:tcBorders>
              <w:top w:val="nil"/>
              <w:left w:val="nil"/>
              <w:bottom w:val="nil"/>
              <w:right w:val="nil"/>
            </w:tcBorders>
            <w:shd w:val="clear" w:color="auto" w:fill="auto"/>
          </w:tcPr>
          <w:p w14:paraId="3EF12EE5" w14:textId="5EBE5A1A" w:rsidR="00521004" w:rsidRPr="00423689" w:rsidRDefault="00521004" w:rsidP="00AC035B">
            <w:pPr>
              <w:pStyle w:val="Tabletext"/>
              <w:tabs>
                <w:tab w:val="decimal" w:pos="689"/>
              </w:tabs>
              <w:jc w:val="right"/>
              <w:rPr>
                <w:rFonts w:cs="Arial"/>
                <w:szCs w:val="16"/>
                <w:lang w:eastAsia="en-AU"/>
              </w:rPr>
            </w:pPr>
            <w:r w:rsidRPr="00423689">
              <w:rPr>
                <w:rFonts w:cs="Arial"/>
                <w:szCs w:val="16"/>
              </w:rPr>
              <w:t>10</w:t>
            </w:r>
          </w:p>
        </w:tc>
        <w:tc>
          <w:tcPr>
            <w:tcW w:w="721" w:type="pct"/>
            <w:tcBorders>
              <w:top w:val="nil"/>
              <w:left w:val="nil"/>
              <w:bottom w:val="nil"/>
              <w:right w:val="nil"/>
            </w:tcBorders>
            <w:shd w:val="clear" w:color="auto" w:fill="auto"/>
          </w:tcPr>
          <w:p w14:paraId="45A0C9F4" w14:textId="00B27512" w:rsidR="00521004" w:rsidRPr="00423689" w:rsidRDefault="00521004" w:rsidP="00AC035B">
            <w:pPr>
              <w:pStyle w:val="Tabletext"/>
              <w:tabs>
                <w:tab w:val="decimal" w:pos="660"/>
              </w:tabs>
              <w:jc w:val="right"/>
              <w:rPr>
                <w:rFonts w:cs="Arial"/>
                <w:szCs w:val="16"/>
                <w:lang w:eastAsia="en-AU"/>
              </w:rPr>
            </w:pPr>
            <w:r w:rsidRPr="00423689">
              <w:rPr>
                <w:rFonts w:cs="Arial"/>
                <w:szCs w:val="16"/>
              </w:rPr>
              <w:t>10</w:t>
            </w:r>
          </w:p>
        </w:tc>
        <w:tc>
          <w:tcPr>
            <w:tcW w:w="718" w:type="pct"/>
            <w:tcBorders>
              <w:top w:val="nil"/>
              <w:left w:val="nil"/>
              <w:bottom w:val="nil"/>
              <w:right w:val="nil"/>
            </w:tcBorders>
          </w:tcPr>
          <w:p w14:paraId="44706969" w14:textId="05AE5C3E" w:rsidR="00521004" w:rsidRPr="00423689" w:rsidRDefault="00326B5D" w:rsidP="00AC035B">
            <w:pPr>
              <w:pStyle w:val="Tabletext"/>
              <w:tabs>
                <w:tab w:val="decimal" w:pos="772"/>
              </w:tabs>
              <w:jc w:val="right"/>
              <w:rPr>
                <w:rFonts w:cs="Arial"/>
                <w:szCs w:val="16"/>
                <w:lang w:eastAsia="en-AU"/>
              </w:rPr>
            </w:pPr>
            <w:r>
              <w:rPr>
                <w:rFonts w:cs="Arial"/>
                <w:szCs w:val="16"/>
              </w:rPr>
              <w:t>9</w:t>
            </w:r>
          </w:p>
        </w:tc>
      </w:tr>
      <w:tr w:rsidR="00521004" w:rsidRPr="00112A30" w14:paraId="482EF328" w14:textId="77777777" w:rsidTr="003314A2">
        <w:trPr>
          <w:trHeight w:val="318"/>
        </w:trPr>
        <w:tc>
          <w:tcPr>
            <w:tcW w:w="1398" w:type="pct"/>
            <w:tcBorders>
              <w:top w:val="nil"/>
              <w:left w:val="nil"/>
              <w:right w:val="nil"/>
            </w:tcBorders>
            <w:shd w:val="clear" w:color="auto" w:fill="auto"/>
            <w:vAlign w:val="center"/>
          </w:tcPr>
          <w:p w14:paraId="43E7624E" w14:textId="77777777" w:rsidR="00521004" w:rsidRDefault="00521004" w:rsidP="00521004">
            <w:pPr>
              <w:spacing w:before="0"/>
              <w:rPr>
                <w:rFonts w:ascii="Arial" w:hAnsi="Arial" w:cs="Arial"/>
                <w:color w:val="000000"/>
                <w:sz w:val="16"/>
                <w:szCs w:val="16"/>
                <w:lang w:eastAsia="en-AU"/>
              </w:rPr>
            </w:pPr>
            <w:r>
              <w:rPr>
                <w:rFonts w:ascii="Arial" w:hAnsi="Arial" w:cs="Arial"/>
                <w:color w:val="000000"/>
                <w:sz w:val="16"/>
                <w:szCs w:val="16"/>
                <w:lang w:eastAsia="en-AU"/>
              </w:rPr>
              <w:t>Community education providers</w:t>
            </w:r>
          </w:p>
        </w:tc>
        <w:tc>
          <w:tcPr>
            <w:tcW w:w="721" w:type="pct"/>
            <w:tcBorders>
              <w:top w:val="nil"/>
              <w:left w:val="nil"/>
              <w:right w:val="nil"/>
            </w:tcBorders>
            <w:shd w:val="clear" w:color="auto" w:fill="auto"/>
          </w:tcPr>
          <w:p w14:paraId="1EB32095" w14:textId="0D1571B8" w:rsidR="00521004" w:rsidRPr="00423689" w:rsidRDefault="00326B5D" w:rsidP="00AC035B">
            <w:pPr>
              <w:tabs>
                <w:tab w:val="decimal" w:pos="762"/>
              </w:tabs>
              <w:spacing w:before="0"/>
              <w:jc w:val="right"/>
              <w:rPr>
                <w:rFonts w:ascii="Arial" w:hAnsi="Arial" w:cs="Arial"/>
                <w:sz w:val="16"/>
                <w:szCs w:val="16"/>
                <w:lang w:eastAsia="en-AU"/>
              </w:rPr>
            </w:pPr>
            <w:r>
              <w:rPr>
                <w:rFonts w:ascii="Arial" w:hAnsi="Arial" w:cs="Arial"/>
                <w:sz w:val="16"/>
                <w:szCs w:val="16"/>
              </w:rPr>
              <w:t>239</w:t>
            </w:r>
          </w:p>
        </w:tc>
        <w:tc>
          <w:tcPr>
            <w:tcW w:w="721" w:type="pct"/>
            <w:tcBorders>
              <w:top w:val="nil"/>
              <w:left w:val="nil"/>
              <w:right w:val="nil"/>
            </w:tcBorders>
            <w:shd w:val="clear" w:color="auto" w:fill="auto"/>
          </w:tcPr>
          <w:p w14:paraId="58F5AA3A" w14:textId="0AB8665B" w:rsidR="00521004" w:rsidRPr="00423689" w:rsidRDefault="00326B5D" w:rsidP="00AC035B">
            <w:pPr>
              <w:tabs>
                <w:tab w:val="decimal" w:pos="733"/>
              </w:tabs>
              <w:spacing w:before="0"/>
              <w:jc w:val="right"/>
              <w:rPr>
                <w:rFonts w:ascii="Arial" w:hAnsi="Arial" w:cs="Arial"/>
                <w:sz w:val="16"/>
                <w:szCs w:val="16"/>
                <w:lang w:eastAsia="en-AU"/>
              </w:rPr>
            </w:pPr>
            <w:r>
              <w:rPr>
                <w:rFonts w:ascii="Arial" w:hAnsi="Arial" w:cs="Arial"/>
                <w:sz w:val="16"/>
                <w:szCs w:val="16"/>
              </w:rPr>
              <w:t>260</w:t>
            </w:r>
          </w:p>
        </w:tc>
        <w:tc>
          <w:tcPr>
            <w:tcW w:w="721" w:type="pct"/>
            <w:tcBorders>
              <w:top w:val="nil"/>
              <w:left w:val="nil"/>
              <w:right w:val="nil"/>
            </w:tcBorders>
            <w:shd w:val="clear" w:color="auto" w:fill="auto"/>
          </w:tcPr>
          <w:p w14:paraId="63905274" w14:textId="5F3B619C" w:rsidR="00521004" w:rsidRPr="00423689" w:rsidRDefault="00326B5D" w:rsidP="00AC035B">
            <w:pPr>
              <w:tabs>
                <w:tab w:val="decimal" w:pos="689"/>
              </w:tabs>
              <w:spacing w:before="0"/>
              <w:jc w:val="right"/>
              <w:rPr>
                <w:rFonts w:ascii="Arial" w:hAnsi="Arial" w:cs="Arial"/>
                <w:sz w:val="16"/>
                <w:szCs w:val="16"/>
                <w:lang w:eastAsia="en-AU"/>
              </w:rPr>
            </w:pPr>
            <w:r>
              <w:rPr>
                <w:rFonts w:ascii="Arial" w:hAnsi="Arial" w:cs="Arial"/>
                <w:sz w:val="16"/>
                <w:szCs w:val="16"/>
              </w:rPr>
              <w:t>248</w:t>
            </w:r>
          </w:p>
        </w:tc>
        <w:tc>
          <w:tcPr>
            <w:tcW w:w="721" w:type="pct"/>
            <w:tcBorders>
              <w:top w:val="nil"/>
              <w:left w:val="nil"/>
              <w:right w:val="nil"/>
            </w:tcBorders>
            <w:shd w:val="clear" w:color="auto" w:fill="auto"/>
          </w:tcPr>
          <w:p w14:paraId="32B80EBF" w14:textId="041C927D" w:rsidR="00521004" w:rsidRPr="00423689" w:rsidRDefault="00326B5D" w:rsidP="00AC035B">
            <w:pPr>
              <w:tabs>
                <w:tab w:val="decimal" w:pos="660"/>
              </w:tabs>
              <w:spacing w:before="0"/>
              <w:jc w:val="right"/>
              <w:rPr>
                <w:rFonts w:ascii="Arial" w:hAnsi="Arial" w:cs="Arial"/>
                <w:sz w:val="16"/>
                <w:szCs w:val="16"/>
                <w:lang w:eastAsia="en-AU"/>
              </w:rPr>
            </w:pPr>
            <w:r>
              <w:rPr>
                <w:rFonts w:ascii="Arial" w:hAnsi="Arial" w:cs="Arial"/>
                <w:sz w:val="16"/>
                <w:szCs w:val="16"/>
              </w:rPr>
              <w:t>233</w:t>
            </w:r>
          </w:p>
        </w:tc>
        <w:tc>
          <w:tcPr>
            <w:tcW w:w="718" w:type="pct"/>
            <w:tcBorders>
              <w:top w:val="nil"/>
              <w:left w:val="nil"/>
              <w:right w:val="nil"/>
            </w:tcBorders>
          </w:tcPr>
          <w:p w14:paraId="5A1A90B9" w14:textId="572C7FB4" w:rsidR="00521004" w:rsidRPr="00423689" w:rsidRDefault="00326B5D" w:rsidP="00AC035B">
            <w:pPr>
              <w:tabs>
                <w:tab w:val="decimal" w:pos="772"/>
              </w:tabs>
              <w:spacing w:before="0"/>
              <w:jc w:val="right"/>
              <w:rPr>
                <w:rFonts w:ascii="Arial" w:hAnsi="Arial" w:cs="Arial"/>
                <w:sz w:val="16"/>
                <w:szCs w:val="16"/>
                <w:lang w:eastAsia="en-AU"/>
              </w:rPr>
            </w:pPr>
            <w:r>
              <w:rPr>
                <w:rFonts w:ascii="Arial" w:hAnsi="Arial" w:cs="Arial"/>
                <w:sz w:val="16"/>
                <w:szCs w:val="16"/>
              </w:rPr>
              <w:t>113</w:t>
            </w:r>
          </w:p>
        </w:tc>
      </w:tr>
      <w:tr w:rsidR="00521004" w:rsidRPr="00112A30" w14:paraId="3A03BBDC" w14:textId="77777777" w:rsidTr="003314A2">
        <w:trPr>
          <w:trHeight w:val="318"/>
        </w:trPr>
        <w:tc>
          <w:tcPr>
            <w:tcW w:w="1398" w:type="pct"/>
            <w:tcBorders>
              <w:top w:val="nil"/>
              <w:left w:val="nil"/>
              <w:right w:val="nil"/>
            </w:tcBorders>
            <w:shd w:val="clear" w:color="auto" w:fill="auto"/>
            <w:vAlign w:val="center"/>
            <w:hideMark/>
          </w:tcPr>
          <w:p w14:paraId="4C33193A" w14:textId="77777777" w:rsidR="00521004" w:rsidRPr="00112A30" w:rsidRDefault="00521004" w:rsidP="00521004">
            <w:pPr>
              <w:spacing w:before="0"/>
              <w:rPr>
                <w:rFonts w:ascii="Arial" w:hAnsi="Arial" w:cs="Arial"/>
                <w:color w:val="000000"/>
                <w:sz w:val="16"/>
                <w:szCs w:val="16"/>
                <w:lang w:eastAsia="en-AU"/>
              </w:rPr>
            </w:pPr>
            <w:r>
              <w:rPr>
                <w:rFonts w:ascii="Arial" w:hAnsi="Arial" w:cs="Arial"/>
                <w:color w:val="000000"/>
                <w:sz w:val="16"/>
                <w:szCs w:val="16"/>
                <w:lang w:eastAsia="en-AU"/>
              </w:rPr>
              <w:t>Private training providers</w:t>
            </w:r>
          </w:p>
        </w:tc>
        <w:tc>
          <w:tcPr>
            <w:tcW w:w="721" w:type="pct"/>
            <w:tcBorders>
              <w:top w:val="nil"/>
              <w:left w:val="nil"/>
              <w:right w:val="nil"/>
            </w:tcBorders>
            <w:shd w:val="clear" w:color="auto" w:fill="auto"/>
          </w:tcPr>
          <w:p w14:paraId="5F5B9BC9" w14:textId="7063B227" w:rsidR="00521004" w:rsidRPr="00423689" w:rsidRDefault="00521004" w:rsidP="00AC035B">
            <w:pPr>
              <w:tabs>
                <w:tab w:val="decimal" w:pos="762"/>
              </w:tabs>
              <w:spacing w:before="0"/>
              <w:jc w:val="right"/>
              <w:rPr>
                <w:rFonts w:ascii="Arial" w:hAnsi="Arial" w:cs="Arial"/>
                <w:sz w:val="16"/>
                <w:szCs w:val="16"/>
                <w:lang w:eastAsia="en-AU"/>
              </w:rPr>
            </w:pPr>
            <w:r w:rsidRPr="00423689">
              <w:rPr>
                <w:rFonts w:ascii="Arial" w:hAnsi="Arial" w:cs="Arial"/>
                <w:sz w:val="16"/>
                <w:szCs w:val="16"/>
              </w:rPr>
              <w:t>1</w:t>
            </w:r>
            <w:r w:rsidR="001470D1">
              <w:rPr>
                <w:rFonts w:ascii="Arial" w:hAnsi="Arial" w:cs="Arial"/>
                <w:sz w:val="16"/>
                <w:szCs w:val="16"/>
              </w:rPr>
              <w:t xml:space="preserve"> </w:t>
            </w:r>
            <w:r w:rsidR="00B2134F">
              <w:rPr>
                <w:rFonts w:ascii="Arial" w:hAnsi="Arial" w:cs="Arial"/>
                <w:sz w:val="16"/>
                <w:szCs w:val="16"/>
              </w:rPr>
              <w:t>038</w:t>
            </w:r>
          </w:p>
        </w:tc>
        <w:tc>
          <w:tcPr>
            <w:tcW w:w="721" w:type="pct"/>
            <w:tcBorders>
              <w:top w:val="nil"/>
              <w:left w:val="nil"/>
              <w:right w:val="nil"/>
            </w:tcBorders>
            <w:shd w:val="clear" w:color="auto" w:fill="auto"/>
          </w:tcPr>
          <w:p w14:paraId="5874666E" w14:textId="43F53B84" w:rsidR="00521004" w:rsidRPr="00423689" w:rsidRDefault="00326B5D" w:rsidP="00AC035B">
            <w:pPr>
              <w:tabs>
                <w:tab w:val="decimal" w:pos="733"/>
              </w:tabs>
              <w:spacing w:before="0"/>
              <w:jc w:val="right"/>
              <w:rPr>
                <w:rFonts w:ascii="Arial" w:hAnsi="Arial" w:cs="Arial"/>
                <w:sz w:val="16"/>
                <w:szCs w:val="16"/>
                <w:lang w:eastAsia="en-AU"/>
              </w:rPr>
            </w:pPr>
            <w:r>
              <w:rPr>
                <w:rFonts w:ascii="Arial" w:hAnsi="Arial" w:cs="Arial"/>
                <w:sz w:val="16"/>
                <w:szCs w:val="16"/>
              </w:rPr>
              <w:t>957</w:t>
            </w:r>
          </w:p>
        </w:tc>
        <w:tc>
          <w:tcPr>
            <w:tcW w:w="721" w:type="pct"/>
            <w:tcBorders>
              <w:top w:val="nil"/>
              <w:left w:val="nil"/>
              <w:right w:val="nil"/>
            </w:tcBorders>
            <w:shd w:val="clear" w:color="auto" w:fill="auto"/>
          </w:tcPr>
          <w:p w14:paraId="048A5FD5" w14:textId="7A93DA27" w:rsidR="00521004" w:rsidRPr="00423689" w:rsidRDefault="00326B5D" w:rsidP="00AC035B">
            <w:pPr>
              <w:tabs>
                <w:tab w:val="decimal" w:pos="689"/>
              </w:tabs>
              <w:spacing w:before="0"/>
              <w:jc w:val="right"/>
              <w:rPr>
                <w:rFonts w:ascii="Arial" w:hAnsi="Arial" w:cs="Arial"/>
                <w:sz w:val="16"/>
                <w:szCs w:val="16"/>
                <w:lang w:eastAsia="en-AU"/>
              </w:rPr>
            </w:pPr>
            <w:r>
              <w:rPr>
                <w:rFonts w:ascii="Arial" w:hAnsi="Arial" w:cs="Arial"/>
                <w:sz w:val="16"/>
                <w:szCs w:val="16"/>
              </w:rPr>
              <w:t>917</w:t>
            </w:r>
          </w:p>
        </w:tc>
        <w:tc>
          <w:tcPr>
            <w:tcW w:w="721" w:type="pct"/>
            <w:tcBorders>
              <w:top w:val="nil"/>
              <w:left w:val="nil"/>
              <w:right w:val="nil"/>
            </w:tcBorders>
            <w:shd w:val="clear" w:color="auto" w:fill="auto"/>
          </w:tcPr>
          <w:p w14:paraId="4B8B2800" w14:textId="152515B0" w:rsidR="00521004" w:rsidRPr="00423689" w:rsidRDefault="00326B5D" w:rsidP="00AC035B">
            <w:pPr>
              <w:tabs>
                <w:tab w:val="decimal" w:pos="660"/>
              </w:tabs>
              <w:spacing w:before="0"/>
              <w:jc w:val="right"/>
              <w:rPr>
                <w:rFonts w:ascii="Arial" w:hAnsi="Arial" w:cs="Arial"/>
                <w:sz w:val="16"/>
                <w:szCs w:val="16"/>
                <w:lang w:eastAsia="en-AU"/>
              </w:rPr>
            </w:pPr>
            <w:r>
              <w:rPr>
                <w:rFonts w:ascii="Arial" w:hAnsi="Arial" w:cs="Arial"/>
                <w:sz w:val="16"/>
                <w:szCs w:val="16"/>
              </w:rPr>
              <w:t>897</w:t>
            </w:r>
          </w:p>
        </w:tc>
        <w:tc>
          <w:tcPr>
            <w:tcW w:w="718" w:type="pct"/>
            <w:tcBorders>
              <w:top w:val="nil"/>
              <w:left w:val="nil"/>
              <w:right w:val="nil"/>
            </w:tcBorders>
          </w:tcPr>
          <w:p w14:paraId="348A55A0" w14:textId="4ABDBCCE" w:rsidR="00521004" w:rsidRPr="00423689" w:rsidRDefault="00326B5D" w:rsidP="00AC035B">
            <w:pPr>
              <w:tabs>
                <w:tab w:val="decimal" w:pos="772"/>
              </w:tabs>
              <w:spacing w:before="0"/>
              <w:jc w:val="right"/>
              <w:rPr>
                <w:rFonts w:ascii="Arial" w:hAnsi="Arial" w:cs="Arial"/>
                <w:sz w:val="16"/>
                <w:szCs w:val="16"/>
                <w:lang w:eastAsia="en-AU"/>
              </w:rPr>
            </w:pPr>
            <w:r>
              <w:rPr>
                <w:rFonts w:ascii="Arial" w:hAnsi="Arial" w:cs="Arial"/>
                <w:sz w:val="16"/>
                <w:szCs w:val="16"/>
              </w:rPr>
              <w:t>865</w:t>
            </w:r>
          </w:p>
        </w:tc>
      </w:tr>
      <w:tr w:rsidR="00521004" w:rsidRPr="00112A30" w14:paraId="45386398" w14:textId="77777777" w:rsidTr="003314A2">
        <w:trPr>
          <w:trHeight w:val="334"/>
        </w:trPr>
        <w:tc>
          <w:tcPr>
            <w:tcW w:w="1398" w:type="pct"/>
            <w:tcBorders>
              <w:left w:val="nil"/>
              <w:bottom w:val="single" w:sz="4" w:space="0" w:color="439539"/>
              <w:right w:val="nil"/>
            </w:tcBorders>
            <w:shd w:val="clear" w:color="auto" w:fill="auto"/>
            <w:vAlign w:val="center"/>
          </w:tcPr>
          <w:p w14:paraId="3C4AAD81" w14:textId="77777777" w:rsidR="00521004" w:rsidRPr="00AA3A86" w:rsidRDefault="00521004" w:rsidP="00521004">
            <w:pPr>
              <w:pStyle w:val="TableRowBold"/>
              <w:rPr>
                <w:b w:val="0"/>
                <w:bCs/>
                <w:color w:val="auto"/>
                <w:lang w:eastAsia="en-AU"/>
              </w:rPr>
            </w:pPr>
            <w:r>
              <w:rPr>
                <w:rFonts w:cs="Arial"/>
                <w:b w:val="0"/>
                <w:color w:val="000000"/>
                <w:szCs w:val="16"/>
                <w:lang w:eastAsia="en-AU"/>
              </w:rPr>
              <w:t>Other</w:t>
            </w:r>
            <w:r w:rsidRPr="00A3620E">
              <w:rPr>
                <w:rFonts w:cs="Arial"/>
                <w:b w:val="0"/>
                <w:color w:val="000000"/>
                <w:szCs w:val="16"/>
                <w:lang w:eastAsia="en-AU"/>
              </w:rPr>
              <w:t xml:space="preserve"> training providers</w:t>
            </w:r>
          </w:p>
        </w:tc>
        <w:tc>
          <w:tcPr>
            <w:tcW w:w="721" w:type="pct"/>
            <w:tcBorders>
              <w:left w:val="nil"/>
              <w:bottom w:val="single" w:sz="4" w:space="0" w:color="439539"/>
              <w:right w:val="nil"/>
            </w:tcBorders>
            <w:shd w:val="clear" w:color="auto" w:fill="auto"/>
          </w:tcPr>
          <w:p w14:paraId="17EF0BC0" w14:textId="6C0109B1" w:rsidR="00521004" w:rsidRPr="00423689" w:rsidRDefault="00326B5D" w:rsidP="00AC035B">
            <w:pPr>
              <w:tabs>
                <w:tab w:val="decimal" w:pos="762"/>
              </w:tabs>
              <w:spacing w:before="0"/>
              <w:jc w:val="right"/>
              <w:rPr>
                <w:rFonts w:ascii="Arial" w:hAnsi="Arial" w:cs="Arial"/>
                <w:sz w:val="16"/>
                <w:szCs w:val="16"/>
              </w:rPr>
            </w:pPr>
            <w:r>
              <w:rPr>
                <w:rFonts w:ascii="Arial" w:hAnsi="Arial" w:cs="Arial"/>
                <w:sz w:val="16"/>
                <w:szCs w:val="16"/>
              </w:rPr>
              <w:t>247</w:t>
            </w:r>
          </w:p>
        </w:tc>
        <w:tc>
          <w:tcPr>
            <w:tcW w:w="721" w:type="pct"/>
            <w:tcBorders>
              <w:left w:val="nil"/>
              <w:bottom w:val="single" w:sz="4" w:space="0" w:color="439539"/>
              <w:right w:val="nil"/>
            </w:tcBorders>
            <w:shd w:val="clear" w:color="auto" w:fill="auto"/>
          </w:tcPr>
          <w:p w14:paraId="48A28F14" w14:textId="7EDDC9DA" w:rsidR="00521004" w:rsidRPr="00423689" w:rsidRDefault="00326B5D" w:rsidP="00AC035B">
            <w:pPr>
              <w:tabs>
                <w:tab w:val="decimal" w:pos="762"/>
              </w:tabs>
              <w:spacing w:before="0"/>
              <w:jc w:val="right"/>
              <w:rPr>
                <w:rFonts w:ascii="Arial" w:hAnsi="Arial" w:cs="Arial"/>
                <w:sz w:val="16"/>
                <w:szCs w:val="16"/>
              </w:rPr>
            </w:pPr>
            <w:r w:rsidRPr="00423689">
              <w:rPr>
                <w:rFonts w:ascii="Arial" w:hAnsi="Arial" w:cs="Arial"/>
                <w:sz w:val="16"/>
                <w:szCs w:val="16"/>
              </w:rPr>
              <w:t>2</w:t>
            </w:r>
            <w:r>
              <w:rPr>
                <w:rFonts w:ascii="Arial" w:hAnsi="Arial" w:cs="Arial"/>
                <w:sz w:val="16"/>
                <w:szCs w:val="16"/>
              </w:rPr>
              <w:t>31</w:t>
            </w:r>
          </w:p>
        </w:tc>
        <w:tc>
          <w:tcPr>
            <w:tcW w:w="721" w:type="pct"/>
            <w:tcBorders>
              <w:left w:val="nil"/>
              <w:bottom w:val="single" w:sz="4" w:space="0" w:color="439539"/>
              <w:right w:val="nil"/>
            </w:tcBorders>
            <w:shd w:val="clear" w:color="auto" w:fill="auto"/>
          </w:tcPr>
          <w:p w14:paraId="1F57D34D" w14:textId="1D95A875" w:rsidR="00521004" w:rsidRPr="00423689" w:rsidRDefault="00326B5D" w:rsidP="00AC035B">
            <w:pPr>
              <w:tabs>
                <w:tab w:val="decimal" w:pos="762"/>
              </w:tabs>
              <w:spacing w:before="0"/>
              <w:jc w:val="right"/>
              <w:rPr>
                <w:rFonts w:ascii="Arial" w:hAnsi="Arial" w:cs="Arial"/>
                <w:sz w:val="16"/>
                <w:szCs w:val="16"/>
              </w:rPr>
            </w:pPr>
            <w:r w:rsidRPr="00423689">
              <w:rPr>
                <w:rFonts w:ascii="Arial" w:hAnsi="Arial" w:cs="Arial"/>
                <w:sz w:val="16"/>
                <w:szCs w:val="16"/>
              </w:rPr>
              <w:t>2</w:t>
            </w:r>
            <w:r>
              <w:rPr>
                <w:rFonts w:ascii="Arial" w:hAnsi="Arial" w:cs="Arial"/>
                <w:sz w:val="16"/>
                <w:szCs w:val="16"/>
              </w:rPr>
              <w:t>32</w:t>
            </w:r>
          </w:p>
        </w:tc>
        <w:tc>
          <w:tcPr>
            <w:tcW w:w="721" w:type="pct"/>
            <w:tcBorders>
              <w:left w:val="nil"/>
              <w:bottom w:val="single" w:sz="4" w:space="0" w:color="439539"/>
              <w:right w:val="nil"/>
            </w:tcBorders>
            <w:shd w:val="clear" w:color="auto" w:fill="auto"/>
          </w:tcPr>
          <w:p w14:paraId="0751ED12" w14:textId="116C5883" w:rsidR="00521004" w:rsidRPr="00423689" w:rsidRDefault="00326B5D" w:rsidP="00AC035B">
            <w:pPr>
              <w:tabs>
                <w:tab w:val="decimal" w:pos="762"/>
              </w:tabs>
              <w:spacing w:before="0"/>
              <w:jc w:val="right"/>
              <w:rPr>
                <w:rFonts w:ascii="Arial" w:hAnsi="Arial" w:cs="Arial"/>
                <w:sz w:val="16"/>
                <w:szCs w:val="16"/>
              </w:rPr>
            </w:pPr>
            <w:r w:rsidRPr="00423689">
              <w:rPr>
                <w:rFonts w:ascii="Arial" w:hAnsi="Arial" w:cs="Arial"/>
                <w:sz w:val="16"/>
                <w:szCs w:val="16"/>
              </w:rPr>
              <w:t>2</w:t>
            </w:r>
            <w:r>
              <w:rPr>
                <w:rFonts w:ascii="Arial" w:hAnsi="Arial" w:cs="Arial"/>
                <w:sz w:val="16"/>
                <w:szCs w:val="16"/>
              </w:rPr>
              <w:t>14</w:t>
            </w:r>
          </w:p>
        </w:tc>
        <w:tc>
          <w:tcPr>
            <w:tcW w:w="718" w:type="pct"/>
            <w:tcBorders>
              <w:left w:val="nil"/>
              <w:bottom w:val="single" w:sz="4" w:space="0" w:color="439539"/>
              <w:right w:val="nil"/>
            </w:tcBorders>
          </w:tcPr>
          <w:p w14:paraId="6D007293" w14:textId="048C626D" w:rsidR="00521004" w:rsidRPr="00423689" w:rsidRDefault="00326B5D" w:rsidP="00AC035B">
            <w:pPr>
              <w:tabs>
                <w:tab w:val="decimal" w:pos="762"/>
              </w:tabs>
              <w:spacing w:before="0"/>
              <w:jc w:val="right"/>
              <w:rPr>
                <w:rFonts w:ascii="Arial" w:hAnsi="Arial" w:cs="Arial"/>
                <w:sz w:val="16"/>
                <w:szCs w:val="16"/>
              </w:rPr>
            </w:pPr>
            <w:r w:rsidRPr="00423689">
              <w:rPr>
                <w:rFonts w:ascii="Arial" w:hAnsi="Arial" w:cs="Arial"/>
                <w:sz w:val="16"/>
                <w:szCs w:val="16"/>
              </w:rPr>
              <w:t>2</w:t>
            </w:r>
            <w:r>
              <w:rPr>
                <w:rFonts w:ascii="Arial" w:hAnsi="Arial" w:cs="Arial"/>
                <w:sz w:val="16"/>
                <w:szCs w:val="16"/>
              </w:rPr>
              <w:t>05</w:t>
            </w:r>
          </w:p>
        </w:tc>
      </w:tr>
      <w:tr w:rsidR="00363F86" w:rsidRPr="00112A30" w14:paraId="3EAD0380" w14:textId="77777777" w:rsidTr="003314A2">
        <w:trPr>
          <w:trHeight w:val="334"/>
        </w:trPr>
        <w:tc>
          <w:tcPr>
            <w:tcW w:w="1398" w:type="pct"/>
            <w:tcBorders>
              <w:top w:val="single" w:sz="4" w:space="0" w:color="439539"/>
              <w:left w:val="nil"/>
              <w:bottom w:val="single" w:sz="4" w:space="0" w:color="439539"/>
              <w:right w:val="nil"/>
            </w:tcBorders>
            <w:shd w:val="clear" w:color="auto" w:fill="auto"/>
            <w:vAlign w:val="center"/>
          </w:tcPr>
          <w:p w14:paraId="1F51912B" w14:textId="77777777" w:rsidR="00521004" w:rsidRPr="00E00030" w:rsidRDefault="00521004" w:rsidP="00521004">
            <w:pPr>
              <w:pStyle w:val="TableRowBold"/>
            </w:pPr>
            <w:r w:rsidRPr="00E00030">
              <w:t>Total</w:t>
            </w:r>
          </w:p>
        </w:tc>
        <w:tc>
          <w:tcPr>
            <w:tcW w:w="721" w:type="pct"/>
            <w:tcBorders>
              <w:top w:val="single" w:sz="4" w:space="0" w:color="439539"/>
              <w:left w:val="nil"/>
              <w:bottom w:val="single" w:sz="4" w:space="0" w:color="439539"/>
              <w:right w:val="nil"/>
            </w:tcBorders>
            <w:shd w:val="clear" w:color="auto" w:fill="auto"/>
          </w:tcPr>
          <w:p w14:paraId="173AD506" w14:textId="18A891FE"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00326B5D">
              <w:rPr>
                <w:rFonts w:cs="Arial"/>
                <w:szCs w:val="16"/>
              </w:rPr>
              <w:t>515</w:t>
            </w:r>
          </w:p>
        </w:tc>
        <w:tc>
          <w:tcPr>
            <w:tcW w:w="721" w:type="pct"/>
            <w:tcBorders>
              <w:top w:val="single" w:sz="4" w:space="0" w:color="439539"/>
              <w:left w:val="nil"/>
              <w:bottom w:val="single" w:sz="4" w:space="0" w:color="439539"/>
              <w:right w:val="nil"/>
            </w:tcBorders>
            <w:shd w:val="clear" w:color="auto" w:fill="auto"/>
          </w:tcPr>
          <w:p w14:paraId="470AF5B6" w14:textId="15F57F10"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00326B5D">
              <w:rPr>
                <w:rFonts w:cs="Arial"/>
                <w:szCs w:val="16"/>
              </w:rPr>
              <w:t>434</w:t>
            </w:r>
          </w:p>
        </w:tc>
        <w:tc>
          <w:tcPr>
            <w:tcW w:w="721" w:type="pct"/>
            <w:tcBorders>
              <w:top w:val="single" w:sz="4" w:space="0" w:color="439539"/>
              <w:left w:val="nil"/>
              <w:bottom w:val="single" w:sz="4" w:space="0" w:color="439539"/>
              <w:right w:val="nil"/>
            </w:tcBorders>
            <w:shd w:val="clear" w:color="auto" w:fill="auto"/>
          </w:tcPr>
          <w:p w14:paraId="0A81193E" w14:textId="06184EB9"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00326B5D">
              <w:rPr>
                <w:rFonts w:cs="Arial"/>
                <w:szCs w:val="16"/>
              </w:rPr>
              <w:t>380</w:t>
            </w:r>
          </w:p>
        </w:tc>
        <w:tc>
          <w:tcPr>
            <w:tcW w:w="721" w:type="pct"/>
            <w:tcBorders>
              <w:top w:val="single" w:sz="4" w:space="0" w:color="439539"/>
              <w:left w:val="nil"/>
              <w:bottom w:val="single" w:sz="4" w:space="0" w:color="439539"/>
              <w:right w:val="nil"/>
            </w:tcBorders>
            <w:shd w:val="clear" w:color="auto" w:fill="auto"/>
          </w:tcPr>
          <w:p w14:paraId="15B21600" w14:textId="6D90D4BD"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00326B5D">
              <w:rPr>
                <w:rFonts w:cs="Arial"/>
                <w:szCs w:val="16"/>
              </w:rPr>
              <w:t>329</w:t>
            </w:r>
          </w:p>
        </w:tc>
        <w:tc>
          <w:tcPr>
            <w:tcW w:w="718" w:type="pct"/>
            <w:tcBorders>
              <w:top w:val="single" w:sz="4" w:space="0" w:color="439539"/>
              <w:left w:val="nil"/>
              <w:bottom w:val="single" w:sz="4" w:space="0" w:color="439539"/>
              <w:right w:val="nil"/>
            </w:tcBorders>
          </w:tcPr>
          <w:p w14:paraId="6C02B37F" w14:textId="683E4614"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00326B5D">
              <w:rPr>
                <w:rFonts w:cs="Arial"/>
                <w:szCs w:val="16"/>
              </w:rPr>
              <w:t>166</w:t>
            </w:r>
          </w:p>
        </w:tc>
      </w:tr>
    </w:tbl>
    <w:p w14:paraId="616C6A27" w14:textId="77777777" w:rsidR="00B57210" w:rsidRPr="00D97B49" w:rsidRDefault="00B57210" w:rsidP="005B613C">
      <w:pPr>
        <w:pStyle w:val="Heading2"/>
      </w:pPr>
      <w:bookmarkStart w:id="36" w:name="_Toc45553617"/>
      <w:bookmarkStart w:id="37" w:name="_Toc111046638"/>
      <w:r w:rsidRPr="00D97B49">
        <w:t xml:space="preserve">‘Not </w:t>
      </w:r>
      <w:r w:rsidRPr="00B75A94">
        <w:t>known’</w:t>
      </w:r>
      <w:r w:rsidRPr="00D97B49">
        <w:t xml:space="preserve"> information</w:t>
      </w:r>
      <w:bookmarkEnd w:id="36"/>
      <w:bookmarkEnd w:id="37"/>
    </w:p>
    <w:p w14:paraId="6BA1467E" w14:textId="77777777" w:rsidR="00496655" w:rsidRDefault="00B57210" w:rsidP="00317478">
      <w:pPr>
        <w:pStyle w:val="NumberedText"/>
        <w:ind w:left="426" w:hanging="426"/>
      </w:pPr>
      <w:r w:rsidRPr="005B613C">
        <w:t xml:space="preserve">Caution should be taken when using data with </w:t>
      </w:r>
      <w:proofErr w:type="gramStart"/>
      <w:r w:rsidRPr="005B613C">
        <w:t>a large number of</w:t>
      </w:r>
      <w:proofErr w:type="gramEnd"/>
      <w:r w:rsidRPr="005B613C">
        <w:t xml:space="preserve"> 'not known' responses. </w:t>
      </w:r>
      <w:r w:rsidR="00496655">
        <w:rPr>
          <w:lang w:eastAsia="en-AU"/>
        </w:rPr>
        <w:t>The extent of ‘Not known’</w:t>
      </w:r>
      <w:r w:rsidR="00496655" w:rsidRPr="00CC1746">
        <w:rPr>
          <w:lang w:eastAsia="en-AU"/>
        </w:rPr>
        <w:t xml:space="preserve"> data </w:t>
      </w:r>
      <w:r w:rsidR="00496655">
        <w:rPr>
          <w:lang w:eastAsia="en-AU"/>
        </w:rPr>
        <w:t xml:space="preserve">nationally for selected variables </w:t>
      </w:r>
      <w:r w:rsidR="00496655" w:rsidRPr="00CC1746">
        <w:rPr>
          <w:lang w:eastAsia="en-AU"/>
        </w:rPr>
        <w:t>is illustrated in the table below.</w:t>
      </w:r>
    </w:p>
    <w:p w14:paraId="173139A1" w14:textId="42FC7F02" w:rsidR="00B57210" w:rsidRPr="005B613C" w:rsidRDefault="00B57210" w:rsidP="00317478">
      <w:pPr>
        <w:pStyle w:val="NumberedText"/>
        <w:ind w:left="426" w:hanging="426"/>
      </w:pPr>
      <w:r w:rsidRPr="005B613C">
        <w:t>Data are reported as ‘not known’ are due the following reasons:</w:t>
      </w:r>
    </w:p>
    <w:p w14:paraId="567C98B3" w14:textId="77777777" w:rsidR="00B57210" w:rsidRDefault="00B57210" w:rsidP="00317478">
      <w:pPr>
        <w:pStyle w:val="Dotpoint1"/>
        <w:tabs>
          <w:tab w:val="clear" w:pos="567"/>
          <w:tab w:val="left" w:pos="709"/>
        </w:tabs>
        <w:ind w:left="709" w:hanging="283"/>
      </w:pPr>
      <w:r>
        <w:t>information was not collected</w:t>
      </w:r>
    </w:p>
    <w:p w14:paraId="04FAE23F" w14:textId="77777777" w:rsidR="00B57210" w:rsidRDefault="00B57210" w:rsidP="00317478">
      <w:pPr>
        <w:pStyle w:val="Dotpoint1"/>
        <w:tabs>
          <w:tab w:val="clear" w:pos="567"/>
          <w:tab w:val="left" w:pos="709"/>
        </w:tabs>
        <w:ind w:left="709" w:hanging="283"/>
      </w:pPr>
      <w:r w:rsidRPr="008454C1">
        <w:t>a student has not responded to a question on the enrolment form</w:t>
      </w:r>
    </w:p>
    <w:p w14:paraId="27C64ED9" w14:textId="77777777" w:rsidR="00B57210" w:rsidRDefault="00B57210" w:rsidP="00317478">
      <w:pPr>
        <w:pStyle w:val="Dotpoint1"/>
        <w:tabs>
          <w:tab w:val="clear" w:pos="567"/>
          <w:tab w:val="left" w:pos="709"/>
        </w:tabs>
        <w:ind w:left="709" w:hanging="283"/>
      </w:pPr>
      <w:r w:rsidRPr="008454C1">
        <w:t>invalid information was supplied</w:t>
      </w:r>
    </w:p>
    <w:p w14:paraId="096C2CD8" w14:textId="4CFD92B9" w:rsidR="00B57210" w:rsidRDefault="00B57210" w:rsidP="00317478">
      <w:pPr>
        <w:pStyle w:val="Dotpoint1"/>
        <w:tabs>
          <w:tab w:val="clear" w:pos="567"/>
          <w:tab w:val="left" w:pos="709"/>
        </w:tabs>
        <w:ind w:left="709" w:hanging="283"/>
        <w:rPr>
          <w:lang w:eastAsia="en-AU"/>
        </w:rPr>
      </w:pPr>
      <w:r>
        <w:t xml:space="preserve">where duplicate student records have </w:t>
      </w:r>
      <w:r w:rsidRPr="00496655">
        <w:t>conflicting</w:t>
      </w:r>
      <w:r>
        <w:t xml:space="preserve"> demographic information; for example, where the same student is reported as both Indigenous and non-Indigenous</w:t>
      </w:r>
      <w:r w:rsidRPr="008454C1">
        <w:t>.</w:t>
      </w:r>
      <w:r>
        <w:rPr>
          <w:lang w:eastAsia="en-AU"/>
        </w:rPr>
        <w:tab/>
      </w:r>
    </w:p>
    <w:p w14:paraId="1601081A" w14:textId="7B38F7ED" w:rsidR="00B57210" w:rsidRPr="00F75796" w:rsidRDefault="00496655" w:rsidP="005B613C">
      <w:pPr>
        <w:pStyle w:val="tabletitle"/>
      </w:pPr>
      <w:bookmarkStart w:id="38" w:name="_Toc75275443"/>
      <w:r>
        <w:t>Government-funded s</w:t>
      </w:r>
      <w:r w:rsidR="00B57210" w:rsidRPr="00F75796">
        <w:t xml:space="preserve">tudents with ‘not known’ data, </w:t>
      </w:r>
      <w:r w:rsidR="001719C1">
        <w:t xml:space="preserve">January to March 2018 – 2022 </w:t>
      </w:r>
      <w:r w:rsidR="00B57210">
        <w:t>(%)</w:t>
      </w:r>
      <w:bookmarkEnd w:id="38"/>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418"/>
        <w:gridCol w:w="1417"/>
        <w:gridCol w:w="1276"/>
        <w:gridCol w:w="1276"/>
        <w:gridCol w:w="1417"/>
      </w:tblGrid>
      <w:tr w:rsidR="005F602F" w:rsidRPr="005F602F" w14:paraId="4C6C5A8D" w14:textId="77777777" w:rsidTr="005B613C">
        <w:trPr>
          <w:trHeight w:val="332"/>
        </w:trPr>
        <w:tc>
          <w:tcPr>
            <w:tcW w:w="2830" w:type="dxa"/>
            <w:tcBorders>
              <w:top w:val="single" w:sz="4" w:space="0" w:color="32872A"/>
              <w:bottom w:val="single" w:sz="4" w:space="0" w:color="32872A"/>
            </w:tcBorders>
          </w:tcPr>
          <w:p w14:paraId="40A098AC" w14:textId="77777777" w:rsidR="00363F86" w:rsidRPr="00C70286" w:rsidRDefault="00363F86" w:rsidP="00363F86">
            <w:pPr>
              <w:tabs>
                <w:tab w:val="left" w:pos="900"/>
              </w:tabs>
              <w:spacing w:before="120" w:after="40"/>
              <w:rPr>
                <w:rFonts w:ascii="Arial" w:hAnsi="Arial" w:cs="Arial"/>
                <w:b/>
                <w:color w:val="32872A"/>
                <w:sz w:val="16"/>
              </w:rPr>
            </w:pPr>
          </w:p>
        </w:tc>
        <w:tc>
          <w:tcPr>
            <w:tcW w:w="1418" w:type="dxa"/>
            <w:tcBorders>
              <w:top w:val="single" w:sz="4" w:space="0" w:color="32872A"/>
              <w:bottom w:val="single" w:sz="4" w:space="0" w:color="32872A"/>
            </w:tcBorders>
            <w:vAlign w:val="center"/>
          </w:tcPr>
          <w:p w14:paraId="25A3FF73" w14:textId="77777777" w:rsidR="00363F86" w:rsidRPr="00C70286" w:rsidRDefault="00363F86" w:rsidP="00363F86">
            <w:pPr>
              <w:pStyle w:val="Tablehead1"/>
              <w:jc w:val="center"/>
              <w:rPr>
                <w:color w:val="32872A"/>
              </w:rPr>
            </w:pPr>
            <w:r w:rsidRPr="00C70286">
              <w:rPr>
                <w:color w:val="32872A"/>
              </w:rPr>
              <w:t xml:space="preserve">Jan-Mar </w:t>
            </w:r>
          </w:p>
          <w:p w14:paraId="6C0DE668" w14:textId="31C1D8F8" w:rsidR="00363F86" w:rsidRPr="00C70286" w:rsidRDefault="00363F86" w:rsidP="00363F86">
            <w:pPr>
              <w:pStyle w:val="Tablehead1"/>
              <w:jc w:val="center"/>
              <w:rPr>
                <w:color w:val="32872A"/>
              </w:rPr>
            </w:pPr>
            <w:r w:rsidRPr="00C70286">
              <w:rPr>
                <w:color w:val="32872A"/>
              </w:rPr>
              <w:t>2018</w:t>
            </w:r>
          </w:p>
        </w:tc>
        <w:tc>
          <w:tcPr>
            <w:tcW w:w="1417" w:type="dxa"/>
            <w:tcBorders>
              <w:top w:val="single" w:sz="4" w:space="0" w:color="32872A"/>
              <w:bottom w:val="single" w:sz="4" w:space="0" w:color="32872A"/>
            </w:tcBorders>
            <w:vAlign w:val="center"/>
          </w:tcPr>
          <w:p w14:paraId="16FD4EB0" w14:textId="77777777" w:rsidR="00363F86" w:rsidRPr="00C70286" w:rsidRDefault="00363F86" w:rsidP="00363F86">
            <w:pPr>
              <w:pStyle w:val="Tablehead1"/>
              <w:jc w:val="center"/>
              <w:rPr>
                <w:color w:val="32872A"/>
              </w:rPr>
            </w:pPr>
            <w:r w:rsidRPr="00C70286">
              <w:rPr>
                <w:color w:val="32872A"/>
              </w:rPr>
              <w:t xml:space="preserve">Jan-Mar </w:t>
            </w:r>
          </w:p>
          <w:p w14:paraId="6C4D2182" w14:textId="3D83FC7D" w:rsidR="00363F86" w:rsidRPr="00C70286" w:rsidRDefault="00363F86" w:rsidP="00363F86">
            <w:pPr>
              <w:pStyle w:val="Tablehead1"/>
              <w:jc w:val="center"/>
              <w:rPr>
                <w:color w:val="32872A"/>
              </w:rPr>
            </w:pPr>
            <w:r w:rsidRPr="00C70286">
              <w:rPr>
                <w:color w:val="32872A"/>
              </w:rPr>
              <w:t>2019</w:t>
            </w:r>
          </w:p>
        </w:tc>
        <w:tc>
          <w:tcPr>
            <w:tcW w:w="1276" w:type="dxa"/>
            <w:tcBorders>
              <w:top w:val="single" w:sz="4" w:space="0" w:color="32872A"/>
              <w:bottom w:val="single" w:sz="4" w:space="0" w:color="32872A"/>
            </w:tcBorders>
            <w:vAlign w:val="center"/>
          </w:tcPr>
          <w:p w14:paraId="6ACBEBBD" w14:textId="77777777" w:rsidR="00363F86" w:rsidRPr="00C70286" w:rsidRDefault="00363F86" w:rsidP="00363F86">
            <w:pPr>
              <w:pStyle w:val="Tablehead1"/>
              <w:jc w:val="center"/>
              <w:rPr>
                <w:color w:val="32872A"/>
              </w:rPr>
            </w:pPr>
            <w:r w:rsidRPr="00C70286">
              <w:rPr>
                <w:color w:val="32872A"/>
              </w:rPr>
              <w:t xml:space="preserve">Jan-Mar </w:t>
            </w:r>
          </w:p>
          <w:p w14:paraId="660B70A2" w14:textId="680C9DE7" w:rsidR="00363F86" w:rsidRPr="00C70286" w:rsidRDefault="00363F86" w:rsidP="00363F86">
            <w:pPr>
              <w:pStyle w:val="Tablehead1"/>
              <w:jc w:val="center"/>
              <w:rPr>
                <w:color w:val="32872A"/>
              </w:rPr>
            </w:pPr>
            <w:r w:rsidRPr="00C70286">
              <w:rPr>
                <w:color w:val="32872A"/>
              </w:rPr>
              <w:t>2020</w:t>
            </w:r>
          </w:p>
        </w:tc>
        <w:tc>
          <w:tcPr>
            <w:tcW w:w="1276" w:type="dxa"/>
            <w:tcBorders>
              <w:top w:val="single" w:sz="4" w:space="0" w:color="32872A"/>
              <w:bottom w:val="single" w:sz="4" w:space="0" w:color="32872A"/>
            </w:tcBorders>
            <w:vAlign w:val="center"/>
          </w:tcPr>
          <w:p w14:paraId="2237BA1B" w14:textId="77777777" w:rsidR="00363F86" w:rsidRPr="00C70286" w:rsidRDefault="00363F86" w:rsidP="00363F86">
            <w:pPr>
              <w:pStyle w:val="Tablehead1"/>
              <w:jc w:val="center"/>
              <w:rPr>
                <w:color w:val="32872A"/>
              </w:rPr>
            </w:pPr>
            <w:r w:rsidRPr="00C70286">
              <w:rPr>
                <w:color w:val="32872A"/>
              </w:rPr>
              <w:t xml:space="preserve">Jan-Mar </w:t>
            </w:r>
          </w:p>
          <w:p w14:paraId="5FECF328" w14:textId="2DC54E6C" w:rsidR="00363F86" w:rsidRPr="00C70286" w:rsidRDefault="00363F86" w:rsidP="00363F86">
            <w:pPr>
              <w:pStyle w:val="Tablehead1"/>
              <w:jc w:val="center"/>
              <w:rPr>
                <w:color w:val="32872A"/>
              </w:rPr>
            </w:pPr>
            <w:r w:rsidRPr="00C70286">
              <w:rPr>
                <w:color w:val="32872A"/>
              </w:rPr>
              <w:t>2021</w:t>
            </w:r>
          </w:p>
        </w:tc>
        <w:tc>
          <w:tcPr>
            <w:tcW w:w="1417" w:type="dxa"/>
            <w:tcBorders>
              <w:top w:val="single" w:sz="4" w:space="0" w:color="32872A"/>
              <w:bottom w:val="single" w:sz="4" w:space="0" w:color="32872A"/>
            </w:tcBorders>
            <w:vAlign w:val="center"/>
          </w:tcPr>
          <w:p w14:paraId="6CAADEA9" w14:textId="77777777" w:rsidR="00363F86" w:rsidRPr="00C70286" w:rsidRDefault="00363F86" w:rsidP="00363F86">
            <w:pPr>
              <w:pStyle w:val="Tablehead1"/>
              <w:jc w:val="center"/>
              <w:rPr>
                <w:color w:val="32872A"/>
              </w:rPr>
            </w:pPr>
            <w:r w:rsidRPr="00C70286">
              <w:rPr>
                <w:color w:val="32872A"/>
              </w:rPr>
              <w:t>Jan-Mar</w:t>
            </w:r>
          </w:p>
          <w:p w14:paraId="20392C7C" w14:textId="101BF175" w:rsidR="00363F86" w:rsidRPr="00C70286" w:rsidRDefault="00363F86" w:rsidP="00363F86">
            <w:pPr>
              <w:pStyle w:val="Tablehead1"/>
              <w:jc w:val="center"/>
              <w:rPr>
                <w:color w:val="32872A"/>
              </w:rPr>
            </w:pPr>
            <w:r w:rsidRPr="00C70286">
              <w:rPr>
                <w:color w:val="32872A"/>
              </w:rPr>
              <w:t xml:space="preserve"> 2022</w:t>
            </w:r>
          </w:p>
        </w:tc>
      </w:tr>
      <w:tr w:rsidR="00860508" w:rsidRPr="00F75796" w14:paraId="582568F1" w14:textId="77777777" w:rsidTr="00397FFD">
        <w:trPr>
          <w:trHeight w:val="240"/>
        </w:trPr>
        <w:tc>
          <w:tcPr>
            <w:tcW w:w="2830" w:type="dxa"/>
            <w:tcBorders>
              <w:top w:val="single" w:sz="4" w:space="0" w:color="32872A"/>
            </w:tcBorders>
            <w:vAlign w:val="center"/>
          </w:tcPr>
          <w:p w14:paraId="73DAB454" w14:textId="77777777" w:rsidR="00860508" w:rsidRPr="002D3E90" w:rsidRDefault="00860508" w:rsidP="00860508">
            <w:pPr>
              <w:pStyle w:val="Tabletext"/>
            </w:pPr>
            <w:r w:rsidRPr="002D3E90">
              <w:t>Indigenous status</w:t>
            </w:r>
          </w:p>
        </w:tc>
        <w:tc>
          <w:tcPr>
            <w:tcW w:w="1418" w:type="dxa"/>
            <w:tcBorders>
              <w:top w:val="single" w:sz="4" w:space="0" w:color="32872A"/>
            </w:tcBorders>
          </w:tcPr>
          <w:p w14:paraId="2844E3F1" w14:textId="090388E4" w:rsidR="00860508" w:rsidRPr="005B613C" w:rsidRDefault="003D44AF" w:rsidP="00AC035B">
            <w:pPr>
              <w:pStyle w:val="Tabletext"/>
              <w:tabs>
                <w:tab w:val="decimal" w:pos="604"/>
              </w:tabs>
              <w:jc w:val="right"/>
            </w:pPr>
            <w:bookmarkStart w:id="39" w:name="notknown"/>
            <w:bookmarkEnd w:id="39"/>
            <w:r>
              <w:t>2</w:t>
            </w:r>
            <w:r w:rsidR="00860508" w:rsidRPr="00F93429">
              <w:t>.</w:t>
            </w:r>
            <w:r>
              <w:t>7</w:t>
            </w:r>
          </w:p>
        </w:tc>
        <w:tc>
          <w:tcPr>
            <w:tcW w:w="1417" w:type="dxa"/>
            <w:tcBorders>
              <w:top w:val="single" w:sz="4" w:space="0" w:color="32872A"/>
            </w:tcBorders>
          </w:tcPr>
          <w:p w14:paraId="75E95DE7" w14:textId="67A75523" w:rsidR="00860508" w:rsidRPr="005B613C" w:rsidRDefault="00860508" w:rsidP="00AC035B">
            <w:pPr>
              <w:pStyle w:val="Tabletext"/>
              <w:tabs>
                <w:tab w:val="decimal" w:pos="612"/>
              </w:tabs>
              <w:jc w:val="right"/>
            </w:pPr>
            <w:r w:rsidRPr="00F93429">
              <w:t>3.</w:t>
            </w:r>
            <w:r w:rsidR="003D44AF">
              <w:t>5</w:t>
            </w:r>
          </w:p>
        </w:tc>
        <w:tc>
          <w:tcPr>
            <w:tcW w:w="1276" w:type="dxa"/>
            <w:tcBorders>
              <w:top w:val="single" w:sz="4" w:space="0" w:color="32872A"/>
            </w:tcBorders>
          </w:tcPr>
          <w:p w14:paraId="14C46074" w14:textId="7BBA3C77" w:rsidR="00860508" w:rsidRPr="005B613C" w:rsidRDefault="003D44AF" w:rsidP="00AC035B">
            <w:pPr>
              <w:pStyle w:val="Tabletext"/>
              <w:tabs>
                <w:tab w:val="decimal" w:pos="462"/>
              </w:tabs>
              <w:jc w:val="right"/>
            </w:pPr>
            <w:r>
              <w:t>3</w:t>
            </w:r>
            <w:r w:rsidR="00860508" w:rsidRPr="00F93429">
              <w:t>.</w:t>
            </w:r>
            <w:r>
              <w:t>7</w:t>
            </w:r>
          </w:p>
        </w:tc>
        <w:tc>
          <w:tcPr>
            <w:tcW w:w="1276" w:type="dxa"/>
            <w:tcBorders>
              <w:top w:val="single" w:sz="4" w:space="0" w:color="32872A"/>
            </w:tcBorders>
          </w:tcPr>
          <w:p w14:paraId="4CB50D98" w14:textId="32AE9346" w:rsidR="00860508" w:rsidRPr="005B613C" w:rsidRDefault="00860508" w:rsidP="00AC035B">
            <w:pPr>
              <w:pStyle w:val="Tabletext"/>
              <w:tabs>
                <w:tab w:val="decimal" w:pos="463"/>
              </w:tabs>
              <w:jc w:val="right"/>
            </w:pPr>
            <w:r w:rsidRPr="00F93429">
              <w:t>3.</w:t>
            </w:r>
            <w:r w:rsidR="003D44AF">
              <w:t>3</w:t>
            </w:r>
          </w:p>
        </w:tc>
        <w:tc>
          <w:tcPr>
            <w:tcW w:w="1417" w:type="dxa"/>
            <w:tcBorders>
              <w:top w:val="single" w:sz="4" w:space="0" w:color="32872A"/>
            </w:tcBorders>
          </w:tcPr>
          <w:p w14:paraId="58D756AF" w14:textId="6E54A996" w:rsidR="00860508" w:rsidRPr="005B613C" w:rsidRDefault="003D44AF" w:rsidP="00AC035B">
            <w:pPr>
              <w:pStyle w:val="Tabletext"/>
              <w:tabs>
                <w:tab w:val="decimal" w:pos="606"/>
              </w:tabs>
              <w:jc w:val="right"/>
            </w:pPr>
            <w:r>
              <w:t>2.7</w:t>
            </w:r>
          </w:p>
        </w:tc>
      </w:tr>
      <w:tr w:rsidR="00860508" w:rsidRPr="00F75796" w14:paraId="5959AB08" w14:textId="77777777" w:rsidTr="00397FFD">
        <w:trPr>
          <w:trHeight w:val="240"/>
        </w:trPr>
        <w:tc>
          <w:tcPr>
            <w:tcW w:w="2830" w:type="dxa"/>
            <w:vAlign w:val="center"/>
          </w:tcPr>
          <w:p w14:paraId="2E37B893" w14:textId="77777777" w:rsidR="00860508" w:rsidRPr="002D3E90" w:rsidRDefault="00860508" w:rsidP="00860508">
            <w:pPr>
              <w:pStyle w:val="Tabletext"/>
            </w:pPr>
            <w:r w:rsidRPr="002D3E90">
              <w:t>Disability status</w:t>
            </w:r>
          </w:p>
        </w:tc>
        <w:tc>
          <w:tcPr>
            <w:tcW w:w="1418" w:type="dxa"/>
          </w:tcPr>
          <w:p w14:paraId="2AB09CC5" w14:textId="7167B860" w:rsidR="00860508" w:rsidRPr="005B613C" w:rsidRDefault="003D44AF" w:rsidP="00AC035B">
            <w:pPr>
              <w:pStyle w:val="Tabletext"/>
              <w:tabs>
                <w:tab w:val="decimal" w:pos="604"/>
              </w:tabs>
              <w:jc w:val="right"/>
            </w:pPr>
            <w:r>
              <w:t>6</w:t>
            </w:r>
            <w:r w:rsidR="00860508" w:rsidRPr="00F93429">
              <w:t>.</w:t>
            </w:r>
            <w:r>
              <w:t>7</w:t>
            </w:r>
          </w:p>
        </w:tc>
        <w:tc>
          <w:tcPr>
            <w:tcW w:w="1417" w:type="dxa"/>
          </w:tcPr>
          <w:p w14:paraId="547B0257" w14:textId="66560A1E" w:rsidR="00860508" w:rsidRPr="005B613C" w:rsidRDefault="003D44AF" w:rsidP="00AC035B">
            <w:pPr>
              <w:pStyle w:val="Tabletext"/>
              <w:tabs>
                <w:tab w:val="decimal" w:pos="612"/>
              </w:tabs>
              <w:jc w:val="right"/>
            </w:pPr>
            <w:r>
              <w:t>5</w:t>
            </w:r>
            <w:r w:rsidR="00860508" w:rsidRPr="00F93429">
              <w:t>.</w:t>
            </w:r>
            <w:r>
              <w:t>9</w:t>
            </w:r>
          </w:p>
        </w:tc>
        <w:tc>
          <w:tcPr>
            <w:tcW w:w="1276" w:type="dxa"/>
          </w:tcPr>
          <w:p w14:paraId="0E15961B" w14:textId="59FA04DF" w:rsidR="00860508" w:rsidRPr="005B613C" w:rsidRDefault="003D44AF" w:rsidP="00AC035B">
            <w:pPr>
              <w:pStyle w:val="Tabletext"/>
              <w:tabs>
                <w:tab w:val="decimal" w:pos="462"/>
              </w:tabs>
              <w:jc w:val="right"/>
            </w:pPr>
            <w:r>
              <w:t>4</w:t>
            </w:r>
            <w:r w:rsidR="00860508" w:rsidRPr="00F93429">
              <w:t>.</w:t>
            </w:r>
            <w:r>
              <w:t>5</w:t>
            </w:r>
          </w:p>
        </w:tc>
        <w:tc>
          <w:tcPr>
            <w:tcW w:w="1276" w:type="dxa"/>
          </w:tcPr>
          <w:p w14:paraId="6D2C3CC2" w14:textId="122114AB" w:rsidR="00860508" w:rsidRPr="005B613C" w:rsidRDefault="003D44AF" w:rsidP="00AC035B">
            <w:pPr>
              <w:pStyle w:val="Tabletext"/>
              <w:tabs>
                <w:tab w:val="decimal" w:pos="463"/>
              </w:tabs>
              <w:jc w:val="right"/>
            </w:pPr>
            <w:r>
              <w:t>4</w:t>
            </w:r>
            <w:r w:rsidR="00860508" w:rsidRPr="00F93429">
              <w:t>.</w:t>
            </w:r>
            <w:r>
              <w:t>4</w:t>
            </w:r>
          </w:p>
        </w:tc>
        <w:tc>
          <w:tcPr>
            <w:tcW w:w="1417" w:type="dxa"/>
          </w:tcPr>
          <w:p w14:paraId="5523CC18" w14:textId="1A22A0D1" w:rsidR="00860508" w:rsidRPr="005B613C" w:rsidRDefault="003D44AF" w:rsidP="00AC035B">
            <w:pPr>
              <w:pStyle w:val="Tabletext"/>
              <w:tabs>
                <w:tab w:val="decimal" w:pos="606"/>
              </w:tabs>
              <w:jc w:val="right"/>
            </w:pPr>
            <w:r>
              <w:t>3.7</w:t>
            </w:r>
          </w:p>
        </w:tc>
      </w:tr>
      <w:tr w:rsidR="00860508" w:rsidRPr="00F75796" w14:paraId="6B116EA8" w14:textId="77777777" w:rsidTr="00397FFD">
        <w:trPr>
          <w:trHeight w:val="240"/>
        </w:trPr>
        <w:tc>
          <w:tcPr>
            <w:tcW w:w="2830" w:type="dxa"/>
            <w:vAlign w:val="center"/>
          </w:tcPr>
          <w:p w14:paraId="6003247A" w14:textId="77777777" w:rsidR="00860508" w:rsidRPr="002D3E90" w:rsidRDefault="00860508" w:rsidP="00860508">
            <w:pPr>
              <w:pStyle w:val="Tabletext"/>
            </w:pPr>
            <w:r w:rsidRPr="00E0452B">
              <w:t>Is a language other than English spoken at home</w:t>
            </w:r>
          </w:p>
        </w:tc>
        <w:tc>
          <w:tcPr>
            <w:tcW w:w="1418" w:type="dxa"/>
          </w:tcPr>
          <w:p w14:paraId="739B3C9A" w14:textId="3D802A59" w:rsidR="00860508" w:rsidRPr="005B613C" w:rsidRDefault="003D44AF" w:rsidP="00AC035B">
            <w:pPr>
              <w:pStyle w:val="Tabletext"/>
              <w:tabs>
                <w:tab w:val="decimal" w:pos="604"/>
              </w:tabs>
              <w:jc w:val="right"/>
            </w:pPr>
            <w:r>
              <w:t>5.9</w:t>
            </w:r>
          </w:p>
        </w:tc>
        <w:tc>
          <w:tcPr>
            <w:tcW w:w="1417" w:type="dxa"/>
          </w:tcPr>
          <w:p w14:paraId="2570C972" w14:textId="78E5698D" w:rsidR="00860508" w:rsidRPr="005B613C" w:rsidRDefault="003D44AF" w:rsidP="00AC035B">
            <w:pPr>
              <w:pStyle w:val="Tabletext"/>
              <w:tabs>
                <w:tab w:val="decimal" w:pos="612"/>
              </w:tabs>
              <w:jc w:val="right"/>
            </w:pPr>
            <w:r>
              <w:t>4</w:t>
            </w:r>
            <w:r w:rsidR="00860508" w:rsidRPr="00F93429">
              <w:t>.7</w:t>
            </w:r>
          </w:p>
        </w:tc>
        <w:tc>
          <w:tcPr>
            <w:tcW w:w="1276" w:type="dxa"/>
          </w:tcPr>
          <w:p w14:paraId="72ECEAA9" w14:textId="140F4288" w:rsidR="00860508" w:rsidRPr="005B613C" w:rsidRDefault="00860508" w:rsidP="00AC035B">
            <w:pPr>
              <w:pStyle w:val="Tabletext"/>
              <w:tabs>
                <w:tab w:val="decimal" w:pos="462"/>
              </w:tabs>
              <w:jc w:val="right"/>
            </w:pPr>
            <w:r w:rsidRPr="00F93429">
              <w:t>4.</w:t>
            </w:r>
            <w:r w:rsidR="003D44AF">
              <w:t>1</w:t>
            </w:r>
          </w:p>
        </w:tc>
        <w:tc>
          <w:tcPr>
            <w:tcW w:w="1276" w:type="dxa"/>
          </w:tcPr>
          <w:p w14:paraId="05F343D8" w14:textId="28781C12" w:rsidR="00860508" w:rsidRPr="005B613C" w:rsidRDefault="00860508" w:rsidP="00AC035B">
            <w:pPr>
              <w:pStyle w:val="Tabletext"/>
              <w:tabs>
                <w:tab w:val="decimal" w:pos="463"/>
              </w:tabs>
              <w:jc w:val="right"/>
            </w:pPr>
            <w:r w:rsidRPr="00F93429">
              <w:t>4.</w:t>
            </w:r>
            <w:r w:rsidR="003D44AF">
              <w:t>6</w:t>
            </w:r>
          </w:p>
        </w:tc>
        <w:tc>
          <w:tcPr>
            <w:tcW w:w="1417" w:type="dxa"/>
          </w:tcPr>
          <w:p w14:paraId="607E5F0D" w14:textId="0F8C0B21" w:rsidR="00860508" w:rsidRPr="005B613C" w:rsidRDefault="00860508" w:rsidP="00AC035B">
            <w:pPr>
              <w:pStyle w:val="Tabletext"/>
              <w:tabs>
                <w:tab w:val="decimal" w:pos="606"/>
              </w:tabs>
              <w:jc w:val="right"/>
            </w:pPr>
            <w:r w:rsidRPr="00F93429">
              <w:t>4.9</w:t>
            </w:r>
          </w:p>
        </w:tc>
      </w:tr>
      <w:tr w:rsidR="00860508" w:rsidRPr="00F75796" w14:paraId="48B8BA36" w14:textId="77777777" w:rsidTr="00397FFD">
        <w:trPr>
          <w:trHeight w:val="255"/>
        </w:trPr>
        <w:tc>
          <w:tcPr>
            <w:tcW w:w="2830" w:type="dxa"/>
            <w:vAlign w:val="center"/>
          </w:tcPr>
          <w:p w14:paraId="16CF0351" w14:textId="77777777" w:rsidR="00860508" w:rsidRPr="002D3E90" w:rsidRDefault="00860508" w:rsidP="00860508">
            <w:pPr>
              <w:pStyle w:val="Tabletext"/>
            </w:pPr>
            <w:r w:rsidRPr="002D3E90">
              <w:t>Labour force status</w:t>
            </w:r>
          </w:p>
        </w:tc>
        <w:tc>
          <w:tcPr>
            <w:tcW w:w="1418" w:type="dxa"/>
          </w:tcPr>
          <w:p w14:paraId="1EBEFDA4" w14:textId="22D9AF04" w:rsidR="00860508" w:rsidRPr="005B613C" w:rsidRDefault="003D44AF" w:rsidP="00AC035B">
            <w:pPr>
              <w:pStyle w:val="Tabletext"/>
              <w:tabs>
                <w:tab w:val="decimal" w:pos="604"/>
              </w:tabs>
              <w:jc w:val="right"/>
            </w:pPr>
            <w:r>
              <w:t>9.5</w:t>
            </w:r>
          </w:p>
        </w:tc>
        <w:tc>
          <w:tcPr>
            <w:tcW w:w="1417" w:type="dxa"/>
          </w:tcPr>
          <w:p w14:paraId="20152D6F" w14:textId="0CE339B4" w:rsidR="00860508" w:rsidRPr="005B613C" w:rsidRDefault="003D44AF" w:rsidP="00AC035B">
            <w:pPr>
              <w:pStyle w:val="Tabletext"/>
              <w:tabs>
                <w:tab w:val="decimal" w:pos="612"/>
              </w:tabs>
              <w:jc w:val="right"/>
            </w:pPr>
            <w:r w:rsidRPr="00F93429">
              <w:t>1</w:t>
            </w:r>
            <w:r>
              <w:t>0</w:t>
            </w:r>
            <w:r w:rsidR="00860508" w:rsidRPr="00F93429">
              <w:t>.</w:t>
            </w:r>
            <w:r>
              <w:t>8</w:t>
            </w:r>
          </w:p>
        </w:tc>
        <w:tc>
          <w:tcPr>
            <w:tcW w:w="1276" w:type="dxa"/>
          </w:tcPr>
          <w:p w14:paraId="677CBF48" w14:textId="04297427" w:rsidR="00860508" w:rsidRPr="005B613C" w:rsidRDefault="003D44AF" w:rsidP="00AC035B">
            <w:pPr>
              <w:pStyle w:val="Tabletext"/>
              <w:tabs>
                <w:tab w:val="decimal" w:pos="462"/>
              </w:tabs>
              <w:jc w:val="right"/>
            </w:pPr>
            <w:r>
              <w:t>9.0</w:t>
            </w:r>
          </w:p>
        </w:tc>
        <w:tc>
          <w:tcPr>
            <w:tcW w:w="1276" w:type="dxa"/>
          </w:tcPr>
          <w:p w14:paraId="37C323B2" w14:textId="1D523781" w:rsidR="00860508" w:rsidRPr="005B613C" w:rsidRDefault="003D44AF" w:rsidP="00AC035B">
            <w:pPr>
              <w:pStyle w:val="Tabletext"/>
              <w:tabs>
                <w:tab w:val="decimal" w:pos="463"/>
              </w:tabs>
              <w:jc w:val="right"/>
            </w:pPr>
            <w:r>
              <w:t>9</w:t>
            </w:r>
            <w:r w:rsidR="00860508" w:rsidRPr="00F93429">
              <w:t>.</w:t>
            </w:r>
            <w:r>
              <w:t>3</w:t>
            </w:r>
          </w:p>
        </w:tc>
        <w:tc>
          <w:tcPr>
            <w:tcW w:w="1417" w:type="dxa"/>
          </w:tcPr>
          <w:p w14:paraId="543D24C7" w14:textId="76280668" w:rsidR="00860508" w:rsidRPr="005B613C" w:rsidRDefault="003D44AF" w:rsidP="00AC035B">
            <w:pPr>
              <w:pStyle w:val="Tabletext"/>
              <w:tabs>
                <w:tab w:val="decimal" w:pos="606"/>
              </w:tabs>
              <w:jc w:val="right"/>
            </w:pPr>
            <w:r w:rsidRPr="00F93429">
              <w:t>1</w:t>
            </w:r>
            <w:r>
              <w:t>0</w:t>
            </w:r>
            <w:r w:rsidR="00860508" w:rsidRPr="00F93429">
              <w:t>.0</w:t>
            </w:r>
          </w:p>
        </w:tc>
      </w:tr>
      <w:tr w:rsidR="00860508" w:rsidRPr="00F75796" w14:paraId="3ACDC002" w14:textId="77777777" w:rsidTr="00397FFD">
        <w:trPr>
          <w:trHeight w:val="240"/>
        </w:trPr>
        <w:tc>
          <w:tcPr>
            <w:tcW w:w="2830" w:type="dxa"/>
            <w:tcBorders>
              <w:bottom w:val="single" w:sz="4" w:space="0" w:color="32872A"/>
            </w:tcBorders>
            <w:vAlign w:val="center"/>
          </w:tcPr>
          <w:p w14:paraId="71CC943D" w14:textId="77777777" w:rsidR="00860508" w:rsidRPr="002D3E90" w:rsidRDefault="00860508" w:rsidP="00860508">
            <w:pPr>
              <w:pStyle w:val="Tabletext"/>
            </w:pPr>
            <w:r w:rsidRPr="002D3E90">
              <w:t>School status</w:t>
            </w:r>
          </w:p>
        </w:tc>
        <w:tc>
          <w:tcPr>
            <w:tcW w:w="1418" w:type="dxa"/>
            <w:tcBorders>
              <w:bottom w:val="single" w:sz="4" w:space="0" w:color="32872A"/>
            </w:tcBorders>
          </w:tcPr>
          <w:p w14:paraId="505FD435" w14:textId="788ACCF9" w:rsidR="00860508" w:rsidRPr="005B613C" w:rsidRDefault="003D44AF" w:rsidP="00AC035B">
            <w:pPr>
              <w:pStyle w:val="Tabletext"/>
              <w:tabs>
                <w:tab w:val="decimal" w:pos="604"/>
              </w:tabs>
              <w:jc w:val="right"/>
            </w:pPr>
            <w:r>
              <w:t>2.8</w:t>
            </w:r>
          </w:p>
        </w:tc>
        <w:tc>
          <w:tcPr>
            <w:tcW w:w="1417" w:type="dxa"/>
            <w:tcBorders>
              <w:bottom w:val="single" w:sz="4" w:space="0" w:color="32872A"/>
            </w:tcBorders>
          </w:tcPr>
          <w:p w14:paraId="075CCC66" w14:textId="7FE65CC5" w:rsidR="00860508" w:rsidRPr="005B613C" w:rsidRDefault="003D44AF" w:rsidP="00AC035B">
            <w:pPr>
              <w:pStyle w:val="Tabletext"/>
              <w:tabs>
                <w:tab w:val="decimal" w:pos="612"/>
              </w:tabs>
              <w:jc w:val="right"/>
            </w:pPr>
            <w:r>
              <w:t>30.0</w:t>
            </w:r>
          </w:p>
        </w:tc>
        <w:tc>
          <w:tcPr>
            <w:tcW w:w="1276" w:type="dxa"/>
            <w:tcBorders>
              <w:bottom w:val="single" w:sz="4" w:space="0" w:color="32872A"/>
            </w:tcBorders>
          </w:tcPr>
          <w:p w14:paraId="0E1A220D" w14:textId="4381FC8F" w:rsidR="00860508" w:rsidRPr="005B613C" w:rsidRDefault="003D44AF" w:rsidP="00AC035B">
            <w:pPr>
              <w:pStyle w:val="Tabletext"/>
              <w:tabs>
                <w:tab w:val="decimal" w:pos="462"/>
              </w:tabs>
              <w:jc w:val="right"/>
            </w:pPr>
            <w:r>
              <w:t>1.8</w:t>
            </w:r>
          </w:p>
        </w:tc>
        <w:tc>
          <w:tcPr>
            <w:tcW w:w="1276" w:type="dxa"/>
            <w:tcBorders>
              <w:bottom w:val="single" w:sz="4" w:space="0" w:color="32872A"/>
            </w:tcBorders>
          </w:tcPr>
          <w:p w14:paraId="1B98FAA8" w14:textId="6CC2D1B0" w:rsidR="00860508" w:rsidRPr="005B613C" w:rsidRDefault="003D44AF" w:rsidP="00AC035B">
            <w:pPr>
              <w:pStyle w:val="Tabletext"/>
              <w:tabs>
                <w:tab w:val="decimal" w:pos="463"/>
              </w:tabs>
              <w:jc w:val="right"/>
            </w:pPr>
            <w:r>
              <w:t>1.9</w:t>
            </w:r>
          </w:p>
        </w:tc>
        <w:tc>
          <w:tcPr>
            <w:tcW w:w="1417" w:type="dxa"/>
            <w:tcBorders>
              <w:bottom w:val="single" w:sz="4" w:space="0" w:color="32872A"/>
            </w:tcBorders>
          </w:tcPr>
          <w:p w14:paraId="56D4BFC5" w14:textId="08F341AE" w:rsidR="00860508" w:rsidRPr="005B613C" w:rsidRDefault="00860508" w:rsidP="00AC035B">
            <w:pPr>
              <w:pStyle w:val="Tabletext"/>
              <w:tabs>
                <w:tab w:val="decimal" w:pos="606"/>
              </w:tabs>
              <w:jc w:val="right"/>
              <w:rPr>
                <w:highlight w:val="yellow"/>
              </w:rPr>
            </w:pPr>
            <w:r w:rsidRPr="00F93429">
              <w:t>2.</w:t>
            </w:r>
            <w:r w:rsidR="003D44AF">
              <w:t>1</w:t>
            </w:r>
          </w:p>
        </w:tc>
      </w:tr>
    </w:tbl>
    <w:p w14:paraId="024BE598" w14:textId="535CA978" w:rsidR="00B57210" w:rsidRPr="005B613C" w:rsidRDefault="00B57210" w:rsidP="005B613C">
      <w:pPr>
        <w:pStyle w:val="Text"/>
        <w:spacing w:before="0"/>
        <w:ind w:right="0"/>
        <w:rPr>
          <w:sz w:val="16"/>
          <w:szCs w:val="16"/>
        </w:rPr>
      </w:pPr>
      <w:r w:rsidRPr="005B613C">
        <w:rPr>
          <w:sz w:val="16"/>
          <w:szCs w:val="16"/>
        </w:rPr>
        <w:t xml:space="preserve">Caution should be taken when using data with </w:t>
      </w:r>
      <w:proofErr w:type="gramStart"/>
      <w:r w:rsidRPr="005B613C">
        <w:rPr>
          <w:sz w:val="16"/>
          <w:szCs w:val="16"/>
        </w:rPr>
        <w:t>a large number of</w:t>
      </w:r>
      <w:proofErr w:type="gramEnd"/>
      <w:r w:rsidRPr="005B613C">
        <w:rPr>
          <w:sz w:val="16"/>
          <w:szCs w:val="16"/>
        </w:rPr>
        <w:t xml:space="preserve"> ‘Not known’ responses.</w:t>
      </w:r>
    </w:p>
    <w:p w14:paraId="73889B24" w14:textId="3204A247" w:rsidR="00B57210" w:rsidRPr="00F75796" w:rsidRDefault="00B57210" w:rsidP="005B613C">
      <w:pPr>
        <w:pStyle w:val="Heading2"/>
      </w:pPr>
      <w:bookmarkStart w:id="40" w:name="_Toc73535978"/>
      <w:bookmarkStart w:id="41" w:name="_Toc111046639"/>
      <w:r w:rsidRPr="00F75796">
        <w:rPr>
          <w:lang w:eastAsia="en-AU"/>
        </w:rPr>
        <w:t>Miscellaneous</w:t>
      </w:r>
      <w:bookmarkEnd w:id="40"/>
      <w:bookmarkEnd w:id="41"/>
    </w:p>
    <w:p w14:paraId="5CFA136D" w14:textId="60FC4F69" w:rsidR="00B57210" w:rsidRPr="00962457" w:rsidRDefault="00B57210" w:rsidP="00317478">
      <w:pPr>
        <w:pStyle w:val="NumberedText"/>
        <w:ind w:left="426" w:hanging="426"/>
      </w:pPr>
      <w:r w:rsidRPr="00F75796">
        <w:rPr>
          <w:lang w:eastAsia="en-AU"/>
        </w:rPr>
        <w:t>In tables containing student remoteness, ‘</w:t>
      </w:r>
      <w:r>
        <w:rPr>
          <w:lang w:eastAsia="en-AU"/>
        </w:rPr>
        <w:t>offshore’</w:t>
      </w:r>
      <w:r w:rsidRPr="00F75796">
        <w:rPr>
          <w:lang w:eastAsia="en-AU"/>
        </w:rPr>
        <w:t xml:space="preserve"> refers to the overseas postal addresses of students studying in Australia</w:t>
      </w:r>
      <w:r>
        <w:rPr>
          <w:lang w:eastAsia="en-AU"/>
        </w:rPr>
        <w:t>.</w:t>
      </w:r>
      <w:bookmarkEnd w:id="3"/>
      <w:bookmarkEnd w:id="4"/>
      <w:bookmarkEnd w:id="5"/>
      <w:bookmarkEnd w:id="6"/>
    </w:p>
    <w:sectPr w:rsidR="00B57210" w:rsidRPr="00962457" w:rsidSect="00317478">
      <w:footerReference w:type="even" r:id="rId18"/>
      <w:footerReference w:type="default" r:id="rId19"/>
      <w:pgSz w:w="11907" w:h="16840" w:code="9"/>
      <w:pgMar w:top="1276" w:right="1276" w:bottom="992" w:left="1276" w:header="709" w:footer="556" w:gutter="0"/>
      <w:cols w:space="708" w:equalWidth="0">
        <w:col w:w="9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2025D7" w:rsidRDefault="002025D7">
      <w:r>
        <w:separator/>
      </w:r>
    </w:p>
  </w:endnote>
  <w:endnote w:type="continuationSeparator" w:id="0">
    <w:p w14:paraId="1829C28B" w14:textId="77777777" w:rsidR="002025D7" w:rsidRDefault="002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2025D7" w:rsidRDefault="002025D7">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2025D7" w:rsidRPr="00A9334E" w:rsidRDefault="002025D7"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2025D7" w:rsidRDefault="002025D7"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2025D7" w:rsidRPr="00A9334E" w:rsidRDefault="002025D7"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2025D7" w:rsidRDefault="002025D7"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5448731A" w:rsidR="002025D7" w:rsidRPr="00EC3B66" w:rsidRDefault="008E39AF" w:rsidP="00A03BF0">
    <w:pPr>
      <w:pStyle w:val="Footer"/>
      <w:tabs>
        <w:tab w:val="clear" w:pos="8505"/>
        <w:tab w:val="right" w:pos="10206"/>
      </w:tabs>
      <w:jc w:val="right"/>
      <w:rPr>
        <w:b/>
        <w:color w:val="FFFFFF" w:themeColor="background1"/>
      </w:rPr>
    </w:pPr>
    <w:r w:rsidRPr="008E39AF">
      <w:rPr>
        <w:b/>
      </w:rPr>
      <w:t>Government-funded students and courses: explanatory notes</w:t>
    </w:r>
    <w:r w:rsidR="002025D7" w:rsidRPr="00EC3B66">
      <w:rPr>
        <w:b/>
      </w:rPr>
      <w:tab/>
      <w:t xml:space="preserve">NCVER | </w:t>
    </w:r>
    <w:r w:rsidR="002025D7" w:rsidRPr="00EC3B66">
      <w:rPr>
        <w:rStyle w:val="PageNumber"/>
        <w:b/>
        <w:color w:val="000000" w:themeColor="text1"/>
        <w:sz w:val="17"/>
      </w:rPr>
      <w:fldChar w:fldCharType="begin"/>
    </w:r>
    <w:r w:rsidR="002025D7" w:rsidRPr="00EC3B66">
      <w:rPr>
        <w:rStyle w:val="PageNumber"/>
        <w:b/>
        <w:color w:val="000000" w:themeColor="text1"/>
        <w:sz w:val="17"/>
      </w:rPr>
      <w:instrText xml:space="preserve"> PAGE </w:instrText>
    </w:r>
    <w:r w:rsidR="002025D7" w:rsidRPr="00EC3B66">
      <w:rPr>
        <w:rStyle w:val="PageNumber"/>
        <w:b/>
        <w:color w:val="000000" w:themeColor="text1"/>
        <w:sz w:val="17"/>
      </w:rPr>
      <w:fldChar w:fldCharType="separate"/>
    </w:r>
    <w:r w:rsidR="002025D7" w:rsidRPr="00EC3B66">
      <w:rPr>
        <w:rStyle w:val="PageNumber"/>
        <w:b/>
        <w:color w:val="000000" w:themeColor="text1"/>
        <w:sz w:val="17"/>
      </w:rPr>
      <w:t>3</w:t>
    </w:r>
    <w:r w:rsidR="002025D7"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3138D5B5" w:rsidR="002025D7" w:rsidRPr="002F787C" w:rsidRDefault="008E39AF" w:rsidP="008E6C3A">
    <w:pPr>
      <w:pStyle w:val="Footer"/>
      <w:tabs>
        <w:tab w:val="clear" w:pos="8505"/>
        <w:tab w:val="right" w:pos="10206"/>
      </w:tabs>
      <w:jc w:val="right"/>
      <w:rPr>
        <w:b/>
        <w:color w:val="FFFFFF" w:themeColor="background1"/>
      </w:rPr>
    </w:pPr>
    <w:r w:rsidRPr="008E39AF">
      <w:rPr>
        <w:b/>
      </w:rPr>
      <w:t>Government-funded students and courses: explanatory notes</w:t>
    </w:r>
    <w:r w:rsidR="002025D7" w:rsidRPr="002F787C">
      <w:rPr>
        <w:b/>
      </w:rPr>
      <w:tab/>
      <w:t xml:space="preserve">NCVER | </w:t>
    </w:r>
    <w:r w:rsidR="002025D7" w:rsidRPr="002F787C">
      <w:rPr>
        <w:rStyle w:val="PageNumber"/>
        <w:b/>
        <w:color w:val="000000" w:themeColor="text1"/>
        <w:sz w:val="17"/>
      </w:rPr>
      <w:fldChar w:fldCharType="begin"/>
    </w:r>
    <w:r w:rsidR="002025D7" w:rsidRPr="002F787C">
      <w:rPr>
        <w:rStyle w:val="PageNumber"/>
        <w:b/>
        <w:color w:val="000000" w:themeColor="text1"/>
        <w:sz w:val="17"/>
      </w:rPr>
      <w:instrText xml:space="preserve"> PAGE </w:instrText>
    </w:r>
    <w:r w:rsidR="002025D7" w:rsidRPr="002F787C">
      <w:rPr>
        <w:rStyle w:val="PageNumber"/>
        <w:b/>
        <w:color w:val="000000" w:themeColor="text1"/>
        <w:sz w:val="17"/>
      </w:rPr>
      <w:fldChar w:fldCharType="separate"/>
    </w:r>
    <w:r w:rsidR="002025D7" w:rsidRPr="002F787C">
      <w:rPr>
        <w:rStyle w:val="PageNumber"/>
        <w:b/>
        <w:noProof/>
        <w:color w:val="000000" w:themeColor="text1"/>
        <w:sz w:val="17"/>
      </w:rPr>
      <w:t>7</w:t>
    </w:r>
    <w:r w:rsidR="002025D7"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2025D7" w:rsidRDefault="002025D7">
      <w:r>
        <w:separator/>
      </w:r>
    </w:p>
  </w:footnote>
  <w:footnote w:type="continuationSeparator" w:id="0">
    <w:p w14:paraId="6535EF5C" w14:textId="77777777" w:rsidR="002025D7" w:rsidRDefault="00202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1B49779E"/>
    <w:multiLevelType w:val="hybridMultilevel"/>
    <w:tmpl w:val="98603E98"/>
    <w:lvl w:ilvl="0" w:tplc="49E2C2E6">
      <w:start w:val="1"/>
      <w:numFmt w:val="bullet"/>
      <w:lvlText w:val=""/>
      <w:lvlJc w:val="left"/>
      <w:pPr>
        <w:ind w:left="3850" w:hanging="360"/>
      </w:pPr>
      <w:rPr>
        <w:rFonts w:ascii="Symbol" w:hAnsi="Symbol" w:hint="default"/>
        <w:color w:val="439539"/>
      </w:rPr>
    </w:lvl>
    <w:lvl w:ilvl="1" w:tplc="0C090003">
      <w:start w:val="1"/>
      <w:numFmt w:val="bullet"/>
      <w:lvlText w:val="o"/>
      <w:lvlJc w:val="left"/>
      <w:pPr>
        <w:ind w:left="4570" w:hanging="360"/>
      </w:pPr>
      <w:rPr>
        <w:rFonts w:ascii="Courier New" w:hAnsi="Courier New" w:cs="Courier New" w:hint="default"/>
      </w:rPr>
    </w:lvl>
    <w:lvl w:ilvl="2" w:tplc="0C090005" w:tentative="1">
      <w:start w:val="1"/>
      <w:numFmt w:val="bullet"/>
      <w:lvlText w:val=""/>
      <w:lvlJc w:val="left"/>
      <w:pPr>
        <w:ind w:left="5290" w:hanging="360"/>
      </w:pPr>
      <w:rPr>
        <w:rFonts w:ascii="Wingdings" w:hAnsi="Wingdings" w:hint="default"/>
      </w:rPr>
    </w:lvl>
    <w:lvl w:ilvl="3" w:tplc="0C090001" w:tentative="1">
      <w:start w:val="1"/>
      <w:numFmt w:val="bullet"/>
      <w:lvlText w:val=""/>
      <w:lvlJc w:val="left"/>
      <w:pPr>
        <w:ind w:left="6010" w:hanging="360"/>
      </w:pPr>
      <w:rPr>
        <w:rFonts w:ascii="Symbol" w:hAnsi="Symbol" w:hint="default"/>
      </w:rPr>
    </w:lvl>
    <w:lvl w:ilvl="4" w:tplc="0C090003" w:tentative="1">
      <w:start w:val="1"/>
      <w:numFmt w:val="bullet"/>
      <w:lvlText w:val="o"/>
      <w:lvlJc w:val="left"/>
      <w:pPr>
        <w:ind w:left="6730" w:hanging="360"/>
      </w:pPr>
      <w:rPr>
        <w:rFonts w:ascii="Courier New" w:hAnsi="Courier New" w:cs="Courier New" w:hint="default"/>
      </w:rPr>
    </w:lvl>
    <w:lvl w:ilvl="5" w:tplc="0C090005" w:tentative="1">
      <w:start w:val="1"/>
      <w:numFmt w:val="bullet"/>
      <w:lvlText w:val=""/>
      <w:lvlJc w:val="left"/>
      <w:pPr>
        <w:ind w:left="7450" w:hanging="360"/>
      </w:pPr>
      <w:rPr>
        <w:rFonts w:ascii="Wingdings" w:hAnsi="Wingdings" w:hint="default"/>
      </w:rPr>
    </w:lvl>
    <w:lvl w:ilvl="6" w:tplc="0C090001" w:tentative="1">
      <w:start w:val="1"/>
      <w:numFmt w:val="bullet"/>
      <w:lvlText w:val=""/>
      <w:lvlJc w:val="left"/>
      <w:pPr>
        <w:ind w:left="8170" w:hanging="360"/>
      </w:pPr>
      <w:rPr>
        <w:rFonts w:ascii="Symbol" w:hAnsi="Symbol" w:hint="default"/>
      </w:rPr>
    </w:lvl>
    <w:lvl w:ilvl="7" w:tplc="0C090003" w:tentative="1">
      <w:start w:val="1"/>
      <w:numFmt w:val="bullet"/>
      <w:lvlText w:val="o"/>
      <w:lvlJc w:val="left"/>
      <w:pPr>
        <w:ind w:left="8890" w:hanging="360"/>
      </w:pPr>
      <w:rPr>
        <w:rFonts w:ascii="Courier New" w:hAnsi="Courier New" w:cs="Courier New" w:hint="default"/>
      </w:rPr>
    </w:lvl>
    <w:lvl w:ilvl="8" w:tplc="0C090005" w:tentative="1">
      <w:start w:val="1"/>
      <w:numFmt w:val="bullet"/>
      <w:lvlText w:val=""/>
      <w:lvlJc w:val="left"/>
      <w:pPr>
        <w:ind w:left="9610" w:hanging="360"/>
      </w:pPr>
      <w:rPr>
        <w:rFonts w:ascii="Wingdings" w:hAnsi="Wingdings" w:hint="default"/>
      </w:r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974911"/>
    <w:multiLevelType w:val="hybridMultilevel"/>
    <w:tmpl w:val="8CAE6B78"/>
    <w:lvl w:ilvl="0" w:tplc="56D0D716">
      <w:start w:val="1"/>
      <w:numFmt w:val="bullet"/>
      <w:pStyle w:val="Statsbullet"/>
      <w:lvlText w:val=""/>
      <w:lvlJc w:val="left"/>
      <w:pPr>
        <w:ind w:left="360" w:hanging="360"/>
      </w:pPr>
      <w:rPr>
        <w:rFonts w:ascii="Wingdings" w:hAnsi="Wingdings" w:hint="default"/>
        <w:color w:val="439539"/>
      </w:rPr>
    </w:lvl>
    <w:lvl w:ilvl="1" w:tplc="0C090003">
      <w:start w:val="1"/>
      <w:numFmt w:val="bullet"/>
      <w:lvlText w:val=""/>
      <w:lvlJc w:val="left"/>
      <w:pPr>
        <w:tabs>
          <w:tab w:val="num" w:pos="1440"/>
        </w:tabs>
        <w:ind w:left="1440" w:hanging="360"/>
      </w:pPr>
      <w:rPr>
        <w:rFonts w:ascii="Wingdings" w:hAnsi="Wingdings" w:hint="default"/>
        <w:color w:val="D10019"/>
      </w:rPr>
    </w:lvl>
    <w:lvl w:ilvl="2" w:tplc="8F96D888"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554C8"/>
    <w:multiLevelType w:val="hybridMultilevel"/>
    <w:tmpl w:val="4186FCA2"/>
    <w:lvl w:ilvl="0" w:tplc="6B84309A">
      <w:start w:val="1"/>
      <w:numFmt w:val="decimal"/>
      <w:pStyle w:val="NumberedText"/>
      <w:lvlText w:val="%1"/>
      <w:lvlJc w:val="left"/>
      <w:pPr>
        <w:tabs>
          <w:tab w:val="num" w:pos="567"/>
        </w:tabs>
        <w:ind w:left="720"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22"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6E6568BB"/>
    <w:multiLevelType w:val="hybridMultilevel"/>
    <w:tmpl w:val="978A3946"/>
    <w:lvl w:ilvl="0" w:tplc="7E3C2810">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453417"/>
    <w:multiLevelType w:val="hybridMultilevel"/>
    <w:tmpl w:val="453C9E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9EB71F2"/>
    <w:multiLevelType w:val="hybridMultilevel"/>
    <w:tmpl w:val="3C6C8AE6"/>
    <w:lvl w:ilvl="0" w:tplc="49E2C2E6">
      <w:start w:val="1"/>
      <w:numFmt w:val="bullet"/>
      <w:lvlText w:val=""/>
      <w:lvlJc w:val="left"/>
      <w:pPr>
        <w:ind w:left="1004" w:hanging="360"/>
      </w:pPr>
      <w:rPr>
        <w:rFonts w:ascii="Symbol" w:hAnsi="Symbol" w:hint="default"/>
        <w:color w:val="439539"/>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5960678">
    <w:abstractNumId w:val="11"/>
  </w:num>
  <w:num w:numId="2" w16cid:durableId="1949772894">
    <w:abstractNumId w:val="13"/>
  </w:num>
  <w:num w:numId="3" w16cid:durableId="1007516693">
    <w:abstractNumId w:val="10"/>
  </w:num>
  <w:num w:numId="4" w16cid:durableId="2323756">
    <w:abstractNumId w:val="20"/>
  </w:num>
  <w:num w:numId="5" w16cid:durableId="2120683159">
    <w:abstractNumId w:val="12"/>
  </w:num>
  <w:num w:numId="6" w16cid:durableId="482507402">
    <w:abstractNumId w:val="25"/>
  </w:num>
  <w:num w:numId="7" w16cid:durableId="928003297">
    <w:abstractNumId w:val="27"/>
  </w:num>
  <w:num w:numId="8" w16cid:durableId="1084691124">
    <w:abstractNumId w:val="26"/>
  </w:num>
  <w:num w:numId="9" w16cid:durableId="3366725">
    <w:abstractNumId w:val="29"/>
  </w:num>
  <w:num w:numId="10" w16cid:durableId="540476219">
    <w:abstractNumId w:val="22"/>
  </w:num>
  <w:num w:numId="11" w16cid:durableId="400635607">
    <w:abstractNumId w:val="18"/>
  </w:num>
  <w:num w:numId="12" w16cid:durableId="1845365573">
    <w:abstractNumId w:val="23"/>
  </w:num>
  <w:num w:numId="13" w16cid:durableId="1127504102">
    <w:abstractNumId w:val="24"/>
  </w:num>
  <w:num w:numId="14" w16cid:durableId="971062154">
    <w:abstractNumId w:val="15"/>
  </w:num>
  <w:num w:numId="15" w16cid:durableId="2092774394">
    <w:abstractNumId w:val="19"/>
  </w:num>
  <w:num w:numId="16" w16cid:durableId="10884700">
    <w:abstractNumId w:val="17"/>
  </w:num>
  <w:num w:numId="17" w16cid:durableId="410783619">
    <w:abstractNumId w:val="9"/>
  </w:num>
  <w:num w:numId="18" w16cid:durableId="1587500400">
    <w:abstractNumId w:val="7"/>
  </w:num>
  <w:num w:numId="19" w16cid:durableId="213350984">
    <w:abstractNumId w:val="6"/>
  </w:num>
  <w:num w:numId="20" w16cid:durableId="1673222590">
    <w:abstractNumId w:val="5"/>
  </w:num>
  <w:num w:numId="21" w16cid:durableId="1538196369">
    <w:abstractNumId w:val="4"/>
  </w:num>
  <w:num w:numId="22" w16cid:durableId="2117745487">
    <w:abstractNumId w:val="11"/>
  </w:num>
  <w:num w:numId="23" w16cid:durableId="1656689099">
    <w:abstractNumId w:val="13"/>
  </w:num>
  <w:num w:numId="24" w16cid:durableId="1753356727">
    <w:abstractNumId w:val="11"/>
  </w:num>
  <w:num w:numId="25" w16cid:durableId="297954417">
    <w:abstractNumId w:val="13"/>
  </w:num>
  <w:num w:numId="26" w16cid:durableId="367527681">
    <w:abstractNumId w:val="31"/>
  </w:num>
  <w:num w:numId="27" w16cid:durableId="706566309">
    <w:abstractNumId w:val="28"/>
  </w:num>
  <w:num w:numId="28" w16cid:durableId="386877087">
    <w:abstractNumId w:val="8"/>
  </w:num>
  <w:num w:numId="29" w16cid:durableId="971330467">
    <w:abstractNumId w:val="3"/>
  </w:num>
  <w:num w:numId="30" w16cid:durableId="174806307">
    <w:abstractNumId w:val="2"/>
  </w:num>
  <w:num w:numId="31" w16cid:durableId="1539509537">
    <w:abstractNumId w:val="1"/>
  </w:num>
  <w:num w:numId="32" w16cid:durableId="965045026">
    <w:abstractNumId w:val="0"/>
  </w:num>
  <w:num w:numId="33" w16cid:durableId="2037346384">
    <w:abstractNumId w:val="10"/>
  </w:num>
  <w:num w:numId="34" w16cid:durableId="1259362039">
    <w:abstractNumId w:val="34"/>
  </w:num>
  <w:num w:numId="35" w16cid:durableId="659389897">
    <w:abstractNumId w:val="30"/>
  </w:num>
  <w:num w:numId="36" w16cid:durableId="415057902">
    <w:abstractNumId w:val="21"/>
  </w:num>
  <w:num w:numId="37" w16cid:durableId="1634403687">
    <w:abstractNumId w:val="16"/>
  </w:num>
  <w:num w:numId="38" w16cid:durableId="1100641773">
    <w:abstractNumId w:val="14"/>
  </w:num>
  <w:num w:numId="39" w16cid:durableId="857934346">
    <w:abstractNumId w:val="33"/>
  </w:num>
  <w:num w:numId="40" w16cid:durableId="1238856869">
    <w:abstractNumId w:val="32"/>
  </w:num>
  <w:num w:numId="41" w16cid:durableId="1384865134">
    <w:abstractNumId w:val="21"/>
  </w:num>
  <w:num w:numId="42" w16cid:durableId="847595038">
    <w:abstractNumId w:val="21"/>
  </w:num>
  <w:num w:numId="43" w16cid:durableId="1907302409">
    <w:abstractNumId w:val="31"/>
  </w:num>
  <w:num w:numId="44" w16cid:durableId="707875604">
    <w:abstractNumId w:val="21"/>
  </w:num>
  <w:num w:numId="45" w16cid:durableId="308630547">
    <w:abstractNumId w:val="21"/>
  </w:num>
  <w:num w:numId="46" w16cid:durableId="1829402781">
    <w:abstractNumId w:val="21"/>
  </w:num>
  <w:num w:numId="47" w16cid:durableId="210239969">
    <w:abstractNumId w:val="21"/>
  </w:num>
  <w:num w:numId="48" w16cid:durableId="1181309644">
    <w:abstractNumId w:val="21"/>
  </w:num>
  <w:num w:numId="49" w16cid:durableId="2402193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mirrorMargins/>
  <w:hideSpellingErrors/>
  <w:hideGrammaticalError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ocumentProtection w:edit="trackedChanges" w:enforcement="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QUAiBCQLiwAAAA="/>
  </w:docVars>
  <w:rsids>
    <w:rsidRoot w:val="00405E3C"/>
    <w:rsid w:val="00001F11"/>
    <w:rsid w:val="000108B2"/>
    <w:rsid w:val="00012F53"/>
    <w:rsid w:val="00013265"/>
    <w:rsid w:val="00022290"/>
    <w:rsid w:val="000315D7"/>
    <w:rsid w:val="00036C26"/>
    <w:rsid w:val="00045535"/>
    <w:rsid w:val="00054655"/>
    <w:rsid w:val="000566ED"/>
    <w:rsid w:val="0006125F"/>
    <w:rsid w:val="000654FE"/>
    <w:rsid w:val="00074BD4"/>
    <w:rsid w:val="000969F0"/>
    <w:rsid w:val="000A4A66"/>
    <w:rsid w:val="000B5D5E"/>
    <w:rsid w:val="000C1642"/>
    <w:rsid w:val="000D6FBA"/>
    <w:rsid w:val="000F641C"/>
    <w:rsid w:val="0010761A"/>
    <w:rsid w:val="001104B6"/>
    <w:rsid w:val="00116D1E"/>
    <w:rsid w:val="001209E9"/>
    <w:rsid w:val="00123B5C"/>
    <w:rsid w:val="00124C7B"/>
    <w:rsid w:val="00135C75"/>
    <w:rsid w:val="001470D1"/>
    <w:rsid w:val="00150874"/>
    <w:rsid w:val="001509F3"/>
    <w:rsid w:val="001511AA"/>
    <w:rsid w:val="00155839"/>
    <w:rsid w:val="00166281"/>
    <w:rsid w:val="001719C1"/>
    <w:rsid w:val="00171BB9"/>
    <w:rsid w:val="00177827"/>
    <w:rsid w:val="00180CE5"/>
    <w:rsid w:val="00184504"/>
    <w:rsid w:val="0018758A"/>
    <w:rsid w:val="001B34B1"/>
    <w:rsid w:val="001B43CF"/>
    <w:rsid w:val="001F3E0A"/>
    <w:rsid w:val="001F7AE0"/>
    <w:rsid w:val="001F7D84"/>
    <w:rsid w:val="001F7E01"/>
    <w:rsid w:val="002025D7"/>
    <w:rsid w:val="002038BB"/>
    <w:rsid w:val="00205538"/>
    <w:rsid w:val="002147D3"/>
    <w:rsid w:val="00222709"/>
    <w:rsid w:val="002277A9"/>
    <w:rsid w:val="00233BFA"/>
    <w:rsid w:val="00233C8D"/>
    <w:rsid w:val="00254A06"/>
    <w:rsid w:val="00260346"/>
    <w:rsid w:val="00261EC4"/>
    <w:rsid w:val="00284FCB"/>
    <w:rsid w:val="00297057"/>
    <w:rsid w:val="00297C1D"/>
    <w:rsid w:val="002B790E"/>
    <w:rsid w:val="002D2DB7"/>
    <w:rsid w:val="002E0F2F"/>
    <w:rsid w:val="002E196B"/>
    <w:rsid w:val="002F0265"/>
    <w:rsid w:val="002F787C"/>
    <w:rsid w:val="00317478"/>
    <w:rsid w:val="00326B5D"/>
    <w:rsid w:val="00334CE3"/>
    <w:rsid w:val="00340B4D"/>
    <w:rsid w:val="0034254E"/>
    <w:rsid w:val="00357C16"/>
    <w:rsid w:val="0036062F"/>
    <w:rsid w:val="00363F86"/>
    <w:rsid w:val="00375FB6"/>
    <w:rsid w:val="00390422"/>
    <w:rsid w:val="003B16DA"/>
    <w:rsid w:val="003B483E"/>
    <w:rsid w:val="003D44AF"/>
    <w:rsid w:val="003D5CFD"/>
    <w:rsid w:val="003E67CB"/>
    <w:rsid w:val="00405252"/>
    <w:rsid w:val="00405E3C"/>
    <w:rsid w:val="00423689"/>
    <w:rsid w:val="004451C9"/>
    <w:rsid w:val="00457C3A"/>
    <w:rsid w:val="00471A1E"/>
    <w:rsid w:val="0048643A"/>
    <w:rsid w:val="0049453B"/>
    <w:rsid w:val="00494E7C"/>
    <w:rsid w:val="00496655"/>
    <w:rsid w:val="0049706A"/>
    <w:rsid w:val="004A45B6"/>
    <w:rsid w:val="004C0559"/>
    <w:rsid w:val="004C4063"/>
    <w:rsid w:val="004D4802"/>
    <w:rsid w:val="004E37E1"/>
    <w:rsid w:val="004E53FF"/>
    <w:rsid w:val="004E7227"/>
    <w:rsid w:val="00515DE9"/>
    <w:rsid w:val="00520315"/>
    <w:rsid w:val="00521004"/>
    <w:rsid w:val="0052276C"/>
    <w:rsid w:val="00530232"/>
    <w:rsid w:val="00554AA1"/>
    <w:rsid w:val="00560C71"/>
    <w:rsid w:val="00570758"/>
    <w:rsid w:val="00581546"/>
    <w:rsid w:val="00583BCE"/>
    <w:rsid w:val="005873C2"/>
    <w:rsid w:val="005A2EF4"/>
    <w:rsid w:val="005B613C"/>
    <w:rsid w:val="005C1575"/>
    <w:rsid w:val="005C277E"/>
    <w:rsid w:val="005C61F8"/>
    <w:rsid w:val="005E4764"/>
    <w:rsid w:val="005F602F"/>
    <w:rsid w:val="00632C2C"/>
    <w:rsid w:val="00652973"/>
    <w:rsid w:val="00655597"/>
    <w:rsid w:val="00656679"/>
    <w:rsid w:val="00670C62"/>
    <w:rsid w:val="00673EBC"/>
    <w:rsid w:val="0067712D"/>
    <w:rsid w:val="00685D12"/>
    <w:rsid w:val="00695E5F"/>
    <w:rsid w:val="00696A48"/>
    <w:rsid w:val="006A702B"/>
    <w:rsid w:val="006B3DB5"/>
    <w:rsid w:val="006C5DA9"/>
    <w:rsid w:val="006D3CA1"/>
    <w:rsid w:val="006E58EE"/>
    <w:rsid w:val="006F341A"/>
    <w:rsid w:val="007037A4"/>
    <w:rsid w:val="007154CF"/>
    <w:rsid w:val="007224CE"/>
    <w:rsid w:val="00722F98"/>
    <w:rsid w:val="00731EC8"/>
    <w:rsid w:val="00747131"/>
    <w:rsid w:val="00783F44"/>
    <w:rsid w:val="00787BB7"/>
    <w:rsid w:val="007923D7"/>
    <w:rsid w:val="007A2079"/>
    <w:rsid w:val="007A368B"/>
    <w:rsid w:val="007A7279"/>
    <w:rsid w:val="007B4CB6"/>
    <w:rsid w:val="007C3281"/>
    <w:rsid w:val="007C50A7"/>
    <w:rsid w:val="007D79E4"/>
    <w:rsid w:val="007E2D8C"/>
    <w:rsid w:val="007E3FF1"/>
    <w:rsid w:val="007E52E6"/>
    <w:rsid w:val="00800A2B"/>
    <w:rsid w:val="00806C1C"/>
    <w:rsid w:val="00814C67"/>
    <w:rsid w:val="008168E1"/>
    <w:rsid w:val="00823EA0"/>
    <w:rsid w:val="00826757"/>
    <w:rsid w:val="00832CF7"/>
    <w:rsid w:val="00842A38"/>
    <w:rsid w:val="00860508"/>
    <w:rsid w:val="00860F02"/>
    <w:rsid w:val="00874DA5"/>
    <w:rsid w:val="00876B7A"/>
    <w:rsid w:val="008923B6"/>
    <w:rsid w:val="00894271"/>
    <w:rsid w:val="00894B07"/>
    <w:rsid w:val="008B2E97"/>
    <w:rsid w:val="008B556D"/>
    <w:rsid w:val="008C0A74"/>
    <w:rsid w:val="008C3EDB"/>
    <w:rsid w:val="008E39AF"/>
    <w:rsid w:val="008E6C3A"/>
    <w:rsid w:val="008F20BA"/>
    <w:rsid w:val="009056F8"/>
    <w:rsid w:val="009058B5"/>
    <w:rsid w:val="009104FA"/>
    <w:rsid w:val="00933317"/>
    <w:rsid w:val="0093684C"/>
    <w:rsid w:val="0093723A"/>
    <w:rsid w:val="00940830"/>
    <w:rsid w:val="009461ED"/>
    <w:rsid w:val="00950EE9"/>
    <w:rsid w:val="009538E6"/>
    <w:rsid w:val="009704E4"/>
    <w:rsid w:val="009775C7"/>
    <w:rsid w:val="009867F1"/>
    <w:rsid w:val="009B23CF"/>
    <w:rsid w:val="009B364A"/>
    <w:rsid w:val="009C22BE"/>
    <w:rsid w:val="009C27EF"/>
    <w:rsid w:val="009E17EF"/>
    <w:rsid w:val="009E231A"/>
    <w:rsid w:val="009E2F64"/>
    <w:rsid w:val="00A03BF0"/>
    <w:rsid w:val="00A10A6B"/>
    <w:rsid w:val="00A10E2B"/>
    <w:rsid w:val="00A119B1"/>
    <w:rsid w:val="00A13F09"/>
    <w:rsid w:val="00A22F64"/>
    <w:rsid w:val="00A30084"/>
    <w:rsid w:val="00A50895"/>
    <w:rsid w:val="00A566CC"/>
    <w:rsid w:val="00A73318"/>
    <w:rsid w:val="00A75BC4"/>
    <w:rsid w:val="00A80F45"/>
    <w:rsid w:val="00A9334E"/>
    <w:rsid w:val="00A93867"/>
    <w:rsid w:val="00A977DD"/>
    <w:rsid w:val="00AA44D4"/>
    <w:rsid w:val="00AB7E26"/>
    <w:rsid w:val="00AC035B"/>
    <w:rsid w:val="00AC7E20"/>
    <w:rsid w:val="00AF0930"/>
    <w:rsid w:val="00AF1005"/>
    <w:rsid w:val="00B05F5C"/>
    <w:rsid w:val="00B07610"/>
    <w:rsid w:val="00B0774B"/>
    <w:rsid w:val="00B10C1F"/>
    <w:rsid w:val="00B17F2D"/>
    <w:rsid w:val="00B2134F"/>
    <w:rsid w:val="00B2410F"/>
    <w:rsid w:val="00B31EC5"/>
    <w:rsid w:val="00B41272"/>
    <w:rsid w:val="00B426FE"/>
    <w:rsid w:val="00B502B7"/>
    <w:rsid w:val="00B57210"/>
    <w:rsid w:val="00B57CC9"/>
    <w:rsid w:val="00B77043"/>
    <w:rsid w:val="00B83AC8"/>
    <w:rsid w:val="00B86D06"/>
    <w:rsid w:val="00B90CFA"/>
    <w:rsid w:val="00BB113D"/>
    <w:rsid w:val="00BC265D"/>
    <w:rsid w:val="00BC770A"/>
    <w:rsid w:val="00BC7C47"/>
    <w:rsid w:val="00BD00B7"/>
    <w:rsid w:val="00BD5EE0"/>
    <w:rsid w:val="00BD6455"/>
    <w:rsid w:val="00BF690E"/>
    <w:rsid w:val="00C053D5"/>
    <w:rsid w:val="00C06DF2"/>
    <w:rsid w:val="00C265AC"/>
    <w:rsid w:val="00C4702E"/>
    <w:rsid w:val="00C54125"/>
    <w:rsid w:val="00C63294"/>
    <w:rsid w:val="00C70286"/>
    <w:rsid w:val="00C77DC6"/>
    <w:rsid w:val="00C801DA"/>
    <w:rsid w:val="00C926F0"/>
    <w:rsid w:val="00C936DF"/>
    <w:rsid w:val="00C9656D"/>
    <w:rsid w:val="00CA4AFC"/>
    <w:rsid w:val="00CA7119"/>
    <w:rsid w:val="00CC0F83"/>
    <w:rsid w:val="00CD0BFB"/>
    <w:rsid w:val="00CD5F32"/>
    <w:rsid w:val="00D076F0"/>
    <w:rsid w:val="00D10D7E"/>
    <w:rsid w:val="00D10F73"/>
    <w:rsid w:val="00D225B9"/>
    <w:rsid w:val="00D239B8"/>
    <w:rsid w:val="00D248FE"/>
    <w:rsid w:val="00D42A61"/>
    <w:rsid w:val="00D43B5F"/>
    <w:rsid w:val="00D44097"/>
    <w:rsid w:val="00D85E1C"/>
    <w:rsid w:val="00D96FA6"/>
    <w:rsid w:val="00DA3889"/>
    <w:rsid w:val="00DA44CE"/>
    <w:rsid w:val="00DB599C"/>
    <w:rsid w:val="00DC1942"/>
    <w:rsid w:val="00DC5F5C"/>
    <w:rsid w:val="00DD1F87"/>
    <w:rsid w:val="00DF41F1"/>
    <w:rsid w:val="00E00030"/>
    <w:rsid w:val="00E06B95"/>
    <w:rsid w:val="00E110EA"/>
    <w:rsid w:val="00E123CB"/>
    <w:rsid w:val="00E14FA9"/>
    <w:rsid w:val="00E21296"/>
    <w:rsid w:val="00E236D0"/>
    <w:rsid w:val="00E365F8"/>
    <w:rsid w:val="00E52313"/>
    <w:rsid w:val="00E56EC1"/>
    <w:rsid w:val="00E60466"/>
    <w:rsid w:val="00E65FBC"/>
    <w:rsid w:val="00E74DA8"/>
    <w:rsid w:val="00E75259"/>
    <w:rsid w:val="00E81A91"/>
    <w:rsid w:val="00E84599"/>
    <w:rsid w:val="00E92B8B"/>
    <w:rsid w:val="00E93B33"/>
    <w:rsid w:val="00E95812"/>
    <w:rsid w:val="00E95948"/>
    <w:rsid w:val="00EC3B66"/>
    <w:rsid w:val="00ED11D7"/>
    <w:rsid w:val="00ED3C78"/>
    <w:rsid w:val="00ED4D6D"/>
    <w:rsid w:val="00EE42D9"/>
    <w:rsid w:val="00EE67B3"/>
    <w:rsid w:val="00F15ADB"/>
    <w:rsid w:val="00F93048"/>
    <w:rsid w:val="00FA1B38"/>
    <w:rsid w:val="00FA79F7"/>
    <w:rsid w:val="00FB13D0"/>
    <w:rsid w:val="00FD2520"/>
    <w:rsid w:val="00FD4D39"/>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96655"/>
    <w:pPr>
      <w:numPr>
        <w:numId w:val="26"/>
      </w:numPr>
      <w:tabs>
        <w:tab w:val="left" w:pos="567"/>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7"/>
      </w:numPr>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qFormat/>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Statsbullet">
    <w:name w:val="Stats bullet"/>
    <w:basedOn w:val="Normal"/>
    <w:link w:val="StatsbulletChar"/>
    <w:rsid w:val="0036062F"/>
    <w:pPr>
      <w:numPr>
        <w:numId w:val="37"/>
      </w:numPr>
      <w:spacing w:before="20"/>
    </w:pPr>
    <w:rPr>
      <w:sz w:val="20"/>
      <w:szCs w:val="18"/>
    </w:rPr>
  </w:style>
  <w:style w:type="paragraph" w:customStyle="1" w:styleId="NumberedText">
    <w:name w:val="NumberedText"/>
    <w:rsid w:val="00685D12"/>
    <w:pPr>
      <w:numPr>
        <w:numId w:val="36"/>
      </w:numPr>
      <w:spacing w:before="120" w:line="300" w:lineRule="exact"/>
    </w:pPr>
    <w:rPr>
      <w:rFonts w:ascii="Trebuchet MS" w:hAnsi="Trebuchet MS" w:cs="Arial"/>
      <w:sz w:val="19"/>
      <w:szCs w:val="18"/>
      <w:lang w:val="en-AU"/>
    </w:rPr>
  </w:style>
  <w:style w:type="character" w:customStyle="1" w:styleId="StatsbulletChar">
    <w:name w:val="Stats bullet Char"/>
    <w:link w:val="Statsbullet"/>
    <w:rsid w:val="0036062F"/>
    <w:rPr>
      <w:rFonts w:ascii="Trebuchet MS" w:hAnsi="Trebuchet MS"/>
      <w:szCs w:val="18"/>
      <w:lang w:val="en-AU"/>
    </w:rPr>
  </w:style>
  <w:style w:type="paragraph" w:customStyle="1" w:styleId="StatsHeading2">
    <w:name w:val="StatsHeading2"/>
    <w:basedOn w:val="Normal"/>
    <w:link w:val="StatsHeading2CharChar"/>
    <w:rsid w:val="00171BB9"/>
    <w:pPr>
      <w:spacing w:before="360" w:line="240" w:lineRule="auto"/>
    </w:pPr>
    <w:rPr>
      <w:rFonts w:ascii="Arial" w:hAnsi="Arial"/>
      <w:b/>
      <w:color w:val="439539"/>
      <w:sz w:val="24"/>
    </w:rPr>
  </w:style>
  <w:style w:type="character" w:customStyle="1" w:styleId="StatsHeading2CharChar">
    <w:name w:val="StatsHeading2 Char Char"/>
    <w:link w:val="StatsHeading2"/>
    <w:rsid w:val="00171BB9"/>
    <w:rPr>
      <w:rFonts w:ascii="Arial" w:hAnsi="Arial"/>
      <w:b/>
      <w:color w:val="439539"/>
      <w:sz w:val="24"/>
      <w:lang w:val="en-AU"/>
    </w:rPr>
  </w:style>
  <w:style w:type="paragraph" w:customStyle="1" w:styleId="StatsHeading3">
    <w:name w:val="StatsHeading3"/>
    <w:basedOn w:val="Normal"/>
    <w:link w:val="StatsHeading3Char"/>
    <w:rsid w:val="00171BB9"/>
    <w:pPr>
      <w:spacing w:before="240" w:line="240" w:lineRule="auto"/>
      <w:outlineLvl w:val="0"/>
    </w:pPr>
    <w:rPr>
      <w:rFonts w:ascii="Arial" w:hAnsi="Arial" w:cs="Arial"/>
      <w:b/>
      <w:color w:val="439539"/>
      <w:sz w:val="22"/>
    </w:rPr>
  </w:style>
  <w:style w:type="character" w:customStyle="1" w:styleId="StatsHeading3Char">
    <w:name w:val="StatsHeading3 Char"/>
    <w:basedOn w:val="DefaultParagraphFont"/>
    <w:link w:val="StatsHeading3"/>
    <w:rsid w:val="00171BB9"/>
    <w:rPr>
      <w:rFonts w:ascii="Arial" w:hAnsi="Arial" w:cs="Arial"/>
      <w:b/>
      <w:color w:val="439539"/>
      <w:sz w:val="22"/>
      <w:lang w:val="en-AU"/>
    </w:rPr>
  </w:style>
  <w:style w:type="paragraph" w:customStyle="1" w:styleId="TableRowBold">
    <w:name w:val="TableRowBold"/>
    <w:basedOn w:val="Tabletext"/>
    <w:rsid w:val="00171BB9"/>
    <w:pPr>
      <w:spacing w:before="80"/>
    </w:pPr>
    <w:rPr>
      <w:b/>
      <w:color w:val="439539"/>
      <w:szCs w:val="15"/>
    </w:rPr>
  </w:style>
  <w:style w:type="character" w:customStyle="1" w:styleId="TextChar1">
    <w:name w:val="Text Char1"/>
    <w:rsid w:val="00B57210"/>
    <w:rPr>
      <w:rFonts w:ascii="Trebuchet MS" w:hAnsi="Trebuchet MS"/>
      <w:sz w:val="20"/>
      <w:szCs w:val="18"/>
      <w:lang w:eastAsia="en-US"/>
    </w:rPr>
  </w:style>
  <w:style w:type="table" w:customStyle="1" w:styleId="TableGrid1">
    <w:name w:val="Table Grid1"/>
    <w:basedOn w:val="TableNormal"/>
    <w:next w:val="TableGrid"/>
    <w:rsid w:val="00B5721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6C26"/>
    <w:rPr>
      <w:sz w:val="16"/>
      <w:szCs w:val="16"/>
    </w:rPr>
  </w:style>
  <w:style w:type="paragraph" w:styleId="CommentText">
    <w:name w:val="annotation text"/>
    <w:basedOn w:val="Normal"/>
    <w:link w:val="CommentTextChar"/>
    <w:uiPriority w:val="99"/>
    <w:semiHidden/>
    <w:unhideWhenUsed/>
    <w:rsid w:val="00036C26"/>
    <w:pPr>
      <w:spacing w:line="240" w:lineRule="auto"/>
    </w:pPr>
    <w:rPr>
      <w:sz w:val="20"/>
    </w:rPr>
  </w:style>
  <w:style w:type="character" w:customStyle="1" w:styleId="CommentTextChar">
    <w:name w:val="Comment Text Char"/>
    <w:basedOn w:val="DefaultParagraphFont"/>
    <w:link w:val="CommentText"/>
    <w:uiPriority w:val="99"/>
    <w:semiHidden/>
    <w:rsid w:val="00036C26"/>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036C26"/>
    <w:rPr>
      <w:b/>
      <w:bCs/>
    </w:rPr>
  </w:style>
  <w:style w:type="character" w:customStyle="1" w:styleId="CommentSubjectChar">
    <w:name w:val="Comment Subject Char"/>
    <w:basedOn w:val="CommentTextChar"/>
    <w:link w:val="CommentSubject"/>
    <w:uiPriority w:val="99"/>
    <w:semiHidden/>
    <w:rsid w:val="00036C26"/>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501">
      <w:bodyDiv w:val="1"/>
      <w:marLeft w:val="0"/>
      <w:marRight w:val="0"/>
      <w:marTop w:val="0"/>
      <w:marBottom w:val="0"/>
      <w:divBdr>
        <w:top w:val="none" w:sz="0" w:space="0" w:color="auto"/>
        <w:left w:val="none" w:sz="0" w:space="0" w:color="auto"/>
        <w:bottom w:val="none" w:sz="0" w:space="0" w:color="auto"/>
        <w:right w:val="none" w:sz="0" w:space="0" w:color="auto"/>
      </w:divBdr>
    </w:div>
    <w:div w:id="592586459">
      <w:bodyDiv w:val="1"/>
      <w:marLeft w:val="0"/>
      <w:marRight w:val="0"/>
      <w:marTop w:val="0"/>
      <w:marBottom w:val="0"/>
      <w:divBdr>
        <w:top w:val="none" w:sz="0" w:space="0" w:color="auto"/>
        <w:left w:val="none" w:sz="0" w:space="0" w:color="auto"/>
        <w:bottom w:val="none" w:sz="0" w:space="0" w:color="auto"/>
        <w:right w:val="none" w:sz="0" w:space="0" w:color="auto"/>
      </w:divBdr>
    </w:div>
    <w:div w:id="675226803">
      <w:bodyDiv w:val="1"/>
      <w:marLeft w:val="0"/>
      <w:marRight w:val="0"/>
      <w:marTop w:val="0"/>
      <w:marBottom w:val="0"/>
      <w:divBdr>
        <w:top w:val="none" w:sz="0" w:space="0" w:color="auto"/>
        <w:left w:val="none" w:sz="0" w:space="0" w:color="auto"/>
        <w:bottom w:val="none" w:sz="0" w:space="0" w:color="auto"/>
        <w:right w:val="none" w:sz="0" w:space="0" w:color="auto"/>
      </w:divBdr>
    </w:div>
    <w:div w:id="783765033">
      <w:bodyDiv w:val="1"/>
      <w:marLeft w:val="0"/>
      <w:marRight w:val="0"/>
      <w:marTop w:val="0"/>
      <w:marBottom w:val="0"/>
      <w:divBdr>
        <w:top w:val="none" w:sz="0" w:space="0" w:color="auto"/>
        <w:left w:val="none" w:sz="0" w:space="0" w:color="auto"/>
        <w:bottom w:val="none" w:sz="0" w:space="0" w:color="auto"/>
        <w:right w:val="none" w:sz="0" w:space="0" w:color="auto"/>
      </w:divBdr>
    </w:div>
    <w:div w:id="830565049">
      <w:bodyDiv w:val="1"/>
      <w:marLeft w:val="0"/>
      <w:marRight w:val="0"/>
      <w:marTop w:val="0"/>
      <w:marBottom w:val="0"/>
      <w:divBdr>
        <w:top w:val="none" w:sz="0" w:space="0" w:color="auto"/>
        <w:left w:val="none" w:sz="0" w:space="0" w:color="auto"/>
        <w:bottom w:val="none" w:sz="0" w:space="0" w:color="auto"/>
        <w:right w:val="none" w:sz="0" w:space="0" w:color="auto"/>
      </w:divBdr>
    </w:div>
    <w:div w:id="1210536743">
      <w:bodyDiv w:val="1"/>
      <w:marLeft w:val="0"/>
      <w:marRight w:val="0"/>
      <w:marTop w:val="0"/>
      <w:marBottom w:val="0"/>
      <w:divBdr>
        <w:top w:val="none" w:sz="0" w:space="0" w:color="auto"/>
        <w:left w:val="none" w:sz="0" w:space="0" w:color="auto"/>
        <w:bottom w:val="none" w:sz="0" w:space="0" w:color="auto"/>
        <w:right w:val="none" w:sz="0" w:space="0" w:color="auto"/>
      </w:divBdr>
    </w:div>
    <w:div w:id="1548836947">
      <w:bodyDiv w:val="1"/>
      <w:marLeft w:val="0"/>
      <w:marRight w:val="0"/>
      <w:marTop w:val="0"/>
      <w:marBottom w:val="0"/>
      <w:divBdr>
        <w:top w:val="none" w:sz="0" w:space="0" w:color="auto"/>
        <w:left w:val="none" w:sz="0" w:space="0" w:color="auto"/>
        <w:bottom w:val="none" w:sz="0" w:space="0" w:color="auto"/>
        <w:right w:val="none" w:sz="0" w:space="0" w:color="auto"/>
      </w:divBdr>
    </w:div>
    <w:div w:id="1839616998">
      <w:bodyDiv w:val="1"/>
      <w:marLeft w:val="0"/>
      <w:marRight w:val="0"/>
      <w:marTop w:val="0"/>
      <w:marBottom w:val="0"/>
      <w:divBdr>
        <w:top w:val="none" w:sz="0" w:space="0" w:color="auto"/>
        <w:left w:val="none" w:sz="0" w:space="0" w:color="auto"/>
        <w:bottom w:val="none" w:sz="0" w:space="0" w:color="auto"/>
        <w:right w:val="none" w:sz="0" w:space="0" w:color="auto"/>
      </w:divBdr>
    </w:div>
    <w:div w:id="1948153052">
      <w:bodyDiv w:val="1"/>
      <w:marLeft w:val="0"/>
      <w:marRight w:val="0"/>
      <w:marTop w:val="0"/>
      <w:marBottom w:val="0"/>
      <w:divBdr>
        <w:top w:val="none" w:sz="0" w:space="0" w:color="auto"/>
        <w:left w:val="none" w:sz="0" w:space="0" w:color="auto"/>
        <w:bottom w:val="none" w:sz="0" w:space="0" w:color="auto"/>
        <w:right w:val="none" w:sz="0" w:space="0" w:color="auto"/>
      </w:divBdr>
    </w:div>
    <w:div w:id="199375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ncver.edu.au/research-and-statistics/collections/students-and-courses-collection/total-vet-activity-tva-fact-sheet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ay.edu.au" TargetMode="External"/><Relationship Id="rId5" Type="http://schemas.openxmlformats.org/officeDocument/2006/relationships/webSettings" Target="webSettings.xml"/><Relationship Id="rId15" Type="http://schemas.openxmlformats.org/officeDocument/2006/relationships/hyperlink" Target="http://www.lsay.edu.au" TargetMode="External"/><Relationship Id="rId10" Type="http://schemas.openxmlformats.org/officeDocument/2006/relationships/hyperlink" Target="mailto:ncver@ncver.edu.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ncver@ncve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8</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11586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 Rahman</dc:creator>
  <cp:lastModifiedBy>Rocky Barbaro</cp:lastModifiedBy>
  <cp:revision>2</cp:revision>
  <cp:lastPrinted>2022-08-10T08:18:00Z</cp:lastPrinted>
  <dcterms:created xsi:type="dcterms:W3CDTF">2022-11-01T04:30:00Z</dcterms:created>
  <dcterms:modified xsi:type="dcterms:W3CDTF">2022-11-01T04:30:00Z</dcterms:modified>
</cp:coreProperties>
</file>