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1FF80" w14:textId="3BA8409E" w:rsidR="00EB0AD7" w:rsidRDefault="007C50B0" w:rsidP="00AC6E16">
      <w:bookmarkStart w:id="0" w:name="_Toc401914074"/>
      <w:bookmarkStart w:id="1" w:name="_Toc416260885"/>
      <w:bookmarkStart w:id="2" w:name="_Toc98394872"/>
      <w:r>
        <w:rPr>
          <w:noProof/>
          <w:lang w:eastAsia="en-AU"/>
        </w:rPr>
        <mc:AlternateContent>
          <mc:Choice Requires="wps">
            <w:drawing>
              <wp:anchor distT="0" distB="0" distL="114300" distR="114300" simplePos="0" relativeHeight="251758592" behindDoc="0" locked="0" layoutInCell="1" allowOverlap="1" wp14:anchorId="7C25E213" wp14:editId="42166626">
                <wp:simplePos x="0" y="0"/>
                <wp:positionH relativeFrom="column">
                  <wp:posOffset>-581660</wp:posOffset>
                </wp:positionH>
                <wp:positionV relativeFrom="paragraph">
                  <wp:posOffset>1207771</wp:posOffset>
                </wp:positionV>
                <wp:extent cx="6880860" cy="289560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0860" cy="2895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51A67" w14:textId="4582F813" w:rsidR="00AA34B7" w:rsidRDefault="00AA34B7" w:rsidP="00FB15EB">
                            <w:pPr>
                              <w:pStyle w:val="Titlepage"/>
                              <w:spacing w:after="0"/>
                              <w:ind w:left="0"/>
                              <w:rPr>
                                <w:b/>
                                <w:color w:val="0081C6"/>
                              </w:rPr>
                            </w:pPr>
                            <w:r>
                              <w:rPr>
                                <w:b/>
                                <w:color w:val="0081C6"/>
                              </w:rPr>
                              <w:t>Building capability and quality in VET teaching: opportunities and challenges</w:t>
                            </w:r>
                          </w:p>
                          <w:p w14:paraId="5BE28980" w14:textId="1255B00D" w:rsidR="00AA34B7" w:rsidRDefault="00AA34B7" w:rsidP="00FB15EB">
                            <w:pPr>
                              <w:pStyle w:val="Titlepage"/>
                              <w:spacing w:after="0"/>
                              <w:ind w:left="0"/>
                              <w:rPr>
                                <w:b/>
                                <w:color w:val="595959" w:themeColor="text1" w:themeTint="A6"/>
                                <w:sz w:val="27"/>
                                <w:szCs w:val="27"/>
                              </w:rPr>
                            </w:pPr>
                          </w:p>
                          <w:p w14:paraId="7C4FAB53" w14:textId="77777777" w:rsidR="00AA34B7" w:rsidRDefault="00AA34B7" w:rsidP="00FB15EB">
                            <w:pPr>
                              <w:pStyle w:val="Titlepage"/>
                              <w:spacing w:after="0"/>
                              <w:ind w:left="0"/>
                              <w:rPr>
                                <w:b/>
                                <w:color w:val="595959" w:themeColor="text1" w:themeTint="A6"/>
                                <w:sz w:val="27"/>
                                <w:szCs w:val="27"/>
                              </w:rPr>
                            </w:pPr>
                          </w:p>
                          <w:p w14:paraId="6A2C5E2A" w14:textId="77777777" w:rsidR="00AA34B7" w:rsidRDefault="00AA34B7" w:rsidP="00FB15EB">
                            <w:pPr>
                              <w:pStyle w:val="Titlepage"/>
                              <w:spacing w:after="0"/>
                              <w:ind w:left="0"/>
                              <w:rPr>
                                <w:b/>
                                <w:color w:val="595959" w:themeColor="text1" w:themeTint="A6"/>
                                <w:sz w:val="27"/>
                                <w:szCs w:val="27"/>
                              </w:rPr>
                            </w:pPr>
                            <w:r>
                              <w:rPr>
                                <w:b/>
                                <w:color w:val="595959" w:themeColor="text1" w:themeTint="A6"/>
                                <w:sz w:val="27"/>
                                <w:szCs w:val="27"/>
                              </w:rPr>
                              <w:t xml:space="preserve">Josie Misko </w:t>
                            </w:r>
                            <w:r>
                              <w:rPr>
                                <w:b/>
                                <w:color w:val="595959" w:themeColor="text1" w:themeTint="A6"/>
                                <w:sz w:val="27"/>
                                <w:szCs w:val="27"/>
                              </w:rPr>
                              <w:br/>
                            </w:r>
                            <w:r w:rsidRPr="00142D93">
                              <w:rPr>
                                <w:color w:val="595959" w:themeColor="text1" w:themeTint="A6"/>
                                <w:sz w:val="27"/>
                                <w:szCs w:val="27"/>
                              </w:rPr>
                              <w:t>National Centre for Vocational Education Research</w:t>
                            </w:r>
                            <w:r>
                              <w:rPr>
                                <w:bCs/>
                                <w:color w:val="595959" w:themeColor="text1" w:themeTint="A6"/>
                                <w:sz w:val="27"/>
                                <w:szCs w:val="27"/>
                              </w:rPr>
                              <w:br/>
                            </w:r>
                            <w:r w:rsidRPr="00D27529">
                              <w:rPr>
                                <w:bCs/>
                                <w:color w:val="595959" w:themeColor="text1" w:themeTint="A6"/>
                                <w:sz w:val="27"/>
                                <w:szCs w:val="27"/>
                              </w:rPr>
                              <w:t xml:space="preserve"> </w:t>
                            </w:r>
                            <w:r>
                              <w:rPr>
                                <w:bCs/>
                                <w:color w:val="595959" w:themeColor="text1" w:themeTint="A6"/>
                                <w:sz w:val="27"/>
                                <w:szCs w:val="27"/>
                              </w:rPr>
                              <w:br/>
                            </w:r>
                            <w:r w:rsidRPr="00E51BF4">
                              <w:rPr>
                                <w:b/>
                                <w:color w:val="595959" w:themeColor="text1" w:themeTint="A6"/>
                                <w:sz w:val="27"/>
                                <w:szCs w:val="27"/>
                              </w:rPr>
                              <w:t>Hugh Guthrie</w:t>
                            </w:r>
                          </w:p>
                          <w:p w14:paraId="5999E429" w14:textId="71CF0576" w:rsidR="00AA34B7" w:rsidRDefault="00AA34B7" w:rsidP="00FB15EB">
                            <w:pPr>
                              <w:pStyle w:val="Titlepage"/>
                              <w:spacing w:after="0"/>
                              <w:ind w:left="0"/>
                              <w:rPr>
                                <w:bCs/>
                                <w:color w:val="595959" w:themeColor="text1" w:themeTint="A6"/>
                                <w:sz w:val="27"/>
                                <w:szCs w:val="27"/>
                              </w:rPr>
                            </w:pPr>
                            <w:r>
                              <w:rPr>
                                <w:bCs/>
                                <w:color w:val="595959" w:themeColor="text1" w:themeTint="A6"/>
                                <w:sz w:val="27"/>
                                <w:szCs w:val="27"/>
                              </w:rPr>
                              <w:t>LUSID Pty Ltd</w:t>
                            </w:r>
                          </w:p>
                          <w:p w14:paraId="54E2D3DE" w14:textId="77777777" w:rsidR="00AA34B7" w:rsidRDefault="00AA34B7" w:rsidP="00FB15EB">
                            <w:pPr>
                              <w:pStyle w:val="Titlepage"/>
                              <w:spacing w:after="0"/>
                              <w:ind w:left="0"/>
                              <w:rPr>
                                <w:bCs/>
                                <w:color w:val="595959" w:themeColor="text1" w:themeTint="A6"/>
                                <w:sz w:val="27"/>
                                <w:szCs w:val="27"/>
                              </w:rPr>
                            </w:pPr>
                          </w:p>
                          <w:p w14:paraId="1A387A23" w14:textId="2B6B674F" w:rsidR="00AA34B7" w:rsidRPr="00043968" w:rsidRDefault="00AA34B7" w:rsidP="00FB15EB">
                            <w:pPr>
                              <w:pStyle w:val="Titlepage"/>
                              <w:spacing w:after="0"/>
                              <w:ind w:left="0"/>
                              <w:rPr>
                                <w:b/>
                                <w:color w:val="595959" w:themeColor="text1" w:themeTint="A6"/>
                                <w:sz w:val="27"/>
                                <w:szCs w:val="27"/>
                              </w:rPr>
                            </w:pPr>
                            <w:r w:rsidRPr="00043968">
                              <w:rPr>
                                <w:b/>
                                <w:color w:val="595959" w:themeColor="text1" w:themeTint="A6"/>
                                <w:sz w:val="27"/>
                                <w:szCs w:val="27"/>
                              </w:rPr>
                              <w:t>Melinda Waters</w:t>
                            </w:r>
                          </w:p>
                          <w:p w14:paraId="2E1175BB" w14:textId="77777777" w:rsidR="00AA34B7" w:rsidRDefault="00AA34B7" w:rsidP="00043968">
                            <w:pPr>
                              <w:pStyle w:val="Titlepage"/>
                              <w:spacing w:after="0"/>
                              <w:ind w:left="0"/>
                              <w:rPr>
                                <w:bCs/>
                                <w:color w:val="595959" w:themeColor="text1" w:themeTint="A6"/>
                                <w:sz w:val="27"/>
                                <w:szCs w:val="27"/>
                              </w:rPr>
                            </w:pPr>
                            <w:proofErr w:type="spellStart"/>
                            <w:r w:rsidRPr="00043968">
                              <w:rPr>
                                <w:bCs/>
                                <w:color w:val="595959" w:themeColor="text1" w:themeTint="A6"/>
                                <w:sz w:val="27"/>
                                <w:szCs w:val="27"/>
                              </w:rPr>
                              <w:t>D’Novo</w:t>
                            </w:r>
                            <w:proofErr w:type="spellEnd"/>
                            <w:r w:rsidRPr="00043968">
                              <w:rPr>
                                <w:bCs/>
                                <w:color w:val="595959" w:themeColor="text1" w:themeTint="A6"/>
                                <w:sz w:val="27"/>
                                <w:szCs w:val="27"/>
                              </w:rPr>
                              <w:t xml:space="preserve"> Consulting</w:t>
                            </w:r>
                          </w:p>
                          <w:p w14:paraId="5266FEEA" w14:textId="77777777" w:rsidR="00AA34B7" w:rsidRPr="00D27529" w:rsidRDefault="00AA34B7" w:rsidP="00FB15EB">
                            <w:pPr>
                              <w:pStyle w:val="Titlepage"/>
                              <w:spacing w:after="0"/>
                              <w:ind w:left="0"/>
                              <w:rPr>
                                <w:bCs/>
                                <w:color w:val="595959" w:themeColor="text1" w:themeTint="A6"/>
                                <w:sz w:val="27"/>
                                <w:szCs w:val="27"/>
                              </w:rPr>
                            </w:pPr>
                          </w:p>
                          <w:p w14:paraId="28065838" w14:textId="4407C453" w:rsidR="00AA34B7" w:rsidRDefault="00AA34B7" w:rsidP="000D2067">
                            <w:pPr>
                              <w:pStyle w:val="Titlepage"/>
                              <w:spacing w:after="0"/>
                              <w:ind w:left="0"/>
                              <w:rPr>
                                <w:b/>
                                <w:color w:val="0081C6"/>
                              </w:rPr>
                            </w:pPr>
                          </w:p>
                          <w:p w14:paraId="79036C15" w14:textId="77777777" w:rsidR="00AA34B7" w:rsidRDefault="00AA34B7" w:rsidP="000D2067">
                            <w:pPr>
                              <w:pStyle w:val="Titlepage"/>
                              <w:spacing w:after="0"/>
                              <w:ind w:left="0"/>
                              <w:rPr>
                                <w:b/>
                                <w:color w:val="0081C6"/>
                              </w:rPr>
                            </w:pPr>
                          </w:p>
                          <w:p w14:paraId="3FD2EAEC" w14:textId="77777777" w:rsidR="00AA34B7" w:rsidRDefault="00AA34B7" w:rsidP="000D2067">
                            <w:pPr>
                              <w:pStyle w:val="Titlepage"/>
                              <w:spacing w:after="0"/>
                              <w:ind w:left="0"/>
                              <w:rPr>
                                <w:b/>
                                <w:color w:val="0081C6"/>
                              </w:rPr>
                            </w:pPr>
                          </w:p>
                          <w:p w14:paraId="3314F705" w14:textId="77777777" w:rsidR="00AA34B7" w:rsidRDefault="00AA34B7"/>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E213" id="_x0000_t202" coordsize="21600,21600" o:spt="202" path="m,l,21600r21600,l21600,xe">
                <v:stroke joinstyle="miter"/>
                <v:path gradientshapeok="t" o:connecttype="rect"/>
              </v:shapetype>
              <v:shape id="Text Box 12" o:spid="_x0000_s1026" type="#_x0000_t202" style="position:absolute;margin-left:-45.8pt;margin-top:95.1pt;width:541.8pt;height:22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" filled="f" stroked="f" strokeweight=".5pt">
                <v:textbox inset=",,,0">
                  <w:txbxContent>
                    <w:p w14:paraId="20951A67" w14:textId="4582F813" w:rsidR="00AA34B7" w:rsidRDefault="00AA34B7" w:rsidP="00FB15EB">
                      <w:pPr>
                        <w:pStyle w:val="Titlepage"/>
                        <w:spacing w:after="0"/>
                        <w:ind w:left="0"/>
                        <w:rPr>
                          <w:b/>
                          <w:color w:val="0081C6"/>
                        </w:rPr>
                      </w:pPr>
                      <w:r>
                        <w:rPr>
                          <w:b/>
                          <w:color w:val="0081C6"/>
                        </w:rPr>
                        <w:t>Building capability and quality in VET teaching: opportunities and challenges</w:t>
                      </w:r>
                    </w:p>
                    <w:p w14:paraId="5BE28980" w14:textId="1255B00D" w:rsidR="00AA34B7" w:rsidRDefault="00AA34B7" w:rsidP="00FB15EB">
                      <w:pPr>
                        <w:pStyle w:val="Titlepage"/>
                        <w:spacing w:after="0"/>
                        <w:ind w:left="0"/>
                        <w:rPr>
                          <w:b/>
                          <w:color w:val="595959" w:themeColor="text1" w:themeTint="A6"/>
                          <w:sz w:val="27"/>
                          <w:szCs w:val="27"/>
                        </w:rPr>
                      </w:pPr>
                    </w:p>
                    <w:p w14:paraId="7C4FAB53" w14:textId="77777777" w:rsidR="00AA34B7" w:rsidRDefault="00AA34B7" w:rsidP="00FB15EB">
                      <w:pPr>
                        <w:pStyle w:val="Titlepage"/>
                        <w:spacing w:after="0"/>
                        <w:ind w:left="0"/>
                        <w:rPr>
                          <w:b/>
                          <w:color w:val="595959" w:themeColor="text1" w:themeTint="A6"/>
                          <w:sz w:val="27"/>
                          <w:szCs w:val="27"/>
                        </w:rPr>
                      </w:pPr>
                    </w:p>
                    <w:p w14:paraId="6A2C5E2A" w14:textId="77777777" w:rsidR="00AA34B7" w:rsidRDefault="00AA34B7" w:rsidP="00FB15EB">
                      <w:pPr>
                        <w:pStyle w:val="Titlepage"/>
                        <w:spacing w:after="0"/>
                        <w:ind w:left="0"/>
                        <w:rPr>
                          <w:b/>
                          <w:color w:val="595959" w:themeColor="text1" w:themeTint="A6"/>
                          <w:sz w:val="27"/>
                          <w:szCs w:val="27"/>
                        </w:rPr>
                      </w:pPr>
                      <w:r>
                        <w:rPr>
                          <w:b/>
                          <w:color w:val="595959" w:themeColor="text1" w:themeTint="A6"/>
                          <w:sz w:val="27"/>
                          <w:szCs w:val="27"/>
                        </w:rPr>
                        <w:t xml:space="preserve">Josie Misko </w:t>
                      </w:r>
                      <w:r>
                        <w:rPr>
                          <w:b/>
                          <w:color w:val="595959" w:themeColor="text1" w:themeTint="A6"/>
                          <w:sz w:val="27"/>
                          <w:szCs w:val="27"/>
                        </w:rPr>
                        <w:br/>
                      </w:r>
                      <w:r w:rsidRPr="00142D93">
                        <w:rPr>
                          <w:color w:val="595959" w:themeColor="text1" w:themeTint="A6"/>
                          <w:sz w:val="27"/>
                          <w:szCs w:val="27"/>
                        </w:rPr>
                        <w:t>National Centre for Vocational Education Research</w:t>
                      </w:r>
                      <w:r>
                        <w:rPr>
                          <w:bCs/>
                          <w:color w:val="595959" w:themeColor="text1" w:themeTint="A6"/>
                          <w:sz w:val="27"/>
                          <w:szCs w:val="27"/>
                        </w:rPr>
                        <w:br/>
                      </w:r>
                      <w:r w:rsidRPr="00D27529">
                        <w:rPr>
                          <w:bCs/>
                          <w:color w:val="595959" w:themeColor="text1" w:themeTint="A6"/>
                          <w:sz w:val="27"/>
                          <w:szCs w:val="27"/>
                        </w:rPr>
                        <w:t xml:space="preserve"> </w:t>
                      </w:r>
                      <w:r>
                        <w:rPr>
                          <w:bCs/>
                          <w:color w:val="595959" w:themeColor="text1" w:themeTint="A6"/>
                          <w:sz w:val="27"/>
                          <w:szCs w:val="27"/>
                        </w:rPr>
                        <w:br/>
                      </w:r>
                      <w:r w:rsidRPr="00E51BF4">
                        <w:rPr>
                          <w:b/>
                          <w:color w:val="595959" w:themeColor="text1" w:themeTint="A6"/>
                          <w:sz w:val="27"/>
                          <w:szCs w:val="27"/>
                        </w:rPr>
                        <w:t>Hugh Guthrie</w:t>
                      </w:r>
                    </w:p>
                    <w:p w14:paraId="5999E429" w14:textId="71CF0576" w:rsidR="00AA34B7" w:rsidRDefault="00AA34B7" w:rsidP="00FB15EB">
                      <w:pPr>
                        <w:pStyle w:val="Titlepage"/>
                        <w:spacing w:after="0"/>
                        <w:ind w:left="0"/>
                        <w:rPr>
                          <w:bCs/>
                          <w:color w:val="595959" w:themeColor="text1" w:themeTint="A6"/>
                          <w:sz w:val="27"/>
                          <w:szCs w:val="27"/>
                        </w:rPr>
                      </w:pPr>
                      <w:r>
                        <w:rPr>
                          <w:bCs/>
                          <w:color w:val="595959" w:themeColor="text1" w:themeTint="A6"/>
                          <w:sz w:val="27"/>
                          <w:szCs w:val="27"/>
                        </w:rPr>
                        <w:t>LUSID Pty Ltd</w:t>
                      </w:r>
                    </w:p>
                    <w:p w14:paraId="54E2D3DE" w14:textId="77777777" w:rsidR="00AA34B7" w:rsidRDefault="00AA34B7" w:rsidP="00FB15EB">
                      <w:pPr>
                        <w:pStyle w:val="Titlepage"/>
                        <w:spacing w:after="0"/>
                        <w:ind w:left="0"/>
                        <w:rPr>
                          <w:bCs/>
                          <w:color w:val="595959" w:themeColor="text1" w:themeTint="A6"/>
                          <w:sz w:val="27"/>
                          <w:szCs w:val="27"/>
                        </w:rPr>
                      </w:pPr>
                    </w:p>
                    <w:p w14:paraId="1A387A23" w14:textId="2B6B674F" w:rsidR="00AA34B7" w:rsidRPr="00043968" w:rsidRDefault="00AA34B7" w:rsidP="00FB15EB">
                      <w:pPr>
                        <w:pStyle w:val="Titlepage"/>
                        <w:spacing w:after="0"/>
                        <w:ind w:left="0"/>
                        <w:rPr>
                          <w:b/>
                          <w:color w:val="595959" w:themeColor="text1" w:themeTint="A6"/>
                          <w:sz w:val="27"/>
                          <w:szCs w:val="27"/>
                        </w:rPr>
                      </w:pPr>
                      <w:r w:rsidRPr="00043968">
                        <w:rPr>
                          <w:b/>
                          <w:color w:val="595959" w:themeColor="text1" w:themeTint="A6"/>
                          <w:sz w:val="27"/>
                          <w:szCs w:val="27"/>
                        </w:rPr>
                        <w:t>Melinda Waters</w:t>
                      </w:r>
                    </w:p>
                    <w:p w14:paraId="2E1175BB" w14:textId="77777777" w:rsidR="00AA34B7" w:rsidRDefault="00AA34B7" w:rsidP="00043968">
                      <w:pPr>
                        <w:pStyle w:val="Titlepage"/>
                        <w:spacing w:after="0"/>
                        <w:ind w:left="0"/>
                        <w:rPr>
                          <w:bCs/>
                          <w:color w:val="595959" w:themeColor="text1" w:themeTint="A6"/>
                          <w:sz w:val="27"/>
                          <w:szCs w:val="27"/>
                        </w:rPr>
                      </w:pPr>
                      <w:proofErr w:type="spellStart"/>
                      <w:r w:rsidRPr="00043968">
                        <w:rPr>
                          <w:bCs/>
                          <w:color w:val="595959" w:themeColor="text1" w:themeTint="A6"/>
                          <w:sz w:val="27"/>
                          <w:szCs w:val="27"/>
                        </w:rPr>
                        <w:t>D’Novo</w:t>
                      </w:r>
                      <w:proofErr w:type="spellEnd"/>
                      <w:r w:rsidRPr="00043968">
                        <w:rPr>
                          <w:bCs/>
                          <w:color w:val="595959" w:themeColor="text1" w:themeTint="A6"/>
                          <w:sz w:val="27"/>
                          <w:szCs w:val="27"/>
                        </w:rPr>
                        <w:t xml:space="preserve"> Consulting</w:t>
                      </w:r>
                    </w:p>
                    <w:p w14:paraId="5266FEEA" w14:textId="77777777" w:rsidR="00AA34B7" w:rsidRPr="00D27529" w:rsidRDefault="00AA34B7" w:rsidP="00FB15EB">
                      <w:pPr>
                        <w:pStyle w:val="Titlepage"/>
                        <w:spacing w:after="0"/>
                        <w:ind w:left="0"/>
                        <w:rPr>
                          <w:bCs/>
                          <w:color w:val="595959" w:themeColor="text1" w:themeTint="A6"/>
                          <w:sz w:val="27"/>
                          <w:szCs w:val="27"/>
                        </w:rPr>
                      </w:pPr>
                    </w:p>
                    <w:p w14:paraId="28065838" w14:textId="4407C453" w:rsidR="00AA34B7" w:rsidRDefault="00AA34B7" w:rsidP="000D2067">
                      <w:pPr>
                        <w:pStyle w:val="Titlepage"/>
                        <w:spacing w:after="0"/>
                        <w:ind w:left="0"/>
                        <w:rPr>
                          <w:b/>
                          <w:color w:val="0081C6"/>
                        </w:rPr>
                      </w:pPr>
                    </w:p>
                    <w:p w14:paraId="79036C15" w14:textId="77777777" w:rsidR="00AA34B7" w:rsidRDefault="00AA34B7" w:rsidP="000D2067">
                      <w:pPr>
                        <w:pStyle w:val="Titlepage"/>
                        <w:spacing w:after="0"/>
                        <w:ind w:left="0"/>
                        <w:rPr>
                          <w:b/>
                          <w:color w:val="0081C6"/>
                        </w:rPr>
                      </w:pPr>
                    </w:p>
                    <w:p w14:paraId="3FD2EAEC" w14:textId="77777777" w:rsidR="00AA34B7" w:rsidRDefault="00AA34B7" w:rsidP="000D2067">
                      <w:pPr>
                        <w:pStyle w:val="Titlepage"/>
                        <w:spacing w:after="0"/>
                        <w:ind w:left="0"/>
                        <w:rPr>
                          <w:b/>
                          <w:color w:val="0081C6"/>
                        </w:rPr>
                      </w:pPr>
                    </w:p>
                    <w:p w14:paraId="3314F705" w14:textId="77777777" w:rsidR="00AA34B7" w:rsidRDefault="00AA34B7"/>
                  </w:txbxContent>
                </v:textbox>
              </v:shape>
            </w:pict>
          </mc:Fallback>
        </mc:AlternateContent>
      </w:r>
      <w:r w:rsidR="00043968">
        <w:rPr>
          <w:noProof/>
          <w:lang w:eastAsia="en-AU"/>
        </w:rPr>
        <mc:AlternateContent>
          <mc:Choice Requires="wps">
            <w:drawing>
              <wp:anchor distT="0" distB="0" distL="114300" distR="114300" simplePos="0" relativeHeight="251990016" behindDoc="0" locked="0" layoutInCell="1" allowOverlap="1" wp14:anchorId="4D7D4FF7" wp14:editId="7059881C">
                <wp:simplePos x="0" y="0"/>
                <wp:positionH relativeFrom="column">
                  <wp:posOffset>-572135</wp:posOffset>
                </wp:positionH>
                <wp:positionV relativeFrom="paragraph">
                  <wp:posOffset>4351021</wp:posOffset>
                </wp:positionV>
                <wp:extent cx="7153275" cy="5566410"/>
                <wp:effectExtent l="0" t="0" r="0" b="952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3275" cy="556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74AE6" w14:textId="77777777" w:rsidR="00AA34B7" w:rsidRDefault="00AA34B7" w:rsidP="009221F1"/>
                          <w:p w14:paraId="256C1288" w14:textId="77777777" w:rsidR="00AA34B7" w:rsidRDefault="00AA34B7" w:rsidP="009221F1"/>
                          <w:p w14:paraId="7A8DFBE8" w14:textId="77777777" w:rsidR="00AA34B7" w:rsidRDefault="00AA34B7" w:rsidP="009221F1"/>
                          <w:p w14:paraId="60808EA4" w14:textId="77777777" w:rsidR="00AA34B7" w:rsidRDefault="00AA34B7" w:rsidP="009221F1"/>
                          <w:p w14:paraId="2846B369" w14:textId="77777777" w:rsidR="00AA34B7" w:rsidRDefault="00AA34B7" w:rsidP="009221F1"/>
                          <w:p w14:paraId="111FE3F0" w14:textId="77777777" w:rsidR="00AA34B7" w:rsidRDefault="00AA34B7" w:rsidP="009221F1"/>
                          <w:p w14:paraId="10179844" w14:textId="77777777" w:rsidR="00AA34B7" w:rsidRDefault="00AA34B7" w:rsidP="009221F1"/>
                          <w:p w14:paraId="5133DD44" w14:textId="77777777" w:rsidR="00AA34B7" w:rsidRDefault="00AA34B7" w:rsidP="009221F1"/>
                          <w:p w14:paraId="4DC98290" w14:textId="77777777" w:rsidR="00AA34B7" w:rsidRDefault="00AA34B7" w:rsidP="009221F1"/>
                          <w:p w14:paraId="6A2225F1" w14:textId="3A7F32E8" w:rsidR="00AA34B7" w:rsidRDefault="00AA34B7" w:rsidP="009221F1"/>
                          <w:p w14:paraId="3CD0D30F" w14:textId="69AC19CF" w:rsidR="00AA34B7" w:rsidRDefault="00AA34B7" w:rsidP="009221F1"/>
                          <w:p w14:paraId="0A66FCE2" w14:textId="2C00260C" w:rsidR="00AA34B7" w:rsidRDefault="00AA34B7" w:rsidP="009221F1"/>
                          <w:p w14:paraId="2F9063B7" w14:textId="77777777" w:rsidR="00AA34B7" w:rsidRDefault="00AA34B7" w:rsidP="009221F1"/>
                          <w:p w14:paraId="3E8567A3" w14:textId="77777777" w:rsidR="00AA34B7" w:rsidRDefault="00AA34B7" w:rsidP="009221F1"/>
                          <w:p w14:paraId="6E1D470C" w14:textId="3EFFD27F" w:rsidR="00AA34B7" w:rsidRDefault="00AA34B7" w:rsidP="009221F1"/>
                          <w:p w14:paraId="6F70F9A3" w14:textId="77777777" w:rsidR="00AA34B7" w:rsidRDefault="00AA34B7" w:rsidP="009221F1"/>
                          <w:p w14:paraId="2403CA83" w14:textId="77777777" w:rsidR="00AA34B7" w:rsidRDefault="00AA34B7" w:rsidP="009221F1"/>
                          <w:p w14:paraId="2E2A4A17" w14:textId="77777777" w:rsidR="00AA34B7" w:rsidRDefault="00AA34B7" w:rsidP="009221F1"/>
                          <w:p w14:paraId="31F41B29" w14:textId="40C3AF56" w:rsidR="00AA34B7" w:rsidRDefault="00AA34B7" w:rsidP="009221F1">
                            <w:r w:rsidRPr="009221F1">
                              <w:rPr>
                                <w:noProof/>
                                <w:lang w:eastAsia="en-AU"/>
                              </w:rPr>
                              <w:drawing>
                                <wp:inline distT="0" distB="0" distL="0" distR="0" wp14:anchorId="4346C3BB" wp14:editId="4055EF11">
                                  <wp:extent cx="6828720" cy="515845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28720" cy="51584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D4FF7" id="_x0000_s1027" type="#_x0000_t202" style="position:absolute;margin-left:-45.05pt;margin-top:342.6pt;width:563.25pt;height:438.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" filled="f" stroked="f" strokeweight=".5pt">
                <v:textbox inset=",,,0">
                  <w:txbxContent>
                    <w:p w14:paraId="03D74AE6" w14:textId="77777777" w:rsidR="00AA34B7" w:rsidRDefault="00AA34B7" w:rsidP="009221F1"/>
                    <w:p w14:paraId="256C1288" w14:textId="77777777" w:rsidR="00AA34B7" w:rsidRDefault="00AA34B7" w:rsidP="009221F1"/>
                    <w:p w14:paraId="7A8DFBE8" w14:textId="77777777" w:rsidR="00AA34B7" w:rsidRDefault="00AA34B7" w:rsidP="009221F1"/>
                    <w:p w14:paraId="60808EA4" w14:textId="77777777" w:rsidR="00AA34B7" w:rsidRDefault="00AA34B7" w:rsidP="009221F1"/>
                    <w:p w14:paraId="2846B369" w14:textId="77777777" w:rsidR="00AA34B7" w:rsidRDefault="00AA34B7" w:rsidP="009221F1"/>
                    <w:p w14:paraId="111FE3F0" w14:textId="77777777" w:rsidR="00AA34B7" w:rsidRDefault="00AA34B7" w:rsidP="009221F1"/>
                    <w:p w14:paraId="10179844" w14:textId="77777777" w:rsidR="00AA34B7" w:rsidRDefault="00AA34B7" w:rsidP="009221F1"/>
                    <w:p w14:paraId="5133DD44" w14:textId="77777777" w:rsidR="00AA34B7" w:rsidRDefault="00AA34B7" w:rsidP="009221F1"/>
                    <w:p w14:paraId="4DC98290" w14:textId="77777777" w:rsidR="00AA34B7" w:rsidRDefault="00AA34B7" w:rsidP="009221F1"/>
                    <w:p w14:paraId="6A2225F1" w14:textId="3A7F32E8" w:rsidR="00AA34B7" w:rsidRDefault="00AA34B7" w:rsidP="009221F1"/>
                    <w:p w14:paraId="3CD0D30F" w14:textId="69AC19CF" w:rsidR="00AA34B7" w:rsidRDefault="00AA34B7" w:rsidP="009221F1"/>
                    <w:p w14:paraId="0A66FCE2" w14:textId="2C00260C" w:rsidR="00AA34B7" w:rsidRDefault="00AA34B7" w:rsidP="009221F1"/>
                    <w:p w14:paraId="2F9063B7" w14:textId="77777777" w:rsidR="00AA34B7" w:rsidRDefault="00AA34B7" w:rsidP="009221F1"/>
                    <w:p w14:paraId="3E8567A3" w14:textId="77777777" w:rsidR="00AA34B7" w:rsidRDefault="00AA34B7" w:rsidP="009221F1"/>
                    <w:p w14:paraId="6E1D470C" w14:textId="3EFFD27F" w:rsidR="00AA34B7" w:rsidRDefault="00AA34B7" w:rsidP="009221F1"/>
                    <w:p w14:paraId="6F70F9A3" w14:textId="77777777" w:rsidR="00AA34B7" w:rsidRDefault="00AA34B7" w:rsidP="009221F1"/>
                    <w:p w14:paraId="2403CA83" w14:textId="77777777" w:rsidR="00AA34B7" w:rsidRDefault="00AA34B7" w:rsidP="009221F1"/>
                    <w:p w14:paraId="2E2A4A17" w14:textId="77777777" w:rsidR="00AA34B7" w:rsidRDefault="00AA34B7" w:rsidP="009221F1"/>
                    <w:p w14:paraId="31F41B29" w14:textId="40C3AF56" w:rsidR="00AA34B7" w:rsidRDefault="00AA34B7" w:rsidP="009221F1">
                      <w:r w:rsidRPr="009221F1">
                        <w:rPr>
                          <w:noProof/>
                          <w:lang w:eastAsia="en-AU"/>
                        </w:rPr>
                        <w:drawing>
                          <wp:inline distT="0" distB="0" distL="0" distR="0" wp14:anchorId="4346C3BB" wp14:editId="4055EF11">
                            <wp:extent cx="6828720" cy="5158452"/>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828720" cy="5158452"/>
                                    </a:xfrm>
                                    <a:prstGeom prst="rect">
                                      <a:avLst/>
                                    </a:prstGeom>
                                    <a:noFill/>
                                    <a:ln>
                                      <a:noFill/>
                                    </a:ln>
                                  </pic:spPr>
                                </pic:pic>
                              </a:graphicData>
                            </a:graphic>
                          </wp:inline>
                        </w:drawing>
                      </w:r>
                    </w:p>
                  </w:txbxContent>
                </v:textbox>
              </v:shape>
            </w:pict>
          </mc:Fallback>
        </mc:AlternateContent>
      </w:r>
      <w:r w:rsidR="00E51BF4">
        <w:rPr>
          <w:noProof/>
          <w:lang w:eastAsia="en-AU"/>
        </w:rPr>
        <mc:AlternateContent>
          <mc:Choice Requires="wps">
            <w:drawing>
              <wp:anchor distT="0" distB="0" distL="114300" distR="114300" simplePos="0" relativeHeight="251760640" behindDoc="0" locked="0" layoutInCell="1" allowOverlap="1" wp14:anchorId="23DEB0A3" wp14:editId="35C77EE0">
                <wp:simplePos x="0" y="0"/>
                <wp:positionH relativeFrom="column">
                  <wp:posOffset>-487045</wp:posOffset>
                </wp:positionH>
                <wp:positionV relativeFrom="paragraph">
                  <wp:posOffset>2258695</wp:posOffset>
                </wp:positionV>
                <wp:extent cx="211582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1582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987B98C" id="Straight Connector 7" o:spid="_x0000_s1026" style="position:absolute;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35pt,177.85pt" to="128.25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" strokecolor="black [3213]" strokeweight="1pt"/>
            </w:pict>
          </mc:Fallback>
        </mc:AlternateContent>
      </w:r>
      <w:r w:rsidR="00AC0862">
        <w:rPr>
          <w:noProof/>
          <w:lang w:eastAsia="en-AU"/>
        </w:rPr>
        <mc:AlternateContent>
          <mc:Choice Requires="wps">
            <w:drawing>
              <wp:anchor distT="0" distB="0" distL="114300" distR="114300" simplePos="0" relativeHeight="251754496" behindDoc="0" locked="0" layoutInCell="1" allowOverlap="1" wp14:anchorId="0653D01D" wp14:editId="415B3602">
                <wp:simplePos x="0" y="0"/>
                <wp:positionH relativeFrom="column">
                  <wp:posOffset>4813935</wp:posOffset>
                </wp:positionH>
                <wp:positionV relativeFrom="paragraph">
                  <wp:posOffset>-343697</wp:posOffset>
                </wp:positionV>
                <wp:extent cx="1743075" cy="279400"/>
                <wp:effectExtent l="0" t="0" r="9525" b="6350"/>
                <wp:wrapNone/>
                <wp:docPr id="45" name="Text Box 45"/>
                <wp:cNvGraphicFramePr/>
                <a:graphic xmlns:a="http://schemas.openxmlformats.org/drawingml/2006/main">
                  <a:graphicData uri="http://schemas.microsoft.com/office/word/2010/wordprocessingShape">
                    <wps:wsp>
                      <wps:cNvSpPr txBox="1"/>
                      <wps:spPr>
                        <a:xfrm>
                          <a:off x="0" y="0"/>
                          <a:ext cx="174307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3397C" w14:textId="0FD2D6DA" w:rsidR="00AA34B7" w:rsidRPr="005E3990" w:rsidRDefault="00AA34B7" w:rsidP="00704F86">
                            <w:pPr>
                              <w:jc w:val="center"/>
                              <w:rPr>
                                <w:rFonts w:ascii="Arial Bold" w:hAnsi="Arial Bold" w:cs="Arial"/>
                                <w:b/>
                                <w:color w:val="FFFFFF" w:themeColor="background1"/>
                                <w:sz w:val="24"/>
                              </w:rPr>
                            </w:pPr>
                            <w:r w:rsidRPr="005E3990">
                              <w:rPr>
                                <w:rFonts w:ascii="Arial Bold" w:hAnsi="Arial Bold" w:cs="Arial"/>
                                <w:b/>
                                <w:caps/>
                                <w:color w:val="FFFFFF" w:themeColor="background1"/>
                                <w:sz w:val="24"/>
                              </w:rPr>
                              <w:t>ReSEARCH REPORT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D01D" id="Text Box 45" o:spid="_x0000_s1028" type="#_x0000_t202" style="position:absolute;margin-left:379.05pt;margin-top:-27.05pt;width:137.25pt;height:2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" filled="f" stroked="f" strokeweight=".5pt">
                <v:textbox inset="1mm,0,1mm,0">
                  <w:txbxContent>
                    <w:p w14:paraId="4223397C" w14:textId="0FD2D6DA" w:rsidR="00AA34B7" w:rsidRPr="005E3990" w:rsidRDefault="00AA34B7" w:rsidP="00704F86">
                      <w:pPr>
                        <w:jc w:val="center"/>
                        <w:rPr>
                          <w:rFonts w:ascii="Arial Bold" w:hAnsi="Arial Bold" w:cs="Arial"/>
                          <w:b/>
                          <w:color w:val="FFFFFF" w:themeColor="background1"/>
                          <w:sz w:val="24"/>
                        </w:rPr>
                      </w:pPr>
                      <w:r w:rsidRPr="005E3990">
                        <w:rPr>
                          <w:rFonts w:ascii="Arial Bold" w:hAnsi="Arial Bold" w:cs="Arial"/>
                          <w:b/>
                          <w:caps/>
                          <w:color w:val="FFFFFF" w:themeColor="background1"/>
                          <w:sz w:val="24"/>
                        </w:rPr>
                        <w:t>ReSEARCH REPORT</w:t>
                      </w:r>
                    </w:p>
                  </w:txbxContent>
                </v:textbox>
              </v:shape>
            </w:pict>
          </mc:Fallback>
        </mc:AlternateContent>
      </w:r>
      <w:r w:rsidR="00AC0862">
        <w:rPr>
          <w:noProof/>
          <w:lang w:eastAsia="en-AU"/>
        </w:rPr>
        <w:drawing>
          <wp:anchor distT="0" distB="0" distL="114300" distR="114300" simplePos="0" relativeHeight="251977728" behindDoc="1" locked="0" layoutInCell="1" allowOverlap="1" wp14:anchorId="7EAD248C" wp14:editId="6333D460">
            <wp:simplePos x="0" y="0"/>
            <wp:positionH relativeFrom="column">
              <wp:posOffset>-614695</wp:posOffset>
            </wp:positionH>
            <wp:positionV relativeFrom="paragraph">
              <wp:posOffset>-349191</wp:posOffset>
            </wp:positionV>
            <wp:extent cx="7193235" cy="1446594"/>
            <wp:effectExtent l="0" t="0" r="825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ColourBar\ColourTabsForResearchReports\ColourBar_Purple_RightTab_Resized.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93235" cy="1446594"/>
                    </a:xfrm>
                    <a:prstGeom prst="rect">
                      <a:avLst/>
                    </a:prstGeom>
                    <a:noFill/>
                    <a:ln>
                      <a:noFill/>
                    </a:ln>
                  </pic:spPr>
                </pic:pic>
              </a:graphicData>
            </a:graphic>
            <wp14:sizeRelH relativeFrom="page">
              <wp14:pctWidth>0</wp14:pctWidth>
            </wp14:sizeRelH>
            <wp14:sizeRelV relativeFrom="page">
              <wp14:pctHeight>0</wp14:pctHeight>
            </wp14:sizeRelV>
          </wp:anchor>
        </w:drawing>
      </w:r>
      <w:r w:rsidR="00AC0862">
        <w:rPr>
          <w:noProof/>
          <w:lang w:eastAsia="en-AU"/>
        </w:rPr>
        <w:drawing>
          <wp:anchor distT="0" distB="0" distL="114300" distR="114300" simplePos="0" relativeHeight="251795456" behindDoc="0" locked="0" layoutInCell="1" allowOverlap="1" wp14:anchorId="5B25332C" wp14:editId="5667450F">
            <wp:simplePos x="0" y="0"/>
            <wp:positionH relativeFrom="column">
              <wp:posOffset>4562814</wp:posOffset>
            </wp:positionH>
            <wp:positionV relativeFrom="paragraph">
              <wp:posOffset>9610252</wp:posOffset>
            </wp:positionV>
            <wp:extent cx="1791335" cy="2279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VER_Tagline.wmf"/>
                    <pic:cNvPicPr/>
                  </pic:nvPicPr>
                  <pic:blipFill>
                    <a:blip r:embed="rId10">
                      <a:extLst>
                        <a:ext uri="{28A0092B-C50C-407E-A947-70E740481C1C}">
                          <a14:useLocalDpi xmlns:a14="http://schemas.microsoft.com/office/drawing/2010/main" val="0"/>
                        </a:ext>
                      </a:extLst>
                    </a:blip>
                    <a:stretch>
                      <a:fillRect/>
                    </a:stretch>
                  </pic:blipFill>
                  <pic:spPr>
                    <a:xfrm>
                      <a:off x="0" y="0"/>
                      <a:ext cx="1791335" cy="2279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r w:rsidR="00D056F3">
        <w:br w:type="page"/>
      </w:r>
      <w:bookmarkStart w:id="3" w:name="_Toc495748330"/>
      <w:bookmarkStart w:id="4" w:name="_Toc495810630"/>
      <w:bookmarkStart w:id="5" w:name="_Toc6031787"/>
      <w:bookmarkStart w:id="6" w:name="_Toc6031844"/>
      <w:bookmarkEnd w:id="2"/>
    </w:p>
    <w:p w14:paraId="25F6F37A" w14:textId="4E4BCE8E" w:rsidR="00CD3455" w:rsidRDefault="00CD3455" w:rsidP="00CD3455">
      <w:pPr>
        <w:pStyle w:val="Heading3"/>
        <w:ind w:right="-1"/>
      </w:pPr>
      <w:bookmarkStart w:id="7" w:name="_Toc98394880"/>
      <w:bookmarkStart w:id="8" w:name="_Toc296423683"/>
      <w:bookmarkStart w:id="9" w:name="_Toc296497514"/>
      <w:r w:rsidRPr="005C2FCF">
        <w:lastRenderedPageBreak/>
        <w:t>Publisher’s note</w:t>
      </w:r>
    </w:p>
    <w:p w14:paraId="5F15D7DA" w14:textId="77777777" w:rsidR="00CD3455" w:rsidRPr="00A936F3" w:rsidRDefault="00CD3455" w:rsidP="00CD3455">
      <w:pPr>
        <w:pStyle w:val="Imprint"/>
      </w:pPr>
      <w:r w:rsidRPr="00A936F3">
        <w:t>The views and opinions expressed in this document are those of NCVER and do not necessarily reflect the views of the Australian Government, or state and territory governments. Any interpretation of data is the responsibility of the author/project team.</w:t>
      </w:r>
    </w:p>
    <w:p w14:paraId="6406B60B" w14:textId="17C83CE6" w:rsidR="00CD3455" w:rsidRPr="00A936F3" w:rsidRDefault="00CD3455" w:rsidP="00CD3455">
      <w:pPr>
        <w:pStyle w:val="Imprint"/>
        <w:ind w:right="-1"/>
      </w:pPr>
      <w:r w:rsidRPr="00A936F3">
        <w:t>Additional information relating to this research is available in</w:t>
      </w:r>
      <w:r w:rsidRPr="00A936F3">
        <w:rPr>
          <w:i/>
          <w:iCs/>
        </w:rPr>
        <w:t xml:space="preserve"> </w:t>
      </w:r>
      <w:r w:rsidR="006366A5" w:rsidRPr="00A936F3">
        <w:rPr>
          <w:i/>
          <w:iCs/>
        </w:rPr>
        <w:t>Building Capability and quality in VET teaching: Frameworks, standards and Insights</w:t>
      </w:r>
      <w:r w:rsidR="006366A5" w:rsidRPr="00A936F3">
        <w:t>-- support document</w:t>
      </w:r>
      <w:r w:rsidRPr="00A936F3">
        <w:t>. It can be accessed from NCVER’s Portal &lt;http</w:t>
      </w:r>
      <w:r w:rsidR="002C520B" w:rsidRPr="00A936F3">
        <w:t>s</w:t>
      </w:r>
      <w:r w:rsidRPr="00A936F3">
        <w:t xml:space="preserve">://www.ncver.edu.au&gt;. </w:t>
      </w:r>
    </w:p>
    <w:p w14:paraId="10383775" w14:textId="01A9103A" w:rsidR="008C48F2" w:rsidRDefault="00CD3455" w:rsidP="0070735C">
      <w:pPr>
        <w:pStyle w:val="Imprint"/>
        <w:ind w:right="-1"/>
      </w:pPr>
      <w:r w:rsidRPr="00A936F3">
        <w:t xml:space="preserve">To find other material of interest, search </w:t>
      </w:r>
      <w:proofErr w:type="spellStart"/>
      <w:r w:rsidRPr="00A936F3">
        <w:t>VOCEDplus</w:t>
      </w:r>
      <w:proofErr w:type="spellEnd"/>
      <w:r w:rsidRPr="00A936F3">
        <w:t xml:space="preserve"> (the UNESCO/NCVER international database &lt;</w:t>
      </w:r>
      <w:hyperlink r:id="rId11" w:history="1">
        <w:r w:rsidR="002C520B" w:rsidRPr="00A936F3">
          <w:rPr>
            <w:rStyle w:val="Hyperlink"/>
            <w:sz w:val="16"/>
          </w:rPr>
          <w:t>https://www.voced.edu.au</w:t>
        </w:r>
      </w:hyperlink>
      <w:r w:rsidRPr="00A936F3">
        <w:t>&gt;) using the following keywords:</w:t>
      </w:r>
      <w:r w:rsidR="0055207C" w:rsidRPr="00A936F3">
        <w:t xml:space="preserve"> Accreditation; Barrier; Competence; Competency standard; Job skill; Mentoring; Performance; Pilot project; Practitioners; Professional recognition; Providers of education and training; Qualifications; Quality; Recruitment; Skills and knowledge; Teacher training; Teaching and learning; </w:t>
      </w:r>
      <w:r w:rsidR="0034169D" w:rsidRPr="00A936F3">
        <w:t>Teacher</w:t>
      </w:r>
      <w:r w:rsidR="0055207C" w:rsidRPr="00A936F3">
        <w:t xml:space="preserve">; </w:t>
      </w:r>
      <w:r w:rsidR="00D470D3" w:rsidRPr="00A936F3">
        <w:t xml:space="preserve">Trainer, </w:t>
      </w:r>
      <w:r w:rsidR="0055207C" w:rsidRPr="00A936F3">
        <w:t>Vocational education and training; Vocational teachers; Workforce development.</w:t>
      </w:r>
      <w:r w:rsidRPr="00A936F3">
        <w:t xml:space="preserve"> </w:t>
      </w:r>
    </w:p>
    <w:p w14:paraId="5733131B" w14:textId="0B6A456A" w:rsidR="00E77E34" w:rsidRPr="00A31191" w:rsidRDefault="00E77E34" w:rsidP="00E77E34">
      <w:pPr>
        <w:pStyle w:val="Imprint"/>
        <w:rPr>
          <w:i/>
          <w:iCs/>
        </w:rPr>
      </w:pPr>
      <w:r w:rsidRPr="00A31191">
        <w:rPr>
          <w:i/>
          <w:iCs/>
        </w:rPr>
        <w:t xml:space="preserve">This report was previously published </w:t>
      </w:r>
      <w:r w:rsidR="000A345A">
        <w:rPr>
          <w:i/>
          <w:iCs/>
        </w:rPr>
        <w:t xml:space="preserve">in two parts. It was then </w:t>
      </w:r>
      <w:r w:rsidRPr="00A31191">
        <w:rPr>
          <w:i/>
          <w:iCs/>
        </w:rPr>
        <w:t>review</w:t>
      </w:r>
      <w:r w:rsidR="000A345A">
        <w:rPr>
          <w:i/>
          <w:iCs/>
        </w:rPr>
        <w:t>ed</w:t>
      </w:r>
      <w:r w:rsidRPr="00A31191">
        <w:rPr>
          <w:i/>
          <w:iCs/>
        </w:rPr>
        <w:t xml:space="preserve"> to integrat</w:t>
      </w:r>
      <w:r w:rsidR="000A345A">
        <w:rPr>
          <w:i/>
          <w:iCs/>
        </w:rPr>
        <w:t>e the findings from</w:t>
      </w:r>
      <w:r w:rsidRPr="00A31191">
        <w:rPr>
          <w:i/>
          <w:iCs/>
        </w:rPr>
        <w:t xml:space="preserve"> the following three separate pieces of work: Overview of the study, Summary of stakeholder contributions and Outcomes of the literature review. This integration has made it easier for the reader to identify the implications of the three pieces of work</w:t>
      </w:r>
      <w:r w:rsidR="000A345A">
        <w:rPr>
          <w:i/>
          <w:iCs/>
        </w:rPr>
        <w:t>.</w:t>
      </w:r>
    </w:p>
    <w:p w14:paraId="4DE0269C" w14:textId="6631A9CE" w:rsidR="00E77E34" w:rsidRPr="00A936F3" w:rsidRDefault="00E77E34" w:rsidP="0070735C">
      <w:pPr>
        <w:pStyle w:val="Imprint"/>
        <w:ind w:right="-1"/>
      </w:pPr>
    </w:p>
    <w:p w14:paraId="4DA2C9BD" w14:textId="2EAAF21E" w:rsidR="00CD3455" w:rsidRDefault="00C23201" w:rsidP="00CD3455">
      <w:pPr>
        <w:sectPr w:rsidR="00CD3455" w:rsidSect="002C2FD3">
          <w:footerReference w:type="first" r:id="rId12"/>
          <w:pgSz w:w="11907" w:h="16840" w:code="9"/>
          <w:pgMar w:top="993" w:right="1276" w:bottom="851" w:left="1276" w:header="709" w:footer="556" w:gutter="0"/>
          <w:cols w:space="708"/>
          <w:docGrid w:linePitch="360"/>
        </w:sectPr>
      </w:pPr>
      <w:r>
        <w:rPr>
          <w:noProof/>
        </w:rPr>
        <mc:AlternateContent>
          <mc:Choice Requires="wps">
            <w:drawing>
              <wp:anchor distT="0" distB="0" distL="114300" distR="114300" simplePos="0" relativeHeight="251983872" behindDoc="0" locked="0" layoutInCell="1" allowOverlap="1" wp14:anchorId="6F1736BF" wp14:editId="796E22F4">
                <wp:simplePos x="0" y="0"/>
                <wp:positionH relativeFrom="column">
                  <wp:posOffset>18415</wp:posOffset>
                </wp:positionH>
                <wp:positionV relativeFrom="paragraph">
                  <wp:posOffset>762635</wp:posOffset>
                </wp:positionV>
                <wp:extent cx="5596890" cy="5807663"/>
                <wp:effectExtent l="0" t="0" r="3810" b="31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807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C794" w14:textId="50E3F219" w:rsidR="00AA34B7" w:rsidRPr="00A021FC" w:rsidRDefault="00AA34B7" w:rsidP="00CD3455">
                            <w:pPr>
                              <w:pStyle w:val="Imprint"/>
                              <w:rPr>
                                <w:b/>
                              </w:rPr>
                            </w:pPr>
                            <w:r w:rsidRPr="00A021FC">
                              <w:rPr>
                                <w:b/>
                              </w:rPr>
                              <w:t xml:space="preserve">© </w:t>
                            </w:r>
                            <w:r w:rsidRPr="008C3142">
                              <w:rPr>
                                <w:b/>
                              </w:rPr>
                              <w:t>Commonwealth of Australia</w:t>
                            </w:r>
                            <w:r w:rsidRPr="00A021FC">
                              <w:rPr>
                                <w:b/>
                              </w:rPr>
                              <w:t xml:space="preserve">, </w:t>
                            </w:r>
                            <w:r w:rsidRPr="00EB3F85">
                              <w:rPr>
                                <w:b/>
                              </w:rPr>
                              <w:t>2021</w:t>
                            </w:r>
                          </w:p>
                          <w:p w14:paraId="2B043995" w14:textId="77777777" w:rsidR="00AA34B7" w:rsidRDefault="00AA34B7" w:rsidP="00CD3455">
                            <w:pPr>
                              <w:pStyle w:val="Imprint"/>
                              <w:rPr>
                                <w:sz w:val="20"/>
                              </w:rPr>
                            </w:pPr>
                            <w:r w:rsidRPr="00E80270">
                              <w:rPr>
                                <w:noProof/>
                                <w:sz w:val="20"/>
                                <w:lang w:eastAsia="en-AU"/>
                              </w:rPr>
                              <w:drawing>
                                <wp:inline distT="0" distB="0" distL="0" distR="0" wp14:anchorId="64B60287" wp14:editId="358BF15A">
                                  <wp:extent cx="850265" cy="302895"/>
                                  <wp:effectExtent l="19050" t="0" r="6985" b="0"/>
                                  <wp:docPr id="1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BC17CBC" w14:textId="77777777" w:rsidR="00AA34B7" w:rsidRDefault="00AA34B7" w:rsidP="00CD3455">
                            <w:pPr>
                              <w:pStyle w:val="Imprint"/>
                            </w:pPr>
                          </w:p>
                          <w:p w14:paraId="5C21C12D" w14:textId="77777777" w:rsidR="00AA34B7" w:rsidRPr="00665DEA" w:rsidRDefault="00AA34B7" w:rsidP="00CD3455">
                            <w:pPr>
                              <w:pStyle w:val="Imprint"/>
                            </w:pPr>
                            <w:r w:rsidRPr="00665DEA">
                              <w:t xml:space="preserve">With the exception of the Commonwealth Coat of Arms, the Department’s logo, any material protected by a </w:t>
                            </w:r>
                            <w:proofErr w:type="gramStart"/>
                            <w:r w:rsidRPr="00665DEA">
                              <w:t>trade mark</w:t>
                            </w:r>
                            <w:proofErr w:type="gramEnd"/>
                            <w:r w:rsidRPr="00665DEA">
                              <w:t xml:space="preserve"> and where otherwise noted all material presented in this document is provided under a Creative Commons Attribution 3.0 Australia &lt;http://creativecommons.org/licenses/by/3.0/au&gt; licence. </w:t>
                            </w:r>
                          </w:p>
                          <w:p w14:paraId="15FCB018" w14:textId="1489FD6C" w:rsidR="00AA34B7" w:rsidRPr="00665DEA" w:rsidRDefault="00AA34B7" w:rsidP="00CD3455">
                            <w:pPr>
                              <w:pStyle w:val="Imprint"/>
                            </w:pPr>
                            <w:r w:rsidRPr="00665DEA">
                              <w:t xml:space="preserve">The details of the relevant licence conditions are available on the Creative Commons website (accessible using the links </w:t>
                            </w:r>
                            <w:r w:rsidRPr="00665DEA">
                              <w:rPr>
                                <w:spacing w:val="-1"/>
                              </w:rPr>
                              <w:t>provided) as is the full legal code for the</w:t>
                            </w:r>
                            <w:r>
                              <w:rPr>
                                <w:spacing w:val="-1"/>
                              </w:rPr>
                              <w:t xml:space="preserve"> CC</w:t>
                            </w:r>
                            <w:r w:rsidRPr="00665DEA">
                              <w:rPr>
                                <w:spacing w:val="-1"/>
                              </w:rPr>
                              <w:t xml:space="preserve"> BY 3.0 AU licence &lt;http://creativecommons.org/licenses/by/3.0/legalcode&gt;.</w:t>
                            </w:r>
                            <w:r w:rsidRPr="00665DEA">
                              <w:rPr>
                                <w:spacing w:val="-2"/>
                              </w:rPr>
                              <w:t xml:space="preserve"> </w:t>
                            </w:r>
                          </w:p>
                          <w:p w14:paraId="19FC4CE8" w14:textId="77777777" w:rsidR="00AA34B7" w:rsidRPr="00665DEA" w:rsidRDefault="00AA34B7" w:rsidP="00CD3455">
                            <w:pPr>
                              <w:pStyle w:val="Imprint"/>
                            </w:pPr>
                            <w:r w:rsidRPr="00665DEA">
                              <w:t xml:space="preserve">The Creative Commons licence conditions do not apply to all logos, graphic design, </w:t>
                            </w:r>
                            <w:proofErr w:type="gramStart"/>
                            <w:r w:rsidRPr="00665DEA">
                              <w:t>artwork</w:t>
                            </w:r>
                            <w:proofErr w:type="gramEnd"/>
                            <w:r w:rsidRPr="00665DEA">
                              <w:t xml:space="preserve"> and photographs. Requests and enquiries concerning other reproduction and rights should be directed to the National Centre for Vocational Education Research (NCVER).</w:t>
                            </w:r>
                          </w:p>
                          <w:p w14:paraId="7F1F1EFE" w14:textId="5E8CDABD" w:rsidR="00AA34B7" w:rsidRPr="00665DEA" w:rsidRDefault="00AA34B7" w:rsidP="00CD3455">
                            <w:pPr>
                              <w:pStyle w:val="Imprint"/>
                            </w:pPr>
                            <w:r w:rsidRPr="00665DEA">
                              <w:t xml:space="preserve">This document should be attributed as </w:t>
                            </w:r>
                            <w:r>
                              <w:t xml:space="preserve">Josie Misko, Hugh </w:t>
                            </w:r>
                            <w:proofErr w:type="gramStart"/>
                            <w:r>
                              <w:t>Guthrie</w:t>
                            </w:r>
                            <w:proofErr w:type="gramEnd"/>
                            <w:r>
                              <w:t xml:space="preserve"> and Melinda Waters,</w:t>
                            </w:r>
                            <w:r w:rsidRPr="00665DEA">
                              <w:t xml:space="preserve"> </w:t>
                            </w:r>
                            <w:r w:rsidRPr="00EB3F85">
                              <w:t xml:space="preserve">2021, </w:t>
                            </w:r>
                            <w:r w:rsidRPr="00EB3F85">
                              <w:rPr>
                                <w:i/>
                                <w:iCs/>
                              </w:rPr>
                              <w:t>B</w:t>
                            </w:r>
                            <w:r w:rsidRPr="00665DEA">
                              <w:rPr>
                                <w:i/>
                                <w:iCs/>
                              </w:rPr>
                              <w:t xml:space="preserve">uilding </w:t>
                            </w:r>
                            <w:r>
                              <w:rPr>
                                <w:i/>
                                <w:iCs/>
                              </w:rPr>
                              <w:t>c</w:t>
                            </w:r>
                            <w:r w:rsidRPr="00665DEA">
                              <w:rPr>
                                <w:i/>
                                <w:iCs/>
                              </w:rPr>
                              <w:t>apability and quality in VET teaching: opportunities and challenges</w:t>
                            </w:r>
                            <w:r w:rsidRPr="00665DEA">
                              <w:rPr>
                                <w:i/>
                              </w:rPr>
                              <w:t>,</w:t>
                            </w:r>
                            <w:r w:rsidRPr="00665DEA">
                              <w:t xml:space="preserve"> NCVER, Adelaide. </w:t>
                            </w:r>
                          </w:p>
                          <w:p w14:paraId="67F4F7BF" w14:textId="1CF1B8A6" w:rsidR="00AA34B7" w:rsidRPr="00665DEA" w:rsidRDefault="00AA34B7" w:rsidP="00CD3455">
                            <w:pPr>
                              <w:pStyle w:val="Imprint"/>
                            </w:pPr>
                            <w:r w:rsidRPr="00665DEA">
                              <w:t xml:space="preserve">This work has been produced by NCVER on behalf of the Australian Government and state and territory governments, with funding provided through the Australian Government Department of Education, Skills and Employment. </w:t>
                            </w:r>
                          </w:p>
                          <w:p w14:paraId="3BD155CB" w14:textId="77777777" w:rsidR="00AA34B7" w:rsidRPr="00665DEA" w:rsidRDefault="00AA34B7" w:rsidP="00CD3455">
                            <w:pPr>
                              <w:pStyle w:val="Imprint"/>
                            </w:pPr>
                            <w:r w:rsidRPr="00665DEA">
                              <w:rPr>
                                <w:smallCaps/>
                              </w:rPr>
                              <w:t>COVER IMAGE: GETTY IMAGES</w:t>
                            </w:r>
                          </w:p>
                          <w:p w14:paraId="68D52CCD" w14:textId="2B4DD030" w:rsidR="00AA34B7" w:rsidRPr="00665DEA" w:rsidRDefault="00AA34B7" w:rsidP="00CD3455">
                            <w:pPr>
                              <w:pStyle w:val="Imprint"/>
                              <w:rPr>
                                <w:color w:val="000000"/>
                              </w:rPr>
                            </w:pPr>
                            <w:r w:rsidRPr="00665DEA">
                              <w:rPr>
                                <w:color w:val="000000"/>
                              </w:rPr>
                              <w:t>ISBN</w:t>
                            </w:r>
                            <w:r w:rsidRPr="00665DEA">
                              <w:rPr>
                                <w:color w:val="000000"/>
                              </w:rPr>
                              <w:tab/>
                            </w:r>
                            <w:r w:rsidRPr="00665DEA">
                              <w:rPr>
                                <w:color w:val="000000"/>
                              </w:rPr>
                              <w:tab/>
                            </w:r>
                            <w:r w:rsidRPr="00665DEA">
                              <w:rPr>
                                <w:color w:val="000000"/>
                              </w:rPr>
                              <w:tab/>
                              <w:t xml:space="preserve">        978-1-925717-56-3</w:t>
                            </w:r>
                          </w:p>
                          <w:p w14:paraId="5524AF6E" w14:textId="3B4358AF" w:rsidR="00AA34B7" w:rsidRPr="00665DEA" w:rsidRDefault="00AA34B7" w:rsidP="00CD3455">
                            <w:pPr>
                              <w:pStyle w:val="Imprint"/>
                              <w:rPr>
                                <w:color w:val="000000"/>
                              </w:rPr>
                            </w:pPr>
                            <w:r w:rsidRPr="00665DEA">
                              <w:rPr>
                                <w:color w:val="000000"/>
                              </w:rPr>
                              <w:t xml:space="preserve">TD/TNC   </w:t>
                            </w:r>
                            <w:r w:rsidRPr="00665DEA">
                              <w:rPr>
                                <w:color w:val="000000"/>
                              </w:rPr>
                              <w:tab/>
                              <w:t>140.14</w:t>
                            </w:r>
                          </w:p>
                          <w:p w14:paraId="7B6AEB92" w14:textId="77777777" w:rsidR="00AA34B7" w:rsidRPr="00665DEA" w:rsidRDefault="00AA34B7" w:rsidP="00CD3455">
                            <w:pPr>
                              <w:pStyle w:val="Imprint"/>
                              <w:ind w:right="1700"/>
                              <w:rPr>
                                <w:color w:val="000000"/>
                              </w:rPr>
                            </w:pPr>
                            <w:r w:rsidRPr="00665DEA">
                              <w:rPr>
                                <w:color w:val="000000"/>
                              </w:rPr>
                              <w:t>Published by NCVER, ABN 87 007 967 311</w:t>
                            </w:r>
                          </w:p>
                          <w:p w14:paraId="4FDC2D5C" w14:textId="77777777" w:rsidR="00AA34B7" w:rsidRPr="00665DEA" w:rsidRDefault="00AA34B7" w:rsidP="00CD3455">
                            <w:pPr>
                              <w:pStyle w:val="Imprint"/>
                              <w:spacing w:before="80"/>
                              <w:rPr>
                                <w:color w:val="000000"/>
                              </w:rPr>
                            </w:pPr>
                            <w:r w:rsidRPr="00665DEA">
                              <w:rPr>
                                <w:color w:val="000000"/>
                              </w:rPr>
                              <w:t>Level 5, 60 Light Square, Adelaide SA 5000</w:t>
                            </w:r>
                            <w:r w:rsidRPr="00665DEA">
                              <w:rPr>
                                <w:color w:val="000000"/>
                              </w:rPr>
                              <w:br/>
                              <w:t>PO Box 8288 Station Arcade, Adelaide SA 5000, Australia</w:t>
                            </w:r>
                          </w:p>
                          <w:p w14:paraId="4CC4FCDC" w14:textId="77777777" w:rsidR="00AA34B7" w:rsidRPr="00665DEA" w:rsidRDefault="00AA34B7" w:rsidP="00CD3455">
                            <w:pPr>
                              <w:pStyle w:val="Imprint"/>
                              <w:tabs>
                                <w:tab w:val="left" w:pos="2127"/>
                              </w:tabs>
                            </w:pPr>
                            <w:r w:rsidRPr="00665DEA">
                              <w:rPr>
                                <w:b/>
                              </w:rPr>
                              <w:t>Phone</w:t>
                            </w:r>
                            <w:r w:rsidRPr="00665DEA">
                              <w:t xml:space="preserve"> +61 8 8230 8400     </w:t>
                            </w:r>
                            <w:r w:rsidRPr="00665DEA">
                              <w:tab/>
                            </w:r>
                            <w:r w:rsidRPr="00665DEA">
                              <w:rPr>
                                <w:b/>
                              </w:rPr>
                              <w:t>Email</w:t>
                            </w:r>
                            <w:r w:rsidRPr="00665DEA">
                              <w:t xml:space="preserve"> </w:t>
                            </w:r>
                            <w:hyperlink r:id="rId14" w:history="1">
                              <w:r w:rsidRPr="00665DEA">
                                <w:rPr>
                                  <w:rStyle w:val="Hyperlink"/>
                                  <w:sz w:val="16"/>
                                  <w:szCs w:val="16"/>
                                </w:rPr>
                                <w:t>ncver@ncver.edu.au</w:t>
                              </w:r>
                            </w:hyperlink>
                            <w:r w:rsidRPr="00665DEA">
                              <w:t xml:space="preserve">    </w:t>
                            </w:r>
                            <w:r w:rsidRPr="00665DEA">
                              <w:br/>
                            </w:r>
                            <w:r w:rsidRPr="00665DEA">
                              <w:rPr>
                                <w:b/>
                              </w:rPr>
                              <w:t>Web</w:t>
                            </w:r>
                            <w:r w:rsidRPr="00665DEA">
                              <w:t xml:space="preserve"> &lt;https://www.ncver.edu.au</w:t>
                            </w:r>
                            <w:proofErr w:type="gramStart"/>
                            <w:r w:rsidRPr="00665DEA">
                              <w:t>&gt;  &lt;</w:t>
                            </w:r>
                            <w:r>
                              <w:fldChar w:fldCharType="begin"/>
                            </w:r>
                            <w:r>
                              <w:instrText xml:space="preserve"> HYPERLINK "https://www.lsay.edu.au" </w:instrText>
                            </w:r>
                            <w:r>
                              <w:fldChar w:fldCharType="separate"/>
                            </w:r>
                            <w:r w:rsidRPr="00665DEA">
                              <w:rPr>
                                <w:rStyle w:val="Hyperlink"/>
                                <w:sz w:val="16"/>
                                <w:szCs w:val="16"/>
                              </w:rPr>
                              <w:t>https://www.lsay.edu.au</w:t>
                            </w:r>
                            <w:r>
                              <w:rPr>
                                <w:rStyle w:val="Hyperlink"/>
                                <w:sz w:val="16"/>
                                <w:szCs w:val="16"/>
                              </w:rPr>
                              <w:fldChar w:fldCharType="end"/>
                            </w:r>
                            <w:proofErr w:type="gramEnd"/>
                            <w:r w:rsidRPr="00665DEA">
                              <w:t>&gt;</w:t>
                            </w:r>
                          </w:p>
                          <w:p w14:paraId="3C2566FA" w14:textId="3A470F03" w:rsidR="00AA34B7" w:rsidRPr="00665DEA" w:rsidRDefault="00AA34B7" w:rsidP="00CD3455">
                            <w:pPr>
                              <w:pStyle w:val="Imprint"/>
                              <w:tabs>
                                <w:tab w:val="left" w:pos="993"/>
                                <w:tab w:val="left" w:pos="3686"/>
                              </w:tabs>
                            </w:pPr>
                            <w:r w:rsidRPr="00665DEA">
                              <w:rPr>
                                <w:b/>
                              </w:rPr>
                              <w:t>Follow us:</w:t>
                            </w:r>
                            <w:r w:rsidRPr="00665DEA">
                              <w:tab/>
                              <w:t xml:space="preserve"> </w:t>
                            </w:r>
                            <w:r>
                              <w:t xml:space="preserve">  </w:t>
                            </w:r>
                            <w:r w:rsidRPr="00665DEA">
                              <w:t xml:space="preserve">  &lt;https://twitter.com/ncver&gt;</w:t>
                            </w:r>
                            <w:r w:rsidRPr="00665DEA">
                              <w:tab/>
                            </w:r>
                            <w:r>
                              <w:t xml:space="preserve"> </w:t>
                            </w:r>
                            <w:r w:rsidRPr="00665DEA">
                              <w:t>&lt;https://www.linkedin.com/company/ncver&gt;</w:t>
                            </w:r>
                          </w:p>
                        </w:txbxContent>
                      </wps:txbx>
                      <wps:bodyPr rot="0" vert="horz" wrap="square" lIns="0" tIns="45720" rIns="0" bIns="45720" anchor="b" anchorCtr="0" upright="1">
                        <a:noAutofit/>
                      </wps:bodyPr>
                    </wps:wsp>
                  </a:graphicData>
                </a:graphic>
              </wp:anchor>
            </w:drawing>
          </mc:Choice>
          <mc:Fallback>
            <w:pict>
              <v:shape w14:anchorId="6F1736BF" id="Text Box 14" o:spid="_x0000_s1029" type="#_x0000_t202" style="position:absolute;margin-left:1.45pt;margin-top:60.05pt;width:440.7pt;height:457.3pt;z-index:25198387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" filled="f" stroked="f">
                <v:textbox inset="0,,0">
                  <w:txbxContent>
                    <w:p w14:paraId="1B5BC794" w14:textId="50E3F219" w:rsidR="00AA34B7" w:rsidRPr="00A021FC" w:rsidRDefault="00AA34B7" w:rsidP="00CD3455">
                      <w:pPr>
                        <w:pStyle w:val="Imprint"/>
                        <w:rPr>
                          <w:b/>
                        </w:rPr>
                      </w:pPr>
                      <w:r w:rsidRPr="00A021FC">
                        <w:rPr>
                          <w:b/>
                        </w:rPr>
                        <w:t xml:space="preserve">© </w:t>
                      </w:r>
                      <w:r w:rsidRPr="008C3142">
                        <w:rPr>
                          <w:b/>
                        </w:rPr>
                        <w:t>Commonwealth of Australia</w:t>
                      </w:r>
                      <w:r w:rsidRPr="00A021FC">
                        <w:rPr>
                          <w:b/>
                        </w:rPr>
                        <w:t xml:space="preserve">, </w:t>
                      </w:r>
                      <w:r w:rsidRPr="00EB3F85">
                        <w:rPr>
                          <w:b/>
                        </w:rPr>
                        <w:t>2021</w:t>
                      </w:r>
                    </w:p>
                    <w:p w14:paraId="2B043995" w14:textId="77777777" w:rsidR="00AA34B7" w:rsidRDefault="00AA34B7" w:rsidP="00CD3455">
                      <w:pPr>
                        <w:pStyle w:val="Imprint"/>
                        <w:rPr>
                          <w:sz w:val="20"/>
                        </w:rPr>
                      </w:pPr>
                      <w:r w:rsidRPr="00E80270">
                        <w:rPr>
                          <w:noProof/>
                          <w:sz w:val="20"/>
                          <w:lang w:eastAsia="en-AU"/>
                        </w:rPr>
                        <w:drawing>
                          <wp:inline distT="0" distB="0" distL="0" distR="0" wp14:anchorId="64B60287" wp14:editId="358BF15A">
                            <wp:extent cx="850265" cy="302895"/>
                            <wp:effectExtent l="19050" t="0" r="6985" b="0"/>
                            <wp:docPr id="1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BC17CBC" w14:textId="77777777" w:rsidR="00AA34B7" w:rsidRDefault="00AA34B7" w:rsidP="00CD3455">
                      <w:pPr>
                        <w:pStyle w:val="Imprint"/>
                      </w:pPr>
                    </w:p>
                    <w:p w14:paraId="5C21C12D" w14:textId="77777777" w:rsidR="00AA34B7" w:rsidRPr="00665DEA" w:rsidRDefault="00AA34B7" w:rsidP="00CD3455">
                      <w:pPr>
                        <w:pStyle w:val="Imprint"/>
                      </w:pPr>
                      <w:r w:rsidRPr="00665DEA">
                        <w:t xml:space="preserve">With the exception of the Commonwealth Coat of Arms, the Department’s logo, any material protected by a </w:t>
                      </w:r>
                      <w:proofErr w:type="gramStart"/>
                      <w:r w:rsidRPr="00665DEA">
                        <w:t>trade mark</w:t>
                      </w:r>
                      <w:proofErr w:type="gramEnd"/>
                      <w:r w:rsidRPr="00665DEA">
                        <w:t xml:space="preserve"> and where otherwise noted all material presented in this document is provided under a Creative Commons Attribution 3.0 Australia &lt;http://creativecommons.org/licenses/by/3.0/au&gt; licence. </w:t>
                      </w:r>
                    </w:p>
                    <w:p w14:paraId="15FCB018" w14:textId="1489FD6C" w:rsidR="00AA34B7" w:rsidRPr="00665DEA" w:rsidRDefault="00AA34B7" w:rsidP="00CD3455">
                      <w:pPr>
                        <w:pStyle w:val="Imprint"/>
                      </w:pPr>
                      <w:r w:rsidRPr="00665DEA">
                        <w:t xml:space="preserve">The details of the relevant licence conditions are available on the Creative Commons website (accessible using the links </w:t>
                      </w:r>
                      <w:r w:rsidRPr="00665DEA">
                        <w:rPr>
                          <w:spacing w:val="-1"/>
                        </w:rPr>
                        <w:t>provided) as is the full legal code for the</w:t>
                      </w:r>
                      <w:r>
                        <w:rPr>
                          <w:spacing w:val="-1"/>
                        </w:rPr>
                        <w:t xml:space="preserve"> CC</w:t>
                      </w:r>
                      <w:r w:rsidRPr="00665DEA">
                        <w:rPr>
                          <w:spacing w:val="-1"/>
                        </w:rPr>
                        <w:t xml:space="preserve"> BY 3.0 AU licence &lt;http://creativecommons.org/licenses/by/3.0/legalcode&gt;.</w:t>
                      </w:r>
                      <w:r w:rsidRPr="00665DEA">
                        <w:rPr>
                          <w:spacing w:val="-2"/>
                        </w:rPr>
                        <w:t xml:space="preserve"> </w:t>
                      </w:r>
                    </w:p>
                    <w:p w14:paraId="19FC4CE8" w14:textId="77777777" w:rsidR="00AA34B7" w:rsidRPr="00665DEA" w:rsidRDefault="00AA34B7" w:rsidP="00CD3455">
                      <w:pPr>
                        <w:pStyle w:val="Imprint"/>
                      </w:pPr>
                      <w:r w:rsidRPr="00665DEA">
                        <w:t xml:space="preserve">The Creative Commons licence conditions do not apply to all logos, graphic design, </w:t>
                      </w:r>
                      <w:proofErr w:type="gramStart"/>
                      <w:r w:rsidRPr="00665DEA">
                        <w:t>artwork</w:t>
                      </w:r>
                      <w:proofErr w:type="gramEnd"/>
                      <w:r w:rsidRPr="00665DEA">
                        <w:t xml:space="preserve"> and photographs. Requests and enquiries concerning other reproduction and rights should be directed to the National Centre for Vocational Education Research (NCVER).</w:t>
                      </w:r>
                    </w:p>
                    <w:p w14:paraId="7F1F1EFE" w14:textId="5E8CDABD" w:rsidR="00AA34B7" w:rsidRPr="00665DEA" w:rsidRDefault="00AA34B7" w:rsidP="00CD3455">
                      <w:pPr>
                        <w:pStyle w:val="Imprint"/>
                      </w:pPr>
                      <w:r w:rsidRPr="00665DEA">
                        <w:t xml:space="preserve">This document should be attributed as </w:t>
                      </w:r>
                      <w:r>
                        <w:t xml:space="preserve">Josie Misko, Hugh </w:t>
                      </w:r>
                      <w:proofErr w:type="gramStart"/>
                      <w:r>
                        <w:t>Guthrie</w:t>
                      </w:r>
                      <w:proofErr w:type="gramEnd"/>
                      <w:r>
                        <w:t xml:space="preserve"> and Melinda Waters,</w:t>
                      </w:r>
                      <w:r w:rsidRPr="00665DEA">
                        <w:t xml:space="preserve"> </w:t>
                      </w:r>
                      <w:r w:rsidRPr="00EB3F85">
                        <w:t xml:space="preserve">2021, </w:t>
                      </w:r>
                      <w:r w:rsidRPr="00EB3F85">
                        <w:rPr>
                          <w:i/>
                          <w:iCs/>
                        </w:rPr>
                        <w:t>B</w:t>
                      </w:r>
                      <w:r w:rsidRPr="00665DEA">
                        <w:rPr>
                          <w:i/>
                          <w:iCs/>
                        </w:rPr>
                        <w:t xml:space="preserve">uilding </w:t>
                      </w:r>
                      <w:r>
                        <w:rPr>
                          <w:i/>
                          <w:iCs/>
                        </w:rPr>
                        <w:t>c</w:t>
                      </w:r>
                      <w:r w:rsidRPr="00665DEA">
                        <w:rPr>
                          <w:i/>
                          <w:iCs/>
                        </w:rPr>
                        <w:t>apability and quality in VET teaching: opportunities and challenges</w:t>
                      </w:r>
                      <w:r w:rsidRPr="00665DEA">
                        <w:rPr>
                          <w:i/>
                        </w:rPr>
                        <w:t>,</w:t>
                      </w:r>
                      <w:r w:rsidRPr="00665DEA">
                        <w:t xml:space="preserve"> NCVER, Adelaide. </w:t>
                      </w:r>
                    </w:p>
                    <w:p w14:paraId="67F4F7BF" w14:textId="1CF1B8A6" w:rsidR="00AA34B7" w:rsidRPr="00665DEA" w:rsidRDefault="00AA34B7" w:rsidP="00CD3455">
                      <w:pPr>
                        <w:pStyle w:val="Imprint"/>
                      </w:pPr>
                      <w:r w:rsidRPr="00665DEA">
                        <w:t xml:space="preserve">This work has been produced by NCVER on behalf of the Australian Government and state and territory governments, with funding provided through the Australian Government Department of Education, Skills and Employment. </w:t>
                      </w:r>
                    </w:p>
                    <w:p w14:paraId="3BD155CB" w14:textId="77777777" w:rsidR="00AA34B7" w:rsidRPr="00665DEA" w:rsidRDefault="00AA34B7" w:rsidP="00CD3455">
                      <w:pPr>
                        <w:pStyle w:val="Imprint"/>
                      </w:pPr>
                      <w:r w:rsidRPr="00665DEA">
                        <w:rPr>
                          <w:smallCaps/>
                        </w:rPr>
                        <w:t>COVER IMAGE: GETTY IMAGES</w:t>
                      </w:r>
                    </w:p>
                    <w:p w14:paraId="68D52CCD" w14:textId="2B4DD030" w:rsidR="00AA34B7" w:rsidRPr="00665DEA" w:rsidRDefault="00AA34B7" w:rsidP="00CD3455">
                      <w:pPr>
                        <w:pStyle w:val="Imprint"/>
                        <w:rPr>
                          <w:color w:val="000000"/>
                        </w:rPr>
                      </w:pPr>
                      <w:r w:rsidRPr="00665DEA">
                        <w:rPr>
                          <w:color w:val="000000"/>
                        </w:rPr>
                        <w:t>ISBN</w:t>
                      </w:r>
                      <w:r w:rsidRPr="00665DEA">
                        <w:rPr>
                          <w:color w:val="000000"/>
                        </w:rPr>
                        <w:tab/>
                      </w:r>
                      <w:r w:rsidRPr="00665DEA">
                        <w:rPr>
                          <w:color w:val="000000"/>
                        </w:rPr>
                        <w:tab/>
                      </w:r>
                      <w:r w:rsidRPr="00665DEA">
                        <w:rPr>
                          <w:color w:val="000000"/>
                        </w:rPr>
                        <w:tab/>
                        <w:t xml:space="preserve">        978-1-925717-56-3</w:t>
                      </w:r>
                    </w:p>
                    <w:p w14:paraId="5524AF6E" w14:textId="3B4358AF" w:rsidR="00AA34B7" w:rsidRPr="00665DEA" w:rsidRDefault="00AA34B7" w:rsidP="00CD3455">
                      <w:pPr>
                        <w:pStyle w:val="Imprint"/>
                        <w:rPr>
                          <w:color w:val="000000"/>
                        </w:rPr>
                      </w:pPr>
                      <w:r w:rsidRPr="00665DEA">
                        <w:rPr>
                          <w:color w:val="000000"/>
                        </w:rPr>
                        <w:t xml:space="preserve">TD/TNC   </w:t>
                      </w:r>
                      <w:r w:rsidRPr="00665DEA">
                        <w:rPr>
                          <w:color w:val="000000"/>
                        </w:rPr>
                        <w:tab/>
                        <w:t>140.14</w:t>
                      </w:r>
                    </w:p>
                    <w:p w14:paraId="7B6AEB92" w14:textId="77777777" w:rsidR="00AA34B7" w:rsidRPr="00665DEA" w:rsidRDefault="00AA34B7" w:rsidP="00CD3455">
                      <w:pPr>
                        <w:pStyle w:val="Imprint"/>
                        <w:ind w:right="1700"/>
                        <w:rPr>
                          <w:color w:val="000000"/>
                        </w:rPr>
                      </w:pPr>
                      <w:r w:rsidRPr="00665DEA">
                        <w:rPr>
                          <w:color w:val="000000"/>
                        </w:rPr>
                        <w:t>Published by NCVER, ABN 87 007 967 311</w:t>
                      </w:r>
                    </w:p>
                    <w:p w14:paraId="4FDC2D5C" w14:textId="77777777" w:rsidR="00AA34B7" w:rsidRPr="00665DEA" w:rsidRDefault="00AA34B7" w:rsidP="00CD3455">
                      <w:pPr>
                        <w:pStyle w:val="Imprint"/>
                        <w:spacing w:before="80"/>
                        <w:rPr>
                          <w:color w:val="000000"/>
                        </w:rPr>
                      </w:pPr>
                      <w:r w:rsidRPr="00665DEA">
                        <w:rPr>
                          <w:color w:val="000000"/>
                        </w:rPr>
                        <w:t>Level 5, 60 Light Square, Adelaide SA 5000</w:t>
                      </w:r>
                      <w:r w:rsidRPr="00665DEA">
                        <w:rPr>
                          <w:color w:val="000000"/>
                        </w:rPr>
                        <w:br/>
                        <w:t>PO Box 8288 Station Arcade, Adelaide SA 5000, Australia</w:t>
                      </w:r>
                    </w:p>
                    <w:p w14:paraId="4CC4FCDC" w14:textId="77777777" w:rsidR="00AA34B7" w:rsidRPr="00665DEA" w:rsidRDefault="00AA34B7" w:rsidP="00CD3455">
                      <w:pPr>
                        <w:pStyle w:val="Imprint"/>
                        <w:tabs>
                          <w:tab w:val="left" w:pos="2127"/>
                        </w:tabs>
                      </w:pPr>
                      <w:r w:rsidRPr="00665DEA">
                        <w:rPr>
                          <w:b/>
                        </w:rPr>
                        <w:t>Phone</w:t>
                      </w:r>
                      <w:r w:rsidRPr="00665DEA">
                        <w:t xml:space="preserve"> +61 8 8230 8400     </w:t>
                      </w:r>
                      <w:r w:rsidRPr="00665DEA">
                        <w:tab/>
                      </w:r>
                      <w:r w:rsidRPr="00665DEA">
                        <w:rPr>
                          <w:b/>
                        </w:rPr>
                        <w:t>Email</w:t>
                      </w:r>
                      <w:r w:rsidRPr="00665DEA">
                        <w:t xml:space="preserve"> </w:t>
                      </w:r>
                      <w:hyperlink r:id="rId15" w:history="1">
                        <w:r w:rsidRPr="00665DEA">
                          <w:rPr>
                            <w:rStyle w:val="Hyperlink"/>
                            <w:sz w:val="16"/>
                            <w:szCs w:val="16"/>
                          </w:rPr>
                          <w:t>ncver@ncver.edu.au</w:t>
                        </w:r>
                      </w:hyperlink>
                      <w:r w:rsidRPr="00665DEA">
                        <w:t xml:space="preserve">    </w:t>
                      </w:r>
                      <w:r w:rsidRPr="00665DEA">
                        <w:br/>
                      </w:r>
                      <w:r w:rsidRPr="00665DEA">
                        <w:rPr>
                          <w:b/>
                        </w:rPr>
                        <w:t>Web</w:t>
                      </w:r>
                      <w:r w:rsidRPr="00665DEA">
                        <w:t xml:space="preserve"> &lt;https://www.ncver.edu.au</w:t>
                      </w:r>
                      <w:proofErr w:type="gramStart"/>
                      <w:r w:rsidRPr="00665DEA">
                        <w:t>&gt;  &lt;</w:t>
                      </w:r>
                      <w:r>
                        <w:fldChar w:fldCharType="begin"/>
                      </w:r>
                      <w:r>
                        <w:instrText xml:space="preserve"> HYPERLINK "https://www.lsay.edu.au" </w:instrText>
                      </w:r>
                      <w:r>
                        <w:fldChar w:fldCharType="separate"/>
                      </w:r>
                      <w:r w:rsidRPr="00665DEA">
                        <w:rPr>
                          <w:rStyle w:val="Hyperlink"/>
                          <w:sz w:val="16"/>
                          <w:szCs w:val="16"/>
                        </w:rPr>
                        <w:t>https://www.lsay.edu.au</w:t>
                      </w:r>
                      <w:r>
                        <w:rPr>
                          <w:rStyle w:val="Hyperlink"/>
                          <w:sz w:val="16"/>
                          <w:szCs w:val="16"/>
                        </w:rPr>
                        <w:fldChar w:fldCharType="end"/>
                      </w:r>
                      <w:proofErr w:type="gramEnd"/>
                      <w:r w:rsidRPr="00665DEA">
                        <w:t>&gt;</w:t>
                      </w:r>
                    </w:p>
                    <w:p w14:paraId="3C2566FA" w14:textId="3A470F03" w:rsidR="00AA34B7" w:rsidRPr="00665DEA" w:rsidRDefault="00AA34B7" w:rsidP="00CD3455">
                      <w:pPr>
                        <w:pStyle w:val="Imprint"/>
                        <w:tabs>
                          <w:tab w:val="left" w:pos="993"/>
                          <w:tab w:val="left" w:pos="3686"/>
                        </w:tabs>
                      </w:pPr>
                      <w:r w:rsidRPr="00665DEA">
                        <w:rPr>
                          <w:b/>
                        </w:rPr>
                        <w:t>Follow us:</w:t>
                      </w:r>
                      <w:r w:rsidRPr="00665DEA">
                        <w:tab/>
                        <w:t xml:space="preserve"> </w:t>
                      </w:r>
                      <w:r>
                        <w:t xml:space="preserve">  </w:t>
                      </w:r>
                      <w:r w:rsidRPr="00665DEA">
                        <w:t xml:space="preserve">  &lt;https://twitter.com/ncver&gt;</w:t>
                      </w:r>
                      <w:r w:rsidRPr="00665DEA">
                        <w:tab/>
                      </w:r>
                      <w:r>
                        <w:t xml:space="preserve"> </w:t>
                      </w:r>
                      <w:r w:rsidRPr="00665DEA">
                        <w:t>&lt;https://www.linkedin.com/company/ncver&gt;</w:t>
                      </w:r>
                    </w:p>
                  </w:txbxContent>
                </v:textbox>
              </v:shape>
            </w:pict>
          </mc:Fallback>
        </mc:AlternateContent>
      </w:r>
      <w:r w:rsidR="00E77E34" w:rsidRPr="00E77E34">
        <w:rPr>
          <w:noProof/>
        </w:rPr>
        <w:drawing>
          <wp:anchor distT="0" distB="0" distL="114300" distR="114300" simplePos="0" relativeHeight="252048384" behindDoc="0" locked="0" layoutInCell="1" allowOverlap="1" wp14:anchorId="5655190D" wp14:editId="3F2A7537">
            <wp:simplePos x="0" y="0"/>
            <wp:positionH relativeFrom="column">
              <wp:posOffset>621665</wp:posOffset>
            </wp:positionH>
            <wp:positionV relativeFrom="paragraph">
              <wp:posOffset>6390005</wp:posOffset>
            </wp:positionV>
            <wp:extent cx="139700" cy="151765"/>
            <wp:effectExtent l="0" t="0" r="0" b="635"/>
            <wp:wrapNone/>
            <wp:docPr id="17" name="Picture 17"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15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E34" w:rsidRPr="00E77E34">
        <w:rPr>
          <w:noProof/>
        </w:rPr>
        <w:drawing>
          <wp:anchor distT="0" distB="0" distL="114300" distR="114300" simplePos="0" relativeHeight="252049408" behindDoc="0" locked="0" layoutInCell="1" allowOverlap="1" wp14:anchorId="647D8994" wp14:editId="6ADF5DA1">
            <wp:simplePos x="0" y="0"/>
            <wp:positionH relativeFrom="column">
              <wp:posOffset>2214880</wp:posOffset>
            </wp:positionH>
            <wp:positionV relativeFrom="paragraph">
              <wp:posOffset>6386830</wp:posOffset>
            </wp:positionV>
            <wp:extent cx="137795" cy="151765"/>
            <wp:effectExtent l="0" t="0" r="0" b="635"/>
            <wp:wrapNone/>
            <wp:docPr id="25" name="Picture 25"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PublicationComponents\logos\Social Media\InBug-16px_0.png"/>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37795" cy="151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3455" w:rsidRPr="005C2FCF">
        <w:br w:type="page"/>
      </w:r>
    </w:p>
    <w:p w14:paraId="6BF624E2" w14:textId="6D96108B" w:rsidR="009B37ED" w:rsidRDefault="00870F3B" w:rsidP="00AC3039">
      <w:pPr>
        <w:pStyle w:val="Heading1"/>
        <w:spacing w:after="240"/>
      </w:pPr>
      <w:bookmarkStart w:id="10" w:name="_Toc42864219"/>
      <w:bookmarkStart w:id="11" w:name="_Toc42865092"/>
      <w:bookmarkStart w:id="12" w:name="_Toc42865322"/>
      <w:bookmarkStart w:id="13" w:name="_Toc42865732"/>
      <w:bookmarkStart w:id="14" w:name="_Toc43381915"/>
      <w:bookmarkStart w:id="15" w:name="_Toc62204919"/>
      <w:bookmarkStart w:id="16" w:name="_Toc416260892"/>
      <w:bookmarkStart w:id="17" w:name="_Toc416421648"/>
      <w:bookmarkStart w:id="18" w:name="_Toc421789465"/>
      <w:r w:rsidRPr="009F3844">
        <w:rPr>
          <w:noProof/>
          <w:lang w:eastAsia="en-AU"/>
        </w:rPr>
        <w:lastRenderedPageBreak/>
        <w:drawing>
          <wp:anchor distT="0" distB="0" distL="114300" distR="114300" simplePos="0" relativeHeight="252028928" behindDoc="0" locked="0" layoutInCell="1" allowOverlap="1" wp14:anchorId="7BBCB317" wp14:editId="4BD7F6DE">
            <wp:simplePos x="0" y="0"/>
            <wp:positionH relativeFrom="margin">
              <wp:posOffset>-256817</wp:posOffset>
            </wp:positionH>
            <wp:positionV relativeFrom="paragraph">
              <wp:posOffset>-486942</wp:posOffset>
            </wp:positionV>
            <wp:extent cx="6247934" cy="470083"/>
            <wp:effectExtent l="0" t="0" r="635" b="635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PublicationDesigns\Rebranding2014\Final files\NCV2717_A4_Brochure_Cover\ColourBar_CorporateBlue.jp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247934" cy="4700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0C86">
        <w:t>About the research</w:t>
      </w:r>
      <w:bookmarkEnd w:id="10"/>
      <w:bookmarkEnd w:id="11"/>
      <w:bookmarkEnd w:id="12"/>
      <w:bookmarkEnd w:id="13"/>
      <w:bookmarkEnd w:id="14"/>
      <w:bookmarkEnd w:id="15"/>
      <w:r w:rsidR="005F0C86">
        <w:t xml:space="preserve"> </w:t>
      </w:r>
    </w:p>
    <w:p w14:paraId="1E71DDB1" w14:textId="77777777" w:rsidR="00AC3039" w:rsidRPr="00502E27" w:rsidRDefault="00AC3039" w:rsidP="00AC3039">
      <w:pPr>
        <w:pStyle w:val="Heading2"/>
        <w:spacing w:before="240"/>
        <w:ind w:right="0"/>
        <w:rPr>
          <w:i/>
          <w:iCs/>
        </w:rPr>
      </w:pPr>
      <w:bookmarkStart w:id="19" w:name="_Toc62204920"/>
      <w:r w:rsidRPr="00502E27">
        <w:rPr>
          <w:i/>
          <w:iCs/>
        </w:rPr>
        <w:t>Building capability and quality in VET teaching: opportunities and challenges</w:t>
      </w:r>
      <w:bookmarkEnd w:id="19"/>
      <w:r w:rsidRPr="00502E27">
        <w:rPr>
          <w:i/>
          <w:iCs/>
        </w:rPr>
        <w:t xml:space="preserve"> </w:t>
      </w:r>
    </w:p>
    <w:p w14:paraId="5CF1ED6F" w14:textId="3D3A07DE" w:rsidR="009B37ED" w:rsidRDefault="009B37ED" w:rsidP="00AC3039">
      <w:pPr>
        <w:pStyle w:val="Heading3"/>
        <w:spacing w:before="240"/>
      </w:pPr>
      <w:r>
        <w:t xml:space="preserve">Josie Misko, National Centre for Vocational Education Research </w:t>
      </w:r>
      <w:r w:rsidR="00CD3CC6">
        <w:br/>
      </w:r>
      <w:r w:rsidR="007C50B0">
        <w:t>Hugh Guthrie, LUSID Pty Ltd</w:t>
      </w:r>
      <w:r w:rsidR="007C50B0">
        <w:br/>
      </w:r>
      <w:r w:rsidR="006C0652">
        <w:t>Melinda Waters</w:t>
      </w:r>
      <w:r w:rsidR="007C50B0">
        <w:t xml:space="preserve">, </w:t>
      </w:r>
      <w:proofErr w:type="spellStart"/>
      <w:r w:rsidR="007C50B0">
        <w:t>D’Novo</w:t>
      </w:r>
      <w:proofErr w:type="spellEnd"/>
      <w:r w:rsidR="007C50B0">
        <w:t xml:space="preserve"> Consulting</w:t>
      </w:r>
    </w:p>
    <w:p w14:paraId="7061CEB6" w14:textId="73441D84" w:rsidR="00AC3039" w:rsidRDefault="009B37ED" w:rsidP="00092AFD">
      <w:pPr>
        <w:spacing w:before="160" w:line="300" w:lineRule="atLeast"/>
        <w:ind w:right="142"/>
        <w:rPr>
          <w:szCs w:val="19"/>
        </w:rPr>
      </w:pPr>
      <w:r w:rsidRPr="0070735C">
        <w:rPr>
          <w:szCs w:val="19"/>
        </w:rPr>
        <w:t xml:space="preserve">This research </w:t>
      </w:r>
      <w:r w:rsidR="00FB722A" w:rsidRPr="0070735C">
        <w:rPr>
          <w:szCs w:val="19"/>
        </w:rPr>
        <w:t xml:space="preserve">examines </w:t>
      </w:r>
      <w:r w:rsidR="005D0032" w:rsidRPr="0070735C">
        <w:rPr>
          <w:szCs w:val="19"/>
        </w:rPr>
        <w:t xml:space="preserve">ways to </w:t>
      </w:r>
      <w:r w:rsidR="00FB722A" w:rsidRPr="0070735C">
        <w:rPr>
          <w:szCs w:val="19"/>
        </w:rPr>
        <w:t xml:space="preserve">enhance </w:t>
      </w:r>
      <w:r w:rsidR="00A83781">
        <w:rPr>
          <w:szCs w:val="19"/>
        </w:rPr>
        <w:t xml:space="preserve">the </w:t>
      </w:r>
      <w:r w:rsidR="00FB722A" w:rsidRPr="0070735C">
        <w:rPr>
          <w:szCs w:val="19"/>
        </w:rPr>
        <w:t xml:space="preserve">quality </w:t>
      </w:r>
      <w:r w:rsidR="00A83781">
        <w:rPr>
          <w:szCs w:val="19"/>
        </w:rPr>
        <w:t xml:space="preserve">of teaching </w:t>
      </w:r>
      <w:r w:rsidR="00FB722A" w:rsidRPr="0070735C">
        <w:rPr>
          <w:szCs w:val="19"/>
        </w:rPr>
        <w:t xml:space="preserve">in the vocational education and training (VET) sector in Australia. It </w:t>
      </w:r>
      <w:r w:rsidR="00A83781">
        <w:rPr>
          <w:szCs w:val="19"/>
        </w:rPr>
        <w:t xml:space="preserve">investigates </w:t>
      </w:r>
      <w:r w:rsidRPr="0070735C">
        <w:rPr>
          <w:szCs w:val="19"/>
        </w:rPr>
        <w:t>the form and content of existing teacher capability frameworks and professional standards</w:t>
      </w:r>
      <w:r w:rsidR="005421CC" w:rsidRPr="0070735C">
        <w:rPr>
          <w:szCs w:val="19"/>
        </w:rPr>
        <w:t>,</w:t>
      </w:r>
      <w:r w:rsidR="008F5B7A" w:rsidRPr="0070735C">
        <w:rPr>
          <w:szCs w:val="19"/>
        </w:rPr>
        <w:t xml:space="preserve"> with the aim of</w:t>
      </w:r>
      <w:r w:rsidRPr="0070735C">
        <w:rPr>
          <w:szCs w:val="19"/>
        </w:rPr>
        <w:t xml:space="preserve"> identify</w:t>
      </w:r>
      <w:r w:rsidR="008F5B7A" w:rsidRPr="0070735C">
        <w:rPr>
          <w:szCs w:val="19"/>
        </w:rPr>
        <w:t>ing</w:t>
      </w:r>
      <w:r w:rsidRPr="0070735C">
        <w:rPr>
          <w:szCs w:val="19"/>
        </w:rPr>
        <w:t xml:space="preserve"> </w:t>
      </w:r>
      <w:r w:rsidR="00421548">
        <w:rPr>
          <w:szCs w:val="19"/>
        </w:rPr>
        <w:t xml:space="preserve">common </w:t>
      </w:r>
      <w:r w:rsidR="00FB722A" w:rsidRPr="0070735C">
        <w:rPr>
          <w:szCs w:val="19"/>
        </w:rPr>
        <w:t xml:space="preserve">features of </w:t>
      </w:r>
      <w:r w:rsidR="00FB722A" w:rsidRPr="00421548">
        <w:rPr>
          <w:szCs w:val="19"/>
        </w:rPr>
        <w:t>good teaching</w:t>
      </w:r>
      <w:r w:rsidR="00421548">
        <w:rPr>
          <w:szCs w:val="19"/>
        </w:rPr>
        <w:t>,</w:t>
      </w:r>
      <w:r w:rsidR="00FB722A" w:rsidRPr="0070735C">
        <w:rPr>
          <w:szCs w:val="19"/>
        </w:rPr>
        <w:t xml:space="preserve"> then analyses feedback from stakeholders on </w:t>
      </w:r>
      <w:r w:rsidR="00CC4C3B" w:rsidRPr="0070735C">
        <w:rPr>
          <w:szCs w:val="19"/>
        </w:rPr>
        <w:t xml:space="preserve">practical, systematic </w:t>
      </w:r>
      <w:r w:rsidRPr="0070735C">
        <w:rPr>
          <w:szCs w:val="19"/>
        </w:rPr>
        <w:t>approaches t</w:t>
      </w:r>
      <w:r w:rsidR="00FB722A" w:rsidRPr="0070735C">
        <w:rPr>
          <w:szCs w:val="19"/>
        </w:rPr>
        <w:t xml:space="preserve">o improving teaching </w:t>
      </w:r>
      <w:r w:rsidR="00243995" w:rsidRPr="0070735C">
        <w:rPr>
          <w:szCs w:val="19"/>
        </w:rPr>
        <w:t xml:space="preserve">quality. </w:t>
      </w:r>
      <w:r w:rsidRPr="0070735C">
        <w:rPr>
          <w:szCs w:val="19"/>
        </w:rPr>
        <w:t xml:space="preserve">Consultations were held with industry leaders, peak bodies, </w:t>
      </w:r>
      <w:r w:rsidR="00F63BE5" w:rsidRPr="0070735C">
        <w:rPr>
          <w:szCs w:val="19"/>
        </w:rPr>
        <w:t>registered training organisations (</w:t>
      </w:r>
      <w:r w:rsidRPr="0070735C">
        <w:rPr>
          <w:szCs w:val="19"/>
        </w:rPr>
        <w:t>RTOs</w:t>
      </w:r>
      <w:r w:rsidR="00F63BE5" w:rsidRPr="0070735C">
        <w:rPr>
          <w:szCs w:val="19"/>
        </w:rPr>
        <w:t>)</w:t>
      </w:r>
      <w:r w:rsidRPr="0070735C">
        <w:rPr>
          <w:szCs w:val="19"/>
        </w:rPr>
        <w:t xml:space="preserve">, </w:t>
      </w:r>
      <w:r w:rsidR="00273E31" w:rsidRPr="0070735C">
        <w:rPr>
          <w:szCs w:val="19"/>
        </w:rPr>
        <w:t>representatives</w:t>
      </w:r>
      <w:r w:rsidR="000D22FC" w:rsidRPr="0070735C">
        <w:rPr>
          <w:szCs w:val="19"/>
        </w:rPr>
        <w:t xml:space="preserve"> from the Australian Education Union</w:t>
      </w:r>
      <w:r w:rsidRPr="0070735C">
        <w:rPr>
          <w:szCs w:val="19"/>
        </w:rPr>
        <w:t xml:space="preserve">, </w:t>
      </w:r>
      <w:r w:rsidR="00A47CF8" w:rsidRPr="0070735C">
        <w:rPr>
          <w:szCs w:val="19"/>
        </w:rPr>
        <w:t xml:space="preserve">and </w:t>
      </w:r>
      <w:r w:rsidRPr="0070735C">
        <w:rPr>
          <w:szCs w:val="19"/>
        </w:rPr>
        <w:t xml:space="preserve">regulators to </w:t>
      </w:r>
      <w:r w:rsidR="00340289" w:rsidRPr="0070735C">
        <w:rPr>
          <w:szCs w:val="19"/>
        </w:rPr>
        <w:t>obtain</w:t>
      </w:r>
      <w:r w:rsidRPr="0070735C">
        <w:rPr>
          <w:szCs w:val="19"/>
        </w:rPr>
        <w:t xml:space="preserve"> their views on the desirability of implementing such frameworks</w:t>
      </w:r>
      <w:r w:rsidR="00A83781">
        <w:rPr>
          <w:szCs w:val="19"/>
        </w:rPr>
        <w:t xml:space="preserve">. </w:t>
      </w:r>
      <w:r w:rsidR="00421548">
        <w:rPr>
          <w:szCs w:val="19"/>
        </w:rPr>
        <w:t>Other i</w:t>
      </w:r>
      <w:r w:rsidR="00FB722A" w:rsidRPr="0070735C">
        <w:rPr>
          <w:szCs w:val="19"/>
        </w:rPr>
        <w:t xml:space="preserve">ssues </w:t>
      </w:r>
      <w:r w:rsidRPr="0070735C">
        <w:rPr>
          <w:szCs w:val="19"/>
        </w:rPr>
        <w:t xml:space="preserve">explored </w:t>
      </w:r>
      <w:r w:rsidR="00DB3948" w:rsidRPr="0070735C">
        <w:rPr>
          <w:szCs w:val="19"/>
        </w:rPr>
        <w:t>with stakeholders relate</w:t>
      </w:r>
      <w:r w:rsidR="00FB722A" w:rsidRPr="0070735C">
        <w:rPr>
          <w:szCs w:val="19"/>
        </w:rPr>
        <w:t xml:space="preserve"> to </w:t>
      </w:r>
      <w:r w:rsidRPr="0070735C">
        <w:rPr>
          <w:szCs w:val="19"/>
        </w:rPr>
        <w:t xml:space="preserve">the registration and accreditation of VET </w:t>
      </w:r>
      <w:r w:rsidR="0034169D" w:rsidRPr="0070735C">
        <w:rPr>
          <w:szCs w:val="19"/>
        </w:rPr>
        <w:t>teacher</w:t>
      </w:r>
      <w:r w:rsidRPr="0070735C">
        <w:rPr>
          <w:szCs w:val="19"/>
        </w:rPr>
        <w:t xml:space="preserve">s, </w:t>
      </w:r>
      <w:r w:rsidR="0034169D" w:rsidRPr="0070735C">
        <w:rPr>
          <w:szCs w:val="19"/>
        </w:rPr>
        <w:t>teacher</w:t>
      </w:r>
      <w:r w:rsidR="00F2757C" w:rsidRPr="0070735C">
        <w:rPr>
          <w:szCs w:val="19"/>
        </w:rPr>
        <w:t xml:space="preserve"> </w:t>
      </w:r>
      <w:r w:rsidRPr="0070735C">
        <w:rPr>
          <w:szCs w:val="19"/>
        </w:rPr>
        <w:t>entry</w:t>
      </w:r>
      <w:r w:rsidR="0001695F" w:rsidRPr="0070735C">
        <w:rPr>
          <w:szCs w:val="19"/>
        </w:rPr>
        <w:t>-</w:t>
      </w:r>
      <w:r w:rsidRPr="0070735C">
        <w:rPr>
          <w:szCs w:val="19"/>
        </w:rPr>
        <w:t xml:space="preserve">level requirements, ways of attracting </w:t>
      </w:r>
      <w:r w:rsidR="00DB3948" w:rsidRPr="0070735C">
        <w:rPr>
          <w:szCs w:val="19"/>
        </w:rPr>
        <w:t xml:space="preserve">industry </w:t>
      </w:r>
      <w:r w:rsidRPr="0070735C">
        <w:rPr>
          <w:szCs w:val="19"/>
        </w:rPr>
        <w:t xml:space="preserve">practitioners </w:t>
      </w:r>
      <w:r w:rsidR="00A83781">
        <w:rPr>
          <w:szCs w:val="19"/>
        </w:rPr>
        <w:t>in</w:t>
      </w:r>
      <w:r w:rsidRPr="0070735C">
        <w:rPr>
          <w:szCs w:val="19"/>
        </w:rPr>
        <w:t xml:space="preserve">to </w:t>
      </w:r>
      <w:r w:rsidR="00DB3948" w:rsidRPr="0070735C">
        <w:rPr>
          <w:szCs w:val="19"/>
        </w:rPr>
        <w:t xml:space="preserve">teaching </w:t>
      </w:r>
      <w:r w:rsidR="00A83781">
        <w:rPr>
          <w:szCs w:val="19"/>
        </w:rPr>
        <w:t xml:space="preserve">roles </w:t>
      </w:r>
      <w:r w:rsidRPr="0070735C">
        <w:rPr>
          <w:szCs w:val="19"/>
        </w:rPr>
        <w:t xml:space="preserve">and </w:t>
      </w:r>
      <w:r w:rsidR="00DD382C" w:rsidRPr="0070735C">
        <w:rPr>
          <w:szCs w:val="19"/>
        </w:rPr>
        <w:t xml:space="preserve">the </w:t>
      </w:r>
      <w:r w:rsidRPr="0070735C">
        <w:rPr>
          <w:szCs w:val="19"/>
        </w:rPr>
        <w:t>develop</w:t>
      </w:r>
      <w:r w:rsidR="00DD382C" w:rsidRPr="0070735C">
        <w:rPr>
          <w:szCs w:val="19"/>
        </w:rPr>
        <w:t>ment of</w:t>
      </w:r>
      <w:r w:rsidRPr="0070735C">
        <w:rPr>
          <w:szCs w:val="19"/>
        </w:rPr>
        <w:t xml:space="preserve"> a capable VET workforce.</w:t>
      </w:r>
    </w:p>
    <w:p w14:paraId="41994109" w14:textId="274258D6" w:rsidR="009B37ED" w:rsidRDefault="005F0C86" w:rsidP="007C50B0">
      <w:pPr>
        <w:pStyle w:val="Heading2"/>
        <w:spacing w:before="320"/>
        <w:ind w:right="0"/>
      </w:pPr>
      <w:bookmarkStart w:id="20" w:name="_Toc42864220"/>
      <w:bookmarkStart w:id="21" w:name="_Toc42865093"/>
      <w:bookmarkStart w:id="22" w:name="_Toc42865323"/>
      <w:bookmarkStart w:id="23" w:name="_Toc42865733"/>
      <w:bookmarkStart w:id="24" w:name="_Toc43381916"/>
      <w:bookmarkStart w:id="25" w:name="_Toc62204921"/>
      <w:r w:rsidRPr="00421548">
        <w:t>Key messages</w:t>
      </w:r>
      <w:bookmarkEnd w:id="20"/>
      <w:bookmarkEnd w:id="21"/>
      <w:bookmarkEnd w:id="22"/>
      <w:bookmarkEnd w:id="23"/>
      <w:bookmarkEnd w:id="24"/>
      <w:bookmarkEnd w:id="25"/>
    </w:p>
    <w:p w14:paraId="2F60CDB6" w14:textId="68BD620C" w:rsidR="009B37ED" w:rsidRPr="0070735C" w:rsidRDefault="009B37ED" w:rsidP="007C50B0">
      <w:pPr>
        <w:ind w:right="142"/>
        <w:rPr>
          <w:szCs w:val="19"/>
        </w:rPr>
      </w:pPr>
      <w:r w:rsidRPr="0070735C">
        <w:rPr>
          <w:szCs w:val="19"/>
        </w:rPr>
        <w:t xml:space="preserve">There are key barriers to attracting and maintaining a capable VET workforce, such </w:t>
      </w:r>
      <w:r w:rsidR="00C86885">
        <w:rPr>
          <w:szCs w:val="19"/>
        </w:rPr>
        <w:t xml:space="preserve">as </w:t>
      </w:r>
      <w:r w:rsidR="00BC23A8" w:rsidRPr="0070735C">
        <w:rPr>
          <w:szCs w:val="19"/>
        </w:rPr>
        <w:t xml:space="preserve">the </w:t>
      </w:r>
      <w:r w:rsidRPr="0070735C">
        <w:rPr>
          <w:szCs w:val="19"/>
        </w:rPr>
        <w:t xml:space="preserve">professional </w:t>
      </w:r>
      <w:r w:rsidRPr="00EC6048">
        <w:rPr>
          <w:szCs w:val="19"/>
        </w:rPr>
        <w:t>status</w:t>
      </w:r>
      <w:r w:rsidR="00BC23A8" w:rsidRPr="00EC6048">
        <w:rPr>
          <w:szCs w:val="19"/>
        </w:rPr>
        <w:t xml:space="preserve"> of VET </w:t>
      </w:r>
      <w:r w:rsidR="008A3E62" w:rsidRPr="00EC6048">
        <w:rPr>
          <w:szCs w:val="19"/>
        </w:rPr>
        <w:t xml:space="preserve">teachers </w:t>
      </w:r>
      <w:r w:rsidR="00BC23A8" w:rsidRPr="00EC6048">
        <w:rPr>
          <w:szCs w:val="19"/>
        </w:rPr>
        <w:t>and difficulties attracting industry professionals into teaching roles</w:t>
      </w:r>
      <w:r w:rsidRPr="00EC6048">
        <w:rPr>
          <w:szCs w:val="19"/>
        </w:rPr>
        <w:t xml:space="preserve">. </w:t>
      </w:r>
      <w:r w:rsidR="00900A15" w:rsidRPr="00EC6048">
        <w:rPr>
          <w:szCs w:val="19"/>
        </w:rPr>
        <w:t xml:space="preserve">Respondents also report </w:t>
      </w:r>
      <w:r w:rsidR="00C32B7C" w:rsidRPr="00EC6048">
        <w:rPr>
          <w:szCs w:val="19"/>
        </w:rPr>
        <w:t xml:space="preserve">difficulties in recruiting </w:t>
      </w:r>
      <w:r w:rsidR="0034169D" w:rsidRPr="00EC6048">
        <w:rPr>
          <w:szCs w:val="19"/>
        </w:rPr>
        <w:t>teacher</w:t>
      </w:r>
      <w:r w:rsidRPr="00EC6048">
        <w:rPr>
          <w:szCs w:val="19"/>
        </w:rPr>
        <w:t xml:space="preserve">s </w:t>
      </w:r>
      <w:r w:rsidR="00EB414F" w:rsidRPr="00EC6048">
        <w:rPr>
          <w:szCs w:val="19"/>
        </w:rPr>
        <w:t xml:space="preserve">with industry expertise, </w:t>
      </w:r>
      <w:r w:rsidRPr="00EC6048">
        <w:rPr>
          <w:szCs w:val="19"/>
        </w:rPr>
        <w:t xml:space="preserve">particularly in </w:t>
      </w:r>
      <w:r w:rsidR="00C80B23" w:rsidRPr="00EC6048">
        <w:rPr>
          <w:szCs w:val="19"/>
        </w:rPr>
        <w:t xml:space="preserve">areas of </w:t>
      </w:r>
      <w:r w:rsidRPr="00EC6048">
        <w:rPr>
          <w:szCs w:val="19"/>
        </w:rPr>
        <w:t>skills shortage</w:t>
      </w:r>
      <w:r w:rsidR="00900A15" w:rsidRPr="00EC6048">
        <w:rPr>
          <w:szCs w:val="19"/>
        </w:rPr>
        <w:t>,</w:t>
      </w:r>
      <w:r w:rsidR="009F206D" w:rsidRPr="00EC6048">
        <w:rPr>
          <w:szCs w:val="19"/>
        </w:rPr>
        <w:t xml:space="preserve"> </w:t>
      </w:r>
      <w:r w:rsidRPr="00EC6048">
        <w:rPr>
          <w:szCs w:val="19"/>
        </w:rPr>
        <w:t>among equity groups such as Indigenous Australians, and in regional and remote areas. Addressing these issues and ensuring adequate funding and coordinated systems for ongoing professional development are critical for developing and improving the quality of VET teaching.</w:t>
      </w:r>
    </w:p>
    <w:p w14:paraId="2FC097FC" w14:textId="7FDA16B0" w:rsidR="009B37ED" w:rsidRPr="004500A8" w:rsidRDefault="009B37ED" w:rsidP="00AC3039">
      <w:pPr>
        <w:pStyle w:val="Dotpoint10"/>
        <w:spacing w:before="80"/>
        <w:rPr>
          <w:color w:val="auto"/>
          <w:spacing w:val="-2"/>
        </w:rPr>
      </w:pPr>
      <w:r w:rsidRPr="004500A8">
        <w:rPr>
          <w:spacing w:val="-2"/>
        </w:rPr>
        <w:t xml:space="preserve">There are mixed views </w:t>
      </w:r>
      <w:r w:rsidR="00545AD3" w:rsidRPr="004500A8">
        <w:rPr>
          <w:spacing w:val="-2"/>
        </w:rPr>
        <w:t>on</w:t>
      </w:r>
      <w:r w:rsidRPr="004500A8">
        <w:rPr>
          <w:spacing w:val="-2"/>
        </w:rPr>
        <w:t xml:space="preserve"> mandatory registration</w:t>
      </w:r>
      <w:r w:rsidR="008A12B6" w:rsidRPr="004500A8">
        <w:rPr>
          <w:spacing w:val="-2"/>
        </w:rPr>
        <w:t>,</w:t>
      </w:r>
      <w:r w:rsidRPr="004500A8">
        <w:rPr>
          <w:spacing w:val="-2"/>
        </w:rPr>
        <w:t xml:space="preserve"> with the majority questioning </w:t>
      </w:r>
      <w:r w:rsidR="00545AD3" w:rsidRPr="004500A8">
        <w:rPr>
          <w:spacing w:val="-2"/>
        </w:rPr>
        <w:t>its</w:t>
      </w:r>
      <w:r w:rsidR="00E56ACF" w:rsidRPr="004500A8">
        <w:rPr>
          <w:spacing w:val="-2"/>
        </w:rPr>
        <w:t xml:space="preserve"> </w:t>
      </w:r>
      <w:r w:rsidRPr="004500A8">
        <w:rPr>
          <w:spacing w:val="-2"/>
        </w:rPr>
        <w:t xml:space="preserve">value </w:t>
      </w:r>
      <w:r w:rsidR="005F0C86" w:rsidRPr="004500A8">
        <w:rPr>
          <w:spacing w:val="-2"/>
        </w:rPr>
        <w:t xml:space="preserve">and </w:t>
      </w:r>
      <w:r w:rsidR="00545AD3" w:rsidRPr="004500A8">
        <w:rPr>
          <w:spacing w:val="-2"/>
        </w:rPr>
        <w:t xml:space="preserve">the </w:t>
      </w:r>
      <w:r w:rsidR="00195214" w:rsidRPr="004500A8">
        <w:rPr>
          <w:spacing w:val="-2"/>
        </w:rPr>
        <w:t>additional</w:t>
      </w:r>
      <w:r w:rsidR="005F0C86" w:rsidRPr="004500A8">
        <w:rPr>
          <w:spacing w:val="-2"/>
        </w:rPr>
        <w:t xml:space="preserve"> regulatory burden, </w:t>
      </w:r>
      <w:r w:rsidR="00C32B7C" w:rsidRPr="004500A8">
        <w:rPr>
          <w:spacing w:val="-2"/>
        </w:rPr>
        <w:t xml:space="preserve">while </w:t>
      </w:r>
      <w:r w:rsidRPr="004500A8">
        <w:rPr>
          <w:spacing w:val="-2"/>
        </w:rPr>
        <w:t xml:space="preserve">others </w:t>
      </w:r>
      <w:r w:rsidR="00EB1847" w:rsidRPr="004500A8">
        <w:rPr>
          <w:spacing w:val="-2"/>
        </w:rPr>
        <w:t xml:space="preserve">consider </w:t>
      </w:r>
      <w:r w:rsidR="005F0C86" w:rsidRPr="004500A8">
        <w:rPr>
          <w:spacing w:val="-2"/>
        </w:rPr>
        <w:t xml:space="preserve">it </w:t>
      </w:r>
      <w:r w:rsidRPr="004500A8">
        <w:rPr>
          <w:spacing w:val="-2"/>
        </w:rPr>
        <w:t xml:space="preserve">would professionalise </w:t>
      </w:r>
      <w:r w:rsidRPr="004500A8">
        <w:rPr>
          <w:color w:val="auto"/>
          <w:spacing w:val="-2"/>
        </w:rPr>
        <w:t>the sector and raise its status.</w:t>
      </w:r>
    </w:p>
    <w:p w14:paraId="1998D22F" w14:textId="08F0BCAA" w:rsidR="004A7677" w:rsidRPr="00092AFD" w:rsidRDefault="004A7677" w:rsidP="00AC3039">
      <w:pPr>
        <w:pStyle w:val="Dotpoint10"/>
        <w:spacing w:before="80"/>
      </w:pPr>
      <w:r w:rsidRPr="00092AFD">
        <w:t>Stakeholders are generally united on the need to implement systematic approaches to teacher preparation, mentorship support and opportunities for continuing professional development.</w:t>
      </w:r>
    </w:p>
    <w:p w14:paraId="533125A8" w14:textId="40EE4A48" w:rsidR="009B37ED" w:rsidRPr="00092AFD" w:rsidRDefault="00D67C55" w:rsidP="00AC3039">
      <w:pPr>
        <w:pStyle w:val="Dotpoint10"/>
        <w:spacing w:before="80"/>
      </w:pPr>
      <w:r w:rsidRPr="00092AFD">
        <w:t>Some r</w:t>
      </w:r>
      <w:r w:rsidR="00F17E05" w:rsidRPr="00092AFD">
        <w:t>espondents</w:t>
      </w:r>
      <w:r w:rsidR="009B37ED" w:rsidRPr="00092AFD">
        <w:t xml:space="preserve"> </w:t>
      </w:r>
      <w:r w:rsidR="00092AFD">
        <w:t xml:space="preserve">advocated a future </w:t>
      </w:r>
      <w:r w:rsidR="009B37ED" w:rsidRPr="00092AFD">
        <w:t>revi</w:t>
      </w:r>
      <w:r w:rsidR="00D45FEC" w:rsidRPr="00092AFD">
        <w:t>ew</w:t>
      </w:r>
      <w:r w:rsidR="009B37ED" w:rsidRPr="00092AFD">
        <w:t xml:space="preserve"> </w:t>
      </w:r>
      <w:r w:rsidR="00F17E05" w:rsidRPr="00092AFD">
        <w:t>th</w:t>
      </w:r>
      <w:r w:rsidR="008A3E62" w:rsidRPr="00092AFD">
        <w:t xml:space="preserve">e </w:t>
      </w:r>
      <w:r w:rsidR="00A53675" w:rsidRPr="00092AFD">
        <w:t>Certificate</w:t>
      </w:r>
      <w:r w:rsidR="008A3E62" w:rsidRPr="00092AFD">
        <w:t xml:space="preserve"> IV </w:t>
      </w:r>
      <w:r w:rsidR="007A5C5E" w:rsidRPr="00092AFD">
        <w:t xml:space="preserve">in Training and Assessment (TAE) </w:t>
      </w:r>
      <w:r w:rsidR="00F17E05" w:rsidRPr="00092AFD">
        <w:t>qualification</w:t>
      </w:r>
      <w:r w:rsidR="00EA40B7" w:rsidRPr="00092AFD">
        <w:t xml:space="preserve"> </w:t>
      </w:r>
      <w:r w:rsidR="00F17E05" w:rsidRPr="00092AFD">
        <w:t>to</w:t>
      </w:r>
      <w:r w:rsidR="009B37ED" w:rsidRPr="00092AFD">
        <w:t xml:space="preserve"> </w:t>
      </w:r>
      <w:r w:rsidR="00EB414F" w:rsidRPr="00092AFD">
        <w:t>incorporate</w:t>
      </w:r>
      <w:r w:rsidR="00B776B2" w:rsidRPr="00092AFD">
        <w:t xml:space="preserve"> an</w:t>
      </w:r>
      <w:r w:rsidR="00F17E05" w:rsidRPr="00092AFD">
        <w:t xml:space="preserve"> increas</w:t>
      </w:r>
      <w:r w:rsidR="00B776B2" w:rsidRPr="00092AFD">
        <w:t>ed</w:t>
      </w:r>
      <w:r w:rsidR="00F17E05" w:rsidRPr="00092AFD">
        <w:t xml:space="preserve"> focus</w:t>
      </w:r>
      <w:r w:rsidR="00E56ACF" w:rsidRPr="00092AFD">
        <w:t xml:space="preserve"> </w:t>
      </w:r>
      <w:r w:rsidR="00F17E05" w:rsidRPr="00092AFD">
        <w:rPr>
          <w:rFonts w:cs="Arial"/>
        </w:rPr>
        <w:t xml:space="preserve">on pedagogy, educational theory and practice, </w:t>
      </w:r>
      <w:r w:rsidR="00AF382A" w:rsidRPr="00092AFD">
        <w:rPr>
          <w:rFonts w:cs="Arial"/>
        </w:rPr>
        <w:t xml:space="preserve">and </w:t>
      </w:r>
      <w:r w:rsidR="009B5785" w:rsidRPr="00092AFD">
        <w:rPr>
          <w:rFonts w:cs="Arial"/>
        </w:rPr>
        <w:t xml:space="preserve">the </w:t>
      </w:r>
      <w:r w:rsidRPr="00092AFD">
        <w:rPr>
          <w:rFonts w:cs="Arial"/>
        </w:rPr>
        <w:t>us</w:t>
      </w:r>
      <w:r w:rsidR="009B5785" w:rsidRPr="00092AFD">
        <w:rPr>
          <w:rFonts w:cs="Arial"/>
        </w:rPr>
        <w:t>e of</w:t>
      </w:r>
      <w:r w:rsidRPr="00092AFD">
        <w:rPr>
          <w:rFonts w:cs="Arial"/>
        </w:rPr>
        <w:t xml:space="preserve"> </w:t>
      </w:r>
      <w:r w:rsidR="00F17E05" w:rsidRPr="00092AFD">
        <w:rPr>
          <w:rFonts w:cs="Arial"/>
        </w:rPr>
        <w:t>applied training methods</w:t>
      </w:r>
      <w:r w:rsidR="00A53675" w:rsidRPr="00092AFD">
        <w:rPr>
          <w:rFonts w:cs="Arial"/>
        </w:rPr>
        <w:t>. However</w:t>
      </w:r>
      <w:r w:rsidR="002B7B59" w:rsidRPr="00092AFD">
        <w:rPr>
          <w:rFonts w:cs="Arial"/>
        </w:rPr>
        <w:t>,</w:t>
      </w:r>
      <w:r w:rsidR="00A53675" w:rsidRPr="00092AFD">
        <w:rPr>
          <w:rFonts w:cs="Arial"/>
        </w:rPr>
        <w:t xml:space="preserve"> </w:t>
      </w:r>
      <w:proofErr w:type="gramStart"/>
      <w:r w:rsidR="00A53675" w:rsidRPr="00092AFD">
        <w:rPr>
          <w:rFonts w:cs="Arial"/>
        </w:rPr>
        <w:t>a number of</w:t>
      </w:r>
      <w:proofErr w:type="gramEnd"/>
      <w:r w:rsidR="004D39D7" w:rsidRPr="00092AFD">
        <w:t xml:space="preserve"> stakeholders have a limited appetite for making any immediate additional changes to the Certificate IV in T</w:t>
      </w:r>
      <w:r w:rsidR="007A5C5E" w:rsidRPr="00092AFD">
        <w:t xml:space="preserve">AE </w:t>
      </w:r>
      <w:r w:rsidR="004D39D7" w:rsidRPr="00092AFD">
        <w:t xml:space="preserve">as the basic entry-level qualification for </w:t>
      </w:r>
      <w:r w:rsidR="0034169D" w:rsidRPr="00092AFD">
        <w:t>teacher</w:t>
      </w:r>
      <w:r w:rsidR="004D39D7" w:rsidRPr="00092AFD">
        <w:t xml:space="preserve">s due to </w:t>
      </w:r>
      <w:r w:rsidR="00287D5D" w:rsidRPr="00092AFD">
        <w:t xml:space="preserve">their </w:t>
      </w:r>
      <w:r w:rsidR="004D39D7" w:rsidRPr="00092AFD">
        <w:t>experiences with the recent qualification upgrade</w:t>
      </w:r>
      <w:r w:rsidR="003912BE" w:rsidRPr="00092AFD">
        <w:t>.</w:t>
      </w:r>
    </w:p>
    <w:p w14:paraId="5510D1EB" w14:textId="018EFB70" w:rsidR="009B37ED" w:rsidRDefault="00092AFD" w:rsidP="00AC3039">
      <w:pPr>
        <w:pStyle w:val="Dotpoint10"/>
        <w:spacing w:before="80"/>
      </w:pPr>
      <w:r>
        <w:t>T</w:t>
      </w:r>
      <w:r w:rsidR="00F67862" w:rsidRPr="00092AFD">
        <w:t>here is s</w:t>
      </w:r>
      <w:r w:rsidR="009B37ED" w:rsidRPr="00092AFD">
        <w:t xml:space="preserve">trong support for using teacher capability frameworks </w:t>
      </w:r>
      <w:r w:rsidR="005F0C86" w:rsidRPr="00092AFD">
        <w:t>and</w:t>
      </w:r>
      <w:r w:rsidR="00BD4304" w:rsidRPr="00092AFD">
        <w:t>/</w:t>
      </w:r>
      <w:r w:rsidR="005F0C86" w:rsidRPr="00092AFD">
        <w:t xml:space="preserve">or professional standards </w:t>
      </w:r>
      <w:r w:rsidR="009B37ED" w:rsidRPr="00092AFD">
        <w:t xml:space="preserve">as diagnostic tools and guidelines for </w:t>
      </w:r>
      <w:r w:rsidR="005F0C86" w:rsidRPr="00092AFD">
        <w:t xml:space="preserve">teacher </w:t>
      </w:r>
      <w:r w:rsidR="009B37ED" w:rsidRPr="00092AFD">
        <w:t xml:space="preserve">self-evaluation and reflection, including </w:t>
      </w:r>
      <w:r w:rsidR="00466113" w:rsidRPr="00092AFD">
        <w:t xml:space="preserve">for </w:t>
      </w:r>
      <w:r w:rsidR="009B37ED" w:rsidRPr="00092AFD">
        <w:t xml:space="preserve">the planning of objectives for personal </w:t>
      </w:r>
      <w:r w:rsidR="00A869FE" w:rsidRPr="00092AFD">
        <w:t xml:space="preserve">and professional </w:t>
      </w:r>
      <w:r w:rsidR="009B37ED" w:rsidRPr="00092AFD">
        <w:t>development.</w:t>
      </w:r>
      <w:r w:rsidR="004D39D7" w:rsidRPr="00092AFD">
        <w:t xml:space="preserve"> Nonetheless, l</w:t>
      </w:r>
      <w:r w:rsidR="009B37ED" w:rsidRPr="00092AFD">
        <w:t xml:space="preserve">imited </w:t>
      </w:r>
      <w:r w:rsidR="00A44D90" w:rsidRPr="00092AFD">
        <w:t>appetite</w:t>
      </w:r>
      <w:r w:rsidR="009B37ED" w:rsidRPr="00092AFD">
        <w:t xml:space="preserve"> </w:t>
      </w:r>
      <w:r w:rsidR="00D67C55" w:rsidRPr="00092AFD">
        <w:t xml:space="preserve">exists </w:t>
      </w:r>
      <w:r w:rsidR="009B37ED" w:rsidRPr="00092AFD">
        <w:t xml:space="preserve">for a </w:t>
      </w:r>
      <w:r w:rsidR="002E29DE" w:rsidRPr="00092AFD">
        <w:t>n</w:t>
      </w:r>
      <w:r w:rsidR="009B37ED" w:rsidRPr="00092AFD">
        <w:t>ational</w:t>
      </w:r>
      <w:r w:rsidR="00C32B7C" w:rsidRPr="00092AFD">
        <w:t>ly prescribed</w:t>
      </w:r>
      <w:r w:rsidR="009B37ED" w:rsidRPr="00092AFD">
        <w:t xml:space="preserve"> VET </w:t>
      </w:r>
      <w:r w:rsidR="002E29DE" w:rsidRPr="00092AFD">
        <w:t>teacher capability framework</w:t>
      </w:r>
      <w:r w:rsidR="00C32B7C" w:rsidRPr="00092AFD">
        <w:t xml:space="preserve"> due to the diversity of the VET sector</w:t>
      </w:r>
      <w:r>
        <w:t xml:space="preserve">. The </w:t>
      </w:r>
      <w:r w:rsidR="00823A3C" w:rsidRPr="00092AFD">
        <w:t xml:space="preserve">preferred option would be to develop </w:t>
      </w:r>
      <w:r w:rsidR="002B7B59" w:rsidRPr="00092AFD">
        <w:t xml:space="preserve">a </w:t>
      </w:r>
      <w:r w:rsidR="000E637E">
        <w:t xml:space="preserve">set of </w:t>
      </w:r>
      <w:r w:rsidR="002B7B59" w:rsidRPr="00092AFD">
        <w:t>core capabilit</w:t>
      </w:r>
      <w:r w:rsidR="000E637E">
        <w:t>ies</w:t>
      </w:r>
      <w:r w:rsidR="002B7B59" w:rsidRPr="00092AFD">
        <w:t>,</w:t>
      </w:r>
      <w:r w:rsidR="00823A3C" w:rsidRPr="00092AFD">
        <w:t xml:space="preserve"> </w:t>
      </w:r>
      <w:r w:rsidR="000E637E">
        <w:t xml:space="preserve">to be </w:t>
      </w:r>
      <w:r w:rsidR="002B7B59" w:rsidRPr="00092AFD">
        <w:t>local</w:t>
      </w:r>
      <w:r w:rsidR="000E637E">
        <w:t>ly</w:t>
      </w:r>
      <w:r w:rsidR="002B7B59" w:rsidRPr="00092AFD">
        <w:t xml:space="preserve"> adapt</w:t>
      </w:r>
      <w:r w:rsidR="000E637E">
        <w:t>ed</w:t>
      </w:r>
      <w:r w:rsidR="00823A3C" w:rsidRPr="00092AFD">
        <w:t>.</w:t>
      </w:r>
    </w:p>
    <w:p w14:paraId="47647205" w14:textId="334BE4A2" w:rsidR="00092AFD" w:rsidRPr="007C50B0" w:rsidRDefault="00092AFD" w:rsidP="00AC3039">
      <w:pPr>
        <w:pStyle w:val="Dotpoint10"/>
        <w:spacing w:before="80" w:after="360"/>
        <w:rPr>
          <w:spacing w:val="-4"/>
        </w:rPr>
      </w:pPr>
      <w:r w:rsidRPr="007C50B0">
        <w:rPr>
          <w:spacing w:val="-4"/>
        </w:rPr>
        <w:t>Other broad strategic initiatives are proposed to address challenges identified, including the regular collection of VET workforce data, and the addition of smaller micro-credentials or skill sets in the VET teaching suite of qualifications that can be scaled-up to a full qualification beyond the entry level qualification.</w:t>
      </w:r>
    </w:p>
    <w:p w14:paraId="1BA48C82" w14:textId="723CC931" w:rsidR="009B37ED" w:rsidRPr="00092AFD" w:rsidRDefault="009B37ED" w:rsidP="00AC3039">
      <w:pPr>
        <w:pStyle w:val="Text"/>
        <w:spacing w:before="120"/>
      </w:pPr>
      <w:r w:rsidRPr="00092AFD">
        <w:rPr>
          <w:szCs w:val="19"/>
        </w:rPr>
        <w:t>Simon Walker</w:t>
      </w:r>
    </w:p>
    <w:p w14:paraId="12AF0E9A" w14:textId="77777777" w:rsidR="009B37ED" w:rsidRPr="00092AFD" w:rsidRDefault="009B37ED" w:rsidP="006B70AE">
      <w:pPr>
        <w:rPr>
          <w:szCs w:val="19"/>
        </w:rPr>
      </w:pPr>
      <w:r w:rsidRPr="00092AFD">
        <w:rPr>
          <w:szCs w:val="19"/>
        </w:rPr>
        <w:t>Managing Director, NCVER</w:t>
      </w:r>
    </w:p>
    <w:p w14:paraId="48089300" w14:textId="62B88CF2" w:rsidR="00CD3455" w:rsidRDefault="00CD3455" w:rsidP="00CD3455">
      <w:pPr>
        <w:pStyle w:val="Heading1"/>
      </w:pPr>
      <w:bookmarkStart w:id="26" w:name="_Toc275542998"/>
      <w:bookmarkStart w:id="27" w:name="_Toc416260895"/>
      <w:bookmarkStart w:id="28" w:name="_Toc416421649"/>
      <w:bookmarkStart w:id="29" w:name="_Toc421789466"/>
      <w:bookmarkStart w:id="30" w:name="_Toc42864221"/>
      <w:bookmarkStart w:id="31" w:name="_Toc42865094"/>
      <w:bookmarkStart w:id="32" w:name="_Toc42865324"/>
      <w:bookmarkStart w:id="33" w:name="_Toc42865734"/>
      <w:bookmarkStart w:id="34" w:name="_Toc43381917"/>
      <w:bookmarkStart w:id="35" w:name="_Toc62204922"/>
      <w:bookmarkStart w:id="36" w:name="_Hlk38984218"/>
      <w:bookmarkEnd w:id="16"/>
      <w:bookmarkEnd w:id="17"/>
      <w:bookmarkEnd w:id="18"/>
      <w:r>
        <w:lastRenderedPageBreak/>
        <w:t>Acknowledg</w:t>
      </w:r>
      <w:r w:rsidRPr="00732E04">
        <w:t>ments</w:t>
      </w:r>
      <w:bookmarkEnd w:id="26"/>
      <w:bookmarkEnd w:id="27"/>
      <w:bookmarkEnd w:id="28"/>
      <w:bookmarkEnd w:id="29"/>
      <w:bookmarkEnd w:id="30"/>
      <w:bookmarkEnd w:id="31"/>
      <w:bookmarkEnd w:id="32"/>
      <w:bookmarkEnd w:id="33"/>
      <w:bookmarkEnd w:id="34"/>
      <w:bookmarkEnd w:id="35"/>
    </w:p>
    <w:p w14:paraId="0008A663" w14:textId="21790A5C" w:rsidR="009F3FC8" w:rsidRDefault="00142D93" w:rsidP="00FB1D9F">
      <w:pPr>
        <w:pStyle w:val="Text"/>
        <w:ind w:right="424"/>
        <w:rPr>
          <w:bCs/>
          <w:noProof/>
        </w:rPr>
      </w:pPr>
      <w:r w:rsidRPr="00A44D90">
        <w:t xml:space="preserve">We acknowledge and thank </w:t>
      </w:r>
      <w:r w:rsidR="00745577" w:rsidRPr="00A44D90">
        <w:rPr>
          <w:bCs/>
          <w:noProof/>
        </w:rPr>
        <w:t>members of</w:t>
      </w:r>
      <w:r w:rsidR="00E80FCA" w:rsidRPr="00A44D90">
        <w:rPr>
          <w:bCs/>
          <w:noProof/>
        </w:rPr>
        <w:t>:</w:t>
      </w:r>
      <w:r w:rsidR="00745577" w:rsidRPr="00A44D90">
        <w:rPr>
          <w:bCs/>
          <w:noProof/>
        </w:rPr>
        <w:t xml:space="preserve"> </w:t>
      </w:r>
      <w:r w:rsidR="00E80FCA" w:rsidRPr="00A44D90">
        <w:rPr>
          <w:bCs/>
          <w:noProof/>
        </w:rPr>
        <w:t xml:space="preserve">industry </w:t>
      </w:r>
      <w:r w:rsidR="004D10AA" w:rsidRPr="00A44D90">
        <w:rPr>
          <w:bCs/>
          <w:noProof/>
        </w:rPr>
        <w:t>peak body</w:t>
      </w:r>
      <w:r w:rsidR="00745577" w:rsidRPr="00A44D90">
        <w:rPr>
          <w:bCs/>
          <w:noProof/>
        </w:rPr>
        <w:t xml:space="preserve"> organisations, VET regulator agencies, </w:t>
      </w:r>
      <w:r w:rsidR="005F0C86" w:rsidRPr="00A44D90">
        <w:rPr>
          <w:bCs/>
          <w:noProof/>
        </w:rPr>
        <w:t xml:space="preserve">the </w:t>
      </w:r>
      <w:r w:rsidR="00745577" w:rsidRPr="00A44D90">
        <w:rPr>
          <w:bCs/>
          <w:noProof/>
        </w:rPr>
        <w:t xml:space="preserve">Education Industry Reference Committee, </w:t>
      </w:r>
      <w:r w:rsidR="000D22FC" w:rsidRPr="00A44D90">
        <w:rPr>
          <w:bCs/>
          <w:noProof/>
        </w:rPr>
        <w:t>Australian Education U</w:t>
      </w:r>
      <w:r w:rsidR="00420D97" w:rsidRPr="00A44D90">
        <w:rPr>
          <w:bCs/>
          <w:noProof/>
        </w:rPr>
        <w:t>nion</w:t>
      </w:r>
      <w:r w:rsidR="00745577" w:rsidRPr="00A44D90">
        <w:rPr>
          <w:bCs/>
          <w:noProof/>
        </w:rPr>
        <w:t>, Victoria</w:t>
      </w:r>
      <w:r w:rsidR="001E7CF3" w:rsidRPr="00A44D90">
        <w:rPr>
          <w:bCs/>
          <w:noProof/>
        </w:rPr>
        <w:t>n</w:t>
      </w:r>
      <w:r w:rsidR="00745577" w:rsidRPr="00A44D90">
        <w:rPr>
          <w:bCs/>
          <w:noProof/>
        </w:rPr>
        <w:t xml:space="preserve"> TAFE Association</w:t>
      </w:r>
      <w:r w:rsidR="00A913F9" w:rsidRPr="00A44D90">
        <w:rPr>
          <w:bCs/>
          <w:noProof/>
        </w:rPr>
        <w:t>’s</w:t>
      </w:r>
      <w:r w:rsidR="00745577" w:rsidRPr="00A44D90">
        <w:rPr>
          <w:bCs/>
          <w:noProof/>
        </w:rPr>
        <w:t xml:space="preserve"> TAFE Leaders Network, RTO </w:t>
      </w:r>
      <w:r w:rsidR="00447F7A" w:rsidRPr="00A44D90">
        <w:rPr>
          <w:bCs/>
          <w:noProof/>
        </w:rPr>
        <w:t xml:space="preserve">educators and </w:t>
      </w:r>
      <w:r w:rsidR="00745577" w:rsidRPr="00A44D90">
        <w:rPr>
          <w:bCs/>
          <w:noProof/>
        </w:rPr>
        <w:t>executives</w:t>
      </w:r>
      <w:r w:rsidR="00A913F9" w:rsidRPr="00A44D90">
        <w:rPr>
          <w:bCs/>
          <w:noProof/>
        </w:rPr>
        <w:t>,</w:t>
      </w:r>
      <w:r w:rsidR="00745577" w:rsidRPr="00A44D90">
        <w:rPr>
          <w:bCs/>
          <w:noProof/>
        </w:rPr>
        <w:t xml:space="preserve"> government officials from</w:t>
      </w:r>
      <w:r w:rsidR="00580810" w:rsidRPr="00A44D90">
        <w:rPr>
          <w:bCs/>
          <w:noProof/>
        </w:rPr>
        <w:t xml:space="preserve"> </w:t>
      </w:r>
      <w:r w:rsidR="007D12F7" w:rsidRPr="00A44D90">
        <w:rPr>
          <w:bCs/>
          <w:noProof/>
        </w:rPr>
        <w:t>various</w:t>
      </w:r>
      <w:r w:rsidR="00745577" w:rsidRPr="00A44D90">
        <w:rPr>
          <w:bCs/>
          <w:noProof/>
        </w:rPr>
        <w:t xml:space="preserve"> jursidictions</w:t>
      </w:r>
      <w:r w:rsidR="00A913F9" w:rsidRPr="00A44D90">
        <w:rPr>
          <w:bCs/>
          <w:noProof/>
        </w:rPr>
        <w:t>,</w:t>
      </w:r>
      <w:r w:rsidR="00E315FE">
        <w:rPr>
          <w:bCs/>
          <w:noProof/>
        </w:rPr>
        <w:t xml:space="preserve"> </w:t>
      </w:r>
      <w:r w:rsidR="00E315FE" w:rsidRPr="00A44D90">
        <w:rPr>
          <w:bCs/>
          <w:noProof/>
        </w:rPr>
        <w:t>the Australian Council of Deans of Education Vocational Education Group,</w:t>
      </w:r>
      <w:r w:rsidR="00745577" w:rsidRPr="00A44D90">
        <w:rPr>
          <w:bCs/>
          <w:noProof/>
        </w:rPr>
        <w:t xml:space="preserve"> who </w:t>
      </w:r>
      <w:r w:rsidR="00202AC9" w:rsidRPr="00A44D90">
        <w:rPr>
          <w:bCs/>
          <w:noProof/>
        </w:rPr>
        <w:t xml:space="preserve">have </w:t>
      </w:r>
      <w:r w:rsidR="004D10AA" w:rsidRPr="00A44D90">
        <w:rPr>
          <w:bCs/>
          <w:noProof/>
        </w:rPr>
        <w:t xml:space="preserve">provided information </w:t>
      </w:r>
      <w:r w:rsidR="00CB2ED2" w:rsidRPr="00A44D90">
        <w:rPr>
          <w:bCs/>
          <w:noProof/>
        </w:rPr>
        <w:t>during</w:t>
      </w:r>
      <w:r w:rsidR="004D10AA" w:rsidRPr="00A44D90">
        <w:rPr>
          <w:bCs/>
          <w:noProof/>
        </w:rPr>
        <w:t xml:space="preserve"> consultations and in written form for this study. </w:t>
      </w:r>
      <w:r w:rsidR="00580810" w:rsidRPr="00A44D90">
        <w:rPr>
          <w:bCs/>
          <w:noProof/>
        </w:rPr>
        <w:t xml:space="preserve">Thanks also go to </w:t>
      </w:r>
      <w:r w:rsidR="004D10AA" w:rsidRPr="00A44D90">
        <w:rPr>
          <w:bCs/>
          <w:noProof/>
        </w:rPr>
        <w:t>government offic</w:t>
      </w:r>
      <w:r w:rsidR="00E80FCA" w:rsidRPr="00A44D90">
        <w:rPr>
          <w:bCs/>
          <w:noProof/>
        </w:rPr>
        <w:t>ers</w:t>
      </w:r>
      <w:r w:rsidR="004D10AA" w:rsidRPr="00A44D90">
        <w:rPr>
          <w:bCs/>
          <w:noProof/>
        </w:rPr>
        <w:t xml:space="preserve"> from the Department of Education, Skills and Employment, members of the Teaching Excellence Working Group of the Senior Skills Officials Network </w:t>
      </w:r>
      <w:r w:rsidR="00CA2D54" w:rsidRPr="00A44D90">
        <w:rPr>
          <w:bCs/>
          <w:noProof/>
        </w:rPr>
        <w:t xml:space="preserve">and state and territory jurisdictions, </w:t>
      </w:r>
      <w:r w:rsidR="00745577" w:rsidRPr="00A44D90">
        <w:rPr>
          <w:bCs/>
          <w:noProof/>
        </w:rPr>
        <w:t xml:space="preserve">and PWC Skills for Australia, </w:t>
      </w:r>
      <w:r w:rsidR="00CA2D54" w:rsidRPr="00A44D90">
        <w:rPr>
          <w:bCs/>
          <w:noProof/>
        </w:rPr>
        <w:t xml:space="preserve">for their support in helping to arrange access to </w:t>
      </w:r>
      <w:r w:rsidR="00745577" w:rsidRPr="00A44D90">
        <w:rPr>
          <w:bCs/>
          <w:noProof/>
        </w:rPr>
        <w:t xml:space="preserve">these </w:t>
      </w:r>
      <w:r w:rsidR="00CA2D54" w:rsidRPr="00A44D90">
        <w:rPr>
          <w:bCs/>
          <w:noProof/>
        </w:rPr>
        <w:t>stakeholder groups.</w:t>
      </w:r>
    </w:p>
    <w:p w14:paraId="2FA4A8A1" w14:textId="7B661BDF" w:rsidR="005A04CB" w:rsidRPr="00501E74" w:rsidRDefault="009F3FC8" w:rsidP="00501E74">
      <w:pPr>
        <w:pStyle w:val="Text"/>
        <w:ind w:right="424"/>
        <w:rPr>
          <w:bCs/>
          <w:noProof/>
          <w:color w:val="FF0000"/>
        </w:rPr>
        <w:sectPr w:rsidR="005A04CB" w:rsidRPr="00501E74" w:rsidSect="002C2FD3">
          <w:headerReference w:type="even" r:id="rId19"/>
          <w:headerReference w:type="default" r:id="rId20"/>
          <w:footerReference w:type="even" r:id="rId21"/>
          <w:footerReference w:type="default" r:id="rId22"/>
          <w:headerReference w:type="first" r:id="rId23"/>
          <w:pgSz w:w="11907" w:h="16840" w:code="9"/>
          <w:pgMar w:top="232" w:right="1276" w:bottom="851" w:left="1276" w:header="709" w:footer="556" w:gutter="0"/>
          <w:cols w:space="708"/>
          <w:docGrid w:linePitch="360"/>
        </w:sectPr>
      </w:pPr>
      <w:bookmarkStart w:id="37" w:name="_Hlk59098167"/>
      <w:r w:rsidRPr="002C74F1">
        <w:rPr>
          <w:bCs/>
          <w:noProof/>
        </w:rPr>
        <w:t>Finally, we wish to acknowledge feedback received about the report and thank th</w:t>
      </w:r>
      <w:r w:rsidR="00501E74" w:rsidRPr="002C74F1">
        <w:rPr>
          <w:bCs/>
          <w:noProof/>
        </w:rPr>
        <w:t>ose informants for their constructive comments. Hugh Guthrie and Melinda Waters</w:t>
      </w:r>
      <w:r w:rsidR="009A0644" w:rsidRPr="002C74F1">
        <w:rPr>
          <w:bCs/>
          <w:noProof/>
        </w:rPr>
        <w:t xml:space="preserve"> helped revise it in collaboration with NCVER.</w:t>
      </w:r>
      <w:bookmarkEnd w:id="37"/>
      <w:r w:rsidR="002B7B59">
        <w:rPr>
          <w:bCs/>
          <w:noProof/>
          <w:color w:val="FF0000"/>
        </w:rPr>
        <w:t xml:space="preserve"> </w:t>
      </w:r>
    </w:p>
    <w:bookmarkEnd w:id="36"/>
    <w:p w14:paraId="69755113" w14:textId="5AE60540" w:rsidR="00CD3455" w:rsidRPr="005A04CB" w:rsidRDefault="00CD3455" w:rsidP="005A04CB">
      <w:pPr>
        <w:rPr>
          <w:b/>
          <w:noProof/>
          <w:color w:val="C00000"/>
        </w:rPr>
        <w:sectPr w:rsidR="00CD3455" w:rsidRPr="005A04CB" w:rsidSect="002C2FD3">
          <w:footerReference w:type="default" r:id="rId24"/>
          <w:pgSz w:w="11907" w:h="16840" w:code="9"/>
          <w:pgMar w:top="232" w:right="1276" w:bottom="851" w:left="1276" w:header="709" w:footer="556" w:gutter="0"/>
          <w:cols w:space="708"/>
          <w:docGrid w:linePitch="360"/>
        </w:sectPr>
      </w:pPr>
    </w:p>
    <w:p w14:paraId="54B431CC" w14:textId="2D48A9AA" w:rsidR="00CD3455" w:rsidRPr="003813E4" w:rsidRDefault="00F97DBD" w:rsidP="00CD3455">
      <w:pPr>
        <w:pStyle w:val="Contents"/>
      </w:pPr>
      <w:r w:rsidRPr="00BE5DCB">
        <w:rPr>
          <w:noProof/>
          <w:lang w:eastAsia="en-AU"/>
        </w:rPr>
        <w:drawing>
          <wp:anchor distT="0" distB="0" distL="114300" distR="114300" simplePos="0" relativeHeight="252012544" behindDoc="0" locked="0" layoutInCell="1" allowOverlap="1" wp14:anchorId="3246B031" wp14:editId="2D84089D">
            <wp:simplePos x="0" y="0"/>
            <wp:positionH relativeFrom="column">
              <wp:posOffset>2237740</wp:posOffset>
            </wp:positionH>
            <wp:positionV relativeFrom="paragraph">
              <wp:posOffset>578485</wp:posOffset>
            </wp:positionV>
            <wp:extent cx="417195" cy="417195"/>
            <wp:effectExtent l="0" t="0" r="1905" b="1905"/>
            <wp:wrapNone/>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rot="16200000">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F21" w:rsidRPr="00BE5DCB">
        <w:rPr>
          <w:noProof/>
          <w:lang w:eastAsia="en-AU"/>
        </w:rPr>
        <w:drawing>
          <wp:anchor distT="0" distB="0" distL="114300" distR="114300" simplePos="0" relativeHeight="252010496" behindDoc="0" locked="0" layoutInCell="1" allowOverlap="1" wp14:anchorId="00361D00" wp14:editId="66E86DB1">
            <wp:simplePos x="0" y="0"/>
            <wp:positionH relativeFrom="column">
              <wp:posOffset>1790065</wp:posOffset>
            </wp:positionH>
            <wp:positionV relativeFrom="paragraph">
              <wp:posOffset>578485</wp:posOffset>
            </wp:positionV>
            <wp:extent cx="417195" cy="417195"/>
            <wp:effectExtent l="0" t="0" r="1905" b="1905"/>
            <wp:wrapNone/>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Picture 33"/>
                    <pic:cNvPicPr preferRelativeResize="0">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C5F" w:rsidRPr="00BE5DCB">
        <w:rPr>
          <w:noProof/>
          <w:lang w:eastAsia="en-AU"/>
        </w:rPr>
        <w:drawing>
          <wp:anchor distT="0" distB="0" distL="114300" distR="114300" simplePos="0" relativeHeight="252014592" behindDoc="0" locked="0" layoutInCell="1" allowOverlap="1" wp14:anchorId="5689F630" wp14:editId="57A1A839">
            <wp:simplePos x="0" y="0"/>
            <wp:positionH relativeFrom="column">
              <wp:posOffset>2686050</wp:posOffset>
            </wp:positionH>
            <wp:positionV relativeFrom="paragraph">
              <wp:posOffset>580390</wp:posOffset>
            </wp:positionV>
            <wp:extent cx="417600" cy="417600"/>
            <wp:effectExtent l="0" t="0" r="1905" b="1905"/>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4B" w:rsidRPr="00BE5DCB">
        <w:rPr>
          <w:noProof/>
          <w:lang w:eastAsia="en-AU"/>
        </w:rPr>
        <w:drawing>
          <wp:anchor distT="0" distB="0" distL="114300" distR="114300" simplePos="0" relativeHeight="252008448" behindDoc="0" locked="0" layoutInCell="1" allowOverlap="1" wp14:anchorId="471D0460" wp14:editId="655F231C">
            <wp:simplePos x="0" y="0"/>
            <wp:positionH relativeFrom="column">
              <wp:posOffset>1344930</wp:posOffset>
            </wp:positionH>
            <wp:positionV relativeFrom="paragraph">
              <wp:posOffset>580390</wp:posOffset>
            </wp:positionV>
            <wp:extent cx="417600" cy="417600"/>
            <wp:effectExtent l="0" t="0" r="1905" b="1905"/>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preferRelativeResize="0">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4B" w:rsidRPr="00BE5DCB">
        <w:rPr>
          <w:noProof/>
          <w:lang w:eastAsia="en-AU"/>
        </w:rPr>
        <w:drawing>
          <wp:anchor distT="0" distB="0" distL="114300" distR="114300" simplePos="0" relativeHeight="252006400" behindDoc="0" locked="0" layoutInCell="1" allowOverlap="1" wp14:anchorId="14881AC0" wp14:editId="20CFF7B8">
            <wp:simplePos x="0" y="0"/>
            <wp:positionH relativeFrom="column">
              <wp:posOffset>896620</wp:posOffset>
            </wp:positionH>
            <wp:positionV relativeFrom="paragraph">
              <wp:posOffset>580390</wp:posOffset>
            </wp:positionV>
            <wp:extent cx="417600" cy="417600"/>
            <wp:effectExtent l="0" t="0" r="1905" b="1905"/>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4B" w:rsidRPr="00BE5DCB">
        <w:rPr>
          <w:noProof/>
          <w:lang w:eastAsia="en-AU"/>
        </w:rPr>
        <w:drawing>
          <wp:anchor distT="0" distB="0" distL="114300" distR="114300" simplePos="0" relativeHeight="252004352" behindDoc="0" locked="0" layoutInCell="1" allowOverlap="1" wp14:anchorId="1C1F1DCD" wp14:editId="42250224">
            <wp:simplePos x="0" y="0"/>
            <wp:positionH relativeFrom="column">
              <wp:posOffset>449580</wp:posOffset>
            </wp:positionH>
            <wp:positionV relativeFrom="paragraph">
              <wp:posOffset>580390</wp:posOffset>
            </wp:positionV>
            <wp:extent cx="417600" cy="417600"/>
            <wp:effectExtent l="0" t="0" r="1905" b="1905"/>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C4B" w:rsidRPr="00BE5DCB">
        <w:rPr>
          <w:noProof/>
          <w:lang w:eastAsia="en-AU"/>
        </w:rPr>
        <w:drawing>
          <wp:anchor distT="0" distB="0" distL="114300" distR="114300" simplePos="0" relativeHeight="251984896" behindDoc="0" locked="0" layoutInCell="1" allowOverlap="1" wp14:anchorId="4356B4E7" wp14:editId="6DD29181">
            <wp:simplePos x="0" y="0"/>
            <wp:positionH relativeFrom="column">
              <wp:posOffset>3810</wp:posOffset>
            </wp:positionH>
            <wp:positionV relativeFrom="paragraph">
              <wp:posOffset>577215</wp:posOffset>
            </wp:positionV>
            <wp:extent cx="417195" cy="417195"/>
            <wp:effectExtent l="0" t="0" r="1905" b="1905"/>
            <wp:wrapNone/>
            <wp:docPr id="5" name="Picture 5" descr="P:\PublicationComponents\Icons\ExecutiveSumma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455" w:rsidRPr="00BE5DCB">
        <w:t>Contents</w:t>
      </w:r>
    </w:p>
    <w:p w14:paraId="467ED65A" w14:textId="60B85F72" w:rsidR="00D312A4" w:rsidRDefault="00CD3455"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rPr>
          <w:rFonts w:ascii="Avant Garde" w:hAnsi="Avant Garde"/>
        </w:rPr>
        <w:fldChar w:fldCharType="begin"/>
      </w:r>
      <w:r>
        <w:rPr>
          <w:rFonts w:ascii="Avant Garde" w:hAnsi="Avant Garde"/>
        </w:rPr>
        <w:instrText xml:space="preserve"> TOC \t "Heading 1,1,Heading 2,2" </w:instrText>
      </w:r>
      <w:r>
        <w:rPr>
          <w:rFonts w:ascii="Avant Garde" w:hAnsi="Avant Garde"/>
        </w:rPr>
        <w:fldChar w:fldCharType="separate"/>
      </w:r>
      <w:r w:rsidR="00D312A4">
        <w:t>About the research</w:t>
      </w:r>
      <w:r w:rsidR="00D312A4">
        <w:tab/>
      </w:r>
      <w:r w:rsidR="00D312A4">
        <w:fldChar w:fldCharType="begin"/>
      </w:r>
      <w:r w:rsidR="00D312A4">
        <w:instrText xml:space="preserve"> PAGEREF _Toc62204919 \h </w:instrText>
      </w:r>
      <w:r w:rsidR="00D312A4">
        <w:fldChar w:fldCharType="separate"/>
      </w:r>
      <w:r w:rsidR="00061404">
        <w:t>3</w:t>
      </w:r>
      <w:r w:rsidR="00D312A4">
        <w:fldChar w:fldCharType="end"/>
      </w:r>
    </w:p>
    <w:p w14:paraId="02613096" w14:textId="566CF840" w:rsidR="00D312A4" w:rsidRDefault="00D312A4" w:rsidP="0086721A">
      <w:pPr>
        <w:pStyle w:val="TOC2"/>
        <w:tabs>
          <w:tab w:val="clear" w:pos="6804"/>
          <w:tab w:val="right" w:pos="9072"/>
        </w:tabs>
        <w:ind w:right="-1"/>
        <w:rPr>
          <w:rFonts w:asciiTheme="minorHAnsi" w:eastAsiaTheme="minorEastAsia" w:hAnsiTheme="minorHAnsi" w:cstheme="minorBidi"/>
          <w:color w:val="auto"/>
          <w:sz w:val="22"/>
          <w:szCs w:val="22"/>
          <w:lang w:eastAsia="en-AU"/>
        </w:rPr>
      </w:pPr>
      <w:r>
        <w:t>Key messages</w:t>
      </w:r>
      <w:r>
        <w:tab/>
      </w:r>
      <w:r>
        <w:fldChar w:fldCharType="begin"/>
      </w:r>
      <w:r>
        <w:instrText xml:space="preserve"> PAGEREF _Toc62204921 \h </w:instrText>
      </w:r>
      <w:r>
        <w:fldChar w:fldCharType="separate"/>
      </w:r>
      <w:r w:rsidR="00061404">
        <w:t>3</w:t>
      </w:r>
      <w:r>
        <w:fldChar w:fldCharType="end"/>
      </w:r>
    </w:p>
    <w:p w14:paraId="6591999F" w14:textId="1E61C07F"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t>Acknowledgments</w:t>
      </w:r>
      <w:r>
        <w:tab/>
      </w:r>
      <w:r>
        <w:fldChar w:fldCharType="begin"/>
      </w:r>
      <w:r>
        <w:instrText xml:space="preserve"> PAGEREF _Toc62204922 \h </w:instrText>
      </w:r>
      <w:r>
        <w:fldChar w:fldCharType="separate"/>
      </w:r>
      <w:r w:rsidR="00061404">
        <w:t>4</w:t>
      </w:r>
      <w:r>
        <w:fldChar w:fldCharType="end"/>
      </w:r>
    </w:p>
    <w:p w14:paraId="1DBF4C45" w14:textId="70578E6E"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t>Tables</w:t>
      </w:r>
      <w:r w:rsidR="0086721A">
        <w:tab/>
      </w:r>
      <w:r>
        <w:fldChar w:fldCharType="begin"/>
      </w:r>
      <w:r>
        <w:instrText xml:space="preserve"> PAGEREF _Toc62204923 \h </w:instrText>
      </w:r>
      <w:r>
        <w:fldChar w:fldCharType="separate"/>
      </w:r>
      <w:r w:rsidR="00061404">
        <w:t>6</w:t>
      </w:r>
      <w:r>
        <w:fldChar w:fldCharType="end"/>
      </w:r>
    </w:p>
    <w:p w14:paraId="4EDDC5F0" w14:textId="1D530333"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t>Executive summary</w:t>
      </w:r>
      <w:r w:rsidR="0086721A">
        <w:tab/>
      </w:r>
      <w:r>
        <w:fldChar w:fldCharType="begin"/>
      </w:r>
      <w:r>
        <w:instrText xml:space="preserve"> PAGEREF _Toc62204924 \h </w:instrText>
      </w:r>
      <w:r>
        <w:fldChar w:fldCharType="separate"/>
      </w:r>
      <w:r w:rsidR="00061404">
        <w:t>7</w:t>
      </w:r>
      <w:r>
        <w:fldChar w:fldCharType="end"/>
      </w:r>
    </w:p>
    <w:p w14:paraId="2CFF5DFB" w14:textId="0646841D" w:rsidR="00D312A4" w:rsidRDefault="00D312A4" w:rsidP="0086721A">
      <w:pPr>
        <w:pStyle w:val="TOC2"/>
        <w:tabs>
          <w:tab w:val="clear" w:pos="6804"/>
          <w:tab w:val="right" w:pos="9072"/>
        </w:tabs>
        <w:ind w:right="-1"/>
        <w:rPr>
          <w:rFonts w:asciiTheme="minorHAnsi" w:eastAsiaTheme="minorEastAsia" w:hAnsiTheme="minorHAnsi" w:cstheme="minorBidi"/>
          <w:color w:val="auto"/>
          <w:sz w:val="22"/>
          <w:szCs w:val="22"/>
          <w:lang w:eastAsia="en-AU"/>
        </w:rPr>
      </w:pPr>
      <w:r>
        <w:t>Improving the quality of VET teaching</w:t>
      </w:r>
      <w:r>
        <w:tab/>
      </w:r>
      <w:r>
        <w:fldChar w:fldCharType="begin"/>
      </w:r>
      <w:r>
        <w:instrText xml:space="preserve"> PAGEREF _Toc62204925 \h </w:instrText>
      </w:r>
      <w:r>
        <w:fldChar w:fldCharType="separate"/>
      </w:r>
      <w:r w:rsidR="00061404">
        <w:t>7</w:t>
      </w:r>
      <w:r>
        <w:fldChar w:fldCharType="end"/>
      </w:r>
    </w:p>
    <w:p w14:paraId="5BC53F32" w14:textId="6EDB7BA6" w:rsidR="00D312A4" w:rsidRDefault="00D312A4" w:rsidP="0086721A">
      <w:pPr>
        <w:pStyle w:val="TOC2"/>
        <w:tabs>
          <w:tab w:val="clear" w:pos="6804"/>
          <w:tab w:val="right" w:pos="9072"/>
        </w:tabs>
        <w:ind w:right="-1"/>
        <w:rPr>
          <w:rFonts w:asciiTheme="minorHAnsi" w:eastAsiaTheme="minorEastAsia" w:hAnsiTheme="minorHAnsi" w:cstheme="minorBidi"/>
          <w:color w:val="auto"/>
          <w:sz w:val="22"/>
          <w:szCs w:val="22"/>
          <w:lang w:eastAsia="en-AU"/>
        </w:rPr>
      </w:pPr>
      <w:r>
        <w:t>Introducing professional capability frameworks or standards</w:t>
      </w:r>
      <w:r>
        <w:tab/>
      </w:r>
      <w:r>
        <w:fldChar w:fldCharType="begin"/>
      </w:r>
      <w:r>
        <w:instrText xml:space="preserve"> PAGEREF _Toc62204926 \h </w:instrText>
      </w:r>
      <w:r>
        <w:fldChar w:fldCharType="separate"/>
      </w:r>
      <w:r w:rsidR="00061404">
        <w:t>7</w:t>
      </w:r>
      <w:r>
        <w:fldChar w:fldCharType="end"/>
      </w:r>
    </w:p>
    <w:p w14:paraId="39165946" w14:textId="70481FC4" w:rsidR="00D312A4" w:rsidRDefault="00D312A4" w:rsidP="0086721A">
      <w:pPr>
        <w:pStyle w:val="TOC2"/>
        <w:tabs>
          <w:tab w:val="clear" w:pos="6804"/>
          <w:tab w:val="right" w:pos="9072"/>
        </w:tabs>
        <w:ind w:right="-1"/>
        <w:rPr>
          <w:rFonts w:asciiTheme="minorHAnsi" w:eastAsiaTheme="minorEastAsia" w:hAnsiTheme="minorHAnsi" w:cstheme="minorBidi"/>
          <w:color w:val="auto"/>
          <w:sz w:val="22"/>
          <w:szCs w:val="22"/>
          <w:lang w:eastAsia="en-AU"/>
        </w:rPr>
      </w:pPr>
      <w:r>
        <w:t>Registration and accreditation</w:t>
      </w:r>
      <w:r w:rsidR="0086721A">
        <w:tab/>
      </w:r>
      <w:r>
        <w:fldChar w:fldCharType="begin"/>
      </w:r>
      <w:r>
        <w:instrText xml:space="preserve"> PAGEREF _Toc62204927 \h </w:instrText>
      </w:r>
      <w:r>
        <w:fldChar w:fldCharType="separate"/>
      </w:r>
      <w:r w:rsidR="00061404">
        <w:t>8</w:t>
      </w:r>
      <w:r>
        <w:fldChar w:fldCharType="end"/>
      </w:r>
    </w:p>
    <w:p w14:paraId="296BB2CA" w14:textId="4B71C94A" w:rsidR="00D312A4" w:rsidRDefault="00D312A4" w:rsidP="0086721A">
      <w:pPr>
        <w:pStyle w:val="TOC2"/>
        <w:tabs>
          <w:tab w:val="clear" w:pos="6804"/>
          <w:tab w:val="right" w:pos="9072"/>
        </w:tabs>
        <w:ind w:right="-1"/>
        <w:rPr>
          <w:rFonts w:asciiTheme="minorHAnsi" w:eastAsiaTheme="minorEastAsia" w:hAnsiTheme="minorHAnsi" w:cstheme="minorBidi"/>
          <w:color w:val="auto"/>
          <w:sz w:val="22"/>
          <w:szCs w:val="22"/>
          <w:lang w:eastAsia="en-AU"/>
        </w:rPr>
      </w:pPr>
      <w:r>
        <w:t>Raising the level of qualifications for entry to VET teachin</w:t>
      </w:r>
      <w:r w:rsidR="00342C14">
        <w:tab/>
      </w:r>
      <w:r>
        <w:fldChar w:fldCharType="begin"/>
      </w:r>
      <w:r>
        <w:instrText xml:space="preserve"> PAGEREF _Toc62204928 \h </w:instrText>
      </w:r>
      <w:r>
        <w:fldChar w:fldCharType="separate"/>
      </w:r>
      <w:r w:rsidR="00061404">
        <w:t>9</w:t>
      </w:r>
      <w:r>
        <w:fldChar w:fldCharType="end"/>
      </w:r>
    </w:p>
    <w:p w14:paraId="23B6B97D" w14:textId="3300455B" w:rsidR="00D312A4" w:rsidRDefault="00D312A4" w:rsidP="0086721A">
      <w:pPr>
        <w:pStyle w:val="TOC2"/>
        <w:tabs>
          <w:tab w:val="clear" w:pos="6804"/>
          <w:tab w:val="right" w:pos="9072"/>
          <w:tab w:val="right" w:pos="9355"/>
        </w:tabs>
        <w:rPr>
          <w:rFonts w:asciiTheme="minorHAnsi" w:eastAsiaTheme="minorEastAsia" w:hAnsiTheme="minorHAnsi" w:cstheme="minorBidi"/>
          <w:color w:val="auto"/>
          <w:sz w:val="22"/>
          <w:szCs w:val="22"/>
          <w:lang w:eastAsia="en-AU"/>
        </w:rPr>
      </w:pPr>
      <w:r>
        <w:t>Moving forward</w:t>
      </w:r>
      <w:r w:rsidR="0086721A">
        <w:tab/>
      </w:r>
      <w:r>
        <w:fldChar w:fldCharType="begin"/>
      </w:r>
      <w:r>
        <w:instrText xml:space="preserve"> PAGEREF _Toc62204929 \h </w:instrText>
      </w:r>
      <w:r>
        <w:fldChar w:fldCharType="separate"/>
      </w:r>
      <w:r w:rsidR="00061404">
        <w:t>11</w:t>
      </w:r>
      <w:r>
        <w:fldChar w:fldCharType="end"/>
      </w:r>
    </w:p>
    <w:p w14:paraId="33F6BC8A" w14:textId="1C3AD845"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rsidRPr="005E1624">
        <w:rPr>
          <w:rFonts w:eastAsiaTheme="minorHAnsi"/>
        </w:rPr>
        <w:t>Scope of the</w:t>
      </w:r>
      <w:r w:rsidR="0086721A">
        <w:rPr>
          <w:rFonts w:eastAsiaTheme="minorHAnsi"/>
        </w:rPr>
        <w:t xml:space="preserve"> </w:t>
      </w:r>
      <w:r w:rsidRPr="005E1624">
        <w:rPr>
          <w:rFonts w:eastAsiaTheme="minorHAnsi"/>
        </w:rPr>
        <w:t>study</w:t>
      </w:r>
      <w:r w:rsidR="0086721A">
        <w:tab/>
      </w:r>
      <w:r>
        <w:fldChar w:fldCharType="begin"/>
      </w:r>
      <w:r>
        <w:instrText xml:space="preserve"> PAGEREF _Toc62204930 \h </w:instrText>
      </w:r>
      <w:r>
        <w:fldChar w:fldCharType="separate"/>
      </w:r>
      <w:r w:rsidR="00061404">
        <w:t>12</w:t>
      </w:r>
      <w:r>
        <w:fldChar w:fldCharType="end"/>
      </w:r>
    </w:p>
    <w:p w14:paraId="1BABC297" w14:textId="25C6D0B5"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Background</w:t>
      </w:r>
      <w:r>
        <w:tab/>
      </w:r>
      <w:r w:rsidR="0086721A">
        <w:tab/>
      </w:r>
      <w:r>
        <w:fldChar w:fldCharType="begin"/>
      </w:r>
      <w:r>
        <w:instrText xml:space="preserve"> PAGEREF _Toc62204931 \h </w:instrText>
      </w:r>
      <w:r>
        <w:fldChar w:fldCharType="separate"/>
      </w:r>
      <w:r w:rsidR="00061404">
        <w:t>12</w:t>
      </w:r>
      <w:r>
        <w:fldChar w:fldCharType="end"/>
      </w:r>
    </w:p>
    <w:p w14:paraId="2754E722" w14:textId="05C75ABC"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Domestic and international approaches to improving VET teaching quality</w:t>
      </w:r>
      <w:r w:rsidR="0086721A">
        <w:tab/>
      </w:r>
      <w:r>
        <w:tab/>
      </w:r>
      <w:r>
        <w:fldChar w:fldCharType="begin"/>
      </w:r>
      <w:r>
        <w:instrText xml:space="preserve"> PAGEREF _Toc62204932 \h </w:instrText>
      </w:r>
      <w:r>
        <w:fldChar w:fldCharType="separate"/>
      </w:r>
      <w:r w:rsidR="00061404">
        <w:t>14</w:t>
      </w:r>
      <w:r>
        <w:fldChar w:fldCharType="end"/>
      </w:r>
    </w:p>
    <w:p w14:paraId="7F33D9BE" w14:textId="66C1CE5A"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Context</w:t>
      </w:r>
      <w:r>
        <w:tab/>
      </w:r>
      <w:r w:rsidR="0086721A">
        <w:tab/>
      </w:r>
      <w:r>
        <w:fldChar w:fldCharType="begin"/>
      </w:r>
      <w:r>
        <w:instrText xml:space="preserve"> PAGEREF _Toc62204933 \h </w:instrText>
      </w:r>
      <w:r>
        <w:fldChar w:fldCharType="separate"/>
      </w:r>
      <w:r w:rsidR="00061404">
        <w:t>14</w:t>
      </w:r>
      <w:r>
        <w:fldChar w:fldCharType="end"/>
      </w:r>
    </w:p>
    <w:p w14:paraId="0335386D" w14:textId="524FAE96"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The nature of the Australian VET teaching workforce</w:t>
      </w:r>
      <w:r w:rsidR="0086721A">
        <w:tab/>
      </w:r>
      <w:r>
        <w:tab/>
      </w:r>
      <w:r>
        <w:fldChar w:fldCharType="begin"/>
      </w:r>
      <w:r>
        <w:instrText xml:space="preserve"> PAGEREF _Toc62204934 \h </w:instrText>
      </w:r>
      <w:r>
        <w:fldChar w:fldCharType="separate"/>
      </w:r>
      <w:r w:rsidR="00061404">
        <w:t>14</w:t>
      </w:r>
      <w:r>
        <w:fldChar w:fldCharType="end"/>
      </w:r>
    </w:p>
    <w:p w14:paraId="2BC25E61" w14:textId="7D1EBD05"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Strategies to improve teacher quality</w:t>
      </w:r>
      <w:r>
        <w:tab/>
      </w:r>
      <w:r w:rsidR="0086721A">
        <w:tab/>
      </w:r>
      <w:r>
        <w:fldChar w:fldCharType="begin"/>
      </w:r>
      <w:r>
        <w:instrText xml:space="preserve"> PAGEREF _Toc62204935 \h </w:instrText>
      </w:r>
      <w:r>
        <w:fldChar w:fldCharType="separate"/>
      </w:r>
      <w:r w:rsidR="00061404">
        <w:t>16</w:t>
      </w:r>
      <w:r>
        <w:fldChar w:fldCharType="end"/>
      </w:r>
    </w:p>
    <w:p w14:paraId="5AAB6C3B" w14:textId="69E1A5E0"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Exploring the need for higher qualifications for VET teachers</w:t>
      </w:r>
      <w:r w:rsidR="0086721A">
        <w:tab/>
      </w:r>
      <w:r>
        <w:tab/>
      </w:r>
      <w:r>
        <w:fldChar w:fldCharType="begin"/>
      </w:r>
      <w:r>
        <w:instrText xml:space="preserve"> PAGEREF _Toc62204936 \h </w:instrText>
      </w:r>
      <w:r>
        <w:fldChar w:fldCharType="separate"/>
      </w:r>
      <w:r w:rsidR="00061404">
        <w:t>18</w:t>
      </w:r>
      <w:r>
        <w:fldChar w:fldCharType="end"/>
      </w:r>
    </w:p>
    <w:p w14:paraId="7D63FEBA" w14:textId="373EE892"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rsidRPr="005E1624">
        <w:rPr>
          <w:rFonts w:eastAsia="Cambria"/>
        </w:rPr>
        <w:t>Studies on teacher evaluation processes and performance measures</w:t>
      </w:r>
      <w:r w:rsidR="0086721A">
        <w:rPr>
          <w:rFonts w:eastAsia="Cambria"/>
        </w:rPr>
        <w:tab/>
      </w:r>
      <w:r>
        <w:tab/>
      </w:r>
      <w:r>
        <w:fldChar w:fldCharType="begin"/>
      </w:r>
      <w:r>
        <w:instrText xml:space="preserve"> PAGEREF _Toc62204937 \h </w:instrText>
      </w:r>
      <w:r>
        <w:fldChar w:fldCharType="separate"/>
      </w:r>
      <w:r w:rsidR="00061404">
        <w:t>18</w:t>
      </w:r>
      <w:r>
        <w:fldChar w:fldCharType="end"/>
      </w:r>
    </w:p>
    <w:p w14:paraId="003029F9" w14:textId="0587C0C5"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rsidRPr="005E1624">
        <w:rPr>
          <w:rFonts w:eastAsia="Cambria"/>
        </w:rPr>
        <w:t>Commonalities in the architecture and content of frameworks  and standards</w:t>
      </w:r>
      <w:r w:rsidR="0086721A">
        <w:rPr>
          <w:rFonts w:eastAsia="Cambria"/>
        </w:rPr>
        <w:tab/>
      </w:r>
      <w:r>
        <w:tab/>
      </w:r>
      <w:r>
        <w:fldChar w:fldCharType="begin"/>
      </w:r>
      <w:r>
        <w:instrText xml:space="preserve"> PAGEREF _Toc62204938 \h </w:instrText>
      </w:r>
      <w:r>
        <w:fldChar w:fldCharType="separate"/>
      </w:r>
      <w:r w:rsidR="00061404">
        <w:t>20</w:t>
      </w:r>
      <w:r>
        <w:fldChar w:fldCharType="end"/>
      </w:r>
    </w:p>
    <w:p w14:paraId="52C6E76F" w14:textId="1055F3F8"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rsidRPr="005E1624">
        <w:rPr>
          <w:rFonts w:eastAsia="Cambria"/>
        </w:rPr>
        <w:t>Measuring performance</w:t>
      </w:r>
      <w:r>
        <w:tab/>
      </w:r>
      <w:r w:rsidR="0086721A">
        <w:tab/>
      </w:r>
      <w:r>
        <w:fldChar w:fldCharType="begin"/>
      </w:r>
      <w:r>
        <w:instrText xml:space="preserve"> PAGEREF _Toc62204939 \h </w:instrText>
      </w:r>
      <w:r>
        <w:fldChar w:fldCharType="separate"/>
      </w:r>
      <w:r w:rsidR="00061404">
        <w:t>20</w:t>
      </w:r>
      <w:r>
        <w:fldChar w:fldCharType="end"/>
      </w:r>
    </w:p>
    <w:p w14:paraId="33A96D16" w14:textId="7AA5878A"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Analysing the content of selected capability frameworks and standards</w:t>
      </w:r>
      <w:r w:rsidR="0086721A">
        <w:tab/>
      </w:r>
      <w:r>
        <w:tab/>
      </w:r>
      <w:r>
        <w:fldChar w:fldCharType="begin"/>
      </w:r>
      <w:r>
        <w:instrText xml:space="preserve"> PAGEREF _Toc62204940 \h </w:instrText>
      </w:r>
      <w:r>
        <w:fldChar w:fldCharType="separate"/>
      </w:r>
      <w:r w:rsidR="00061404">
        <w:t>22</w:t>
      </w:r>
      <w:r>
        <w:fldChar w:fldCharType="end"/>
      </w:r>
    </w:p>
    <w:p w14:paraId="05CAAC1A" w14:textId="305E8378"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Selecting the frameworks</w:t>
      </w:r>
      <w:r w:rsidR="0086721A">
        <w:tab/>
      </w:r>
      <w:r>
        <w:tab/>
      </w:r>
      <w:r>
        <w:fldChar w:fldCharType="begin"/>
      </w:r>
      <w:r>
        <w:instrText xml:space="preserve"> PAGEREF _Toc62204941 \h </w:instrText>
      </w:r>
      <w:r>
        <w:fldChar w:fldCharType="separate"/>
      </w:r>
      <w:r w:rsidR="00061404">
        <w:t>22</w:t>
      </w:r>
      <w:r>
        <w:fldChar w:fldCharType="end"/>
      </w:r>
    </w:p>
    <w:p w14:paraId="4B392362" w14:textId="061FD868"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A hierarchy of skills and knowledge</w:t>
      </w:r>
      <w:r w:rsidR="0086721A">
        <w:tab/>
      </w:r>
      <w:r>
        <w:tab/>
      </w:r>
      <w:r>
        <w:fldChar w:fldCharType="begin"/>
      </w:r>
      <w:r>
        <w:instrText xml:space="preserve"> PAGEREF _Toc62204942 \h </w:instrText>
      </w:r>
      <w:r>
        <w:fldChar w:fldCharType="separate"/>
      </w:r>
      <w:r w:rsidR="00061404">
        <w:t>22</w:t>
      </w:r>
      <w:r>
        <w:fldChar w:fldCharType="end"/>
      </w:r>
    </w:p>
    <w:p w14:paraId="6A0F3A72" w14:textId="2080B497"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Teacher capabilities and enterprise agreements</w:t>
      </w:r>
      <w:r w:rsidR="0086721A">
        <w:tab/>
      </w:r>
      <w:r>
        <w:tab/>
      </w:r>
      <w:r>
        <w:fldChar w:fldCharType="begin"/>
      </w:r>
      <w:r>
        <w:instrText xml:space="preserve"> PAGEREF _Toc62204943 \h </w:instrText>
      </w:r>
      <w:r>
        <w:fldChar w:fldCharType="separate"/>
      </w:r>
      <w:r w:rsidR="00061404">
        <w:t>25</w:t>
      </w:r>
      <w:r>
        <w:fldChar w:fldCharType="end"/>
      </w:r>
    </w:p>
    <w:p w14:paraId="65420B11" w14:textId="0ECADEDA"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What can we learn about capability frameworks and standards?</w:t>
      </w:r>
      <w:r w:rsidR="0086721A">
        <w:tab/>
      </w:r>
      <w:r>
        <w:tab/>
      </w:r>
      <w:r>
        <w:fldChar w:fldCharType="begin"/>
      </w:r>
      <w:r>
        <w:instrText xml:space="preserve"> PAGEREF _Toc62204944 \h </w:instrText>
      </w:r>
      <w:r>
        <w:fldChar w:fldCharType="separate"/>
      </w:r>
      <w:r w:rsidR="00061404">
        <w:t>26</w:t>
      </w:r>
      <w:r>
        <w:fldChar w:fldCharType="end"/>
      </w:r>
    </w:p>
    <w:p w14:paraId="31AF7B58" w14:textId="3BD26B83"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 xml:space="preserve">Supporting strategies to improve  the quality of VET teaching – </w:t>
      </w:r>
      <w:r>
        <w:br/>
        <w:t>stakeholder views</w:t>
      </w:r>
      <w:r>
        <w:tab/>
      </w:r>
      <w:r w:rsidR="0086721A">
        <w:tab/>
      </w:r>
      <w:r>
        <w:fldChar w:fldCharType="begin"/>
      </w:r>
      <w:r>
        <w:instrText xml:space="preserve"> PAGEREF _Toc62204945 \h </w:instrText>
      </w:r>
      <w:r>
        <w:fldChar w:fldCharType="separate"/>
      </w:r>
      <w:r w:rsidR="00061404">
        <w:t>27</w:t>
      </w:r>
      <w:r>
        <w:fldChar w:fldCharType="end"/>
      </w:r>
    </w:p>
    <w:p w14:paraId="341BB596" w14:textId="6B3943F9"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Responsibility for improving the quality of VET teaching</w:t>
      </w:r>
      <w:r w:rsidR="0086721A">
        <w:tab/>
      </w:r>
      <w:r>
        <w:tab/>
      </w:r>
      <w:r>
        <w:fldChar w:fldCharType="begin"/>
      </w:r>
      <w:r>
        <w:instrText xml:space="preserve"> PAGEREF _Toc62204946 \h </w:instrText>
      </w:r>
      <w:r>
        <w:fldChar w:fldCharType="separate"/>
      </w:r>
      <w:r w:rsidR="00061404">
        <w:t>27</w:t>
      </w:r>
      <w:r>
        <w:fldChar w:fldCharType="end"/>
      </w:r>
    </w:p>
    <w:p w14:paraId="2612146F" w14:textId="62F9E6C5"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Capability frameworks and standards</w:t>
      </w:r>
      <w:r w:rsidR="0086721A">
        <w:tab/>
      </w:r>
      <w:r>
        <w:tab/>
      </w:r>
      <w:r>
        <w:fldChar w:fldCharType="begin"/>
      </w:r>
      <w:r>
        <w:instrText xml:space="preserve"> PAGEREF _Toc62204947 \h </w:instrText>
      </w:r>
      <w:r>
        <w:fldChar w:fldCharType="separate"/>
      </w:r>
      <w:r w:rsidR="00061404">
        <w:t>27</w:t>
      </w:r>
      <w:r>
        <w:fldChar w:fldCharType="end"/>
      </w:r>
    </w:p>
    <w:p w14:paraId="1EA6B11B" w14:textId="15140422"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Recruitment and selection</w:t>
      </w:r>
      <w:r w:rsidR="0086721A">
        <w:tab/>
      </w:r>
      <w:r>
        <w:tab/>
      </w:r>
      <w:r>
        <w:fldChar w:fldCharType="begin"/>
      </w:r>
      <w:r>
        <w:instrText xml:space="preserve"> PAGEREF _Toc62204948 \h </w:instrText>
      </w:r>
      <w:r>
        <w:fldChar w:fldCharType="separate"/>
      </w:r>
      <w:r w:rsidR="00061404">
        <w:t>28</w:t>
      </w:r>
      <w:r>
        <w:fldChar w:fldCharType="end"/>
      </w:r>
    </w:p>
    <w:p w14:paraId="7BE516EC" w14:textId="6719BB09"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VET teacher registration</w:t>
      </w:r>
      <w:r w:rsidR="0086721A">
        <w:tab/>
      </w:r>
      <w:r>
        <w:tab/>
      </w:r>
      <w:r>
        <w:fldChar w:fldCharType="begin"/>
      </w:r>
      <w:r>
        <w:instrText xml:space="preserve"> PAGEREF _Toc62204949 \h </w:instrText>
      </w:r>
      <w:r>
        <w:fldChar w:fldCharType="separate"/>
      </w:r>
      <w:r w:rsidR="00061404">
        <w:t>29</w:t>
      </w:r>
      <w:r>
        <w:fldChar w:fldCharType="end"/>
      </w:r>
    </w:p>
    <w:p w14:paraId="1EAD4BD4" w14:textId="05195ACD"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Entry-level and other VET teaching qualifications</w:t>
      </w:r>
      <w:r w:rsidR="0086721A">
        <w:tab/>
      </w:r>
      <w:r>
        <w:tab/>
      </w:r>
      <w:r>
        <w:fldChar w:fldCharType="begin"/>
      </w:r>
      <w:r>
        <w:instrText xml:space="preserve"> PAGEREF _Toc62204950 \h </w:instrText>
      </w:r>
      <w:r>
        <w:fldChar w:fldCharType="separate"/>
      </w:r>
      <w:r w:rsidR="00061404">
        <w:t>29</w:t>
      </w:r>
      <w:r>
        <w:fldChar w:fldCharType="end"/>
      </w:r>
    </w:p>
    <w:p w14:paraId="7942D3A9" w14:textId="497DAD19"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A staged approach to teacher development</w:t>
      </w:r>
      <w:r w:rsidR="0086721A">
        <w:tab/>
      </w:r>
      <w:r>
        <w:tab/>
      </w:r>
      <w:r>
        <w:fldChar w:fldCharType="begin"/>
      </w:r>
      <w:r>
        <w:instrText xml:space="preserve"> PAGEREF _Toc62204951 \h </w:instrText>
      </w:r>
      <w:r>
        <w:fldChar w:fldCharType="separate"/>
      </w:r>
      <w:r w:rsidR="00061404">
        <w:t>30</w:t>
      </w:r>
      <w:r>
        <w:fldChar w:fldCharType="end"/>
      </w:r>
    </w:p>
    <w:p w14:paraId="13BEFDD2" w14:textId="74C5EC92"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Funding and resourcing professional development</w:t>
      </w:r>
      <w:r w:rsidR="0086721A">
        <w:tab/>
      </w:r>
      <w:r>
        <w:tab/>
      </w:r>
      <w:r>
        <w:fldChar w:fldCharType="begin"/>
      </w:r>
      <w:r>
        <w:instrText xml:space="preserve"> PAGEREF _Toc62204952 \h </w:instrText>
      </w:r>
      <w:r>
        <w:fldChar w:fldCharType="separate"/>
      </w:r>
      <w:r w:rsidR="00061404">
        <w:t>31</w:t>
      </w:r>
      <w:r>
        <w:fldChar w:fldCharType="end"/>
      </w:r>
    </w:p>
    <w:p w14:paraId="211C2BD8" w14:textId="03718BD0"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Attracting and building a capable workforce</w:t>
      </w:r>
      <w:r w:rsidR="0086721A">
        <w:tab/>
      </w:r>
      <w:r>
        <w:tab/>
      </w:r>
      <w:r>
        <w:fldChar w:fldCharType="begin"/>
      </w:r>
      <w:r>
        <w:instrText xml:space="preserve"> PAGEREF _Toc62204953 \h </w:instrText>
      </w:r>
      <w:r>
        <w:fldChar w:fldCharType="separate"/>
      </w:r>
      <w:r w:rsidR="00061404">
        <w:t>32</w:t>
      </w:r>
      <w:r>
        <w:fldChar w:fldCharType="end"/>
      </w:r>
    </w:p>
    <w:p w14:paraId="50CACD0B" w14:textId="3AE8CB47"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Case studies of teacher professional development</w:t>
      </w:r>
      <w:r w:rsidR="0086721A">
        <w:tab/>
      </w:r>
      <w:r>
        <w:tab/>
      </w:r>
      <w:r>
        <w:fldChar w:fldCharType="begin"/>
      </w:r>
      <w:r>
        <w:instrText xml:space="preserve"> PAGEREF _Toc62204954 \h </w:instrText>
      </w:r>
      <w:r>
        <w:fldChar w:fldCharType="separate"/>
      </w:r>
      <w:r w:rsidR="00061404">
        <w:t>33</w:t>
      </w:r>
      <w:r>
        <w:fldChar w:fldCharType="end"/>
      </w:r>
    </w:p>
    <w:p w14:paraId="0F28F518" w14:textId="02DF04A8"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lastRenderedPageBreak/>
        <w:t xml:space="preserve">Moving forward: what can we learn about improving the </w:t>
      </w:r>
      <w:r>
        <w:br/>
        <w:t>quality of VET teaching?</w:t>
      </w:r>
      <w:r w:rsidR="0086721A">
        <w:tab/>
      </w:r>
      <w:r>
        <w:tab/>
      </w:r>
      <w:r>
        <w:fldChar w:fldCharType="begin"/>
      </w:r>
      <w:r>
        <w:instrText xml:space="preserve"> PAGEREF _Toc62204955 \h </w:instrText>
      </w:r>
      <w:r>
        <w:fldChar w:fldCharType="separate"/>
      </w:r>
      <w:r w:rsidR="00061404">
        <w:t>35</w:t>
      </w:r>
      <w:r>
        <w:fldChar w:fldCharType="end"/>
      </w:r>
    </w:p>
    <w:p w14:paraId="314F41E2" w14:textId="7ABDAA8F" w:rsidR="00D312A4" w:rsidRDefault="00D312A4" w:rsidP="0086721A">
      <w:pPr>
        <w:pStyle w:val="TOC2"/>
        <w:tabs>
          <w:tab w:val="clear" w:pos="6804"/>
          <w:tab w:val="right" w:pos="7363"/>
          <w:tab w:val="right" w:pos="9072"/>
        </w:tabs>
        <w:rPr>
          <w:rFonts w:asciiTheme="minorHAnsi" w:eastAsiaTheme="minorEastAsia" w:hAnsiTheme="minorHAnsi" w:cstheme="minorBidi"/>
          <w:color w:val="auto"/>
          <w:sz w:val="22"/>
          <w:szCs w:val="22"/>
          <w:lang w:eastAsia="en-AU"/>
        </w:rPr>
      </w:pPr>
      <w:r>
        <w:t>Summarising the factors that inhibit and enable teaching quality</w:t>
      </w:r>
      <w:r w:rsidR="0086721A">
        <w:tab/>
      </w:r>
      <w:r>
        <w:tab/>
      </w:r>
      <w:r>
        <w:fldChar w:fldCharType="begin"/>
      </w:r>
      <w:r>
        <w:instrText xml:space="preserve"> PAGEREF _Toc62204956 \h </w:instrText>
      </w:r>
      <w:r>
        <w:fldChar w:fldCharType="separate"/>
      </w:r>
      <w:r w:rsidR="00061404">
        <w:t>35</w:t>
      </w:r>
      <w:r>
        <w:fldChar w:fldCharType="end"/>
      </w:r>
    </w:p>
    <w:p w14:paraId="489F3C5D" w14:textId="50324472"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References</w:t>
      </w:r>
      <w:r w:rsidR="0086721A">
        <w:tab/>
      </w:r>
      <w:r>
        <w:tab/>
      </w:r>
      <w:r>
        <w:fldChar w:fldCharType="begin"/>
      </w:r>
      <w:r>
        <w:instrText xml:space="preserve"> PAGEREF _Toc62204957 \h </w:instrText>
      </w:r>
      <w:r>
        <w:fldChar w:fldCharType="separate"/>
      </w:r>
      <w:r w:rsidR="00061404">
        <w:t>37</w:t>
      </w:r>
      <w:r>
        <w:fldChar w:fldCharType="end"/>
      </w:r>
    </w:p>
    <w:p w14:paraId="1FDB9DA5" w14:textId="380D0FEA"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Appendix 1: List of participating stakeholders</w:t>
      </w:r>
      <w:r w:rsidR="0086721A">
        <w:tab/>
      </w:r>
      <w:r>
        <w:tab/>
      </w:r>
      <w:r>
        <w:fldChar w:fldCharType="begin"/>
      </w:r>
      <w:r>
        <w:instrText xml:space="preserve"> PAGEREF _Toc62204958 \h </w:instrText>
      </w:r>
      <w:r>
        <w:fldChar w:fldCharType="separate"/>
      </w:r>
      <w:r w:rsidR="00061404">
        <w:t>40</w:t>
      </w:r>
      <w:r>
        <w:fldChar w:fldCharType="end"/>
      </w:r>
    </w:p>
    <w:p w14:paraId="473B7EF5" w14:textId="6C3866F2"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Appendix 2: Methodology</w:t>
      </w:r>
      <w:r w:rsidR="0086721A">
        <w:tab/>
      </w:r>
      <w:r>
        <w:tab/>
      </w:r>
      <w:r>
        <w:fldChar w:fldCharType="begin"/>
      </w:r>
      <w:r>
        <w:instrText xml:space="preserve"> PAGEREF _Toc62204959 \h </w:instrText>
      </w:r>
      <w:r>
        <w:fldChar w:fldCharType="separate"/>
      </w:r>
      <w:r w:rsidR="00061404">
        <w:t>41</w:t>
      </w:r>
      <w:r>
        <w:fldChar w:fldCharType="end"/>
      </w:r>
    </w:p>
    <w:p w14:paraId="508269CD" w14:textId="00380B00"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t>Appendix 3</w:t>
      </w:r>
      <w:r w:rsidR="0086721A">
        <w:tab/>
      </w:r>
      <w:r>
        <w:fldChar w:fldCharType="begin"/>
      </w:r>
      <w:r>
        <w:instrText xml:space="preserve"> PAGEREF _Toc62204960 \h </w:instrText>
      </w:r>
      <w:r>
        <w:fldChar w:fldCharType="separate"/>
      </w:r>
      <w:r w:rsidR="00061404">
        <w:t>42</w:t>
      </w:r>
      <w:r>
        <w:fldChar w:fldCharType="end"/>
      </w:r>
    </w:p>
    <w:p w14:paraId="3621AD6C" w14:textId="104E7C70" w:rsidR="00D312A4" w:rsidRDefault="00D312A4" w:rsidP="0086721A">
      <w:pPr>
        <w:pStyle w:val="TOC1"/>
        <w:tabs>
          <w:tab w:val="clear" w:pos="6804"/>
          <w:tab w:val="right" w:pos="7363"/>
          <w:tab w:val="right" w:pos="9072"/>
        </w:tabs>
        <w:rPr>
          <w:rFonts w:asciiTheme="minorHAnsi" w:eastAsiaTheme="minorEastAsia" w:hAnsiTheme="minorHAnsi" w:cstheme="minorBidi"/>
          <w:color w:val="auto"/>
          <w:sz w:val="22"/>
          <w:szCs w:val="22"/>
          <w:lang w:eastAsia="en-AU"/>
        </w:rPr>
      </w:pPr>
      <w:r>
        <w:t>Appendix 4</w:t>
      </w:r>
      <w:r w:rsidR="00342C14">
        <w:tab/>
      </w:r>
      <w:r w:rsidR="0086721A">
        <w:tab/>
      </w:r>
      <w:r>
        <w:fldChar w:fldCharType="begin"/>
      </w:r>
      <w:r>
        <w:instrText xml:space="preserve"> PAGEREF _Toc62204961 \h </w:instrText>
      </w:r>
      <w:r>
        <w:fldChar w:fldCharType="separate"/>
      </w:r>
      <w:r w:rsidR="00061404">
        <w:t>43</w:t>
      </w:r>
      <w:r>
        <w:fldChar w:fldCharType="end"/>
      </w:r>
    </w:p>
    <w:p w14:paraId="4506DACE" w14:textId="1C303A5A" w:rsidR="00D312A4" w:rsidRDefault="00D312A4" w:rsidP="0086721A">
      <w:pPr>
        <w:pStyle w:val="TOC1"/>
        <w:tabs>
          <w:tab w:val="clear" w:pos="6804"/>
          <w:tab w:val="right" w:pos="9072"/>
        </w:tabs>
        <w:ind w:right="-1"/>
        <w:rPr>
          <w:rFonts w:asciiTheme="minorHAnsi" w:eastAsiaTheme="minorEastAsia" w:hAnsiTheme="minorHAnsi" w:cstheme="minorBidi"/>
          <w:color w:val="auto"/>
          <w:sz w:val="22"/>
          <w:szCs w:val="22"/>
          <w:lang w:eastAsia="en-AU"/>
        </w:rPr>
      </w:pPr>
      <w:r>
        <w:t>Appendix 5: VET teacher development - three case studies</w:t>
      </w:r>
      <w:r w:rsidR="0086721A">
        <w:tab/>
      </w:r>
      <w:r>
        <w:fldChar w:fldCharType="begin"/>
      </w:r>
      <w:r>
        <w:instrText xml:space="preserve"> PAGEREF _Toc62204962 \h </w:instrText>
      </w:r>
      <w:r>
        <w:fldChar w:fldCharType="separate"/>
      </w:r>
      <w:r w:rsidR="00061404">
        <w:t>44</w:t>
      </w:r>
      <w:r>
        <w:fldChar w:fldCharType="end"/>
      </w:r>
    </w:p>
    <w:p w14:paraId="26CC7440" w14:textId="50D6EA6B" w:rsidR="00CD3455" w:rsidRPr="00930CD7" w:rsidRDefault="00CD3455" w:rsidP="0086721A">
      <w:pPr>
        <w:pStyle w:val="Text"/>
        <w:tabs>
          <w:tab w:val="right" w:pos="7363"/>
          <w:tab w:val="right" w:pos="8080"/>
          <w:tab w:val="right" w:pos="9072"/>
          <w:tab w:val="left" w:pos="9214"/>
          <w:tab w:val="right" w:pos="9356"/>
        </w:tabs>
        <w:ind w:right="-1"/>
      </w:pPr>
      <w:r>
        <w:rPr>
          <w:noProof/>
        </w:rPr>
        <w:fldChar w:fldCharType="end"/>
      </w:r>
    </w:p>
    <w:p w14:paraId="0C947147" w14:textId="326FE976" w:rsidR="00CD3455" w:rsidRDefault="00CD3455" w:rsidP="00544734">
      <w:pPr>
        <w:pStyle w:val="Heading1"/>
        <w:tabs>
          <w:tab w:val="right" w:pos="9356"/>
        </w:tabs>
        <w:spacing w:after="240"/>
        <w:ind w:right="-1"/>
      </w:pPr>
      <w:bookmarkStart w:id="38" w:name="_Toc42865325"/>
      <w:bookmarkStart w:id="39" w:name="_Toc42864222"/>
      <w:bookmarkStart w:id="40" w:name="_Toc42865095"/>
      <w:bookmarkStart w:id="41" w:name="_Toc42865735"/>
      <w:bookmarkStart w:id="42" w:name="_Toc43381918"/>
      <w:bookmarkStart w:id="43" w:name="_Toc62204923"/>
      <w:r>
        <w:t>Tables</w:t>
      </w:r>
      <w:bookmarkEnd w:id="38"/>
      <w:bookmarkEnd w:id="39"/>
      <w:bookmarkEnd w:id="40"/>
      <w:bookmarkEnd w:id="41"/>
      <w:bookmarkEnd w:id="42"/>
      <w:bookmarkEnd w:id="43"/>
    </w:p>
    <w:p w14:paraId="03266148" w14:textId="64CBEA2D" w:rsidR="00D312A4" w:rsidRDefault="00CD3455" w:rsidP="0086721A">
      <w:pPr>
        <w:pStyle w:val="TableofFigures"/>
        <w:tabs>
          <w:tab w:val="clear" w:pos="6804"/>
          <w:tab w:val="left" w:pos="950"/>
          <w:tab w:val="right" w:pos="9072"/>
        </w:tabs>
        <w:ind w:left="284" w:right="-1" w:hanging="284"/>
        <w:rPr>
          <w:rFonts w:asciiTheme="minorHAnsi" w:eastAsiaTheme="minorEastAsia" w:hAnsiTheme="minorHAnsi" w:cstheme="minorBidi"/>
          <w:color w:val="auto"/>
          <w:sz w:val="22"/>
          <w:szCs w:val="22"/>
          <w:lang w:eastAsia="en-AU"/>
        </w:rPr>
      </w:pPr>
      <w:r w:rsidRPr="00985471">
        <w:rPr>
          <w:sz w:val="18"/>
          <w:szCs w:val="18"/>
        </w:rPr>
        <w:fldChar w:fldCharType="begin"/>
      </w:r>
      <w:r w:rsidRPr="00985471">
        <w:rPr>
          <w:sz w:val="18"/>
          <w:szCs w:val="18"/>
        </w:rPr>
        <w:instrText xml:space="preserve"> TOC \f F \t "tabletitle" \c </w:instrText>
      </w:r>
      <w:r w:rsidRPr="00985471">
        <w:rPr>
          <w:sz w:val="18"/>
          <w:szCs w:val="18"/>
        </w:rPr>
        <w:fldChar w:fldCharType="separate"/>
      </w:r>
      <w:r w:rsidR="00D312A4">
        <w:t>1</w:t>
      </w:r>
      <w:r w:rsidR="00D312A4">
        <w:rPr>
          <w:rFonts w:asciiTheme="minorHAnsi" w:eastAsiaTheme="minorEastAsia" w:hAnsiTheme="minorHAnsi" w:cstheme="minorBidi"/>
          <w:color w:val="auto"/>
          <w:sz w:val="22"/>
          <w:szCs w:val="22"/>
          <w:lang w:eastAsia="en-AU"/>
        </w:rPr>
        <w:tab/>
      </w:r>
      <w:r w:rsidR="00D312A4">
        <w:t xml:space="preserve">Key features of the Australian VET teaching workforce by provider type, employee numbers </w:t>
      </w:r>
      <w:r w:rsidR="00D312A4">
        <w:br/>
        <w:t>and their nature of employment</w:t>
      </w:r>
      <w:r w:rsidR="0086721A">
        <w:tab/>
      </w:r>
      <w:r w:rsidR="00D312A4">
        <w:fldChar w:fldCharType="begin"/>
      </w:r>
      <w:r w:rsidR="00D312A4">
        <w:instrText xml:space="preserve"> PAGEREF _Toc62205204 \h </w:instrText>
      </w:r>
      <w:r w:rsidR="00D312A4">
        <w:fldChar w:fldCharType="separate"/>
      </w:r>
      <w:r w:rsidR="00061404">
        <w:t>15</w:t>
      </w:r>
      <w:r w:rsidR="00D312A4">
        <w:fldChar w:fldCharType="end"/>
      </w:r>
    </w:p>
    <w:p w14:paraId="726EC1AC" w14:textId="21CC9C06" w:rsidR="00D312A4" w:rsidRDefault="00D312A4" w:rsidP="0086721A">
      <w:pPr>
        <w:pStyle w:val="TableofFigures"/>
        <w:tabs>
          <w:tab w:val="clear" w:pos="6804"/>
          <w:tab w:val="left" w:pos="950"/>
          <w:tab w:val="right" w:pos="9072"/>
        </w:tabs>
        <w:ind w:left="284" w:right="-1" w:hanging="284"/>
        <w:rPr>
          <w:rFonts w:asciiTheme="minorHAnsi" w:eastAsiaTheme="minorEastAsia" w:hAnsiTheme="minorHAnsi" w:cstheme="minorBidi"/>
          <w:color w:val="auto"/>
          <w:sz w:val="22"/>
          <w:szCs w:val="22"/>
          <w:lang w:eastAsia="en-AU"/>
        </w:rPr>
      </w:pPr>
      <w:r w:rsidRPr="000D5C6E">
        <w:rPr>
          <w:rFonts w:asciiTheme="minorBidi" w:hAnsiTheme="minorBidi" w:cstheme="minorBidi"/>
        </w:rPr>
        <w:t>2</w:t>
      </w:r>
      <w:r>
        <w:rPr>
          <w:rFonts w:asciiTheme="minorHAnsi" w:eastAsiaTheme="minorEastAsia" w:hAnsiTheme="minorHAnsi" w:cstheme="minorBidi"/>
          <w:color w:val="auto"/>
          <w:sz w:val="22"/>
          <w:szCs w:val="22"/>
          <w:lang w:eastAsia="en-AU"/>
        </w:rPr>
        <w:tab/>
      </w:r>
      <w:r w:rsidRPr="000D5C6E">
        <w:rPr>
          <w:rFonts w:asciiTheme="minorBidi" w:hAnsiTheme="minorBidi" w:cstheme="minorBidi"/>
        </w:rPr>
        <w:t>Items of capability identified by stakeholder groups</w:t>
      </w:r>
      <w:r w:rsidR="0086721A">
        <w:tab/>
      </w:r>
      <w:r>
        <w:fldChar w:fldCharType="begin"/>
      </w:r>
      <w:r>
        <w:instrText xml:space="preserve"> PAGEREF _Toc62205205 \h </w:instrText>
      </w:r>
      <w:r>
        <w:fldChar w:fldCharType="separate"/>
      </w:r>
      <w:r w:rsidR="00061404">
        <w:t>24</w:t>
      </w:r>
      <w:r>
        <w:fldChar w:fldCharType="end"/>
      </w:r>
    </w:p>
    <w:p w14:paraId="1E08DE5F" w14:textId="717985DF" w:rsidR="00D312A4" w:rsidRDefault="00D312A4" w:rsidP="0086721A">
      <w:pPr>
        <w:pStyle w:val="TableofFigures"/>
        <w:tabs>
          <w:tab w:val="clear" w:pos="6804"/>
          <w:tab w:val="left" w:pos="950"/>
          <w:tab w:val="right" w:pos="9072"/>
        </w:tabs>
        <w:ind w:left="284" w:right="-1"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Key features of frameworks and standards: common elements drawn from the key headings </w:t>
      </w:r>
      <w:r>
        <w:br/>
        <w:t>of the capability frameworks examined</w:t>
      </w:r>
      <w:r w:rsidR="0086721A">
        <w:tab/>
      </w:r>
      <w:r>
        <w:fldChar w:fldCharType="begin"/>
      </w:r>
      <w:r>
        <w:instrText xml:space="preserve"> PAGEREF _Toc62205206 \h </w:instrText>
      </w:r>
      <w:r>
        <w:fldChar w:fldCharType="separate"/>
      </w:r>
      <w:r w:rsidR="00061404">
        <w:t>42</w:t>
      </w:r>
      <w:r>
        <w:fldChar w:fldCharType="end"/>
      </w:r>
    </w:p>
    <w:p w14:paraId="5547A8DE" w14:textId="686BA75D" w:rsidR="00D312A4" w:rsidRDefault="00D312A4" w:rsidP="0086721A">
      <w:pPr>
        <w:pStyle w:val="TableofFigures"/>
        <w:tabs>
          <w:tab w:val="clear" w:pos="6804"/>
          <w:tab w:val="left" w:pos="950"/>
          <w:tab w:val="right" w:pos="9072"/>
        </w:tabs>
        <w:ind w:left="284" w:right="-1"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Categories or Levels of teacher roles drawn from  the capability frameworks and </w:t>
      </w:r>
      <w:r>
        <w:br/>
        <w:t>standards examined in this study</w:t>
      </w:r>
      <w:r w:rsidR="0086721A">
        <w:tab/>
      </w:r>
      <w:r>
        <w:fldChar w:fldCharType="begin"/>
      </w:r>
      <w:r>
        <w:instrText xml:space="preserve"> PAGEREF _Toc62205207 \h </w:instrText>
      </w:r>
      <w:r>
        <w:fldChar w:fldCharType="separate"/>
      </w:r>
      <w:r w:rsidR="00061404">
        <w:t>43</w:t>
      </w:r>
      <w:r>
        <w:fldChar w:fldCharType="end"/>
      </w:r>
    </w:p>
    <w:p w14:paraId="0111D9EB" w14:textId="39263BFE" w:rsidR="00980376" w:rsidRDefault="00CD3455" w:rsidP="0086721A">
      <w:pPr>
        <w:pStyle w:val="Heading2"/>
        <w:tabs>
          <w:tab w:val="right" w:pos="9072"/>
        </w:tabs>
        <w:sectPr w:rsidR="00980376" w:rsidSect="0086721A">
          <w:headerReference w:type="even" r:id="rId32"/>
          <w:headerReference w:type="default" r:id="rId33"/>
          <w:footerReference w:type="even" r:id="rId34"/>
          <w:footerReference w:type="default" r:id="rId35"/>
          <w:headerReference w:type="first" r:id="rId36"/>
          <w:type w:val="continuous"/>
          <w:pgSz w:w="11907" w:h="16840" w:code="9"/>
          <w:pgMar w:top="232" w:right="1275" w:bottom="851" w:left="1276" w:header="709" w:footer="556" w:gutter="0"/>
          <w:cols w:space="708"/>
          <w:docGrid w:linePitch="360"/>
        </w:sectPr>
      </w:pPr>
      <w:r w:rsidRPr="00985471">
        <w:rPr>
          <w:rFonts w:ascii="Trebuchet MS" w:hAnsi="Trebuchet MS"/>
          <w:sz w:val="18"/>
          <w:szCs w:val="18"/>
        </w:rPr>
        <w:fldChar w:fldCharType="end"/>
      </w:r>
    </w:p>
    <w:p w14:paraId="216A40C3" w14:textId="3554277C" w:rsidR="00A87F12" w:rsidRPr="00C42ED2" w:rsidRDefault="00E3463A" w:rsidP="00C42ED2">
      <w:pPr>
        <w:pStyle w:val="Heading1"/>
      </w:pPr>
      <w:bookmarkStart w:id="44" w:name="_Toc62204924"/>
      <w:r w:rsidRPr="00C42ED2">
        <w:rPr>
          <w:noProof/>
        </w:rPr>
        <w:lastRenderedPageBreak/>
        <w:drawing>
          <wp:anchor distT="0" distB="0" distL="114300" distR="114300" simplePos="0" relativeHeight="252002304" behindDoc="0" locked="0" layoutInCell="1" allowOverlap="1" wp14:anchorId="787B91CA" wp14:editId="75A73CD9">
            <wp:simplePos x="0" y="0"/>
            <wp:positionH relativeFrom="column">
              <wp:posOffset>3175</wp:posOffset>
            </wp:positionH>
            <wp:positionV relativeFrom="page">
              <wp:posOffset>688340</wp:posOffset>
            </wp:positionV>
            <wp:extent cx="417600" cy="417600"/>
            <wp:effectExtent l="0" t="0" r="1905" b="1905"/>
            <wp:wrapSquare wrapText="bothSides"/>
            <wp:docPr id="27" name="Picture 27" descr="P:\PublicationComponents\Icons\ExecutiveSummary.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7F12" w:rsidRPr="00C42ED2">
        <w:t>Executive summary</w:t>
      </w:r>
      <w:bookmarkEnd w:id="44"/>
    </w:p>
    <w:p w14:paraId="4A06BFBA" w14:textId="667BDD61" w:rsidR="008A11F5" w:rsidRDefault="00A87F12" w:rsidP="00C86885">
      <w:pPr>
        <w:pStyle w:val="Text"/>
      </w:pPr>
      <w:r w:rsidRPr="009711B0">
        <w:t>This study canvassed the views of stakeholder</w:t>
      </w:r>
      <w:r w:rsidR="00F63BE5" w:rsidRPr="009711B0">
        <w:t>s</w:t>
      </w:r>
      <w:r w:rsidRPr="009711B0">
        <w:t xml:space="preserve"> </w:t>
      </w:r>
      <w:proofErr w:type="gramStart"/>
      <w:r w:rsidR="00725602" w:rsidRPr="009711B0">
        <w:t xml:space="preserve">in order </w:t>
      </w:r>
      <w:r w:rsidRPr="009711B0">
        <w:t>to</w:t>
      </w:r>
      <w:proofErr w:type="gramEnd"/>
      <w:r w:rsidRPr="009711B0">
        <w:t xml:space="preserve"> identify the key features of quality teaching in </w:t>
      </w:r>
      <w:r w:rsidR="00725602" w:rsidRPr="009711B0">
        <w:t>vocational education and training (</w:t>
      </w:r>
      <w:r w:rsidRPr="009711B0">
        <w:t>VET</w:t>
      </w:r>
      <w:r w:rsidR="00725602" w:rsidRPr="009711B0">
        <w:t>)</w:t>
      </w:r>
      <w:r w:rsidRPr="009711B0">
        <w:t xml:space="preserve"> and how it might be improved. </w:t>
      </w:r>
      <w:r w:rsidR="008A11F5">
        <w:t xml:space="preserve">It </w:t>
      </w:r>
      <w:r w:rsidR="00421548">
        <w:t xml:space="preserve">also </w:t>
      </w:r>
      <w:r w:rsidR="008A11F5">
        <w:t>involved a</w:t>
      </w:r>
      <w:r w:rsidR="00CC4C3B">
        <w:t xml:space="preserve">n environmental </w:t>
      </w:r>
      <w:r w:rsidR="008A11F5">
        <w:t xml:space="preserve">scan of VET capability </w:t>
      </w:r>
      <w:r w:rsidR="008A11F5" w:rsidRPr="008A11F5">
        <w:t>frameworks and standards</w:t>
      </w:r>
      <w:r w:rsidR="008A11F5">
        <w:t xml:space="preserve"> to </w:t>
      </w:r>
      <w:r w:rsidR="00A83781">
        <w:t xml:space="preserve">determine </w:t>
      </w:r>
      <w:r w:rsidR="008A11F5" w:rsidRPr="008A11F5">
        <w:t>key domains</w:t>
      </w:r>
      <w:r w:rsidR="008A11F5">
        <w:t xml:space="preserve">, </w:t>
      </w:r>
      <w:proofErr w:type="gramStart"/>
      <w:r w:rsidR="008A11F5">
        <w:t>roles</w:t>
      </w:r>
      <w:proofErr w:type="gramEnd"/>
      <w:r w:rsidR="008A11F5" w:rsidRPr="008A11F5">
        <w:t xml:space="preserve"> and capabilities</w:t>
      </w:r>
      <w:r w:rsidR="008A11F5">
        <w:t xml:space="preserve"> of VET teachers</w:t>
      </w:r>
      <w:r w:rsidR="00F00F22">
        <w:t xml:space="preserve">, </w:t>
      </w:r>
      <w:r w:rsidR="00BA641B">
        <w:t>and three case studies</w:t>
      </w:r>
      <w:r w:rsidR="00F00F22">
        <w:t xml:space="preserve"> of </w:t>
      </w:r>
      <w:r w:rsidR="00044448">
        <w:t xml:space="preserve">pilot </w:t>
      </w:r>
      <w:r w:rsidR="00F00F22">
        <w:t xml:space="preserve">teacher professional development (PD) initiatives currently underway </w:t>
      </w:r>
      <w:r w:rsidR="00044448">
        <w:t>to improve the quality of teaching</w:t>
      </w:r>
      <w:r w:rsidR="00C86885">
        <w:t>.</w:t>
      </w:r>
      <w:r w:rsidR="00EC01B3">
        <w:t xml:space="preserve"> The report also </w:t>
      </w:r>
      <w:proofErr w:type="gramStart"/>
      <w:r w:rsidR="00EC01B3">
        <w:t>makes reference</w:t>
      </w:r>
      <w:proofErr w:type="gramEnd"/>
      <w:r w:rsidR="00EC01B3">
        <w:t xml:space="preserve"> to key </w:t>
      </w:r>
      <w:r w:rsidR="00AB2FA3">
        <w:t xml:space="preserve">related </w:t>
      </w:r>
      <w:r w:rsidR="00EC01B3">
        <w:t>findings</w:t>
      </w:r>
      <w:r w:rsidR="00AB2FA3">
        <w:t xml:space="preserve"> in the literature</w:t>
      </w:r>
      <w:r w:rsidR="00EC01B3">
        <w:t>.</w:t>
      </w:r>
      <w:r w:rsidR="00C86885">
        <w:t xml:space="preserve"> </w:t>
      </w:r>
      <w:r w:rsidR="008A11F5" w:rsidRPr="008A11F5">
        <w:t xml:space="preserve"> </w:t>
      </w:r>
    </w:p>
    <w:p w14:paraId="1FA8DFB0" w14:textId="08BA906D" w:rsidR="008A11F5" w:rsidRPr="009711B0" w:rsidRDefault="00663160" w:rsidP="00FC1CE2">
      <w:pPr>
        <w:pStyle w:val="Text"/>
      </w:pPr>
      <w:r>
        <w:t xml:space="preserve">This report uses the term ‘teacher’ to encompass all terms </w:t>
      </w:r>
      <w:r w:rsidR="00A83781">
        <w:t>often</w:t>
      </w:r>
      <w:r w:rsidR="00A83781" w:rsidRPr="009711B0">
        <w:t xml:space="preserve"> </w:t>
      </w:r>
      <w:r w:rsidRPr="009711B0">
        <w:t xml:space="preserve">used interchangeably </w:t>
      </w:r>
      <w:r>
        <w:t xml:space="preserve">to refer to those </w:t>
      </w:r>
      <w:r w:rsidRPr="009711B0">
        <w:t>who deliver and/or assess training</w:t>
      </w:r>
      <w:r>
        <w:t xml:space="preserve"> in VET including but not limited to </w:t>
      </w:r>
      <w:r w:rsidR="00CB45E0" w:rsidRPr="009711B0">
        <w:t>‘</w:t>
      </w:r>
      <w:r w:rsidR="00273E31" w:rsidRPr="009711B0">
        <w:t xml:space="preserve">VET </w:t>
      </w:r>
      <w:r w:rsidR="00A87F12" w:rsidRPr="009711B0">
        <w:t>teacher</w:t>
      </w:r>
      <w:r w:rsidR="00CB45E0" w:rsidRPr="009711B0">
        <w:t>’</w:t>
      </w:r>
      <w:r w:rsidR="00A87F12" w:rsidRPr="009711B0">
        <w:t xml:space="preserve">, </w:t>
      </w:r>
      <w:r w:rsidR="00CB45E0" w:rsidRPr="009711B0">
        <w:t>‘</w:t>
      </w:r>
      <w:r w:rsidR="00273E31" w:rsidRPr="009711B0">
        <w:t>practitioner</w:t>
      </w:r>
      <w:r w:rsidR="00CB45E0" w:rsidRPr="009711B0">
        <w:t>’</w:t>
      </w:r>
      <w:r w:rsidR="00273E31" w:rsidRPr="009711B0">
        <w:t xml:space="preserve">, </w:t>
      </w:r>
      <w:r w:rsidR="00CB45E0" w:rsidRPr="009711B0">
        <w:t>‘</w:t>
      </w:r>
      <w:r w:rsidR="0034169D">
        <w:t>trainer</w:t>
      </w:r>
      <w:r w:rsidR="00CB45E0" w:rsidRPr="009711B0">
        <w:t>’</w:t>
      </w:r>
      <w:r w:rsidR="00A87F12" w:rsidRPr="009711B0">
        <w:t xml:space="preserve">, </w:t>
      </w:r>
      <w:r w:rsidR="00CB45E0" w:rsidRPr="009711B0">
        <w:t>‘</w:t>
      </w:r>
      <w:r w:rsidR="00A87F12" w:rsidRPr="009711B0">
        <w:t>educator</w:t>
      </w:r>
      <w:r w:rsidR="00CB45E0" w:rsidRPr="009711B0">
        <w:t>’</w:t>
      </w:r>
      <w:r w:rsidR="00BA641B">
        <w:t xml:space="preserve"> </w:t>
      </w:r>
      <w:r w:rsidR="00A83781">
        <w:t xml:space="preserve">‘assessor’ </w:t>
      </w:r>
      <w:r w:rsidR="00A87F12" w:rsidRPr="009711B0">
        <w:t xml:space="preserve">and </w:t>
      </w:r>
      <w:r w:rsidR="00CB45E0" w:rsidRPr="009711B0">
        <w:t>‘</w:t>
      </w:r>
      <w:r w:rsidR="00A87F12" w:rsidRPr="009711B0">
        <w:t>lecturer</w:t>
      </w:r>
      <w:r w:rsidR="00CB45E0" w:rsidRPr="009711B0">
        <w:t>’</w:t>
      </w:r>
      <w:r>
        <w:t>.</w:t>
      </w:r>
      <w:r w:rsidR="00A87F12" w:rsidRPr="009711B0">
        <w:t xml:space="preserve"> </w:t>
      </w:r>
    </w:p>
    <w:p w14:paraId="201EF011" w14:textId="77777777" w:rsidR="00A87F12" w:rsidRDefault="00A87F12" w:rsidP="007228EF">
      <w:pPr>
        <w:pStyle w:val="Heading2"/>
      </w:pPr>
      <w:bookmarkStart w:id="45" w:name="_Toc62204925"/>
      <w:r>
        <w:t>Improving the quality of VET teaching</w:t>
      </w:r>
      <w:bookmarkEnd w:id="45"/>
    </w:p>
    <w:p w14:paraId="5DEC7498" w14:textId="63992624" w:rsidR="00A87F12" w:rsidRPr="001D1DEE" w:rsidRDefault="00A87F12" w:rsidP="00A87F12">
      <w:pPr>
        <w:pStyle w:val="Text"/>
      </w:pPr>
      <w:proofErr w:type="gramStart"/>
      <w:r w:rsidRPr="001D1DEE">
        <w:t>The majority of</w:t>
      </w:r>
      <w:proofErr w:type="gramEnd"/>
      <w:r w:rsidRPr="001D1DEE">
        <w:t xml:space="preserve"> stakeholders </w:t>
      </w:r>
      <w:r w:rsidR="00352203" w:rsidRPr="001D1DEE">
        <w:t xml:space="preserve">consulted for this study </w:t>
      </w:r>
      <w:r w:rsidRPr="001D1DEE">
        <w:t xml:space="preserve">agree that teaching quality in </w:t>
      </w:r>
      <w:r w:rsidR="00F6630B" w:rsidRPr="001D1DEE">
        <w:t xml:space="preserve">VET </w:t>
      </w:r>
      <w:r w:rsidR="00263ADD" w:rsidRPr="001D1DEE">
        <w:t>i</w:t>
      </w:r>
      <w:r w:rsidRPr="001D1DEE">
        <w:t>s variable</w:t>
      </w:r>
      <w:r w:rsidR="0006135C" w:rsidRPr="001D1DEE">
        <w:t>:</w:t>
      </w:r>
      <w:r w:rsidRPr="001D1DEE">
        <w:t xml:space="preserve"> some </w:t>
      </w:r>
      <w:r w:rsidR="0034169D" w:rsidRPr="001D1DEE">
        <w:t>teacher</w:t>
      </w:r>
      <w:r w:rsidRPr="001D1DEE">
        <w:t>s are experts in training delivery</w:t>
      </w:r>
      <w:r w:rsidR="0006135C" w:rsidRPr="001D1DEE">
        <w:t>;</w:t>
      </w:r>
      <w:r w:rsidRPr="001D1DEE">
        <w:t xml:space="preserve"> others have </w:t>
      </w:r>
      <w:r w:rsidR="003D7619" w:rsidRPr="001D1DEE">
        <w:t>well-regarded</w:t>
      </w:r>
      <w:r w:rsidRPr="001D1DEE">
        <w:t xml:space="preserve"> industry expertise, while the teaching skills </w:t>
      </w:r>
      <w:r w:rsidR="00352203" w:rsidRPr="001D1DEE">
        <w:t xml:space="preserve">and/or industry expertise </w:t>
      </w:r>
      <w:r w:rsidRPr="001D1DEE">
        <w:t>of others need improvement. It was reported that</w:t>
      </w:r>
      <w:r w:rsidR="0006135C" w:rsidRPr="001D1DEE">
        <w:t>,</w:t>
      </w:r>
      <w:r w:rsidRPr="001D1DEE">
        <w:t xml:space="preserve"> </w:t>
      </w:r>
      <w:r w:rsidR="005858EB" w:rsidRPr="001D1DEE">
        <w:t>while teachers</w:t>
      </w:r>
      <w:r w:rsidRPr="001D1DEE">
        <w:t xml:space="preserve"> are doing their best</w:t>
      </w:r>
      <w:r w:rsidR="00263ADD" w:rsidRPr="001D1DEE">
        <w:t xml:space="preserve">, </w:t>
      </w:r>
      <w:r w:rsidR="003455CC" w:rsidRPr="001D1DEE">
        <w:t xml:space="preserve">they </w:t>
      </w:r>
      <w:r w:rsidR="001C435C" w:rsidRPr="001D1DEE">
        <w:t xml:space="preserve">are challenged </w:t>
      </w:r>
      <w:r w:rsidR="00E77AA2" w:rsidRPr="001D1DEE">
        <w:t xml:space="preserve">as ‘dual professionals’ </w:t>
      </w:r>
      <w:r w:rsidR="00BA641B" w:rsidRPr="001D1DEE">
        <w:t xml:space="preserve">to maintain </w:t>
      </w:r>
      <w:r w:rsidR="00352203" w:rsidRPr="001D1DEE">
        <w:t xml:space="preserve">their </w:t>
      </w:r>
      <w:r w:rsidR="001C435C" w:rsidRPr="001D1DEE">
        <w:t xml:space="preserve">industry currency and </w:t>
      </w:r>
      <w:r w:rsidR="00CC4C3B" w:rsidRPr="001D1DEE">
        <w:t xml:space="preserve">to </w:t>
      </w:r>
      <w:r w:rsidR="00352203" w:rsidRPr="001D1DEE">
        <w:t xml:space="preserve">continuously </w:t>
      </w:r>
      <w:r w:rsidR="00E77AA2" w:rsidRPr="001D1DEE">
        <w:t>improv</w:t>
      </w:r>
      <w:r w:rsidR="00BA641B" w:rsidRPr="001D1DEE">
        <w:t xml:space="preserve">e </w:t>
      </w:r>
      <w:r w:rsidR="00352203" w:rsidRPr="001D1DEE">
        <w:t xml:space="preserve">their </w:t>
      </w:r>
      <w:r w:rsidR="001C435C" w:rsidRPr="001D1DEE">
        <w:t xml:space="preserve">teaching </w:t>
      </w:r>
      <w:r w:rsidR="00E77AA2" w:rsidRPr="001D1DEE">
        <w:t xml:space="preserve">and assessment </w:t>
      </w:r>
      <w:r w:rsidR="00352203" w:rsidRPr="001D1DEE">
        <w:t>expertise</w:t>
      </w:r>
      <w:r w:rsidR="00E77AA2" w:rsidRPr="001D1DEE">
        <w:t xml:space="preserve">. </w:t>
      </w:r>
      <w:r w:rsidR="00352203" w:rsidRPr="001D1DEE">
        <w:t xml:space="preserve">Stakeholders </w:t>
      </w:r>
      <w:r w:rsidR="00E77AA2" w:rsidRPr="001D1DEE">
        <w:t xml:space="preserve">also reported that </w:t>
      </w:r>
      <w:r w:rsidR="00BA641B" w:rsidRPr="001D1DEE">
        <w:t>teachers face</w:t>
      </w:r>
      <w:r w:rsidRPr="001D1DEE">
        <w:t xml:space="preserve"> </w:t>
      </w:r>
      <w:r w:rsidR="00BA641B" w:rsidRPr="001D1DEE">
        <w:t xml:space="preserve">significant </w:t>
      </w:r>
      <w:r w:rsidRPr="001D1DEE">
        <w:t xml:space="preserve">constraints </w:t>
      </w:r>
      <w:r w:rsidR="00352203" w:rsidRPr="001D1DEE">
        <w:t xml:space="preserve">to teaching </w:t>
      </w:r>
      <w:r w:rsidR="00263ADD" w:rsidRPr="001D1DEE">
        <w:t>such as</w:t>
      </w:r>
      <w:r w:rsidRPr="001D1DEE">
        <w:t xml:space="preserve"> heavy workloads</w:t>
      </w:r>
      <w:r w:rsidR="003455CC" w:rsidRPr="001D1DEE">
        <w:t>, which</w:t>
      </w:r>
      <w:r w:rsidRPr="001D1DEE">
        <w:t xml:space="preserve"> </w:t>
      </w:r>
      <w:r w:rsidR="00AF382A" w:rsidRPr="001D1DEE">
        <w:t xml:space="preserve">can </w:t>
      </w:r>
      <w:r w:rsidRPr="001D1DEE">
        <w:t>include administrati</w:t>
      </w:r>
      <w:r w:rsidR="00AF382A" w:rsidRPr="001D1DEE">
        <w:t>on,</w:t>
      </w:r>
      <w:r w:rsidR="00797BB4" w:rsidRPr="001D1DEE">
        <w:t xml:space="preserve"> </w:t>
      </w:r>
      <w:proofErr w:type="gramStart"/>
      <w:r w:rsidRPr="001D1DEE">
        <w:t>compliance</w:t>
      </w:r>
      <w:proofErr w:type="gramEnd"/>
      <w:r w:rsidRPr="001D1DEE">
        <w:t xml:space="preserve"> </w:t>
      </w:r>
      <w:r w:rsidR="00AF382A" w:rsidRPr="001D1DEE">
        <w:t xml:space="preserve">and other </w:t>
      </w:r>
      <w:r w:rsidRPr="001D1DEE">
        <w:t>tasks</w:t>
      </w:r>
      <w:r w:rsidR="00CC4C3B" w:rsidRPr="001D1DEE">
        <w:t xml:space="preserve">; an </w:t>
      </w:r>
      <w:r w:rsidR="001B3786" w:rsidRPr="001D1DEE">
        <w:t xml:space="preserve">observation </w:t>
      </w:r>
      <w:r w:rsidR="00352203" w:rsidRPr="001D1DEE">
        <w:t xml:space="preserve">supported </w:t>
      </w:r>
      <w:r w:rsidR="006320D5" w:rsidRPr="001D1DEE">
        <w:t xml:space="preserve">in </w:t>
      </w:r>
      <w:r w:rsidR="00352203" w:rsidRPr="001D1DEE">
        <w:t xml:space="preserve">the literature </w:t>
      </w:r>
      <w:r w:rsidR="003C532B" w:rsidRPr="001D1DEE">
        <w:t>(</w:t>
      </w:r>
      <w:r w:rsidR="00352203" w:rsidRPr="001D1DEE">
        <w:t xml:space="preserve">see </w:t>
      </w:r>
      <w:r w:rsidR="003C532B" w:rsidRPr="001D1DEE">
        <w:t>for example</w:t>
      </w:r>
      <w:r w:rsidR="000412EC" w:rsidRPr="001D1DEE">
        <w:t>,</w:t>
      </w:r>
      <w:r w:rsidR="003C532B" w:rsidRPr="001D1DEE">
        <w:t xml:space="preserve"> </w:t>
      </w:r>
      <w:r w:rsidR="000412EC" w:rsidRPr="001D1DEE">
        <w:t>Guy</w:t>
      </w:r>
      <w:r w:rsidR="003C532B" w:rsidRPr="001D1DEE">
        <w:t xml:space="preserve"> 2020</w:t>
      </w:r>
      <w:r w:rsidR="001B3786" w:rsidRPr="001D1DEE">
        <w:t>).</w:t>
      </w:r>
    </w:p>
    <w:p w14:paraId="3D51097B" w14:textId="5CB218B7" w:rsidR="00C4035D" w:rsidRPr="001D1DEE" w:rsidRDefault="00691D29" w:rsidP="00F161E7">
      <w:pPr>
        <w:pStyle w:val="Text"/>
      </w:pPr>
      <w:r w:rsidRPr="001D1DEE">
        <w:t>T</w:t>
      </w:r>
      <w:r w:rsidR="00A87F12" w:rsidRPr="001D1DEE">
        <w:t>hat the responsibility for improving quality is a shared one</w:t>
      </w:r>
      <w:r w:rsidRPr="001D1DEE">
        <w:t xml:space="preserve"> is also generally agreed</w:t>
      </w:r>
      <w:r w:rsidR="00A87F12" w:rsidRPr="001D1DEE">
        <w:t>. R</w:t>
      </w:r>
      <w:r w:rsidRPr="001D1DEE">
        <w:t>egistered training organisations (R</w:t>
      </w:r>
      <w:r w:rsidR="00A87F12" w:rsidRPr="001D1DEE">
        <w:t>TOs</w:t>
      </w:r>
      <w:r w:rsidRPr="001D1DEE">
        <w:t>)</w:t>
      </w:r>
      <w:r w:rsidR="00A87F12" w:rsidRPr="001D1DEE">
        <w:t>, government</w:t>
      </w:r>
      <w:r w:rsidR="007A6FBE" w:rsidRPr="001D1DEE">
        <w:t>s</w:t>
      </w:r>
      <w:r w:rsidR="00A87F12" w:rsidRPr="001D1DEE">
        <w:t xml:space="preserve">, regulators, </w:t>
      </w:r>
      <w:proofErr w:type="gramStart"/>
      <w:r w:rsidR="00A87F12" w:rsidRPr="001D1DEE">
        <w:t>industry</w:t>
      </w:r>
      <w:proofErr w:type="gramEnd"/>
      <w:r w:rsidR="00A87F12" w:rsidRPr="001D1DEE">
        <w:t xml:space="preserve"> and VET practitioners </w:t>
      </w:r>
      <w:r w:rsidR="003D7859" w:rsidRPr="001D1DEE">
        <w:t xml:space="preserve">(including teachers) </w:t>
      </w:r>
      <w:r w:rsidR="00A87F12" w:rsidRPr="001D1DEE">
        <w:t>all have a role to play, with RTOs taking a leadership role for their own institutions, and governments helping to fund it</w:t>
      </w:r>
      <w:r w:rsidR="00AF382A" w:rsidRPr="001D1DEE">
        <w:t xml:space="preserve"> in some areas such as </w:t>
      </w:r>
      <w:r w:rsidR="00EC01B3" w:rsidRPr="001D1DEE">
        <w:t>professional development</w:t>
      </w:r>
      <w:r w:rsidR="00051C66" w:rsidRPr="001D1DEE">
        <w:t xml:space="preserve"> (PD)</w:t>
      </w:r>
      <w:r w:rsidR="00A87F12" w:rsidRPr="001D1DEE">
        <w:t>.</w:t>
      </w:r>
      <w:r w:rsidR="008301D1" w:rsidRPr="001D1DEE">
        <w:t xml:space="preserve"> </w:t>
      </w:r>
      <w:r w:rsidR="005C4702" w:rsidRPr="001D1DEE">
        <w:t xml:space="preserve">Highly casual </w:t>
      </w:r>
      <w:r w:rsidR="00E2358D" w:rsidRPr="001D1DEE">
        <w:t>a</w:t>
      </w:r>
      <w:r w:rsidR="005C4702" w:rsidRPr="001D1DEE">
        <w:t>nd p</w:t>
      </w:r>
      <w:r w:rsidR="00E34F5C" w:rsidRPr="001D1DEE">
        <w:t xml:space="preserve">recarious employment </w:t>
      </w:r>
      <w:r w:rsidR="0020187E" w:rsidRPr="001D1DEE">
        <w:t>arrangements</w:t>
      </w:r>
      <w:r w:rsidR="00263ADD" w:rsidRPr="001D1DEE">
        <w:t>,</w:t>
      </w:r>
      <w:r w:rsidR="00AF382A" w:rsidRPr="001D1DEE">
        <w:t xml:space="preserve"> however</w:t>
      </w:r>
      <w:r w:rsidR="00797BB4" w:rsidRPr="001D1DEE">
        <w:t>,</w:t>
      </w:r>
      <w:r w:rsidR="00A87F12" w:rsidRPr="001D1DEE">
        <w:t xml:space="preserve"> </w:t>
      </w:r>
      <w:r w:rsidR="00263ADD" w:rsidRPr="001D1DEE">
        <w:t>a</w:t>
      </w:r>
      <w:r w:rsidR="00076ECC" w:rsidRPr="001D1DEE">
        <w:t xml:space="preserve">re </w:t>
      </w:r>
      <w:r w:rsidR="00F00F22" w:rsidRPr="001D1DEE">
        <w:t xml:space="preserve">seen by stakeholders as adversely </w:t>
      </w:r>
      <w:r w:rsidR="00A87F12" w:rsidRPr="001D1DEE">
        <w:t>affecting the ability of the sector to recruit</w:t>
      </w:r>
      <w:r w:rsidR="00E2358D" w:rsidRPr="001D1DEE">
        <w:t>, develop</w:t>
      </w:r>
      <w:r w:rsidR="00A87F12" w:rsidRPr="001D1DEE">
        <w:t xml:space="preserve"> and maintain good </w:t>
      </w:r>
      <w:r w:rsidR="0034169D" w:rsidRPr="001D1DEE">
        <w:t>teacher</w:t>
      </w:r>
      <w:r w:rsidR="00A87F12" w:rsidRPr="001D1DEE">
        <w:t xml:space="preserve">s. </w:t>
      </w:r>
      <w:r w:rsidR="00B40642" w:rsidRPr="001D1DEE">
        <w:t xml:space="preserve">This finding is </w:t>
      </w:r>
      <w:r w:rsidR="003D7859" w:rsidRPr="001D1DEE">
        <w:t>supported in the literature (</w:t>
      </w:r>
      <w:r w:rsidR="00F00F22" w:rsidRPr="001D1DEE">
        <w:t>for example</w:t>
      </w:r>
      <w:r w:rsidR="006320D5" w:rsidRPr="001D1DEE">
        <w:t xml:space="preserve"> </w:t>
      </w:r>
      <w:proofErr w:type="spellStart"/>
      <w:r w:rsidR="004427CB" w:rsidRPr="001D1DEE">
        <w:t>Wheelahan</w:t>
      </w:r>
      <w:proofErr w:type="spellEnd"/>
      <w:r w:rsidR="004427CB" w:rsidRPr="001D1DEE">
        <w:t xml:space="preserve"> and Moodie 2011; </w:t>
      </w:r>
      <w:r w:rsidR="00890A37" w:rsidRPr="001D1DEE">
        <w:t xml:space="preserve">Australian </w:t>
      </w:r>
      <w:r w:rsidR="004427CB" w:rsidRPr="001D1DEE">
        <w:t xml:space="preserve">Productivity Commission, 2011; Guthrie </w:t>
      </w:r>
      <w:r w:rsidR="00890A37" w:rsidRPr="001D1DEE">
        <w:t>and</w:t>
      </w:r>
      <w:r w:rsidR="004427CB" w:rsidRPr="001D1DEE">
        <w:t xml:space="preserve"> Jones</w:t>
      </w:r>
      <w:r w:rsidR="00F6630B" w:rsidRPr="001D1DEE">
        <w:t>,</w:t>
      </w:r>
      <w:r w:rsidR="004427CB" w:rsidRPr="001D1DEE">
        <w:t xml:space="preserve"> 2018; </w:t>
      </w:r>
      <w:r w:rsidR="003D7859" w:rsidRPr="001D1DEE">
        <w:t>Harris, 2020</w:t>
      </w:r>
      <w:r w:rsidR="004427CB" w:rsidRPr="001D1DEE">
        <w:t>).</w:t>
      </w:r>
      <w:r w:rsidR="00A15F0D" w:rsidRPr="001D1DEE">
        <w:t xml:space="preserve"> </w:t>
      </w:r>
      <w:r w:rsidR="005D0032" w:rsidRPr="001D1DEE">
        <w:t xml:space="preserve">There is </w:t>
      </w:r>
      <w:r w:rsidR="00A83781" w:rsidRPr="001D1DEE">
        <w:t xml:space="preserve">broad </w:t>
      </w:r>
      <w:r w:rsidR="005D0032" w:rsidRPr="001D1DEE">
        <w:t xml:space="preserve">agreement among stakeholders about the best approaches to improving teaching quality. Themes explored </w:t>
      </w:r>
      <w:r w:rsidR="00F6630B" w:rsidRPr="001D1DEE">
        <w:t xml:space="preserve">during the interviews </w:t>
      </w:r>
      <w:r w:rsidR="005D0032" w:rsidRPr="001D1DEE">
        <w:t>relate to the role and efficacy of professional capability frameworks and standards for VET teachers</w:t>
      </w:r>
      <w:r w:rsidR="00BF6D2F" w:rsidRPr="001D1DEE">
        <w:t xml:space="preserve"> and supporting strategies</w:t>
      </w:r>
      <w:r w:rsidR="003A75EF" w:rsidRPr="001D1DEE">
        <w:t xml:space="preserve"> </w:t>
      </w:r>
      <w:r w:rsidR="00F6630B" w:rsidRPr="001D1DEE">
        <w:t>aimed at raising teaching quality</w:t>
      </w:r>
      <w:r w:rsidR="0070735C" w:rsidRPr="001D1DEE">
        <w:t xml:space="preserve">. These include </w:t>
      </w:r>
      <w:r w:rsidR="00A83781" w:rsidRPr="001D1DEE">
        <w:t xml:space="preserve">ways to attract industry practitioners </w:t>
      </w:r>
      <w:r w:rsidR="00D126CA" w:rsidRPr="001D1DEE">
        <w:t>in</w:t>
      </w:r>
      <w:r w:rsidR="00A83781" w:rsidRPr="001D1DEE">
        <w:t>to teaching roles</w:t>
      </w:r>
      <w:r w:rsidR="008A409B" w:rsidRPr="001D1DEE">
        <w:t>,</w:t>
      </w:r>
      <w:r w:rsidR="00A83781" w:rsidRPr="001D1DEE">
        <w:t xml:space="preserve"> </w:t>
      </w:r>
      <w:r w:rsidR="00DD4468" w:rsidRPr="001D1DEE">
        <w:t xml:space="preserve">the </w:t>
      </w:r>
      <w:r w:rsidR="005D0032" w:rsidRPr="001D1DEE">
        <w:t>registration and accreditation</w:t>
      </w:r>
      <w:r w:rsidR="00BF6D2F" w:rsidRPr="001D1DEE">
        <w:t xml:space="preserve"> for teachers</w:t>
      </w:r>
      <w:r w:rsidR="00D126CA" w:rsidRPr="001D1DEE">
        <w:t>, requirements</w:t>
      </w:r>
      <w:r w:rsidR="00A83781" w:rsidRPr="001D1DEE">
        <w:t xml:space="preserve"> for entry into the profess</w:t>
      </w:r>
      <w:r w:rsidR="008A409B" w:rsidRPr="001D1DEE">
        <w:t>ion</w:t>
      </w:r>
      <w:r w:rsidR="005D0032" w:rsidRPr="001D1DEE">
        <w:t xml:space="preserve"> and the development of </w:t>
      </w:r>
      <w:r w:rsidR="00BF6D2F" w:rsidRPr="001D1DEE">
        <w:t xml:space="preserve">the </w:t>
      </w:r>
      <w:r w:rsidR="005D0032" w:rsidRPr="001D1DEE">
        <w:t xml:space="preserve">VET workforce through </w:t>
      </w:r>
      <w:r w:rsidR="00A560B4">
        <w:t>c</w:t>
      </w:r>
      <w:r w:rsidR="005D0032" w:rsidRPr="001D1DEE">
        <w:t xml:space="preserve">ontinuing </w:t>
      </w:r>
      <w:r w:rsidR="00A560B4">
        <w:t>p</w:t>
      </w:r>
      <w:r w:rsidR="005D0032" w:rsidRPr="001D1DEE">
        <w:t xml:space="preserve">rofessional </w:t>
      </w:r>
      <w:r w:rsidR="00A560B4">
        <w:t>d</w:t>
      </w:r>
      <w:r w:rsidR="005D0032" w:rsidRPr="001D1DEE">
        <w:t xml:space="preserve">evelopment (CPD). The results </w:t>
      </w:r>
      <w:r w:rsidR="00DD4468" w:rsidRPr="001D1DEE">
        <w:t xml:space="preserve">of the interviews </w:t>
      </w:r>
      <w:r w:rsidR="008A409B" w:rsidRPr="001D1DEE">
        <w:t>with stakeholders</w:t>
      </w:r>
      <w:r w:rsidR="002B7B59" w:rsidRPr="001D1DEE">
        <w:t>, and a range of proposed ways forward,</w:t>
      </w:r>
      <w:r w:rsidR="008A409B" w:rsidRPr="001D1DEE">
        <w:t xml:space="preserve"> </w:t>
      </w:r>
      <w:r w:rsidR="005D0032" w:rsidRPr="001D1DEE">
        <w:t>are summarised below</w:t>
      </w:r>
      <w:r w:rsidR="008A409B" w:rsidRPr="001D1DEE">
        <w:t xml:space="preserve">. </w:t>
      </w:r>
    </w:p>
    <w:p w14:paraId="43BE29C0" w14:textId="10431A96" w:rsidR="00A87F12" w:rsidRDefault="005858EB" w:rsidP="007228EF">
      <w:pPr>
        <w:pStyle w:val="Heading2"/>
      </w:pPr>
      <w:bookmarkStart w:id="46" w:name="_Toc62204926"/>
      <w:r>
        <w:t>Introducing</w:t>
      </w:r>
      <w:r w:rsidR="00A87F12">
        <w:t xml:space="preserve"> </w:t>
      </w:r>
      <w:r w:rsidR="00983FE0">
        <w:t xml:space="preserve">professional </w:t>
      </w:r>
      <w:r w:rsidR="00A87F12">
        <w:t>capability frameworks or standards</w:t>
      </w:r>
      <w:bookmarkEnd w:id="46"/>
      <w:r w:rsidR="00FB722A">
        <w:t xml:space="preserve"> </w:t>
      </w:r>
    </w:p>
    <w:p w14:paraId="71547407" w14:textId="1E18C80F" w:rsidR="00A87F12" w:rsidRDefault="00A87F12" w:rsidP="00A87F12">
      <w:pPr>
        <w:pStyle w:val="Text"/>
      </w:pPr>
      <w:r>
        <w:t xml:space="preserve">There is </w:t>
      </w:r>
      <w:r w:rsidR="00B6259B">
        <w:t>strong</w:t>
      </w:r>
      <w:r>
        <w:t xml:space="preserve"> support </w:t>
      </w:r>
      <w:r w:rsidR="00DD4468">
        <w:t xml:space="preserve">among stakeholders </w:t>
      </w:r>
      <w:r>
        <w:t xml:space="preserve">for </w:t>
      </w:r>
      <w:r w:rsidR="00983FE0">
        <w:t xml:space="preserve">professional </w:t>
      </w:r>
      <w:r>
        <w:t xml:space="preserve">capability frameworks </w:t>
      </w:r>
      <w:r w:rsidR="00D126CA">
        <w:t xml:space="preserve">in VET </w:t>
      </w:r>
      <w:r>
        <w:t xml:space="preserve">that outline the behaviours, values, skills and knowledge of VET </w:t>
      </w:r>
      <w:r w:rsidR="0034169D">
        <w:t>teacher</w:t>
      </w:r>
      <w:r>
        <w:t>s</w:t>
      </w:r>
      <w:r w:rsidR="00D126CA">
        <w:t xml:space="preserve"> and </w:t>
      </w:r>
      <w:r>
        <w:t>leaders</w:t>
      </w:r>
      <w:r w:rsidDel="00324968">
        <w:t xml:space="preserve"> </w:t>
      </w:r>
      <w:r>
        <w:t xml:space="preserve">at various stages </w:t>
      </w:r>
      <w:r w:rsidR="00D126CA">
        <w:t xml:space="preserve">during </w:t>
      </w:r>
      <w:r>
        <w:t xml:space="preserve">their careers, </w:t>
      </w:r>
      <w:r w:rsidR="00167824">
        <w:t xml:space="preserve">with </w:t>
      </w:r>
      <w:r w:rsidR="00AD5AF8">
        <w:t>such</w:t>
      </w:r>
      <w:r w:rsidR="00442CAC">
        <w:t xml:space="preserve"> </w:t>
      </w:r>
      <w:r w:rsidR="009D2737">
        <w:t xml:space="preserve">frameworks </w:t>
      </w:r>
      <w:r>
        <w:t>provid</w:t>
      </w:r>
      <w:r w:rsidR="00BC68DF">
        <w:t>ing</w:t>
      </w:r>
      <w:r>
        <w:t xml:space="preserve"> benchmarks against which individuals can self-evaluate. These self-evaluations can be (and are already) used in performance reviews to align the </w:t>
      </w:r>
      <w:r w:rsidR="005D1DCC">
        <w:t>PD</w:t>
      </w:r>
      <w:r>
        <w:t xml:space="preserve"> needs of individual</w:t>
      </w:r>
      <w:r w:rsidR="00D126CA">
        <w:t xml:space="preserve">s </w:t>
      </w:r>
      <w:r w:rsidR="005D1DCC">
        <w:t xml:space="preserve">with </w:t>
      </w:r>
      <w:r>
        <w:t>the</w:t>
      </w:r>
      <w:r w:rsidR="00FC1CE2">
        <w:t>ir</w:t>
      </w:r>
      <w:r>
        <w:t xml:space="preserve"> organisation’s strategic requirements. </w:t>
      </w:r>
    </w:p>
    <w:p w14:paraId="1FCE33B4" w14:textId="77777777" w:rsidR="00800FCD" w:rsidRDefault="00800FCD">
      <w:pPr>
        <w:spacing w:before="0" w:line="240" w:lineRule="auto"/>
        <w:rPr>
          <w:spacing w:val="-2"/>
          <w:szCs w:val="20"/>
          <w:lang w:eastAsia="en-US"/>
        </w:rPr>
      </w:pPr>
      <w:r>
        <w:rPr>
          <w:spacing w:val="-2"/>
        </w:rPr>
        <w:br w:type="page"/>
      </w:r>
    </w:p>
    <w:p w14:paraId="4E6FF3A1" w14:textId="2EEB9C0C" w:rsidR="001D1DEE" w:rsidRDefault="00A87F12" w:rsidP="001D1DEE">
      <w:pPr>
        <w:pStyle w:val="Text"/>
      </w:pPr>
      <w:r w:rsidRPr="00A229A9">
        <w:rPr>
          <w:spacing w:val="-2"/>
        </w:rPr>
        <w:lastRenderedPageBreak/>
        <w:t xml:space="preserve">Although professional standards (as distinct from capability frameworks) </w:t>
      </w:r>
      <w:r w:rsidR="00D126CA" w:rsidRPr="00A229A9">
        <w:rPr>
          <w:spacing w:val="-2"/>
        </w:rPr>
        <w:t xml:space="preserve">for teachers </w:t>
      </w:r>
      <w:proofErr w:type="gramStart"/>
      <w:r w:rsidRPr="00A229A9">
        <w:rPr>
          <w:spacing w:val="-2"/>
        </w:rPr>
        <w:t xml:space="preserve">are </w:t>
      </w:r>
      <w:r w:rsidR="001B5A2A" w:rsidRPr="00A229A9">
        <w:rPr>
          <w:spacing w:val="-2"/>
        </w:rPr>
        <w:t>considered</w:t>
      </w:r>
      <w:r w:rsidRPr="00A229A9">
        <w:rPr>
          <w:spacing w:val="-2"/>
        </w:rPr>
        <w:t xml:space="preserve"> to be</w:t>
      </w:r>
      <w:proofErr w:type="gramEnd"/>
      <w:r w:rsidRPr="00A229A9">
        <w:rPr>
          <w:spacing w:val="-2"/>
        </w:rPr>
        <w:t xml:space="preserve"> worthwhile for monitoring performance and for developmental purposes (especially in the schooling sector)</w:t>
      </w:r>
      <w:r w:rsidR="00720135" w:rsidRPr="00A229A9">
        <w:rPr>
          <w:spacing w:val="-2"/>
        </w:rPr>
        <w:t>,</w:t>
      </w:r>
      <w:r w:rsidRPr="00A229A9">
        <w:rPr>
          <w:spacing w:val="-2"/>
        </w:rPr>
        <w:t xml:space="preserve"> the majority of respondents consider them less useful in a complex and diverse context such as the VET sector.</w:t>
      </w:r>
      <w:r w:rsidR="00797BB4">
        <w:t xml:space="preserve"> </w:t>
      </w:r>
    </w:p>
    <w:p w14:paraId="3D9CE2BC" w14:textId="348F34CC" w:rsidR="00433ECA" w:rsidRDefault="00720135" w:rsidP="001D1DEE">
      <w:pPr>
        <w:pStyle w:val="Text"/>
      </w:pPr>
      <w:r>
        <w:t>Nonetheless</w:t>
      </w:r>
      <w:r w:rsidR="00A87F12">
        <w:t xml:space="preserve">, </w:t>
      </w:r>
      <w:r w:rsidR="00AD6233">
        <w:t xml:space="preserve">in some locally developed frameworks, </w:t>
      </w:r>
      <w:r w:rsidR="00A87F12">
        <w:t xml:space="preserve">there continues to be some reliance on using the Australian Professional Standards for Teachers as guidelines rather than prescriptions. The </w:t>
      </w:r>
      <w:r w:rsidR="00A87F12" w:rsidRPr="001B5A2A">
        <w:t>VET Practitioner Capability Framework</w:t>
      </w:r>
      <w:r w:rsidR="001B5A2A">
        <w:t>,</w:t>
      </w:r>
      <w:r w:rsidR="00A87F12">
        <w:t xml:space="preserve"> developed by Innovation and Business Skills Australia (IBSA)</w:t>
      </w:r>
      <w:r w:rsidR="001B5A2A">
        <w:t>,</w:t>
      </w:r>
      <w:r w:rsidR="00A87F12">
        <w:t xml:space="preserve"> is widely used by RTOs across the</w:t>
      </w:r>
      <w:r w:rsidR="008A2EA9">
        <w:t xml:space="preserve"> </w:t>
      </w:r>
      <w:r w:rsidR="005D1DCC">
        <w:t xml:space="preserve">national </w:t>
      </w:r>
      <w:r w:rsidR="00A87F12">
        <w:t>VET sector</w:t>
      </w:r>
      <w:r w:rsidR="004A488C">
        <w:t xml:space="preserve"> but is now somewhat dated</w:t>
      </w:r>
      <w:r w:rsidR="00A87F12">
        <w:t xml:space="preserve">. </w:t>
      </w:r>
    </w:p>
    <w:p w14:paraId="63F3B8AB" w14:textId="644E868E" w:rsidR="00A87F12" w:rsidRDefault="00A87F12" w:rsidP="00BB76AF">
      <w:pPr>
        <w:pStyle w:val="Text"/>
      </w:pPr>
      <w:r>
        <w:t xml:space="preserve">The measures of performance generally used to evaluate teacher capability identify the extent to which </w:t>
      </w:r>
      <w:r w:rsidR="008B420C">
        <w:t xml:space="preserve">the </w:t>
      </w:r>
      <w:r>
        <w:t xml:space="preserve">objectives set in </w:t>
      </w:r>
      <w:r w:rsidR="0034169D">
        <w:t>teacher</w:t>
      </w:r>
      <w:r>
        <w:t xml:space="preserve"> </w:t>
      </w:r>
      <w:r w:rsidR="0020187E">
        <w:t xml:space="preserve">performance and </w:t>
      </w:r>
      <w:r w:rsidR="00FC1CE2">
        <w:t xml:space="preserve">PD </w:t>
      </w:r>
      <w:r>
        <w:t xml:space="preserve">plans are met. </w:t>
      </w:r>
      <w:r w:rsidR="002F5872">
        <w:t>The</w:t>
      </w:r>
      <w:r w:rsidR="0020187E">
        <w:t xml:space="preserve">y can </w:t>
      </w:r>
      <w:r>
        <w:t xml:space="preserve">also include student assessment results and feedback </w:t>
      </w:r>
      <w:r w:rsidR="0020187E">
        <w:t xml:space="preserve">from </w:t>
      </w:r>
      <w:r>
        <w:t>course evaluations, although these are often used for self-reflection and continuous improvement by t</w:t>
      </w:r>
      <w:r w:rsidR="00961165">
        <w:t>eachers</w:t>
      </w:r>
      <w:r w:rsidR="00051C66">
        <w:t>.</w:t>
      </w:r>
      <w:r w:rsidR="00D126CA">
        <w:t xml:space="preserve"> </w:t>
      </w:r>
      <w:r w:rsidR="00D126CA" w:rsidRPr="00D126CA">
        <w:t xml:space="preserve">Performance management systems focused on staff development rather than performance evaluation are often seen as </w:t>
      </w:r>
      <w:r w:rsidR="00D126CA">
        <w:t xml:space="preserve">being </w:t>
      </w:r>
      <w:r w:rsidR="00D126CA" w:rsidRPr="00D126CA">
        <w:t>more effective (Smith and Hawke, 2008).</w:t>
      </w:r>
    </w:p>
    <w:p w14:paraId="18006D9D" w14:textId="24F3FAB8" w:rsidR="00A87F12" w:rsidRDefault="00A87F12" w:rsidP="00A87F12">
      <w:pPr>
        <w:pStyle w:val="Text"/>
      </w:pPr>
      <w:r>
        <w:t xml:space="preserve">Opinion </w:t>
      </w:r>
      <w:r w:rsidR="00720135">
        <w:t>is</w:t>
      </w:r>
      <w:r>
        <w:t xml:space="preserve"> divided on the merits of having a national</w:t>
      </w:r>
      <w:r w:rsidR="004D39D7">
        <w:t>ly prescribed</w:t>
      </w:r>
      <w:r>
        <w:t xml:space="preserve"> </w:t>
      </w:r>
      <w:r w:rsidR="00FC1CE2">
        <w:t xml:space="preserve">capability </w:t>
      </w:r>
      <w:r>
        <w:t>framework or set of professional standards</w:t>
      </w:r>
      <w:r w:rsidR="00FC1CE2">
        <w:t xml:space="preserve"> for VET teachers</w:t>
      </w:r>
      <w:r>
        <w:t>, with supporters believing it could help</w:t>
      </w:r>
      <w:r w:rsidR="002F5872">
        <w:t xml:space="preserve"> to</w:t>
      </w:r>
      <w:r>
        <w:t xml:space="preserve"> achieve national consistency, while non-supporters (the majority) consider that RTOs should develop their own by drawing on existing frameworks. </w:t>
      </w:r>
      <w:r w:rsidR="00FC1CE2">
        <w:t xml:space="preserve">Some </w:t>
      </w:r>
      <w:r w:rsidR="005D1DCC">
        <w:t xml:space="preserve">RTOs and state-based TAFE systems </w:t>
      </w:r>
      <w:r w:rsidR="00FF519A">
        <w:t xml:space="preserve">have successfully done </w:t>
      </w:r>
      <w:r w:rsidR="00FC1CE2">
        <w:t>this</w:t>
      </w:r>
      <w:r w:rsidR="00076531">
        <w:t>,</w:t>
      </w:r>
      <w:r w:rsidR="00FC1CE2">
        <w:t xml:space="preserve"> and a </w:t>
      </w:r>
      <w:r>
        <w:t xml:space="preserve">small group of educators have established a network for those who </w:t>
      </w:r>
      <w:r w:rsidR="00720135">
        <w:t xml:space="preserve">favour </w:t>
      </w:r>
      <w:r>
        <w:t xml:space="preserve">a national </w:t>
      </w:r>
      <w:r w:rsidR="00720135">
        <w:t xml:space="preserve">capability </w:t>
      </w:r>
      <w:r>
        <w:t xml:space="preserve">framework. </w:t>
      </w:r>
      <w:r w:rsidR="00890A37">
        <w:t xml:space="preserve">We suggest </w:t>
      </w:r>
      <w:r w:rsidR="00703E45">
        <w:t xml:space="preserve">that </w:t>
      </w:r>
      <w:r w:rsidR="00890A37">
        <w:t xml:space="preserve">developing a </w:t>
      </w:r>
      <w:r w:rsidR="000E637E">
        <w:t xml:space="preserve">set of </w:t>
      </w:r>
      <w:r w:rsidR="00890A37">
        <w:t xml:space="preserve">core </w:t>
      </w:r>
      <w:r w:rsidR="004A488C">
        <w:t>capabilit</w:t>
      </w:r>
      <w:r w:rsidR="000E637E">
        <w:t>ies able to be</w:t>
      </w:r>
      <w:r w:rsidR="00D27529">
        <w:t xml:space="preserve"> </w:t>
      </w:r>
      <w:r w:rsidR="004A488C">
        <w:t>local</w:t>
      </w:r>
      <w:r w:rsidR="000E637E">
        <w:t>ly</w:t>
      </w:r>
      <w:r w:rsidR="004A488C">
        <w:t xml:space="preserve"> adapt</w:t>
      </w:r>
      <w:r w:rsidR="000E637E">
        <w:t>ed</w:t>
      </w:r>
      <w:r w:rsidR="00890A37">
        <w:t xml:space="preserve"> is an option that </w:t>
      </w:r>
      <w:r w:rsidR="000E637E">
        <w:t>c</w:t>
      </w:r>
      <w:r w:rsidR="00890A37">
        <w:t>ould be considered.</w:t>
      </w:r>
    </w:p>
    <w:p w14:paraId="2B826003" w14:textId="472A6FEF" w:rsidR="00CA12E7" w:rsidRPr="00DA6DA8" w:rsidRDefault="00CA12E7" w:rsidP="00CA12E7">
      <w:pPr>
        <w:pStyle w:val="Heading2"/>
      </w:pPr>
      <w:bookmarkStart w:id="47" w:name="_Toc62204927"/>
      <w:bookmarkStart w:id="48" w:name="_Toc40607809"/>
      <w:bookmarkStart w:id="49" w:name="_Toc43381920"/>
      <w:r w:rsidRPr="00DA6DA8">
        <w:t>Registration and accreditation</w:t>
      </w:r>
      <w:bookmarkEnd w:id="47"/>
    </w:p>
    <w:p w14:paraId="43AA10FB" w14:textId="266C6EBA" w:rsidR="00CA12E7" w:rsidRDefault="00137714" w:rsidP="00430F2C">
      <w:pPr>
        <w:pStyle w:val="Text"/>
      </w:pPr>
      <w:r>
        <w:t xml:space="preserve">Opinions are also divided on the issue of registration and accreditation for VET teachers. </w:t>
      </w:r>
      <w:r w:rsidR="00CA12E7">
        <w:t xml:space="preserve">As previous studies have found (for example, Guthrie 2010; </w:t>
      </w:r>
      <w:proofErr w:type="spellStart"/>
      <w:r w:rsidR="00CA12E7">
        <w:t>Wheelahan</w:t>
      </w:r>
      <w:proofErr w:type="spellEnd"/>
      <w:r w:rsidR="00CA12E7">
        <w:t xml:space="preserve"> &amp; Moodie 2011), limited support exists among stakeholders for introducing mandatory registration and/or accreditation of VET teachers, with non-supporters questioning its value, noting that compliance is already required with the </w:t>
      </w:r>
      <w:r w:rsidR="00CA12E7" w:rsidRPr="00F70E8F">
        <w:t>Standards for Registered Training Organisations (RTOs) 2015</w:t>
      </w:r>
      <w:r w:rsidR="00CA12E7">
        <w:t xml:space="preserve"> (RTO Standards)</w:t>
      </w:r>
      <w:r w:rsidR="00A229A9" w:rsidRPr="00A229A9">
        <w:rPr>
          <w:rStyle w:val="FootnoteReference"/>
        </w:rPr>
        <w:t xml:space="preserve"> </w:t>
      </w:r>
      <w:r w:rsidR="00A229A9">
        <w:rPr>
          <w:rStyle w:val="FootnoteReference"/>
        </w:rPr>
        <w:footnoteReference w:id="1"/>
      </w:r>
      <w:r w:rsidR="00CA12E7" w:rsidRPr="00F70E8F">
        <w:t xml:space="preserve">, </w:t>
      </w:r>
      <w:r w:rsidR="00CA12E7">
        <w:t xml:space="preserve">and with industry regulator standards in place for some vocational occupations. Supporters of mandatory registration believe its introduction would enhance the professionalism and status of VET teachers and help to attract more industry professionals into teaching roles. </w:t>
      </w:r>
    </w:p>
    <w:p w14:paraId="6E5A485E" w14:textId="6303DE72" w:rsidR="00CA12E7" w:rsidRDefault="00CA12E7" w:rsidP="00430F2C">
      <w:pPr>
        <w:pStyle w:val="Text"/>
      </w:pPr>
      <w:r>
        <w:t xml:space="preserve">The peak body for the private </w:t>
      </w:r>
      <w:r w:rsidR="00703E45">
        <w:t xml:space="preserve">RTO </w:t>
      </w:r>
      <w:r>
        <w:t xml:space="preserve">sector, the Independent Tertiary Education Council of Australia (ITECA), has already implemented a ‘Professional College of VET Practitioners’, with voluntary accreditation for membership. </w:t>
      </w:r>
      <w:r w:rsidR="00DA6DA8">
        <w:t>However, o</w:t>
      </w:r>
      <w:r>
        <w:t xml:space="preserve">ther peak bodies are divided on this issue. Both supporters and non-supporters of mandatory registration raised the issue of which body would oversee such a registration system, its </w:t>
      </w:r>
      <w:r w:rsidR="00EA79F5">
        <w:t>role</w:t>
      </w:r>
      <w:r>
        <w:t xml:space="preserve"> and the costs of registration and renewal frequency. </w:t>
      </w:r>
    </w:p>
    <w:p w14:paraId="558F32D0" w14:textId="37BFACD5" w:rsidR="00430F2C" w:rsidRDefault="00DA6DA8" w:rsidP="00430F2C">
      <w:pPr>
        <w:pStyle w:val="Text"/>
      </w:pPr>
      <w:r>
        <w:t xml:space="preserve">After an extensive </w:t>
      </w:r>
      <w:r w:rsidR="00703E45">
        <w:t xml:space="preserve">review </w:t>
      </w:r>
      <w:r>
        <w:t xml:space="preserve">of the quality of teaching in VET, </w:t>
      </w:r>
      <w:proofErr w:type="spellStart"/>
      <w:r w:rsidR="00CA12E7">
        <w:t>Wheelahan</w:t>
      </w:r>
      <w:proofErr w:type="spellEnd"/>
      <w:r w:rsidR="00CA12E7">
        <w:t xml:space="preserve"> &amp; Moodie (2011) proposed forming a VET professional association </w:t>
      </w:r>
      <w:r w:rsidR="00A560B4">
        <w:t xml:space="preserve">that </w:t>
      </w:r>
      <w:r w:rsidR="00CA12E7">
        <w:t xml:space="preserve">was subsequently investigated by Guthrie &amp; Clayton (2012). While there was some support for the idea at the time, to date, no professional association for VET teachers has been formed. </w:t>
      </w:r>
    </w:p>
    <w:p w14:paraId="7AA4579C" w14:textId="77777777" w:rsidR="007C50B0" w:rsidRDefault="007C50B0">
      <w:pPr>
        <w:spacing w:before="0" w:line="240" w:lineRule="auto"/>
      </w:pPr>
      <w:r>
        <w:br w:type="page"/>
      </w:r>
    </w:p>
    <w:p w14:paraId="18974087" w14:textId="2C274C3C" w:rsidR="00CA12E7" w:rsidRDefault="00CA12E7" w:rsidP="00430F2C">
      <w:r>
        <w:lastRenderedPageBreak/>
        <w:t>In Tasmania, VET teachers in the public system must be registered</w:t>
      </w:r>
      <w:r>
        <w:rPr>
          <w:rStyle w:val="FootnoteReference"/>
        </w:rPr>
        <w:footnoteReference w:id="2"/>
      </w:r>
      <w:r>
        <w:t xml:space="preserve"> to work at </w:t>
      </w:r>
      <w:proofErr w:type="spellStart"/>
      <w:r>
        <w:t>TasTAFE</w:t>
      </w:r>
      <w:proofErr w:type="spellEnd"/>
      <w:r>
        <w:t xml:space="preserve">, but staff respondents did not support this, considering it an additional regulatory burden to the existing RTO Standards. Respondents consider that teacher registration does not drive quality, but that other factors do, for which incentives are needed. </w:t>
      </w:r>
      <w:r w:rsidR="00430F2C">
        <w:t xml:space="preserve">There is general ambivalence about the value of a teacher registration and accreditation system at this point. </w:t>
      </w:r>
    </w:p>
    <w:p w14:paraId="6379CC51" w14:textId="77777777" w:rsidR="00A87F12" w:rsidRPr="009C7807" w:rsidRDefault="00A87F12" w:rsidP="009C7807">
      <w:pPr>
        <w:pStyle w:val="Heading2"/>
      </w:pPr>
      <w:bookmarkStart w:id="50" w:name="_Toc62204928"/>
      <w:r w:rsidRPr="009C7807">
        <w:t>Raising the level of qualifications for entry to VET teaching</w:t>
      </w:r>
      <w:bookmarkEnd w:id="48"/>
      <w:bookmarkEnd w:id="49"/>
      <w:bookmarkEnd w:id="50"/>
    </w:p>
    <w:p w14:paraId="52492B93" w14:textId="4F5648DC" w:rsidR="00137714" w:rsidRDefault="00A87F12" w:rsidP="006B5255">
      <w:pPr>
        <w:pStyle w:val="Text"/>
      </w:pPr>
      <w:r>
        <w:t xml:space="preserve">There is </w:t>
      </w:r>
      <w:r w:rsidR="00113FF5">
        <w:t xml:space="preserve">a </w:t>
      </w:r>
      <w:r>
        <w:t xml:space="preserve">low </w:t>
      </w:r>
      <w:r w:rsidR="00113FF5">
        <w:t xml:space="preserve">level of </w:t>
      </w:r>
      <w:r>
        <w:t xml:space="preserve">support </w:t>
      </w:r>
      <w:r w:rsidR="00DA6DA8">
        <w:t xml:space="preserve">among stakeholders </w:t>
      </w:r>
      <w:r>
        <w:t>for changing or adding to the entry requirements to VET teaching</w:t>
      </w:r>
      <w:r w:rsidR="004D39D7">
        <w:t xml:space="preserve"> due to </w:t>
      </w:r>
      <w:r w:rsidR="004D39D7" w:rsidRPr="005C0B5A">
        <w:t xml:space="preserve">the deleterious effects of the recent </w:t>
      </w:r>
      <w:r w:rsidR="00663160">
        <w:t xml:space="preserve">mandated </w:t>
      </w:r>
      <w:r w:rsidR="007A5C5E">
        <w:t>Certificate</w:t>
      </w:r>
      <w:r w:rsidR="007A5C5E" w:rsidRPr="007A5C5E">
        <w:t xml:space="preserve"> IV in Training and Assessment </w:t>
      </w:r>
      <w:r w:rsidR="007A5C5E">
        <w:t>(</w:t>
      </w:r>
      <w:r w:rsidR="004D39D7" w:rsidRPr="005C0B5A">
        <w:t>TAE</w:t>
      </w:r>
      <w:r w:rsidR="007A5C5E">
        <w:t>)</w:t>
      </w:r>
      <w:r w:rsidR="004D39D7" w:rsidRPr="005C0B5A">
        <w:t xml:space="preserve"> upgrade on the VET teaching workforce, with some respondents reporting that it may have contributed to teachers exiting the system</w:t>
      </w:r>
      <w:r>
        <w:t xml:space="preserve">. </w:t>
      </w:r>
      <w:r w:rsidR="006B5255">
        <w:t xml:space="preserve">This </w:t>
      </w:r>
      <w:r w:rsidR="00DA6DA8">
        <w:t xml:space="preserve">was </w:t>
      </w:r>
      <w:r w:rsidR="00663160">
        <w:t xml:space="preserve">largely due </w:t>
      </w:r>
      <w:r w:rsidR="00137714">
        <w:t xml:space="preserve">to </w:t>
      </w:r>
      <w:r w:rsidR="00663160">
        <w:t xml:space="preserve">the additional </w:t>
      </w:r>
      <w:r w:rsidR="00991040">
        <w:t xml:space="preserve">requirements and </w:t>
      </w:r>
      <w:r w:rsidR="004D39D7" w:rsidRPr="00900A15">
        <w:t>cost</w:t>
      </w:r>
      <w:r w:rsidR="00137714">
        <w:t>s</w:t>
      </w:r>
      <w:r w:rsidR="004D39D7" w:rsidRPr="00900A15">
        <w:t xml:space="preserve"> of regular qualification</w:t>
      </w:r>
      <w:r w:rsidR="004D39D7" w:rsidRPr="004A39E4">
        <w:t xml:space="preserve"> upgrades </w:t>
      </w:r>
      <w:r w:rsidR="00A560B4">
        <w:t xml:space="preserve">that </w:t>
      </w:r>
      <w:proofErr w:type="gramStart"/>
      <w:r w:rsidR="00663160">
        <w:t xml:space="preserve">are </w:t>
      </w:r>
      <w:r w:rsidR="004D39D7" w:rsidRPr="004A39E4">
        <w:t xml:space="preserve">considered </w:t>
      </w:r>
      <w:r w:rsidR="00DA6DA8">
        <w:t>to be</w:t>
      </w:r>
      <w:proofErr w:type="gramEnd"/>
      <w:r w:rsidR="00DA6DA8">
        <w:t xml:space="preserve"> </w:t>
      </w:r>
      <w:r w:rsidR="004D39D7" w:rsidRPr="004A39E4">
        <w:t xml:space="preserve">an impost on </w:t>
      </w:r>
      <w:r w:rsidR="00991040">
        <w:t>providers</w:t>
      </w:r>
      <w:r w:rsidR="00137714">
        <w:t xml:space="preserve">, especially </w:t>
      </w:r>
      <w:r w:rsidR="00DA6DA8">
        <w:t>on</w:t>
      </w:r>
      <w:r w:rsidR="00DA6DA8" w:rsidRPr="00287AF8">
        <w:t xml:space="preserve"> small</w:t>
      </w:r>
      <w:r w:rsidR="00137714">
        <w:t xml:space="preserve"> </w:t>
      </w:r>
      <w:r w:rsidR="00F05A7B">
        <w:t xml:space="preserve">RTOs </w:t>
      </w:r>
      <w:r w:rsidR="00137714">
        <w:t>and those relying on volunteer teach</w:t>
      </w:r>
      <w:r w:rsidR="00F05A7B">
        <w:t xml:space="preserve">ers </w:t>
      </w:r>
      <w:r w:rsidR="008A409B">
        <w:t xml:space="preserve">and </w:t>
      </w:r>
      <w:r w:rsidR="00F05A7B">
        <w:t xml:space="preserve">teachers </w:t>
      </w:r>
      <w:r w:rsidR="008A409B" w:rsidRPr="00DA6DA8">
        <w:rPr>
          <w:szCs w:val="19"/>
        </w:rPr>
        <w:t>from equity groups.</w:t>
      </w:r>
      <w:r w:rsidR="00137714">
        <w:t xml:space="preserve"> </w:t>
      </w:r>
    </w:p>
    <w:p w14:paraId="65517FBD" w14:textId="14E3A50C" w:rsidR="00703E45" w:rsidRDefault="00137714" w:rsidP="00B05A42">
      <w:pPr>
        <w:pStyle w:val="Text"/>
      </w:pPr>
      <w:r>
        <w:t xml:space="preserve">The impost was </w:t>
      </w:r>
      <w:r w:rsidR="00DA6DA8">
        <w:t xml:space="preserve">also </w:t>
      </w:r>
      <w:r>
        <w:t xml:space="preserve">felt </w:t>
      </w:r>
      <w:r w:rsidR="0054788D">
        <w:t xml:space="preserve">keenly </w:t>
      </w:r>
      <w:r>
        <w:t xml:space="preserve">by </w:t>
      </w:r>
      <w:r w:rsidR="0054788D">
        <w:t xml:space="preserve">teachers; particularly those </w:t>
      </w:r>
      <w:r>
        <w:t xml:space="preserve">employed in </w:t>
      </w:r>
      <w:r w:rsidR="0054788D">
        <w:t xml:space="preserve">casual and other non-permanent roles </w:t>
      </w:r>
      <w:r w:rsidR="004734FE">
        <w:t>(Guthrie &amp; Every 2013)</w:t>
      </w:r>
      <w:r w:rsidR="0054788D">
        <w:t>, wh</w:t>
      </w:r>
      <w:r w:rsidR="00DA6DA8">
        <w:t xml:space="preserve">o </w:t>
      </w:r>
      <w:r w:rsidR="00F05A7B">
        <w:t xml:space="preserve">make up </w:t>
      </w:r>
      <w:r w:rsidR="00D112A4">
        <w:t>about</w:t>
      </w:r>
      <w:r w:rsidR="004D39D7">
        <w:t xml:space="preserve"> half (46.5%) of </w:t>
      </w:r>
      <w:r w:rsidR="00F05A7B">
        <w:t xml:space="preserve">the VET </w:t>
      </w:r>
      <w:r w:rsidR="0034169D">
        <w:t>teach</w:t>
      </w:r>
      <w:r w:rsidR="00F05A7B">
        <w:t>ing workforce</w:t>
      </w:r>
      <w:r>
        <w:t xml:space="preserve"> </w:t>
      </w:r>
      <w:r w:rsidR="004D39D7">
        <w:t>(Knight</w:t>
      </w:r>
      <w:r w:rsidR="001F4762">
        <w:t>, White &amp; Granfield</w:t>
      </w:r>
      <w:r w:rsidR="004D39D7">
        <w:t xml:space="preserve"> 2020</w:t>
      </w:r>
      <w:r w:rsidR="008A409B">
        <w:t>)</w:t>
      </w:r>
      <w:r w:rsidR="00E6010C">
        <w:t>.</w:t>
      </w:r>
      <w:r w:rsidR="00A03DEB">
        <w:rPr>
          <w:szCs w:val="19"/>
        </w:rPr>
        <w:t xml:space="preserve"> </w:t>
      </w:r>
    </w:p>
    <w:p w14:paraId="2E7AEEE3" w14:textId="7C3F6A17" w:rsidR="00A92C02" w:rsidRDefault="004D39D7" w:rsidP="00B05A42">
      <w:pPr>
        <w:pStyle w:val="Text"/>
      </w:pPr>
      <w:r>
        <w:t>Despite this</w:t>
      </w:r>
      <w:r w:rsidR="009268CC">
        <w:t xml:space="preserve">, </w:t>
      </w:r>
      <w:r>
        <w:t xml:space="preserve">many </w:t>
      </w:r>
      <w:r w:rsidR="005E78BE">
        <w:t>s</w:t>
      </w:r>
      <w:r>
        <w:t xml:space="preserve">takeholders </w:t>
      </w:r>
      <w:r w:rsidR="00A87F12">
        <w:t>agree</w:t>
      </w:r>
      <w:r>
        <w:t>d</w:t>
      </w:r>
      <w:r w:rsidR="00A87F12">
        <w:t xml:space="preserve"> that the Certificate IV in</w:t>
      </w:r>
      <w:r w:rsidR="006D5BEF">
        <w:t xml:space="preserve"> T</w:t>
      </w:r>
      <w:r w:rsidR="007A5C5E">
        <w:t xml:space="preserve">AE </w:t>
      </w:r>
      <w:r>
        <w:t xml:space="preserve">would in time </w:t>
      </w:r>
      <w:r w:rsidR="00A87F12">
        <w:t xml:space="preserve">need to </w:t>
      </w:r>
      <w:r w:rsidR="00FC1CE2">
        <w:t xml:space="preserve">be adapted to </w:t>
      </w:r>
      <w:r w:rsidR="00A87F12">
        <w:t xml:space="preserve">suit the diverse </w:t>
      </w:r>
      <w:r w:rsidR="00FC1CE2">
        <w:t xml:space="preserve">teaching </w:t>
      </w:r>
      <w:r w:rsidR="00A87F12">
        <w:t xml:space="preserve">roles in the sector and include knowledge of key pedagogical theories, principles of learning and assessment and teaching practice. </w:t>
      </w:r>
      <w:bookmarkStart w:id="51" w:name="_Hlk43313989"/>
      <w:bookmarkStart w:id="52" w:name="_Hlk43368659"/>
      <w:r w:rsidR="001C435C">
        <w:t xml:space="preserve">The dual requirements of industry currency and quality teaching skills presents challenges </w:t>
      </w:r>
      <w:r w:rsidR="00FC1CE2">
        <w:t>for teachers</w:t>
      </w:r>
      <w:r w:rsidR="001C435C">
        <w:t xml:space="preserve">, which </w:t>
      </w:r>
      <w:r w:rsidR="00F05A7B">
        <w:t xml:space="preserve">will </w:t>
      </w:r>
      <w:r w:rsidR="001C435C">
        <w:t>need to be addressed appropriately for the sector to thrive and meet rapidly changing workforce needs.</w:t>
      </w:r>
      <w:r w:rsidR="00CF07DC">
        <w:t xml:space="preserve"> </w:t>
      </w:r>
    </w:p>
    <w:p w14:paraId="52A026AD" w14:textId="23604329" w:rsidR="00A87F12" w:rsidRPr="006C5A59" w:rsidRDefault="007C051E" w:rsidP="00CF07DC">
      <w:pPr>
        <w:pStyle w:val="Text"/>
      </w:pPr>
      <w:bookmarkStart w:id="53" w:name="_Hlk43311746"/>
      <w:bookmarkStart w:id="54" w:name="_Hlk43311287"/>
      <w:bookmarkEnd w:id="51"/>
      <w:r w:rsidRPr="006C5A59">
        <w:t xml:space="preserve">A representative from the adult literacy sector raised issues </w:t>
      </w:r>
      <w:r w:rsidR="008F64CE" w:rsidRPr="006C5A59">
        <w:t xml:space="preserve">about the </w:t>
      </w:r>
      <w:r w:rsidR="006C5A59" w:rsidRPr="006C5A59">
        <w:t xml:space="preserve">sector’s </w:t>
      </w:r>
      <w:r w:rsidR="008F64CE" w:rsidRPr="006C5A59">
        <w:t xml:space="preserve">lack of </w:t>
      </w:r>
      <w:r w:rsidR="006C5A59" w:rsidRPr="006C5A59">
        <w:t xml:space="preserve">access to </w:t>
      </w:r>
      <w:r w:rsidR="008F64CE" w:rsidRPr="006C5A59">
        <w:t>highly trained specialists to assist students with</w:t>
      </w:r>
      <w:r w:rsidR="00316D52">
        <w:t xml:space="preserve"> </w:t>
      </w:r>
      <w:r w:rsidR="00870138" w:rsidRPr="006C5A59">
        <w:t xml:space="preserve">language, </w:t>
      </w:r>
      <w:proofErr w:type="gramStart"/>
      <w:r w:rsidR="00870138" w:rsidRPr="006C5A59">
        <w:t>literacy</w:t>
      </w:r>
      <w:proofErr w:type="gramEnd"/>
      <w:r w:rsidR="00870138" w:rsidRPr="006C5A59">
        <w:t xml:space="preserve"> and numeracy </w:t>
      </w:r>
      <w:r w:rsidR="0049385C" w:rsidRPr="006C5A59">
        <w:t>(LL</w:t>
      </w:r>
      <w:r w:rsidR="00F31B3F">
        <w:t>&amp;</w:t>
      </w:r>
      <w:r w:rsidR="0049385C" w:rsidRPr="006C5A59">
        <w:t xml:space="preserve">N) </w:t>
      </w:r>
      <w:r w:rsidR="008F64CE" w:rsidRPr="006C5A59">
        <w:t xml:space="preserve">difficulties. </w:t>
      </w:r>
      <w:r w:rsidRPr="006C5A59">
        <w:t xml:space="preserve">Although it was felt that all VET teachers </w:t>
      </w:r>
      <w:r w:rsidR="00B24D83">
        <w:t xml:space="preserve">should </w:t>
      </w:r>
      <w:proofErr w:type="gramStart"/>
      <w:r w:rsidRPr="006C5A59">
        <w:t>have an understanding of</w:t>
      </w:r>
      <w:proofErr w:type="gramEnd"/>
      <w:r w:rsidRPr="006C5A59">
        <w:t xml:space="preserve"> LL</w:t>
      </w:r>
      <w:r w:rsidR="00F31B3F">
        <w:t>&amp;</w:t>
      </w:r>
      <w:r w:rsidRPr="006C5A59">
        <w:t xml:space="preserve">N issues, it was </w:t>
      </w:r>
      <w:r w:rsidR="00027ADE">
        <w:t xml:space="preserve">considered </w:t>
      </w:r>
      <w:r w:rsidRPr="006C5A59">
        <w:t xml:space="preserve">far more beneficial for students to learn such skills from </w:t>
      </w:r>
      <w:r w:rsidR="0034169D">
        <w:t>teacher</w:t>
      </w:r>
      <w:r w:rsidRPr="006C5A59">
        <w:t xml:space="preserve">s </w:t>
      </w:r>
      <w:r w:rsidR="00054991" w:rsidRPr="006C5A59">
        <w:t>who understand</w:t>
      </w:r>
      <w:r w:rsidRPr="006C5A59">
        <w:t xml:space="preserve"> how to </w:t>
      </w:r>
      <w:r w:rsidR="00054991" w:rsidRPr="006C5A59">
        <w:t>‘</w:t>
      </w:r>
      <w:r w:rsidRPr="006C5A59">
        <w:t>unpack the learning around the complex process of reading, writing, communication and numeracy</w:t>
      </w:r>
      <w:r w:rsidR="00054991" w:rsidRPr="006C5A59">
        <w:t>’</w:t>
      </w:r>
      <w:r w:rsidR="005D1DCC">
        <w:t xml:space="preserve">. </w:t>
      </w:r>
      <w:bookmarkEnd w:id="53"/>
    </w:p>
    <w:bookmarkEnd w:id="52"/>
    <w:bookmarkEnd w:id="54"/>
    <w:p w14:paraId="64F8A039" w14:textId="773B1DA5" w:rsidR="00A87F12" w:rsidRPr="00DA6DA8" w:rsidRDefault="00A87F12" w:rsidP="00DA6DA8">
      <w:pPr>
        <w:pStyle w:val="Text"/>
        <w:rPr>
          <w:szCs w:val="19"/>
        </w:rPr>
      </w:pPr>
      <w:r w:rsidRPr="00DA6DA8">
        <w:rPr>
          <w:szCs w:val="19"/>
        </w:rPr>
        <w:t>The key</w:t>
      </w:r>
      <w:r w:rsidR="00F258D9" w:rsidRPr="00DA6DA8">
        <w:rPr>
          <w:szCs w:val="19"/>
        </w:rPr>
        <w:t xml:space="preserve"> barrier</w:t>
      </w:r>
      <w:r w:rsidRPr="00DA6DA8">
        <w:rPr>
          <w:szCs w:val="19"/>
        </w:rPr>
        <w:t xml:space="preserve"> to amending </w:t>
      </w:r>
      <w:r w:rsidR="00DA6DA8" w:rsidRPr="00DA6DA8">
        <w:rPr>
          <w:szCs w:val="19"/>
        </w:rPr>
        <w:t xml:space="preserve">current </w:t>
      </w:r>
      <w:r w:rsidRPr="00DA6DA8">
        <w:rPr>
          <w:szCs w:val="19"/>
        </w:rPr>
        <w:t xml:space="preserve">entry requirements </w:t>
      </w:r>
      <w:r w:rsidR="008F2FF1" w:rsidRPr="00DA6DA8">
        <w:rPr>
          <w:szCs w:val="19"/>
        </w:rPr>
        <w:t xml:space="preserve">for </w:t>
      </w:r>
      <w:r w:rsidR="0034169D" w:rsidRPr="00DA6DA8">
        <w:rPr>
          <w:szCs w:val="19"/>
        </w:rPr>
        <w:t>teacher</w:t>
      </w:r>
      <w:r w:rsidR="008F2FF1" w:rsidRPr="00DA6DA8">
        <w:rPr>
          <w:szCs w:val="19"/>
        </w:rPr>
        <w:t xml:space="preserve">s </w:t>
      </w:r>
      <w:r w:rsidRPr="00DA6DA8">
        <w:rPr>
          <w:szCs w:val="19"/>
        </w:rPr>
        <w:t>generally relates to the challenge of</w:t>
      </w:r>
      <w:r w:rsidRPr="00A03DEB">
        <w:rPr>
          <w:szCs w:val="19"/>
        </w:rPr>
        <w:t xml:space="preserve"> attracting sufficient industry experts to the role of </w:t>
      </w:r>
      <w:r w:rsidR="0034169D" w:rsidRPr="00A03DEB">
        <w:rPr>
          <w:szCs w:val="19"/>
        </w:rPr>
        <w:t>teacher</w:t>
      </w:r>
      <w:r w:rsidRPr="00A03DEB">
        <w:rPr>
          <w:szCs w:val="19"/>
        </w:rPr>
        <w:t xml:space="preserve">, </w:t>
      </w:r>
      <w:r w:rsidR="00D62D54" w:rsidRPr="00A03DEB">
        <w:rPr>
          <w:szCs w:val="19"/>
        </w:rPr>
        <w:t>a challenge magnified</w:t>
      </w:r>
      <w:r w:rsidRPr="00A03DEB">
        <w:rPr>
          <w:szCs w:val="19"/>
        </w:rPr>
        <w:t xml:space="preserve"> in regional and rural areas</w:t>
      </w:r>
      <w:r w:rsidR="006D5BEF" w:rsidRPr="007F0429">
        <w:rPr>
          <w:szCs w:val="19"/>
        </w:rPr>
        <w:t>,</w:t>
      </w:r>
      <w:r w:rsidRPr="007F0429">
        <w:rPr>
          <w:szCs w:val="19"/>
        </w:rPr>
        <w:t xml:space="preserve"> Indigenous </w:t>
      </w:r>
      <w:r w:rsidR="003E07AC" w:rsidRPr="007F0429">
        <w:rPr>
          <w:szCs w:val="19"/>
        </w:rPr>
        <w:t>c</w:t>
      </w:r>
      <w:r w:rsidRPr="007F0429">
        <w:rPr>
          <w:szCs w:val="19"/>
        </w:rPr>
        <w:t xml:space="preserve">ommunities and among volunteers. </w:t>
      </w:r>
    </w:p>
    <w:p w14:paraId="3127A1B2" w14:textId="788CDD76" w:rsidR="00A87F12" w:rsidRPr="00310D9A" w:rsidRDefault="00A03DEB" w:rsidP="00310D9A">
      <w:pPr>
        <w:pStyle w:val="Text"/>
        <w:rPr>
          <w:szCs w:val="19"/>
        </w:rPr>
      </w:pPr>
      <w:r>
        <w:rPr>
          <w:szCs w:val="19"/>
        </w:rPr>
        <w:t>R</w:t>
      </w:r>
      <w:r w:rsidR="00A87F12" w:rsidRPr="00A03DEB">
        <w:rPr>
          <w:szCs w:val="19"/>
        </w:rPr>
        <w:t xml:space="preserve">espondents from </w:t>
      </w:r>
      <w:r w:rsidR="00765870" w:rsidRPr="00A03DEB">
        <w:rPr>
          <w:szCs w:val="19"/>
        </w:rPr>
        <w:t xml:space="preserve">the </w:t>
      </w:r>
      <w:r w:rsidR="00A87F12" w:rsidRPr="00A03DEB">
        <w:rPr>
          <w:szCs w:val="19"/>
        </w:rPr>
        <w:t xml:space="preserve">stakeholder groups </w:t>
      </w:r>
      <w:r>
        <w:rPr>
          <w:szCs w:val="19"/>
        </w:rPr>
        <w:t xml:space="preserve">who </w:t>
      </w:r>
      <w:r w:rsidR="00A87F12" w:rsidRPr="00A03DEB">
        <w:rPr>
          <w:szCs w:val="19"/>
        </w:rPr>
        <w:t xml:space="preserve">want to </w:t>
      </w:r>
      <w:r w:rsidR="00B05A42">
        <w:rPr>
          <w:szCs w:val="19"/>
        </w:rPr>
        <w:t>increase</w:t>
      </w:r>
      <w:r w:rsidR="00A87F12" w:rsidRPr="00A03DEB">
        <w:rPr>
          <w:szCs w:val="19"/>
        </w:rPr>
        <w:t xml:space="preserve"> the entry</w:t>
      </w:r>
      <w:r w:rsidR="00765870" w:rsidRPr="00A03DEB">
        <w:rPr>
          <w:szCs w:val="19"/>
        </w:rPr>
        <w:t>-</w:t>
      </w:r>
      <w:r w:rsidR="00A87F12" w:rsidRPr="00A03DEB">
        <w:rPr>
          <w:szCs w:val="19"/>
        </w:rPr>
        <w:t xml:space="preserve">level qualification </w:t>
      </w:r>
      <w:r w:rsidR="00CF07DC" w:rsidRPr="00A03DEB">
        <w:rPr>
          <w:szCs w:val="19"/>
        </w:rPr>
        <w:t>for teachers</w:t>
      </w:r>
      <w:r>
        <w:rPr>
          <w:szCs w:val="19"/>
        </w:rPr>
        <w:t xml:space="preserve"> suggest </w:t>
      </w:r>
      <w:r w:rsidR="00703E45">
        <w:rPr>
          <w:szCs w:val="19"/>
        </w:rPr>
        <w:t xml:space="preserve">this </w:t>
      </w:r>
      <w:r w:rsidR="00F05A7B">
        <w:rPr>
          <w:szCs w:val="19"/>
        </w:rPr>
        <w:t xml:space="preserve">should be </w:t>
      </w:r>
      <w:r>
        <w:rPr>
          <w:szCs w:val="19"/>
        </w:rPr>
        <w:t>raised</w:t>
      </w:r>
      <w:r w:rsidR="00CF07DC" w:rsidRPr="00A03DEB">
        <w:rPr>
          <w:szCs w:val="19"/>
        </w:rPr>
        <w:t xml:space="preserve"> </w:t>
      </w:r>
      <w:r w:rsidR="00A87F12" w:rsidRPr="00A03DEB">
        <w:rPr>
          <w:szCs w:val="19"/>
        </w:rPr>
        <w:t xml:space="preserve">to at least </w:t>
      </w:r>
      <w:r w:rsidR="00A229A9">
        <w:rPr>
          <w:szCs w:val="19"/>
        </w:rPr>
        <w:t>D</w:t>
      </w:r>
      <w:r w:rsidR="00A229A9" w:rsidRPr="00A03DEB">
        <w:rPr>
          <w:szCs w:val="19"/>
        </w:rPr>
        <w:t xml:space="preserve">iploma </w:t>
      </w:r>
      <w:r w:rsidR="00A87F12" w:rsidRPr="00A03DEB">
        <w:rPr>
          <w:szCs w:val="19"/>
        </w:rPr>
        <w:t xml:space="preserve">level. It was also suggested that VET </w:t>
      </w:r>
      <w:r w:rsidR="0034169D" w:rsidRPr="00A03DEB">
        <w:rPr>
          <w:szCs w:val="19"/>
        </w:rPr>
        <w:t>teacher</w:t>
      </w:r>
      <w:r w:rsidR="00A87F12" w:rsidRPr="00A03DEB">
        <w:rPr>
          <w:szCs w:val="19"/>
        </w:rPr>
        <w:t xml:space="preserve">s who teach the Certificate IV </w:t>
      </w:r>
      <w:r w:rsidR="00A37E3C" w:rsidRPr="00A03DEB">
        <w:rPr>
          <w:szCs w:val="19"/>
        </w:rPr>
        <w:t xml:space="preserve">in </w:t>
      </w:r>
      <w:r w:rsidR="00A87F12" w:rsidRPr="00A03DEB">
        <w:rPr>
          <w:szCs w:val="19"/>
        </w:rPr>
        <w:t xml:space="preserve">TAE </w:t>
      </w:r>
      <w:r w:rsidR="005E0DFF" w:rsidRPr="00A03DEB">
        <w:rPr>
          <w:szCs w:val="19"/>
        </w:rPr>
        <w:t xml:space="preserve">should </w:t>
      </w:r>
      <w:r w:rsidR="00CE3AC5" w:rsidRPr="00A03DEB">
        <w:rPr>
          <w:szCs w:val="19"/>
        </w:rPr>
        <w:t xml:space="preserve">themselves </w:t>
      </w:r>
      <w:r w:rsidR="00A87F12" w:rsidRPr="00A03DEB">
        <w:rPr>
          <w:szCs w:val="19"/>
        </w:rPr>
        <w:t>be qualified at one level</w:t>
      </w:r>
      <w:r w:rsidR="00BC5FFF" w:rsidRPr="00A03DEB">
        <w:rPr>
          <w:szCs w:val="19"/>
        </w:rPr>
        <w:t xml:space="preserve"> </w:t>
      </w:r>
      <w:r w:rsidR="003E07AC" w:rsidRPr="00A03DEB">
        <w:rPr>
          <w:szCs w:val="19"/>
        </w:rPr>
        <w:t>above that,</w:t>
      </w:r>
      <w:r w:rsidR="006D5BEF" w:rsidRPr="00A03DEB">
        <w:rPr>
          <w:szCs w:val="19"/>
        </w:rPr>
        <w:t xml:space="preserve"> and</w:t>
      </w:r>
      <w:r w:rsidR="006B04C6" w:rsidRPr="00A03DEB">
        <w:rPr>
          <w:szCs w:val="19"/>
        </w:rPr>
        <w:t xml:space="preserve"> </w:t>
      </w:r>
      <w:r w:rsidR="00A87F12" w:rsidRPr="00A03DEB">
        <w:rPr>
          <w:szCs w:val="19"/>
        </w:rPr>
        <w:t xml:space="preserve">that some leadership roles require even higher levels of qualification, </w:t>
      </w:r>
      <w:r w:rsidR="00101337" w:rsidRPr="00A03DEB">
        <w:rPr>
          <w:szCs w:val="19"/>
        </w:rPr>
        <w:t>such as for</w:t>
      </w:r>
      <w:r w:rsidR="00A87F12" w:rsidRPr="00A03DEB">
        <w:rPr>
          <w:szCs w:val="19"/>
        </w:rPr>
        <w:t xml:space="preserve"> the teaching of high-level and specialist courses. </w:t>
      </w:r>
      <w:r w:rsidR="00703E45">
        <w:rPr>
          <w:szCs w:val="19"/>
        </w:rPr>
        <w:t xml:space="preserve">This </w:t>
      </w:r>
      <w:r w:rsidR="009A157A" w:rsidRPr="00A03DEB">
        <w:rPr>
          <w:szCs w:val="19"/>
        </w:rPr>
        <w:t xml:space="preserve">is already a requirement </w:t>
      </w:r>
      <w:r w:rsidR="00A37E3C" w:rsidRPr="00A03DEB">
        <w:rPr>
          <w:szCs w:val="19"/>
        </w:rPr>
        <w:t xml:space="preserve">in the RTO Standards for </w:t>
      </w:r>
      <w:r w:rsidR="00F05A7B" w:rsidRPr="00A03DEB">
        <w:rPr>
          <w:szCs w:val="19"/>
        </w:rPr>
        <w:t>t</w:t>
      </w:r>
      <w:r w:rsidR="00F05A7B">
        <w:rPr>
          <w:szCs w:val="19"/>
        </w:rPr>
        <w:t xml:space="preserve">eachers </w:t>
      </w:r>
      <w:r w:rsidR="009A157A" w:rsidRPr="00A03DEB">
        <w:rPr>
          <w:szCs w:val="19"/>
        </w:rPr>
        <w:t>delivering the Cert</w:t>
      </w:r>
      <w:r w:rsidR="002C7BDE" w:rsidRPr="007F0429">
        <w:rPr>
          <w:szCs w:val="19"/>
        </w:rPr>
        <w:t>ificate</w:t>
      </w:r>
      <w:r w:rsidR="009A157A" w:rsidRPr="007F0429">
        <w:rPr>
          <w:szCs w:val="19"/>
        </w:rPr>
        <w:t xml:space="preserve"> IV </w:t>
      </w:r>
      <w:r w:rsidR="00A37E3C" w:rsidRPr="007F0429">
        <w:rPr>
          <w:szCs w:val="19"/>
        </w:rPr>
        <w:t xml:space="preserve">in </w:t>
      </w:r>
      <w:r w:rsidR="009A157A" w:rsidRPr="007F0429">
        <w:rPr>
          <w:szCs w:val="19"/>
        </w:rPr>
        <w:t xml:space="preserve">TAE </w:t>
      </w:r>
      <w:r w:rsidR="00F05A7B">
        <w:rPr>
          <w:szCs w:val="19"/>
        </w:rPr>
        <w:t xml:space="preserve">who </w:t>
      </w:r>
      <w:r w:rsidR="009A157A" w:rsidRPr="000E406B">
        <w:rPr>
          <w:szCs w:val="19"/>
        </w:rPr>
        <w:t xml:space="preserve">must hold at least one </w:t>
      </w:r>
      <w:r w:rsidR="009A157A" w:rsidRPr="00BD5F71">
        <w:rPr>
          <w:szCs w:val="19"/>
        </w:rPr>
        <w:t xml:space="preserve">Diploma level qualification from the TAE package or a </w:t>
      </w:r>
      <w:r w:rsidR="001778F7" w:rsidRPr="00BD5F71">
        <w:rPr>
          <w:szCs w:val="19"/>
        </w:rPr>
        <w:t>higher-level</w:t>
      </w:r>
      <w:r w:rsidR="009A157A" w:rsidRPr="00BD5F71">
        <w:rPr>
          <w:szCs w:val="19"/>
        </w:rPr>
        <w:t xml:space="preserve"> qualification in adult education</w:t>
      </w:r>
      <w:r w:rsidR="00F05A7B">
        <w:rPr>
          <w:szCs w:val="19"/>
        </w:rPr>
        <w:t xml:space="preserve"> </w:t>
      </w:r>
      <w:r w:rsidR="009A157A" w:rsidRPr="00A03DEB">
        <w:rPr>
          <w:szCs w:val="19"/>
        </w:rPr>
        <w:t xml:space="preserve">(ASQA </w:t>
      </w:r>
      <w:r w:rsidR="00C1237D" w:rsidRPr="00A03DEB">
        <w:rPr>
          <w:szCs w:val="19"/>
        </w:rPr>
        <w:t>2019</w:t>
      </w:r>
      <w:r w:rsidR="002C7BDE" w:rsidRPr="00A03DEB">
        <w:rPr>
          <w:szCs w:val="19"/>
        </w:rPr>
        <w:t xml:space="preserve">, </w:t>
      </w:r>
      <w:r w:rsidR="00ED5705">
        <w:rPr>
          <w:szCs w:val="19"/>
        </w:rPr>
        <w:t>p.</w:t>
      </w:r>
      <w:r w:rsidR="002C7BDE" w:rsidRPr="00A03DEB">
        <w:rPr>
          <w:szCs w:val="19"/>
        </w:rPr>
        <w:t>70</w:t>
      </w:r>
      <w:r w:rsidR="00C1237D" w:rsidRPr="00A03DEB">
        <w:rPr>
          <w:szCs w:val="19"/>
        </w:rPr>
        <w:t>)</w:t>
      </w:r>
      <w:r w:rsidR="001778F7" w:rsidRPr="00A03DEB">
        <w:rPr>
          <w:szCs w:val="19"/>
        </w:rPr>
        <w:t xml:space="preserve">. </w:t>
      </w:r>
    </w:p>
    <w:p w14:paraId="67B08476" w14:textId="77777777" w:rsidR="00323871" w:rsidRPr="009C7807" w:rsidRDefault="00323871" w:rsidP="00E45F00">
      <w:pPr>
        <w:pStyle w:val="Heading3"/>
      </w:pPr>
      <w:bookmarkStart w:id="55" w:name="_Toc40607810"/>
      <w:bookmarkStart w:id="56" w:name="_Toc43381921"/>
      <w:r w:rsidRPr="009C7807">
        <w:t>Attracting and developing a capable workforce</w:t>
      </w:r>
    </w:p>
    <w:p w14:paraId="79D6A191" w14:textId="4112E534" w:rsidR="00323871" w:rsidRDefault="00323871" w:rsidP="00323871">
      <w:pPr>
        <w:pStyle w:val="Text"/>
      </w:pPr>
      <w:r>
        <w:t>Approaches to attracting industry professionals to the VET teaching workforce suggested by stakeholders included recruitment campaigns that promote reasonable pay (for some), good working conditions, the ability to give back to industry, work</w:t>
      </w:r>
      <w:r w:rsidR="00E11D9D">
        <w:t>-</w:t>
      </w:r>
      <w:r>
        <w:t>life balance, and opportunities for</w:t>
      </w:r>
      <w:r w:rsidR="00384FBF">
        <w:t xml:space="preserve"> </w:t>
      </w:r>
      <w:bookmarkStart w:id="57" w:name="_Hlk57310470"/>
      <w:r>
        <w:t xml:space="preserve">CPD. </w:t>
      </w:r>
      <w:bookmarkEnd w:id="57"/>
      <w:r>
        <w:t>The use of government-</w:t>
      </w:r>
      <w:r>
        <w:lastRenderedPageBreak/>
        <w:t xml:space="preserve">funded scholarships, </w:t>
      </w:r>
      <w:proofErr w:type="gramStart"/>
      <w:r>
        <w:t>traineeships</w:t>
      </w:r>
      <w:proofErr w:type="gramEnd"/>
      <w:r>
        <w:t xml:space="preserve"> or internships, as well as collaborations with employers to identify staff with the potential interest and persistence to flourish as VET teachers, were also proposed. </w:t>
      </w:r>
    </w:p>
    <w:p w14:paraId="3A013DCC" w14:textId="77777777" w:rsidR="00323871" w:rsidRDefault="00323871" w:rsidP="00323871">
      <w:pPr>
        <w:pStyle w:val="Text"/>
      </w:pPr>
      <w:r>
        <w:t>There is a view that the VET sector might consider attracting tradespersons who had lost their jobs in the COVID-19 environment, although there are concerns that such industry experts (especially from higher-paying trades) might exit their training role and return to industry post-COVID-19. One VET teacher commented that more industry experts might want to become teachers if some of the administrative tasks were removed.</w:t>
      </w:r>
    </w:p>
    <w:p w14:paraId="5CAC9A58" w14:textId="4CC41DF2" w:rsidR="00323871" w:rsidRDefault="00323871" w:rsidP="00323871">
      <w:pPr>
        <w:pStyle w:val="Text"/>
      </w:pPr>
      <w:r>
        <w:t>E</w:t>
      </w:r>
      <w:r w:rsidRPr="007F0429">
        <w:t>nsuring the adequate resourcing of CPD opportunities to enable teachers to maintain their industry currency, update existing skills, learn new skills, and keep up with modernised and technology-enhanced t</w:t>
      </w:r>
      <w:r>
        <w:t xml:space="preserve">eaching </w:t>
      </w:r>
      <w:r w:rsidRPr="007F0429">
        <w:t xml:space="preserve">approaches is considered </w:t>
      </w:r>
      <w:r>
        <w:t xml:space="preserve">by stakeholders to be </w:t>
      </w:r>
      <w:r w:rsidRPr="007F0429">
        <w:t xml:space="preserve">critical. Sizeable numbers regret the loss to the system of previous national, state and territory-based programs for CPD and made suggestions for similar programs to be </w:t>
      </w:r>
      <w:r w:rsidR="00FF0893">
        <w:t>re-</w:t>
      </w:r>
      <w:r w:rsidRPr="007F0429">
        <w:t>established. Some existing approaches are highly regarded, for example, the VET Development Centre in Victoria and the Chisholm Institute’s Educator Passport pilot</w:t>
      </w:r>
      <w:r w:rsidR="00E45FED">
        <w:t xml:space="preserve"> (see </w:t>
      </w:r>
      <w:r w:rsidR="00A768B1">
        <w:t xml:space="preserve">appendix </w:t>
      </w:r>
      <w:r w:rsidR="006F2B8E">
        <w:t>5</w:t>
      </w:r>
      <w:r w:rsidR="00E45FED">
        <w:t>)</w:t>
      </w:r>
      <w:r w:rsidRPr="007F0429">
        <w:t>, in which individual PD is aligned with business and individual needs.</w:t>
      </w:r>
    </w:p>
    <w:p w14:paraId="5872EE39" w14:textId="3D1390C5" w:rsidR="00A87F12" w:rsidRPr="00E45F00" w:rsidRDefault="00A87F12" w:rsidP="00E45F00">
      <w:pPr>
        <w:pStyle w:val="Heading3"/>
      </w:pPr>
      <w:r w:rsidRPr="00E45F00">
        <w:t>Mentoring and supporting teachers throughout their careers</w:t>
      </w:r>
      <w:bookmarkEnd w:id="55"/>
      <w:bookmarkEnd w:id="56"/>
    </w:p>
    <w:p w14:paraId="1FF41EE7" w14:textId="7FBFF2B9" w:rsidR="006B525C" w:rsidRDefault="00A87F12" w:rsidP="00DA18DD">
      <w:pPr>
        <w:pStyle w:val="Text"/>
      </w:pPr>
      <w:r>
        <w:t xml:space="preserve">Stakeholders </w:t>
      </w:r>
      <w:r w:rsidR="003E07AC">
        <w:t>a</w:t>
      </w:r>
      <w:r>
        <w:t xml:space="preserve">re generally united on the need to implement systematic approaches to </w:t>
      </w:r>
      <w:r w:rsidR="00323871">
        <w:t xml:space="preserve">supporting </w:t>
      </w:r>
      <w:r>
        <w:t>teacher</w:t>
      </w:r>
      <w:r w:rsidR="00323871">
        <w:t>s</w:t>
      </w:r>
      <w:r>
        <w:t xml:space="preserve"> </w:t>
      </w:r>
      <w:r w:rsidR="00323871">
        <w:t xml:space="preserve">throughout their careers </w:t>
      </w:r>
      <w:r w:rsidR="00502815">
        <w:t xml:space="preserve">including induction, </w:t>
      </w:r>
      <w:r>
        <w:t>mentor</w:t>
      </w:r>
      <w:r w:rsidR="00502815">
        <w:t xml:space="preserve">ing </w:t>
      </w:r>
      <w:r>
        <w:t xml:space="preserve">and opportunities for </w:t>
      </w:r>
      <w:r w:rsidR="006B525C">
        <w:t>CPD</w:t>
      </w:r>
      <w:r>
        <w:t>. The</w:t>
      </w:r>
      <w:r w:rsidR="000E5C07">
        <w:t>ir suggestions</w:t>
      </w:r>
      <w:r>
        <w:t xml:space="preserve"> includ</w:t>
      </w:r>
      <w:r w:rsidR="006B04C6">
        <w:t>e</w:t>
      </w:r>
      <w:r>
        <w:t xml:space="preserve"> a graduated approach to induction and career progression, which could in</w:t>
      </w:r>
      <w:r w:rsidR="006D5BEF">
        <w:t>volve</w:t>
      </w:r>
      <w:r>
        <w:t xml:space="preserve"> internships, </w:t>
      </w:r>
      <w:proofErr w:type="gramStart"/>
      <w:r>
        <w:t>cadetships</w:t>
      </w:r>
      <w:proofErr w:type="gramEnd"/>
      <w:r>
        <w:t xml:space="preserve"> or traineeships. </w:t>
      </w:r>
      <w:r w:rsidR="005D1DCC">
        <w:t xml:space="preserve">This </w:t>
      </w:r>
      <w:r w:rsidR="006B525C">
        <w:t xml:space="preserve">supports </w:t>
      </w:r>
      <w:proofErr w:type="spellStart"/>
      <w:r w:rsidR="006B525C">
        <w:t>Wheelahan</w:t>
      </w:r>
      <w:proofErr w:type="spellEnd"/>
      <w:r w:rsidR="006B525C">
        <w:t xml:space="preserve"> and Moodie</w:t>
      </w:r>
      <w:r w:rsidR="00A03DEB">
        <w:t>’s</w:t>
      </w:r>
      <w:r w:rsidR="006B525C">
        <w:t xml:space="preserve"> (201</w:t>
      </w:r>
      <w:r w:rsidR="008B6EDA">
        <w:t>1</w:t>
      </w:r>
      <w:r w:rsidR="006B525C">
        <w:t xml:space="preserve">) </w:t>
      </w:r>
      <w:r w:rsidR="00A03DEB">
        <w:t xml:space="preserve">recommendations for </w:t>
      </w:r>
      <w:r w:rsidR="006B525C">
        <w:t xml:space="preserve">a nested model of teaching qualifications </w:t>
      </w:r>
      <w:r w:rsidR="00A03DEB">
        <w:t xml:space="preserve">accompanied by appropriate </w:t>
      </w:r>
      <w:r w:rsidR="00A03DEB" w:rsidRPr="00D112A4">
        <w:t>CPD</w:t>
      </w:r>
      <w:r w:rsidR="00F05A7B">
        <w:t xml:space="preserve"> and </w:t>
      </w:r>
      <w:r w:rsidR="00A03DEB">
        <w:t>mentoring</w:t>
      </w:r>
      <w:r w:rsidR="00A03DEB" w:rsidRPr="00D112A4">
        <w:t xml:space="preserve"> </w:t>
      </w:r>
      <w:r w:rsidR="00983FE0">
        <w:t xml:space="preserve">to </w:t>
      </w:r>
      <w:r w:rsidR="005D1DCC">
        <w:t xml:space="preserve">support </w:t>
      </w:r>
      <w:r w:rsidR="00FF519A">
        <w:t xml:space="preserve">new entrants </w:t>
      </w:r>
      <w:r w:rsidR="00983FE0">
        <w:t xml:space="preserve">as they </w:t>
      </w:r>
      <w:r w:rsidR="00FF519A">
        <w:t xml:space="preserve">transition from new to accomplished teacher </w:t>
      </w:r>
      <w:r w:rsidR="005D1DCC">
        <w:t xml:space="preserve">and </w:t>
      </w:r>
      <w:r w:rsidR="00FF519A">
        <w:t>to educational leader if they choose</w:t>
      </w:r>
      <w:r w:rsidR="005D1DCC">
        <w:t xml:space="preserve"> to</w:t>
      </w:r>
      <w:r w:rsidR="00660870">
        <w:t>.</w:t>
      </w:r>
      <w:r w:rsidR="006B525C">
        <w:t xml:space="preserve"> </w:t>
      </w:r>
      <w:r>
        <w:t>In such programs</w:t>
      </w:r>
      <w:r w:rsidR="004A7677">
        <w:t>,</w:t>
      </w:r>
      <w:r>
        <w:t xml:space="preserve"> new teachers would </w:t>
      </w:r>
      <w:r w:rsidR="003E07AC">
        <w:t xml:space="preserve">transition </w:t>
      </w:r>
      <w:r>
        <w:t xml:space="preserve">through </w:t>
      </w:r>
      <w:r w:rsidR="003E07AC">
        <w:t xml:space="preserve">various </w:t>
      </w:r>
      <w:r>
        <w:t xml:space="preserve">stages to acquire the Certificate IV </w:t>
      </w:r>
      <w:r w:rsidR="00D112A4">
        <w:t xml:space="preserve">in </w:t>
      </w:r>
      <w:r>
        <w:t xml:space="preserve">TAE, and </w:t>
      </w:r>
      <w:r w:rsidR="003E07AC">
        <w:t xml:space="preserve">progressively </w:t>
      </w:r>
      <w:r>
        <w:t xml:space="preserve">add </w:t>
      </w:r>
      <w:r w:rsidR="00A03DEB">
        <w:t xml:space="preserve">new </w:t>
      </w:r>
      <w:r>
        <w:t>skills, knowledge and experience or qualifications</w:t>
      </w:r>
      <w:r w:rsidR="00DC0C16">
        <w:t xml:space="preserve"> </w:t>
      </w:r>
      <w:r w:rsidR="00D112A4">
        <w:t xml:space="preserve">as </w:t>
      </w:r>
      <w:r w:rsidR="00983FE0">
        <w:t>they teach</w:t>
      </w:r>
      <w:r>
        <w:t xml:space="preserve">. </w:t>
      </w:r>
      <w:r w:rsidR="00502815" w:rsidRPr="00502815">
        <w:t xml:space="preserve">Schubert (2016) </w:t>
      </w:r>
      <w:r w:rsidR="00502815">
        <w:t xml:space="preserve">also </w:t>
      </w:r>
      <w:r w:rsidR="00502815" w:rsidRPr="00502815">
        <w:t>found that mentoring and peer observation were highly regarded as PD strategies.</w:t>
      </w:r>
      <w:r w:rsidR="00DA18DD">
        <w:t xml:space="preserve"> Acquiring higher level VET teaching qualifications at AQF6</w:t>
      </w:r>
      <w:r w:rsidR="00DC39A7">
        <w:t xml:space="preserve"> level</w:t>
      </w:r>
      <w:r w:rsidR="00DA18DD">
        <w:t xml:space="preserve"> and above are also seen as valuable. </w:t>
      </w:r>
      <w:r w:rsidR="00DC0C16">
        <w:t xml:space="preserve">The Northern Territory Government’s Certificate IV </w:t>
      </w:r>
      <w:r w:rsidR="00A936F3">
        <w:t xml:space="preserve">in </w:t>
      </w:r>
      <w:r w:rsidR="00DC0C16" w:rsidRPr="00081CE5">
        <w:t>TAE40116 Traineeship Pilot</w:t>
      </w:r>
      <w:r w:rsidR="008B6EDA">
        <w:t xml:space="preserve"> </w:t>
      </w:r>
      <w:r w:rsidR="00502815">
        <w:t xml:space="preserve">(also </w:t>
      </w:r>
      <w:r w:rsidR="008B6EDA">
        <w:t xml:space="preserve">described in </w:t>
      </w:r>
      <w:r w:rsidR="00A768B1">
        <w:t xml:space="preserve">appendix </w:t>
      </w:r>
      <w:r w:rsidR="006F2B8E">
        <w:t>5</w:t>
      </w:r>
      <w:r w:rsidR="00502815">
        <w:t xml:space="preserve">) </w:t>
      </w:r>
      <w:r w:rsidR="00DC0C16">
        <w:t xml:space="preserve">is an example of a staged approach to initial teacher training, </w:t>
      </w:r>
      <w:r w:rsidR="0080332D">
        <w:t xml:space="preserve">with accompanying </w:t>
      </w:r>
      <w:r w:rsidR="00DC0C16">
        <w:t>CPD and support.</w:t>
      </w:r>
    </w:p>
    <w:p w14:paraId="7827CBB4" w14:textId="77831AB8" w:rsidR="003F1160" w:rsidRDefault="007E3FFB" w:rsidP="003F1160">
      <w:pPr>
        <w:pStyle w:val="Text"/>
      </w:pPr>
      <w:r>
        <w:t>H</w:t>
      </w:r>
      <w:r w:rsidR="00A87F12">
        <w:t xml:space="preserve">aving access to knowledgeable, </w:t>
      </w:r>
      <w:proofErr w:type="gramStart"/>
      <w:r w:rsidR="00A87F12">
        <w:t>experienced</w:t>
      </w:r>
      <w:proofErr w:type="gramEnd"/>
      <w:r w:rsidR="00A87F12">
        <w:t xml:space="preserve"> and accomplished </w:t>
      </w:r>
      <w:r w:rsidR="003E07AC">
        <w:t xml:space="preserve">peers or </w:t>
      </w:r>
      <w:r w:rsidR="004A7677">
        <w:t>higher</w:t>
      </w:r>
      <w:r w:rsidR="00414D13">
        <w:t>-</w:t>
      </w:r>
      <w:r w:rsidR="004A7677">
        <w:t>qualified</w:t>
      </w:r>
      <w:r w:rsidR="003E07AC">
        <w:t xml:space="preserve"> </w:t>
      </w:r>
      <w:r w:rsidR="00A87F12">
        <w:t xml:space="preserve">colleagues to give both beginning and continuing teachers advice and feedback, or to engage with them in reflective practice, was considered extremely valuable. </w:t>
      </w:r>
      <w:r w:rsidR="00DC0C16">
        <w:t xml:space="preserve">There is </w:t>
      </w:r>
      <w:r w:rsidR="000C246C">
        <w:t xml:space="preserve">also </w:t>
      </w:r>
      <w:r w:rsidR="00DC0C16">
        <w:t xml:space="preserve">strong support for having peers observe the practice of colleagues, provided it is done in a spirit of collegiality and trust. </w:t>
      </w:r>
      <w:r w:rsidR="00CA5954">
        <w:t>This practice is</w:t>
      </w:r>
      <w:r w:rsidR="00A87F12">
        <w:t xml:space="preserve"> already occurring in the Teaching under Supervision</w:t>
      </w:r>
      <w:r w:rsidR="00502815">
        <w:rPr>
          <w:rStyle w:val="FootnoteReference"/>
        </w:rPr>
        <w:footnoteReference w:id="3"/>
      </w:r>
      <w:r w:rsidR="00A87F12">
        <w:t xml:space="preserve"> arrangements, </w:t>
      </w:r>
      <w:r w:rsidR="003553FB">
        <w:t xml:space="preserve">in </w:t>
      </w:r>
      <w:r w:rsidR="00A87F12">
        <w:t xml:space="preserve">teaching practicums of VET teaching courses, and </w:t>
      </w:r>
      <w:r w:rsidR="00286A09">
        <w:t>routinely</w:t>
      </w:r>
      <w:r w:rsidR="006D5BEF">
        <w:t xml:space="preserve"> </w:t>
      </w:r>
      <w:r w:rsidR="008C3CBD">
        <w:t>in</w:t>
      </w:r>
      <w:r w:rsidR="00A87F12">
        <w:t xml:space="preserve"> some institutions. </w:t>
      </w:r>
      <w:r w:rsidR="0080332D">
        <w:t>However, u</w:t>
      </w:r>
      <w:r w:rsidR="00A87F12">
        <w:t xml:space="preserve">sing the results of </w:t>
      </w:r>
      <w:r w:rsidR="008C3CBD">
        <w:t xml:space="preserve">peer observation </w:t>
      </w:r>
      <w:r w:rsidR="00A87F12">
        <w:t>for formal reviews of performance or for disciplinary purposes by line managers</w:t>
      </w:r>
      <w:r w:rsidR="00183386">
        <w:t xml:space="preserve"> attracts little support.</w:t>
      </w:r>
      <w:r w:rsidR="00A87F12">
        <w:t xml:space="preserve"> </w:t>
      </w:r>
    </w:p>
    <w:p w14:paraId="0250E9D2" w14:textId="77777777" w:rsidR="00800FCD" w:rsidRDefault="00800FCD">
      <w:pPr>
        <w:spacing w:before="0" w:line="240" w:lineRule="auto"/>
        <w:rPr>
          <w:rFonts w:ascii="Arial" w:hAnsi="Arial" w:cs="Tahoma"/>
          <w:sz w:val="28"/>
          <w:szCs w:val="20"/>
          <w:lang w:eastAsia="en-US"/>
        </w:rPr>
      </w:pPr>
      <w:bookmarkStart w:id="58" w:name="_Toc188077642"/>
      <w:bookmarkStart w:id="59" w:name="_Toc316371586"/>
      <w:bookmarkStart w:id="60" w:name="_Toc416260886"/>
      <w:bookmarkStart w:id="61" w:name="_Toc62204929"/>
      <w:bookmarkEnd w:id="3"/>
      <w:bookmarkEnd w:id="4"/>
      <w:bookmarkEnd w:id="5"/>
      <w:bookmarkEnd w:id="6"/>
      <w:bookmarkEnd w:id="7"/>
      <w:bookmarkEnd w:id="8"/>
      <w:bookmarkEnd w:id="9"/>
      <w:r>
        <w:br w:type="page"/>
      </w:r>
    </w:p>
    <w:p w14:paraId="0F9F3527" w14:textId="279B0D10" w:rsidR="00FB722A" w:rsidRDefault="00DC39A7" w:rsidP="00741C54">
      <w:pPr>
        <w:pStyle w:val="Heading2"/>
      </w:pPr>
      <w:r>
        <w:lastRenderedPageBreak/>
        <w:t>Moving</w:t>
      </w:r>
      <w:r w:rsidR="00FB722A" w:rsidRPr="00741C54">
        <w:t xml:space="preserve"> forward</w:t>
      </w:r>
      <w:bookmarkEnd w:id="61"/>
    </w:p>
    <w:p w14:paraId="5F86E3A4" w14:textId="6B41BF73" w:rsidR="004F48B5" w:rsidRDefault="0073403B" w:rsidP="004F48B5">
      <w:pPr>
        <w:pStyle w:val="Text"/>
      </w:pPr>
      <w:r>
        <w:t xml:space="preserve">Feedback from stakeholders reinforces </w:t>
      </w:r>
      <w:r w:rsidR="004F48B5" w:rsidRPr="00D331E0">
        <w:t xml:space="preserve">the need for strategic approaches to teacher </w:t>
      </w:r>
      <w:r>
        <w:t xml:space="preserve">support and </w:t>
      </w:r>
      <w:r w:rsidR="004F48B5" w:rsidRPr="00D331E0">
        <w:t xml:space="preserve">development in VET. </w:t>
      </w:r>
      <w:r w:rsidR="00502815">
        <w:t xml:space="preserve">Time has proven there </w:t>
      </w:r>
      <w:r w:rsidR="004F48B5">
        <w:t>is</w:t>
      </w:r>
      <w:r w:rsidR="004F48B5" w:rsidRPr="00D331E0">
        <w:t xml:space="preserve"> no ‘silver bullet’</w:t>
      </w:r>
      <w:r w:rsidR="004F48B5" w:rsidRPr="00AF2888">
        <w:t xml:space="preserve"> </w:t>
      </w:r>
      <w:r>
        <w:t xml:space="preserve">to </w:t>
      </w:r>
      <w:r w:rsidR="004F48B5" w:rsidRPr="00AF2888">
        <w:t xml:space="preserve">address the </w:t>
      </w:r>
      <w:r w:rsidR="004F48B5">
        <w:t>ongoing challenges to teaching quality in Australia</w:t>
      </w:r>
      <w:r w:rsidR="00445F11">
        <w:t xml:space="preserve"> and that i</w:t>
      </w:r>
      <w:r w:rsidR="004F48B5">
        <w:t>nitiatives aimed at addressing the</w:t>
      </w:r>
      <w:r>
        <w:t xml:space="preserve">m </w:t>
      </w:r>
      <w:r w:rsidR="004F48B5">
        <w:t xml:space="preserve">need to be guided, comprehensive, </w:t>
      </w:r>
      <w:proofErr w:type="gramStart"/>
      <w:r w:rsidR="004F48B5">
        <w:t>cohesive</w:t>
      </w:r>
      <w:proofErr w:type="gramEnd"/>
      <w:r w:rsidR="004F48B5">
        <w:t xml:space="preserve"> and sustained </w:t>
      </w:r>
      <w:r w:rsidR="00445F11">
        <w:t xml:space="preserve">if they are </w:t>
      </w:r>
      <w:r w:rsidR="00DD28B2">
        <w:t xml:space="preserve">to </w:t>
      </w:r>
      <w:r w:rsidR="004F48B5">
        <w:t xml:space="preserve">make a </w:t>
      </w:r>
      <w:r>
        <w:t xml:space="preserve">substantial </w:t>
      </w:r>
      <w:r w:rsidR="004F48B5">
        <w:t xml:space="preserve">difference for teachers and </w:t>
      </w:r>
      <w:r w:rsidR="00502815">
        <w:t xml:space="preserve">for </w:t>
      </w:r>
      <w:r w:rsidR="00DA18DD">
        <w:t xml:space="preserve">teaching </w:t>
      </w:r>
      <w:r w:rsidR="00502815">
        <w:t xml:space="preserve">quality </w:t>
      </w:r>
      <w:r w:rsidR="00445F11">
        <w:t xml:space="preserve">across </w:t>
      </w:r>
      <w:r>
        <w:t>the sector more broadly</w:t>
      </w:r>
      <w:r w:rsidR="004F48B5">
        <w:t xml:space="preserve">. </w:t>
      </w:r>
      <w:r>
        <w:t>While improved r</w:t>
      </w:r>
      <w:r w:rsidRPr="00AF2888">
        <w:t xml:space="preserve">egulation is </w:t>
      </w:r>
      <w:r>
        <w:t xml:space="preserve">an important </w:t>
      </w:r>
      <w:r w:rsidRPr="00AF2888">
        <w:t>part of the solution</w:t>
      </w:r>
      <w:r>
        <w:t xml:space="preserve">, </w:t>
      </w:r>
      <w:r w:rsidR="00502815">
        <w:t xml:space="preserve">regulation alone will not fully address </w:t>
      </w:r>
      <w:r w:rsidR="004F48B5">
        <w:t>quality</w:t>
      </w:r>
      <w:r w:rsidR="00D27529">
        <w:t xml:space="preserve"> </w:t>
      </w:r>
      <w:r w:rsidR="000E637E">
        <w:t>concerns</w:t>
      </w:r>
      <w:r w:rsidR="004F48B5">
        <w:t>. The</w:t>
      </w:r>
      <w:r w:rsidR="00703942">
        <w:t xml:space="preserve"> research reveals</w:t>
      </w:r>
      <w:r w:rsidR="004F48B5">
        <w:t xml:space="preserve"> a</w:t>
      </w:r>
      <w:r w:rsidR="000E637E">
        <w:t>n</w:t>
      </w:r>
      <w:r w:rsidR="00D27529">
        <w:t xml:space="preserve"> </w:t>
      </w:r>
      <w:r w:rsidR="004F48B5">
        <w:t xml:space="preserve">argument for </w:t>
      </w:r>
      <w:r w:rsidR="00B47D2D">
        <w:t>the consideration of broad strategic initiatives</w:t>
      </w:r>
      <w:r w:rsidR="00E15D0E">
        <w:t>,</w:t>
      </w:r>
      <w:r w:rsidR="00B47D2D">
        <w:t xml:space="preserve"> which could</w:t>
      </w:r>
      <w:r w:rsidR="004F48B5">
        <w:t xml:space="preserve"> includ</w:t>
      </w:r>
      <w:r w:rsidR="00B47D2D">
        <w:t>e</w:t>
      </w:r>
      <w:r w:rsidR="004F48B5">
        <w:t>:</w:t>
      </w:r>
    </w:p>
    <w:p w14:paraId="54D7EB4F" w14:textId="545A96F6" w:rsidR="004F48B5" w:rsidRPr="00C42ED2" w:rsidRDefault="004F48B5" w:rsidP="00C42ED2">
      <w:pPr>
        <w:pStyle w:val="Dotpoint10"/>
      </w:pPr>
      <w:r w:rsidRPr="00C42ED2">
        <w:t xml:space="preserve">A </w:t>
      </w:r>
      <w:r w:rsidR="000F7CE5">
        <w:t xml:space="preserve">set of </w:t>
      </w:r>
      <w:r w:rsidRPr="00C42ED2">
        <w:t xml:space="preserve">agreed </w:t>
      </w:r>
      <w:r w:rsidR="00E23689" w:rsidRPr="00C42ED2">
        <w:t>‘</w:t>
      </w:r>
      <w:r w:rsidRPr="00C42ED2">
        <w:t>core</w:t>
      </w:r>
      <w:r w:rsidR="00E23689" w:rsidRPr="00C42ED2">
        <w:t>’</w:t>
      </w:r>
      <w:r w:rsidRPr="00C42ED2">
        <w:t xml:space="preserve"> </w:t>
      </w:r>
      <w:r w:rsidR="00502815" w:rsidRPr="00C42ED2">
        <w:t xml:space="preserve">professional </w:t>
      </w:r>
      <w:r w:rsidRPr="00C42ED2">
        <w:t>capabilit</w:t>
      </w:r>
      <w:r w:rsidR="000F7CE5">
        <w:t>ies</w:t>
      </w:r>
      <w:r w:rsidR="00D27529">
        <w:t xml:space="preserve"> </w:t>
      </w:r>
      <w:r w:rsidRPr="00C42ED2">
        <w:t xml:space="preserve">for </w:t>
      </w:r>
      <w:r w:rsidR="00502815" w:rsidRPr="00C42ED2">
        <w:t xml:space="preserve">VET </w:t>
      </w:r>
      <w:r w:rsidRPr="00C42ED2">
        <w:t xml:space="preserve">teachers that can be adapted and expanded to meet local or </w:t>
      </w:r>
      <w:proofErr w:type="gramStart"/>
      <w:r w:rsidRPr="00C42ED2">
        <w:t>particular needs</w:t>
      </w:r>
      <w:proofErr w:type="gramEnd"/>
      <w:r w:rsidRPr="00C42ED2">
        <w:t xml:space="preserve">. The quality of teaching is of national significance </w:t>
      </w:r>
      <w:r w:rsidR="00E15D0E">
        <w:t xml:space="preserve">and </w:t>
      </w:r>
      <w:r w:rsidR="00703942" w:rsidRPr="00C42ED2">
        <w:t>need</w:t>
      </w:r>
      <w:r w:rsidR="00E15D0E">
        <w:t>s</w:t>
      </w:r>
      <w:r w:rsidR="00703942" w:rsidRPr="00C42ED2">
        <w:t xml:space="preserve"> to </w:t>
      </w:r>
      <w:r w:rsidRPr="00C42ED2">
        <w:t xml:space="preserve">be addressed </w:t>
      </w:r>
      <w:r w:rsidR="00502815" w:rsidRPr="00C42ED2">
        <w:t xml:space="preserve">at the national level </w:t>
      </w:r>
      <w:r w:rsidRPr="00C42ED2">
        <w:t>through shared support by State</w:t>
      </w:r>
      <w:r w:rsidR="00703942" w:rsidRPr="00C42ED2">
        <w:t>,</w:t>
      </w:r>
      <w:r w:rsidRPr="00C42ED2">
        <w:t xml:space="preserve"> Territory and Commonwealth governments</w:t>
      </w:r>
      <w:r w:rsidR="0073403B" w:rsidRPr="00C42ED2">
        <w:t>,</w:t>
      </w:r>
      <w:r w:rsidRPr="00C42ED2">
        <w:t xml:space="preserve"> as well as at RTO </w:t>
      </w:r>
      <w:r w:rsidR="0073403B" w:rsidRPr="00C42ED2">
        <w:t xml:space="preserve">and individual teacher </w:t>
      </w:r>
      <w:r w:rsidRPr="00C42ED2">
        <w:t xml:space="preserve">level. </w:t>
      </w:r>
    </w:p>
    <w:p w14:paraId="7A6B22A4" w14:textId="597ADA17" w:rsidR="004F48B5" w:rsidRPr="00C42ED2" w:rsidRDefault="00703942" w:rsidP="00C42ED2">
      <w:pPr>
        <w:pStyle w:val="Dotpoint10"/>
      </w:pPr>
      <w:r w:rsidRPr="00C42ED2">
        <w:t>A</w:t>
      </w:r>
      <w:r w:rsidR="004F48B5" w:rsidRPr="00C42ED2">
        <w:t xml:space="preserve"> regular VET workforce data collection</w:t>
      </w:r>
      <w:r w:rsidRPr="00C42ED2">
        <w:t xml:space="preserve"> </w:t>
      </w:r>
      <w:r w:rsidR="000F7CE5">
        <w:t xml:space="preserve">to </w:t>
      </w:r>
      <w:r w:rsidRPr="00C42ED2">
        <w:t>support strateg</w:t>
      </w:r>
      <w:r w:rsidR="000F7CE5">
        <w:t>ic initiatives</w:t>
      </w:r>
      <w:r w:rsidR="004F48B5" w:rsidRPr="00C42ED2">
        <w:t xml:space="preserve">. </w:t>
      </w:r>
    </w:p>
    <w:p w14:paraId="5B4B6257" w14:textId="715D3CED" w:rsidR="007319B2" w:rsidRPr="00C42ED2" w:rsidRDefault="00741C54" w:rsidP="00C42ED2">
      <w:pPr>
        <w:pStyle w:val="Dotpoint10"/>
      </w:pPr>
      <w:r w:rsidRPr="00C42ED2">
        <w:t>The addition of smaller micro</w:t>
      </w:r>
      <w:r w:rsidR="00703942" w:rsidRPr="00C42ED2">
        <w:t>-</w:t>
      </w:r>
      <w:r w:rsidRPr="00C42ED2">
        <w:t>credentials or skill sets in the VET teaching suite of qualifications that can be scaled-up to a full qualification for those already holding Certificate IV and Diploma courses</w:t>
      </w:r>
      <w:r w:rsidR="007319B2" w:rsidRPr="00C42ED2">
        <w:t>, especially for those above AQF 6</w:t>
      </w:r>
      <w:r w:rsidRPr="00C42ED2">
        <w:t xml:space="preserve"> (Guthrie &amp; Jones 2018). </w:t>
      </w:r>
    </w:p>
    <w:p w14:paraId="2FC74F52" w14:textId="117CC4E0" w:rsidR="00433ECA" w:rsidRPr="00FE73B8" w:rsidRDefault="00433ECA" w:rsidP="00FE73B8">
      <w:pPr>
        <w:pStyle w:val="Text"/>
        <w:rPr>
          <w:rFonts w:eastAsiaTheme="minorHAnsi"/>
        </w:rPr>
      </w:pPr>
      <w:r>
        <w:rPr>
          <w:rFonts w:eastAsiaTheme="minorHAnsi"/>
        </w:rPr>
        <w:br w:type="page"/>
      </w:r>
    </w:p>
    <w:p w14:paraId="5F5525A5" w14:textId="2DA5831D" w:rsidR="00094EC8" w:rsidRPr="00183937" w:rsidRDefault="00621C5F" w:rsidP="00094EC8">
      <w:pPr>
        <w:pStyle w:val="Heading1"/>
        <w:rPr>
          <w:rFonts w:eastAsiaTheme="minorHAnsi"/>
        </w:rPr>
      </w:pPr>
      <w:bookmarkStart w:id="62" w:name="_Toc62204930"/>
      <w:r w:rsidRPr="00BE5DCB">
        <w:rPr>
          <w:noProof/>
          <w:lang w:eastAsia="en-AU"/>
        </w:rPr>
        <w:lastRenderedPageBreak/>
        <w:drawing>
          <wp:anchor distT="0" distB="0" distL="114300" distR="114300" simplePos="0" relativeHeight="252016640" behindDoc="0" locked="0" layoutInCell="1" allowOverlap="1" wp14:anchorId="41A3C148" wp14:editId="1C154ABB">
            <wp:simplePos x="0" y="0"/>
            <wp:positionH relativeFrom="column">
              <wp:posOffset>3175</wp:posOffset>
            </wp:positionH>
            <wp:positionV relativeFrom="paragraph">
              <wp:posOffset>0</wp:posOffset>
            </wp:positionV>
            <wp:extent cx="417600" cy="417600"/>
            <wp:effectExtent l="0" t="0" r="1905" b="1905"/>
            <wp:wrapSquare wrapText="bothSides"/>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EC8" w:rsidRPr="00183937">
        <w:rPr>
          <w:rFonts w:eastAsiaTheme="minorHAnsi"/>
        </w:rPr>
        <w:t>Scope of the study</w:t>
      </w:r>
      <w:bookmarkEnd w:id="62"/>
      <w:r w:rsidR="00094EC8" w:rsidRPr="00183937">
        <w:rPr>
          <w:rFonts w:eastAsiaTheme="minorHAnsi"/>
        </w:rPr>
        <w:t xml:space="preserve"> </w:t>
      </w:r>
    </w:p>
    <w:p w14:paraId="3048672A" w14:textId="669905BB" w:rsidR="00C20735" w:rsidRDefault="00C20735" w:rsidP="00FA653A">
      <w:pPr>
        <w:pStyle w:val="Text"/>
      </w:pPr>
      <w:r w:rsidRPr="00053DDE">
        <w:t xml:space="preserve">The overarching purpose of this project is to provide broad advice on how teaching </w:t>
      </w:r>
      <w:r w:rsidR="00DF6657">
        <w:t>i</w:t>
      </w:r>
      <w:r w:rsidRPr="00053DDE">
        <w:t xml:space="preserve">n the vocational education and training (VET) sector </w:t>
      </w:r>
      <w:r>
        <w:t xml:space="preserve">in Australia </w:t>
      </w:r>
      <w:r w:rsidRPr="00053DDE">
        <w:t>can be improve</w:t>
      </w:r>
      <w:r>
        <w:t>d</w:t>
      </w:r>
      <w:r w:rsidRPr="00053DDE">
        <w:t xml:space="preserve"> </w:t>
      </w:r>
      <w:r>
        <w:t xml:space="preserve">using </w:t>
      </w:r>
      <w:r w:rsidR="002C42E6">
        <w:t xml:space="preserve">professional </w:t>
      </w:r>
      <w:r w:rsidRPr="00053DDE">
        <w:t>capability frameworks</w:t>
      </w:r>
      <w:r w:rsidR="002C42E6">
        <w:t xml:space="preserve"> and </w:t>
      </w:r>
      <w:r>
        <w:t>standards</w:t>
      </w:r>
      <w:r w:rsidR="00E74466">
        <w:t>,</w:t>
      </w:r>
      <w:r>
        <w:t xml:space="preserve"> </w:t>
      </w:r>
      <w:r w:rsidR="00E74466">
        <w:t>coupled with</w:t>
      </w:r>
      <w:r>
        <w:t xml:space="preserve"> other </w:t>
      </w:r>
      <w:r w:rsidR="002C42E6">
        <w:t xml:space="preserve">strategic </w:t>
      </w:r>
      <w:r>
        <w:t>initiatives</w:t>
      </w:r>
      <w:r w:rsidRPr="00053DDE">
        <w:t xml:space="preserve">. </w:t>
      </w:r>
    </w:p>
    <w:p w14:paraId="4A8033B7" w14:textId="64397339" w:rsidR="003C76CD" w:rsidRDefault="009E56B4" w:rsidP="00FA653A">
      <w:pPr>
        <w:pStyle w:val="Text"/>
      </w:pPr>
      <w:r>
        <w:t>T</w:t>
      </w:r>
      <w:r w:rsidR="004716E7" w:rsidRPr="004716E7">
        <w:t xml:space="preserve">his research </w:t>
      </w:r>
      <w:r w:rsidR="003C76CD">
        <w:t>began before the COVID-19 pandemic hit is released in its wake. If anything, the pandemic has taught us the importance VET studies</w:t>
      </w:r>
      <w:r w:rsidR="008E55FD">
        <w:t xml:space="preserve"> will play</w:t>
      </w:r>
      <w:r w:rsidR="003C76CD">
        <w:t xml:space="preserve"> in a post-COVID world</w:t>
      </w:r>
      <w:r w:rsidR="003E0688">
        <w:t>,</w:t>
      </w:r>
      <w:r w:rsidR="003C76CD">
        <w:t xml:space="preserve"> which </w:t>
      </w:r>
      <w:r w:rsidR="003E0688">
        <w:t xml:space="preserve">will </w:t>
      </w:r>
      <w:r w:rsidR="003C76CD">
        <w:t xml:space="preserve">require strong programs </w:t>
      </w:r>
      <w:r w:rsidR="003E0688">
        <w:t xml:space="preserve">and capable VET teachers </w:t>
      </w:r>
      <w:r w:rsidR="003C76CD">
        <w:t xml:space="preserve">to help skill or reskill the Australian workforce. </w:t>
      </w:r>
      <w:r w:rsidR="003E0688">
        <w:t xml:space="preserve"> The </w:t>
      </w:r>
      <w:r w:rsidR="008E55FD">
        <w:t xml:space="preserve">Chinese word for crisis, </w:t>
      </w:r>
      <w:proofErr w:type="spellStart"/>
      <w:r w:rsidR="008E55FD" w:rsidRPr="006867CE">
        <w:rPr>
          <w:i/>
          <w:iCs/>
        </w:rPr>
        <w:t>Weiji</w:t>
      </w:r>
      <w:proofErr w:type="spellEnd"/>
      <w:r w:rsidR="008E55FD">
        <w:t>, has two elements: the first refers to ‘</w:t>
      </w:r>
      <w:r w:rsidR="008E55FD" w:rsidRPr="006867CE">
        <w:t>dangerous</w:t>
      </w:r>
      <w:r w:rsidR="008E55FD">
        <w:t>’</w:t>
      </w:r>
      <w:r w:rsidR="008E55FD" w:rsidRPr="006867CE">
        <w:t xml:space="preserve"> or </w:t>
      </w:r>
      <w:r w:rsidR="008E55FD">
        <w:t>‘</w:t>
      </w:r>
      <w:r w:rsidR="008E55FD" w:rsidRPr="006867CE">
        <w:t>precarious</w:t>
      </w:r>
      <w:r w:rsidR="008E55FD">
        <w:t>’ (COVID-19) and the second refers to ‘</w:t>
      </w:r>
      <w:r w:rsidR="008E55FD" w:rsidRPr="006867CE">
        <w:t>a point where things happen</w:t>
      </w:r>
      <w:r w:rsidR="008E55FD">
        <w:t xml:space="preserve"> or</w:t>
      </w:r>
      <w:r w:rsidR="008E55FD" w:rsidRPr="006867CE">
        <w:t xml:space="preserve"> change</w:t>
      </w:r>
      <w:r w:rsidR="008E55FD">
        <w:t>’. The challenge is to build on and incentivise a ‘new norm’ of teacher quality that COVID-19 has provided, rather than returning to ‘business as usual</w:t>
      </w:r>
      <w:r w:rsidR="003E0688">
        <w:t>’</w:t>
      </w:r>
      <w:r w:rsidR="008E55FD">
        <w:t>.</w:t>
      </w:r>
      <w:r w:rsidR="008E55FD" w:rsidRPr="000A2EDC">
        <w:t xml:space="preserve"> </w:t>
      </w:r>
    </w:p>
    <w:p w14:paraId="1720F7F8" w14:textId="13ED1223" w:rsidR="006F5044" w:rsidRDefault="003C76CD" w:rsidP="00FA653A">
      <w:pPr>
        <w:pStyle w:val="Text"/>
        <w:rPr>
          <w:szCs w:val="19"/>
        </w:rPr>
      </w:pPr>
      <w:r>
        <w:t xml:space="preserve">The report </w:t>
      </w:r>
      <w:r w:rsidR="004716E7">
        <w:t>examine</w:t>
      </w:r>
      <w:r>
        <w:t>s</w:t>
      </w:r>
      <w:r w:rsidR="004716E7">
        <w:t xml:space="preserve"> </w:t>
      </w:r>
      <w:r w:rsidR="00D27F6D">
        <w:t xml:space="preserve">the extensive literature on teacher quality and development and </w:t>
      </w:r>
      <w:r w:rsidR="004716E7">
        <w:t xml:space="preserve">a range of </w:t>
      </w:r>
      <w:r w:rsidR="004716E7" w:rsidRPr="004716E7">
        <w:t xml:space="preserve">capability frameworks </w:t>
      </w:r>
      <w:r w:rsidR="00053DDE">
        <w:t xml:space="preserve">and </w:t>
      </w:r>
      <w:r w:rsidR="004716E7" w:rsidRPr="004716E7">
        <w:t xml:space="preserve">standards for teachers </w:t>
      </w:r>
      <w:r w:rsidR="002C42E6">
        <w:t xml:space="preserve">in Australia and overseas </w:t>
      </w:r>
      <w:r w:rsidR="009E56B4">
        <w:t>t</w:t>
      </w:r>
      <w:r w:rsidR="009E56B4" w:rsidRPr="009E56B4">
        <w:t>o identify the key feat</w:t>
      </w:r>
      <w:r w:rsidR="009E56B4">
        <w:t>ures of quality teaching in VET</w:t>
      </w:r>
      <w:r w:rsidR="009E56B4" w:rsidRPr="009E56B4">
        <w:t xml:space="preserve"> </w:t>
      </w:r>
      <w:r w:rsidR="004716E7">
        <w:t xml:space="preserve">and </w:t>
      </w:r>
      <w:r w:rsidR="004716E7" w:rsidRPr="004716E7">
        <w:t>s</w:t>
      </w:r>
      <w:r w:rsidR="00130102">
        <w:t>ummarises</w:t>
      </w:r>
      <w:r w:rsidR="004716E7" w:rsidRPr="004716E7">
        <w:t xml:space="preserve"> the views of VET stakeholder</w:t>
      </w:r>
      <w:r w:rsidR="0076013E">
        <w:t xml:space="preserve"> groups</w:t>
      </w:r>
      <w:r w:rsidR="004716E7" w:rsidRPr="004716E7">
        <w:t xml:space="preserve"> on the desirability of </w:t>
      </w:r>
      <w:r w:rsidR="00C20735">
        <w:t xml:space="preserve">their use </w:t>
      </w:r>
      <w:r w:rsidR="002C42E6">
        <w:t xml:space="preserve">in </w:t>
      </w:r>
      <w:r w:rsidR="004716E7">
        <w:t>the sector</w:t>
      </w:r>
      <w:r w:rsidR="00E74466">
        <w:t xml:space="preserve">. </w:t>
      </w:r>
      <w:r w:rsidR="0076013E">
        <w:t>The groups included</w:t>
      </w:r>
      <w:r w:rsidR="0076013E">
        <w:rPr>
          <w:szCs w:val="19"/>
        </w:rPr>
        <w:t xml:space="preserve"> industry peak bodies, regulators, representatives of the Australian Education Union (AEU), VET leaders and practitioners, members of the Education Industry Reference Committee, and the Australian Council of Deans of Education Vocational Education Group (ACDEVEG</w:t>
      </w:r>
      <w:r w:rsidR="009E56B4">
        <w:rPr>
          <w:szCs w:val="19"/>
        </w:rPr>
        <w:t>)</w:t>
      </w:r>
      <w:r w:rsidR="00A229A9" w:rsidRPr="00A229A9">
        <w:rPr>
          <w:rStyle w:val="FootnoteReference"/>
          <w:szCs w:val="19"/>
        </w:rPr>
        <w:t xml:space="preserve"> </w:t>
      </w:r>
      <w:r w:rsidR="00A229A9">
        <w:rPr>
          <w:rStyle w:val="FootnoteReference"/>
          <w:szCs w:val="19"/>
        </w:rPr>
        <w:footnoteReference w:id="4"/>
      </w:r>
      <w:r w:rsidR="009E56B4">
        <w:rPr>
          <w:szCs w:val="19"/>
        </w:rPr>
        <w:t>.</w:t>
      </w:r>
    </w:p>
    <w:p w14:paraId="26BD3CE5" w14:textId="01CF9CF8" w:rsidR="006F5044" w:rsidRDefault="00E74466" w:rsidP="00FA653A">
      <w:pPr>
        <w:pStyle w:val="Text"/>
        <w:rPr>
          <w:color w:val="000000" w:themeColor="text1"/>
          <w:szCs w:val="19"/>
        </w:rPr>
      </w:pPr>
      <w:r>
        <w:t xml:space="preserve">We also canvassed </w:t>
      </w:r>
      <w:r w:rsidR="00480701">
        <w:t>stakeholder</w:t>
      </w:r>
      <w:r w:rsidR="00741C54">
        <w:t xml:space="preserve"> </w:t>
      </w:r>
      <w:r w:rsidR="009E56B4">
        <w:t xml:space="preserve">views on </w:t>
      </w:r>
      <w:r w:rsidR="0057562D">
        <w:t xml:space="preserve">a range of </w:t>
      </w:r>
      <w:r w:rsidR="00C20735" w:rsidRPr="004716E7">
        <w:t xml:space="preserve">issues </w:t>
      </w:r>
      <w:r w:rsidR="0076013E">
        <w:t xml:space="preserve">relating to </w:t>
      </w:r>
      <w:r w:rsidR="00C20735">
        <w:t xml:space="preserve">teaching </w:t>
      </w:r>
      <w:r w:rsidR="006F5044">
        <w:t xml:space="preserve">quality. These views </w:t>
      </w:r>
      <w:r w:rsidR="0076013E" w:rsidRPr="00DF6657">
        <w:rPr>
          <w:szCs w:val="19"/>
        </w:rPr>
        <w:t xml:space="preserve">in the main represent those of the individuals providing information rather than their organisations. </w:t>
      </w:r>
      <w:r w:rsidR="006F5044" w:rsidRPr="00DF6657">
        <w:rPr>
          <w:szCs w:val="19"/>
        </w:rPr>
        <w:t xml:space="preserve">A list of individuals interviewed is provided </w:t>
      </w:r>
      <w:r w:rsidR="006F5044" w:rsidRPr="00B74050">
        <w:rPr>
          <w:color w:val="000000" w:themeColor="text1"/>
          <w:szCs w:val="19"/>
        </w:rPr>
        <w:t>in A</w:t>
      </w:r>
      <w:r w:rsidR="00AC6672">
        <w:rPr>
          <w:color w:val="000000" w:themeColor="text1"/>
          <w:szCs w:val="19"/>
        </w:rPr>
        <w:t>ppendix</w:t>
      </w:r>
      <w:r w:rsidR="006F5044" w:rsidRPr="00B74050">
        <w:rPr>
          <w:color w:val="000000" w:themeColor="text1"/>
          <w:szCs w:val="19"/>
        </w:rPr>
        <w:t xml:space="preserve"> 1.</w:t>
      </w:r>
      <w:r w:rsidR="000F4DDE">
        <w:rPr>
          <w:color w:val="000000" w:themeColor="text1"/>
          <w:szCs w:val="19"/>
        </w:rPr>
        <w:t xml:space="preserve"> The methodology adopted for this study is outlined in </w:t>
      </w:r>
      <w:r w:rsidR="00A768B1">
        <w:rPr>
          <w:color w:val="000000" w:themeColor="text1"/>
          <w:szCs w:val="19"/>
        </w:rPr>
        <w:t xml:space="preserve">appendix </w:t>
      </w:r>
      <w:r w:rsidR="000F4DDE">
        <w:rPr>
          <w:color w:val="000000" w:themeColor="text1"/>
          <w:szCs w:val="19"/>
        </w:rPr>
        <w:t>2.</w:t>
      </w:r>
    </w:p>
    <w:p w14:paraId="6B63A5D2" w14:textId="441D6749" w:rsidR="002C42E6" w:rsidRDefault="002C42E6" w:rsidP="00FA653A">
      <w:pPr>
        <w:pStyle w:val="Text"/>
      </w:pPr>
      <w:r w:rsidRPr="004716E7">
        <w:t xml:space="preserve">To complement the project, </w:t>
      </w:r>
      <w:r>
        <w:t xml:space="preserve">we also examined </w:t>
      </w:r>
      <w:r w:rsidRPr="004716E7">
        <w:t xml:space="preserve">the effectiveness of </w:t>
      </w:r>
      <w:r>
        <w:t xml:space="preserve">three </w:t>
      </w:r>
      <w:r w:rsidRPr="004716E7">
        <w:t xml:space="preserve">recently implemented </w:t>
      </w:r>
      <w:r>
        <w:t xml:space="preserve">pilot </w:t>
      </w:r>
      <w:r w:rsidRPr="004716E7">
        <w:t xml:space="preserve">approaches </w:t>
      </w:r>
      <w:r>
        <w:t>to teacher professional development (PD)</w:t>
      </w:r>
      <w:r w:rsidR="00130102">
        <w:t>,</w:t>
      </w:r>
      <w:r w:rsidR="007E4540">
        <w:t xml:space="preserve"> which are provided in </w:t>
      </w:r>
      <w:r w:rsidR="00A768B1">
        <w:t xml:space="preserve">appendix </w:t>
      </w:r>
      <w:r w:rsidR="006F2B8E">
        <w:t>5</w:t>
      </w:r>
      <w:r w:rsidR="003C76CD">
        <w:t xml:space="preserve"> and discussed briefly in the body of the report</w:t>
      </w:r>
      <w:r w:rsidRPr="004716E7">
        <w:t>.</w:t>
      </w:r>
    </w:p>
    <w:p w14:paraId="01DFF728" w14:textId="77777777" w:rsidR="004716E7" w:rsidRPr="00CD3455" w:rsidRDefault="004716E7" w:rsidP="009C7807">
      <w:pPr>
        <w:pStyle w:val="Heading2"/>
      </w:pPr>
      <w:bookmarkStart w:id="63" w:name="_Toc62204931"/>
      <w:r>
        <w:t>Background</w:t>
      </w:r>
      <w:bookmarkEnd w:id="63"/>
    </w:p>
    <w:p w14:paraId="3CA983AC" w14:textId="118BB09D" w:rsidR="0076013E" w:rsidRDefault="00094EC8" w:rsidP="00FA653A">
      <w:pPr>
        <w:pStyle w:val="Text"/>
      </w:pPr>
      <w:r>
        <w:t xml:space="preserve">Satisfaction with teaching quality is a key precursor to satisfaction with </w:t>
      </w:r>
      <w:r w:rsidR="00A53675">
        <w:t>VET</w:t>
      </w:r>
      <w:r>
        <w:t xml:space="preserve"> overall</w:t>
      </w:r>
      <w:r w:rsidR="004E5094">
        <w:t xml:space="preserve"> </w:t>
      </w:r>
      <w:r>
        <w:t xml:space="preserve">and is a common </w:t>
      </w:r>
      <w:r w:rsidR="009047A0">
        <w:t xml:space="preserve">element in </w:t>
      </w:r>
      <w:r>
        <w:t>continuous improvement across the Australian VET sector. In addition, there is some evidence (mostly from general school education) that links various components of student achievement with the quality of their teachers (</w:t>
      </w:r>
      <w:proofErr w:type="spellStart"/>
      <w:r>
        <w:t>Goe</w:t>
      </w:r>
      <w:proofErr w:type="spellEnd"/>
      <w:r>
        <w:t xml:space="preserve"> &amp; Stickler 2008</w:t>
      </w:r>
      <w:r w:rsidR="005A717B">
        <w:t>, Hattie, 2003</w:t>
      </w:r>
      <w:r w:rsidR="0076013E">
        <w:t>, 2015</w:t>
      </w:r>
      <w:r>
        <w:t xml:space="preserve">). </w:t>
      </w:r>
      <w:r w:rsidR="00222431">
        <w:t>Corbel et al. (2014) and S</w:t>
      </w:r>
      <w:r>
        <w:t>mith (</w:t>
      </w:r>
      <w:r w:rsidR="00C07EF9">
        <w:t>2019</w:t>
      </w:r>
      <w:r>
        <w:t xml:space="preserve">) </w:t>
      </w:r>
      <w:r w:rsidR="00C07EF9">
        <w:t>report</w:t>
      </w:r>
      <w:r>
        <w:t xml:space="preserve"> that the level of qualification held by VET teachers </w:t>
      </w:r>
      <w:r w:rsidR="005A717B">
        <w:t xml:space="preserve">also </w:t>
      </w:r>
      <w:r>
        <w:t>ha</w:t>
      </w:r>
      <w:r w:rsidR="0080332D">
        <w:t xml:space="preserve">s </w:t>
      </w:r>
      <w:r>
        <w:t>an influence on student achievement</w:t>
      </w:r>
      <w:r w:rsidR="00900A15">
        <w:t xml:space="preserve">. </w:t>
      </w:r>
    </w:p>
    <w:p w14:paraId="17DF94BE" w14:textId="7F2FA47F" w:rsidR="006F5044" w:rsidRDefault="00717BB0" w:rsidP="00FA653A">
      <w:pPr>
        <w:pStyle w:val="Text"/>
        <w:rPr>
          <w:szCs w:val="19"/>
          <w:lang w:eastAsia="en-AU"/>
        </w:rPr>
      </w:pPr>
      <w:r w:rsidRPr="00EC6048">
        <w:rPr>
          <w:szCs w:val="19"/>
        </w:rPr>
        <w:t xml:space="preserve">Currently, all </w:t>
      </w:r>
      <w:r w:rsidR="00094EC8" w:rsidRPr="00EC6048">
        <w:rPr>
          <w:szCs w:val="19"/>
        </w:rPr>
        <w:t>Australian states and territories experienc</w:t>
      </w:r>
      <w:r w:rsidR="0080332D" w:rsidRPr="00EC6048">
        <w:rPr>
          <w:szCs w:val="19"/>
        </w:rPr>
        <w:t xml:space="preserve">e </w:t>
      </w:r>
      <w:r w:rsidR="00094EC8" w:rsidRPr="00EC6048">
        <w:rPr>
          <w:szCs w:val="19"/>
        </w:rPr>
        <w:t xml:space="preserve">local variations in the quality of VET teaching and </w:t>
      </w:r>
      <w:r w:rsidR="0080332D" w:rsidRPr="00EC6048">
        <w:rPr>
          <w:szCs w:val="19"/>
        </w:rPr>
        <w:t xml:space="preserve">are </w:t>
      </w:r>
      <w:r w:rsidR="00094EC8" w:rsidRPr="00EC6048">
        <w:rPr>
          <w:szCs w:val="19"/>
        </w:rPr>
        <w:t>mak</w:t>
      </w:r>
      <w:r w:rsidR="00D61550" w:rsidRPr="00EC6048">
        <w:rPr>
          <w:szCs w:val="19"/>
        </w:rPr>
        <w:t xml:space="preserve">ing </w:t>
      </w:r>
      <w:r w:rsidR="00094EC8" w:rsidRPr="00EC6048">
        <w:rPr>
          <w:szCs w:val="19"/>
        </w:rPr>
        <w:t xml:space="preserve">ongoing efforts to identify effective strategies for improvement, including participation in VET quality reviews and comparisons </w:t>
      </w:r>
      <w:r w:rsidR="00E71E56" w:rsidRPr="00EC6048">
        <w:rPr>
          <w:szCs w:val="19"/>
        </w:rPr>
        <w:t>with</w:t>
      </w:r>
      <w:r w:rsidR="00094EC8" w:rsidRPr="00EC6048">
        <w:rPr>
          <w:szCs w:val="19"/>
        </w:rPr>
        <w:t xml:space="preserve"> various approaches adopted across the nation</w:t>
      </w:r>
      <w:r w:rsidR="006F2CE5" w:rsidRPr="00EC6048">
        <w:rPr>
          <w:szCs w:val="19"/>
        </w:rPr>
        <w:t>.</w:t>
      </w:r>
      <w:r w:rsidR="00094EC8" w:rsidRPr="00EC6048">
        <w:rPr>
          <w:szCs w:val="19"/>
        </w:rPr>
        <w:t xml:space="preserve"> </w:t>
      </w:r>
      <w:r w:rsidR="00D61550" w:rsidRPr="00EC6048">
        <w:rPr>
          <w:szCs w:val="19"/>
        </w:rPr>
        <w:t>One of the most recent</w:t>
      </w:r>
      <w:r w:rsidR="0080332D" w:rsidRPr="00EC6048">
        <w:rPr>
          <w:szCs w:val="19"/>
        </w:rPr>
        <w:t xml:space="preserve"> </w:t>
      </w:r>
      <w:r w:rsidRPr="00EC6048">
        <w:rPr>
          <w:szCs w:val="19"/>
        </w:rPr>
        <w:t xml:space="preserve">national </w:t>
      </w:r>
      <w:r w:rsidR="0080332D" w:rsidRPr="00EC6048">
        <w:rPr>
          <w:szCs w:val="19"/>
        </w:rPr>
        <w:t>reviews</w:t>
      </w:r>
      <w:r w:rsidR="00D61550" w:rsidRPr="00EC6048">
        <w:rPr>
          <w:szCs w:val="19"/>
        </w:rPr>
        <w:t xml:space="preserve">, </w:t>
      </w:r>
      <w:r w:rsidR="00642C00" w:rsidRPr="00EC6048">
        <w:rPr>
          <w:szCs w:val="19"/>
        </w:rPr>
        <w:t>Strengthening Skills Expert Review of Australia’s Vocational Education and Training System by the Honourable Steven Joyce</w:t>
      </w:r>
      <w:r w:rsidR="00D27F6D">
        <w:rPr>
          <w:szCs w:val="19"/>
        </w:rPr>
        <w:t xml:space="preserve"> </w:t>
      </w:r>
      <w:r w:rsidR="00D27F6D" w:rsidRPr="00EC6048">
        <w:rPr>
          <w:szCs w:val="19"/>
        </w:rPr>
        <w:t>(</w:t>
      </w:r>
      <w:r w:rsidR="00D27F6D">
        <w:rPr>
          <w:szCs w:val="19"/>
        </w:rPr>
        <w:t xml:space="preserve">Joyce </w:t>
      </w:r>
      <w:r w:rsidR="00D27F6D" w:rsidRPr="00EC6048">
        <w:rPr>
          <w:szCs w:val="19"/>
        </w:rPr>
        <w:t>2019)</w:t>
      </w:r>
      <w:r w:rsidR="00D61550" w:rsidRPr="00EC6048">
        <w:rPr>
          <w:szCs w:val="19"/>
        </w:rPr>
        <w:t xml:space="preserve">, recommended a </w:t>
      </w:r>
      <w:r w:rsidR="00375CF5" w:rsidRPr="00EC6048">
        <w:rPr>
          <w:szCs w:val="19"/>
        </w:rPr>
        <w:t>six-point</w:t>
      </w:r>
      <w:r w:rsidR="00D61550" w:rsidRPr="00EC6048">
        <w:rPr>
          <w:szCs w:val="19"/>
        </w:rPr>
        <w:t xml:space="preserve"> plan to improve the system</w:t>
      </w:r>
      <w:r w:rsidR="00317112" w:rsidRPr="00EC6048">
        <w:rPr>
          <w:szCs w:val="19"/>
        </w:rPr>
        <w:t>,</w:t>
      </w:r>
      <w:r w:rsidR="0080332D" w:rsidRPr="00EC6048">
        <w:rPr>
          <w:szCs w:val="19"/>
        </w:rPr>
        <w:t xml:space="preserve"> which </w:t>
      </w:r>
      <w:r w:rsidR="00D61550" w:rsidRPr="00EC6048">
        <w:rPr>
          <w:szCs w:val="19"/>
        </w:rPr>
        <w:t>include</w:t>
      </w:r>
      <w:r w:rsidR="0080332D" w:rsidRPr="00EC6048">
        <w:rPr>
          <w:szCs w:val="19"/>
        </w:rPr>
        <w:t>s</w:t>
      </w:r>
      <w:r w:rsidR="00D61550" w:rsidRPr="00EC6048">
        <w:rPr>
          <w:szCs w:val="19"/>
        </w:rPr>
        <w:t xml:space="preserve"> strengthening quality assurance processes</w:t>
      </w:r>
      <w:r w:rsidR="000C1CAA" w:rsidRPr="00EC6048">
        <w:rPr>
          <w:szCs w:val="19"/>
        </w:rPr>
        <w:t xml:space="preserve"> after hearing that </w:t>
      </w:r>
      <w:r w:rsidR="0082233D" w:rsidRPr="00EC6048">
        <w:rPr>
          <w:szCs w:val="19"/>
          <w:lang w:eastAsia="en-AU"/>
        </w:rPr>
        <w:t xml:space="preserve">teaching </w:t>
      </w:r>
      <w:r w:rsidR="006F5044">
        <w:rPr>
          <w:szCs w:val="19"/>
          <w:lang w:eastAsia="en-AU"/>
        </w:rPr>
        <w:t xml:space="preserve">quality </w:t>
      </w:r>
      <w:r w:rsidR="000C1CAA" w:rsidRPr="00EC6048">
        <w:rPr>
          <w:szCs w:val="19"/>
          <w:lang w:eastAsia="en-AU"/>
        </w:rPr>
        <w:t xml:space="preserve">is </w:t>
      </w:r>
      <w:r w:rsidR="009E56B4">
        <w:rPr>
          <w:szCs w:val="19"/>
          <w:lang w:eastAsia="en-AU"/>
        </w:rPr>
        <w:t>variable</w:t>
      </w:r>
      <w:r w:rsidR="006F5044">
        <w:rPr>
          <w:szCs w:val="19"/>
          <w:lang w:eastAsia="en-AU"/>
        </w:rPr>
        <w:t xml:space="preserve"> across the system</w:t>
      </w:r>
      <w:r w:rsidR="000C1CAA" w:rsidRPr="00EC6048">
        <w:rPr>
          <w:szCs w:val="19"/>
          <w:lang w:eastAsia="en-AU"/>
        </w:rPr>
        <w:t xml:space="preserve">. </w:t>
      </w:r>
    </w:p>
    <w:p w14:paraId="089B1AE7" w14:textId="6112E421" w:rsidR="006226C9" w:rsidRDefault="000C1CAA" w:rsidP="00FA653A">
      <w:pPr>
        <w:pStyle w:val="Text"/>
        <w:rPr>
          <w:szCs w:val="19"/>
          <w:lang w:eastAsia="en-AU"/>
        </w:rPr>
      </w:pPr>
      <w:r w:rsidRPr="00EC6048">
        <w:rPr>
          <w:szCs w:val="19"/>
          <w:lang w:eastAsia="en-AU"/>
        </w:rPr>
        <w:lastRenderedPageBreak/>
        <w:t xml:space="preserve">Some </w:t>
      </w:r>
      <w:r w:rsidR="0082233D" w:rsidRPr="00EC6048">
        <w:rPr>
          <w:szCs w:val="19"/>
          <w:lang w:eastAsia="en-AU"/>
        </w:rPr>
        <w:t xml:space="preserve">respondents </w:t>
      </w:r>
      <w:r w:rsidRPr="00EC6048">
        <w:rPr>
          <w:szCs w:val="19"/>
          <w:lang w:eastAsia="en-AU"/>
        </w:rPr>
        <w:t xml:space="preserve">to the review suggested </w:t>
      </w:r>
      <w:r w:rsidR="0082233D" w:rsidRPr="00EC6048">
        <w:rPr>
          <w:szCs w:val="19"/>
          <w:lang w:eastAsia="en-AU"/>
        </w:rPr>
        <w:t>that greater skills in t</w:t>
      </w:r>
      <w:r w:rsidRPr="00EC6048">
        <w:rPr>
          <w:szCs w:val="19"/>
          <w:lang w:eastAsia="en-AU"/>
        </w:rPr>
        <w:t xml:space="preserve">eaching </w:t>
      </w:r>
      <w:r w:rsidR="0082233D" w:rsidRPr="00EC6048">
        <w:rPr>
          <w:szCs w:val="19"/>
          <w:lang w:eastAsia="en-AU"/>
        </w:rPr>
        <w:t xml:space="preserve">and instructional design </w:t>
      </w:r>
      <w:r w:rsidR="0076013E">
        <w:rPr>
          <w:szCs w:val="19"/>
          <w:lang w:eastAsia="en-AU"/>
        </w:rPr>
        <w:t xml:space="preserve">are </w:t>
      </w:r>
      <w:r w:rsidR="0082233D" w:rsidRPr="00EC6048">
        <w:rPr>
          <w:szCs w:val="19"/>
          <w:lang w:eastAsia="en-AU"/>
        </w:rPr>
        <w:t>required</w:t>
      </w:r>
      <w:r w:rsidRPr="00EC6048">
        <w:rPr>
          <w:szCs w:val="19"/>
          <w:lang w:eastAsia="en-AU"/>
        </w:rPr>
        <w:t xml:space="preserve"> and some </w:t>
      </w:r>
      <w:r w:rsidR="00534A5A">
        <w:rPr>
          <w:szCs w:val="19"/>
          <w:lang w:eastAsia="en-AU"/>
        </w:rPr>
        <w:t xml:space="preserve">VET </w:t>
      </w:r>
      <w:r w:rsidRPr="00EC6048">
        <w:rPr>
          <w:szCs w:val="19"/>
          <w:lang w:eastAsia="en-AU"/>
        </w:rPr>
        <w:t xml:space="preserve">teachers </w:t>
      </w:r>
      <w:r w:rsidR="0082233D" w:rsidRPr="00EC6048">
        <w:rPr>
          <w:szCs w:val="19"/>
          <w:lang w:eastAsia="en-AU"/>
        </w:rPr>
        <w:t>d</w:t>
      </w:r>
      <w:r w:rsidRPr="00EC6048">
        <w:rPr>
          <w:szCs w:val="19"/>
          <w:lang w:eastAsia="en-AU"/>
        </w:rPr>
        <w:t xml:space="preserve">o </w:t>
      </w:r>
      <w:r w:rsidR="0082233D" w:rsidRPr="00EC6048">
        <w:rPr>
          <w:szCs w:val="19"/>
          <w:lang w:eastAsia="en-AU"/>
        </w:rPr>
        <w:t xml:space="preserve">not have </w:t>
      </w:r>
      <w:r w:rsidRPr="00EC6048">
        <w:rPr>
          <w:szCs w:val="19"/>
          <w:lang w:eastAsia="en-AU"/>
        </w:rPr>
        <w:t xml:space="preserve">the </w:t>
      </w:r>
      <w:r w:rsidR="0082233D" w:rsidRPr="00EC6048">
        <w:rPr>
          <w:szCs w:val="19"/>
          <w:lang w:eastAsia="en-AU"/>
        </w:rPr>
        <w:t>relevant industry experience</w:t>
      </w:r>
      <w:r w:rsidRPr="00EC6048">
        <w:rPr>
          <w:szCs w:val="19"/>
          <w:lang w:eastAsia="en-AU"/>
        </w:rPr>
        <w:t xml:space="preserve"> required to meet the </w:t>
      </w:r>
      <w:r w:rsidR="00CD352C" w:rsidRPr="00CD352C">
        <w:rPr>
          <w:szCs w:val="19"/>
          <w:lang w:eastAsia="en-AU"/>
        </w:rPr>
        <w:t xml:space="preserve">legislated Standards for Registered Training Organisations (RTOs) 2015 </w:t>
      </w:r>
      <w:r w:rsidR="00B62607">
        <w:rPr>
          <w:szCs w:val="19"/>
          <w:lang w:eastAsia="en-AU"/>
        </w:rPr>
        <w:t>(RTO Standards)</w:t>
      </w:r>
      <w:r w:rsidR="009E56B4">
        <w:rPr>
          <w:rStyle w:val="FootnoteReference"/>
          <w:szCs w:val="19"/>
          <w:lang w:eastAsia="en-AU"/>
        </w:rPr>
        <w:footnoteReference w:id="5"/>
      </w:r>
      <w:r w:rsidR="00CD352C" w:rsidRPr="00CD352C">
        <w:rPr>
          <w:szCs w:val="19"/>
          <w:lang w:eastAsia="en-AU"/>
        </w:rPr>
        <w:t>.</w:t>
      </w:r>
      <w:r w:rsidR="006F5044">
        <w:rPr>
          <w:szCs w:val="19"/>
          <w:lang w:eastAsia="en-AU"/>
        </w:rPr>
        <w:t xml:space="preserve"> </w:t>
      </w:r>
      <w:r w:rsidR="00B62607" w:rsidRPr="00B62607">
        <w:rPr>
          <w:szCs w:val="19"/>
          <w:lang w:eastAsia="en-AU"/>
        </w:rPr>
        <w:t xml:space="preserve">Joyce (2019) and </w:t>
      </w:r>
      <w:r w:rsidR="00D27F6D">
        <w:rPr>
          <w:szCs w:val="19"/>
          <w:lang w:eastAsia="en-AU"/>
        </w:rPr>
        <w:t xml:space="preserve">a range of </w:t>
      </w:r>
      <w:r w:rsidR="00B62607" w:rsidRPr="00B74050">
        <w:rPr>
          <w:szCs w:val="19"/>
          <w:lang w:eastAsia="en-AU"/>
        </w:rPr>
        <w:t xml:space="preserve">others </w:t>
      </w:r>
      <w:r w:rsidR="00144B08" w:rsidRPr="00B74050">
        <w:rPr>
          <w:szCs w:val="19"/>
          <w:lang w:eastAsia="en-AU"/>
        </w:rPr>
        <w:t>(</w:t>
      </w:r>
      <w:r w:rsidR="00A03A25" w:rsidRPr="00B74050">
        <w:rPr>
          <w:szCs w:val="19"/>
          <w:lang w:eastAsia="en-AU"/>
        </w:rPr>
        <w:t>e</w:t>
      </w:r>
      <w:r w:rsidR="00D27F6D" w:rsidRPr="00B74050">
        <w:rPr>
          <w:szCs w:val="19"/>
          <w:lang w:eastAsia="en-AU"/>
        </w:rPr>
        <w:t xml:space="preserve">.g. Smith 2019; Guthrie </w:t>
      </w:r>
      <w:r w:rsidR="005B7FC4" w:rsidRPr="00B74050">
        <w:rPr>
          <w:szCs w:val="19"/>
          <w:lang w:eastAsia="en-AU"/>
        </w:rPr>
        <w:t>and</w:t>
      </w:r>
      <w:r w:rsidR="00D27F6D" w:rsidRPr="00B74050">
        <w:rPr>
          <w:szCs w:val="19"/>
          <w:lang w:eastAsia="en-AU"/>
        </w:rPr>
        <w:t xml:space="preserve"> </w:t>
      </w:r>
      <w:r w:rsidR="005B7FC4" w:rsidRPr="00B74050">
        <w:rPr>
          <w:szCs w:val="19"/>
          <w:lang w:eastAsia="en-AU"/>
        </w:rPr>
        <w:t>Jones</w:t>
      </w:r>
      <w:r w:rsidR="00D27F6D" w:rsidRPr="00B74050">
        <w:rPr>
          <w:szCs w:val="19"/>
          <w:lang w:eastAsia="en-AU"/>
        </w:rPr>
        <w:t xml:space="preserve"> 201</w:t>
      </w:r>
      <w:r w:rsidR="00A03A25" w:rsidRPr="00B74050">
        <w:rPr>
          <w:szCs w:val="19"/>
          <w:lang w:eastAsia="en-AU"/>
        </w:rPr>
        <w:t>8</w:t>
      </w:r>
      <w:r w:rsidR="005B7FC4" w:rsidRPr="00B74050">
        <w:rPr>
          <w:szCs w:val="19"/>
          <w:lang w:eastAsia="en-AU"/>
        </w:rPr>
        <w:t>; Guthrie and Every 2013</w:t>
      </w:r>
      <w:r w:rsidR="00144B08" w:rsidRPr="00B74050">
        <w:rPr>
          <w:szCs w:val="19"/>
          <w:lang w:eastAsia="en-AU"/>
        </w:rPr>
        <w:t>)</w:t>
      </w:r>
      <w:r w:rsidR="00144B08">
        <w:rPr>
          <w:szCs w:val="19"/>
          <w:lang w:eastAsia="en-AU"/>
        </w:rPr>
        <w:t xml:space="preserve"> </w:t>
      </w:r>
      <w:r w:rsidR="00B62607" w:rsidRPr="00B62607">
        <w:rPr>
          <w:szCs w:val="19"/>
          <w:lang w:eastAsia="en-AU"/>
        </w:rPr>
        <w:t xml:space="preserve">attribute </w:t>
      </w:r>
      <w:r w:rsidR="006F5044">
        <w:rPr>
          <w:szCs w:val="19"/>
          <w:lang w:eastAsia="en-AU"/>
        </w:rPr>
        <w:t xml:space="preserve">the </w:t>
      </w:r>
      <w:r w:rsidR="00B62607" w:rsidRPr="00B62607">
        <w:rPr>
          <w:szCs w:val="19"/>
          <w:lang w:eastAsia="en-AU"/>
        </w:rPr>
        <w:t xml:space="preserve">variability in VET in part to poor delivery and assessment of the Certificate IV in </w:t>
      </w:r>
      <w:r w:rsidR="006226C9" w:rsidRPr="006226C9">
        <w:rPr>
          <w:szCs w:val="19"/>
          <w:lang w:eastAsia="en-AU"/>
        </w:rPr>
        <w:t xml:space="preserve">Training and Assessment </w:t>
      </w:r>
      <w:r w:rsidR="006226C9">
        <w:rPr>
          <w:szCs w:val="19"/>
          <w:lang w:eastAsia="en-AU"/>
        </w:rPr>
        <w:t>(</w:t>
      </w:r>
      <w:r w:rsidR="00B62607" w:rsidRPr="00B62607">
        <w:rPr>
          <w:szCs w:val="19"/>
          <w:lang w:eastAsia="en-AU"/>
        </w:rPr>
        <w:t>TAE</w:t>
      </w:r>
      <w:r w:rsidR="006226C9">
        <w:rPr>
          <w:szCs w:val="19"/>
          <w:lang w:eastAsia="en-AU"/>
        </w:rPr>
        <w:t>)</w:t>
      </w:r>
      <w:r w:rsidR="00A03A25">
        <w:rPr>
          <w:szCs w:val="19"/>
          <w:lang w:eastAsia="en-AU"/>
        </w:rPr>
        <w:t>.</w:t>
      </w:r>
      <w:r w:rsidR="00B62607" w:rsidRPr="00B62607">
        <w:rPr>
          <w:szCs w:val="19"/>
          <w:lang w:eastAsia="en-AU"/>
        </w:rPr>
        <w:t xml:space="preserve"> </w:t>
      </w:r>
      <w:r w:rsidR="00A03A25">
        <w:rPr>
          <w:szCs w:val="19"/>
          <w:lang w:eastAsia="en-AU"/>
        </w:rPr>
        <w:t>The quality of assessment has also been a persistent issue</w:t>
      </w:r>
      <w:r w:rsidR="00B62607" w:rsidRPr="00B62607">
        <w:rPr>
          <w:szCs w:val="19"/>
          <w:lang w:eastAsia="en-AU"/>
        </w:rPr>
        <w:t>.</w:t>
      </w:r>
      <w:r w:rsidR="004F48B5">
        <w:rPr>
          <w:szCs w:val="19"/>
          <w:lang w:eastAsia="en-AU"/>
        </w:rPr>
        <w:t xml:space="preserve"> </w:t>
      </w:r>
    </w:p>
    <w:p w14:paraId="6A49DB26" w14:textId="08DD8064" w:rsidR="00B82765" w:rsidRDefault="00B82765" w:rsidP="00FA653A">
      <w:pPr>
        <w:pStyle w:val="Text"/>
      </w:pPr>
      <w:r>
        <w:t xml:space="preserve">There are </w:t>
      </w:r>
      <w:proofErr w:type="gramStart"/>
      <w:r>
        <w:t>a number of</w:t>
      </w:r>
      <w:proofErr w:type="gramEnd"/>
      <w:r>
        <w:t xml:space="preserve"> </w:t>
      </w:r>
      <w:r w:rsidR="00144B08">
        <w:t xml:space="preserve">other </w:t>
      </w:r>
      <w:r w:rsidR="00CF15A6">
        <w:t>fac</w:t>
      </w:r>
      <w:r w:rsidR="00172A18">
        <w:t>to</w:t>
      </w:r>
      <w:r w:rsidR="00CF15A6">
        <w:t xml:space="preserve">rs impacting on </w:t>
      </w:r>
      <w:r>
        <w:t xml:space="preserve">the quality </w:t>
      </w:r>
      <w:r w:rsidR="005B2B67">
        <w:t xml:space="preserve">of teaching </w:t>
      </w:r>
      <w:r>
        <w:t>cited in the literature. These include</w:t>
      </w:r>
      <w:r w:rsidR="00872F06">
        <w:t>:</w:t>
      </w:r>
      <w:r>
        <w:t xml:space="preserve"> VET’s </w:t>
      </w:r>
      <w:r w:rsidRPr="0080332D">
        <w:t xml:space="preserve">perceived </w:t>
      </w:r>
      <w:r>
        <w:t xml:space="preserve">low </w:t>
      </w:r>
      <w:r w:rsidRPr="0080332D">
        <w:t xml:space="preserve">status </w:t>
      </w:r>
      <w:r>
        <w:t xml:space="preserve">in the broader education sector (sandwiched between schools and higher education) </w:t>
      </w:r>
      <w:r w:rsidRPr="00B74050">
        <w:t>and its poor reputation (Harris 2015; Smith 2019),</w:t>
      </w:r>
      <w:r w:rsidR="00360877">
        <w:t xml:space="preserve"> </w:t>
      </w:r>
      <w:r w:rsidRPr="00B74050">
        <w:t xml:space="preserve">the capability of teachers (Harris, 2015; Smith, 2019; Hodge, 2014) and the level and type of PD they undertake (Guthrie, 2010, </w:t>
      </w:r>
      <w:proofErr w:type="spellStart"/>
      <w:r w:rsidRPr="00B74050">
        <w:t>Wheelahan</w:t>
      </w:r>
      <w:proofErr w:type="spellEnd"/>
      <w:r w:rsidRPr="00B74050">
        <w:t xml:space="preserve"> and Moodie, 2011)</w:t>
      </w:r>
      <w:r w:rsidR="005B7FC4" w:rsidRPr="00B74050">
        <w:t>,</w:t>
      </w:r>
      <w:r w:rsidRPr="00B74050">
        <w:t xml:space="preserve"> the adequacy of the Certificate IV in T</w:t>
      </w:r>
      <w:r w:rsidR="005B2B67">
        <w:t xml:space="preserve">AE </w:t>
      </w:r>
      <w:r w:rsidRPr="00B74050">
        <w:t xml:space="preserve">for entry-level teachers and the VET teaching profession in general (Guthrie 2010; </w:t>
      </w:r>
      <w:proofErr w:type="spellStart"/>
      <w:r w:rsidR="00310042" w:rsidRPr="00B74050">
        <w:t>Wheelahan</w:t>
      </w:r>
      <w:proofErr w:type="spellEnd"/>
      <w:r w:rsidR="00310042" w:rsidRPr="00B74050">
        <w:t xml:space="preserve"> and Moodie 2011; </w:t>
      </w:r>
      <w:r w:rsidRPr="00B74050">
        <w:t>Clayton and Guthrie 2013; Smith and Yasukawa 2017; Smith 2019), the nature of employment of teachers (full-time or casual), competency-based training (Guthrie &amp; Hodge, 2019, Hodge, 2014</w:t>
      </w:r>
      <w:r w:rsidR="00310042" w:rsidRPr="00B74050">
        <w:t xml:space="preserve">, </w:t>
      </w:r>
      <w:proofErr w:type="spellStart"/>
      <w:r w:rsidR="00310042" w:rsidRPr="00480701">
        <w:t>Wheelahan</w:t>
      </w:r>
      <w:proofErr w:type="spellEnd"/>
      <w:r w:rsidR="00310042" w:rsidRPr="00480701">
        <w:t>, 2010</w:t>
      </w:r>
      <w:r w:rsidRPr="00480701">
        <w:t>)</w:t>
      </w:r>
      <w:r w:rsidR="00310042" w:rsidRPr="00480701">
        <w:t xml:space="preserve">, </w:t>
      </w:r>
      <w:r w:rsidRPr="00B74050">
        <w:t>the complex nature of training packages (Joyce, 2019) and difficulties attracting industry</w:t>
      </w:r>
      <w:r w:rsidRPr="0080332D">
        <w:t xml:space="preserve"> professionals into teaching roles (</w:t>
      </w:r>
      <w:r w:rsidR="005B7FC4">
        <w:t xml:space="preserve">Australian </w:t>
      </w:r>
      <w:r w:rsidRPr="0080332D">
        <w:t xml:space="preserve">Productivity Commission, 2011). </w:t>
      </w:r>
    </w:p>
    <w:p w14:paraId="3C0A4C66" w14:textId="34932E3B" w:rsidR="00CD4868" w:rsidRDefault="00CF15A6" w:rsidP="00FA653A">
      <w:pPr>
        <w:pStyle w:val="Text"/>
      </w:pPr>
      <w:r w:rsidRPr="00C63C48">
        <w:rPr>
          <w:szCs w:val="19"/>
        </w:rPr>
        <w:t xml:space="preserve">In addition, the long and steady decline in funding </w:t>
      </w:r>
      <w:r w:rsidR="00CD4868" w:rsidRPr="00C63C48">
        <w:rPr>
          <w:szCs w:val="19"/>
        </w:rPr>
        <w:t xml:space="preserve">for </w:t>
      </w:r>
      <w:r w:rsidRPr="00C63C48">
        <w:rPr>
          <w:szCs w:val="19"/>
        </w:rPr>
        <w:t>VET</w:t>
      </w:r>
      <w:r w:rsidR="00C63C48">
        <w:rPr>
          <w:szCs w:val="19"/>
        </w:rPr>
        <w:t>, particularly by states and territories</w:t>
      </w:r>
      <w:r w:rsidR="00872F06" w:rsidRPr="00C63C48">
        <w:rPr>
          <w:szCs w:val="19"/>
        </w:rPr>
        <w:t xml:space="preserve"> (Hurley and van Dyke 2019)</w:t>
      </w:r>
      <w:r w:rsidRPr="00C63C48">
        <w:rPr>
          <w:szCs w:val="19"/>
        </w:rPr>
        <w:t xml:space="preserve">, with its flow-on impact on available funds for </w:t>
      </w:r>
      <w:r w:rsidR="00CD4868" w:rsidRPr="00C63C48">
        <w:rPr>
          <w:szCs w:val="19"/>
        </w:rPr>
        <w:t xml:space="preserve">teacher development </w:t>
      </w:r>
      <w:r w:rsidRPr="00C63C48">
        <w:rPr>
          <w:szCs w:val="19"/>
        </w:rPr>
        <w:t xml:space="preserve">at jurisdictional and provider levels, </w:t>
      </w:r>
      <w:r w:rsidR="00CD4868" w:rsidRPr="00C63C48">
        <w:rPr>
          <w:szCs w:val="19"/>
        </w:rPr>
        <w:t xml:space="preserve">has </w:t>
      </w:r>
      <w:r w:rsidRPr="00C63C48">
        <w:rPr>
          <w:szCs w:val="19"/>
        </w:rPr>
        <w:t>also adversely affected the quality of teaching (Guthrie and Jones 2018</w:t>
      </w:r>
      <w:r w:rsidR="00D06F16" w:rsidRPr="00C63C48">
        <w:rPr>
          <w:szCs w:val="19"/>
        </w:rPr>
        <w:t>;</w:t>
      </w:r>
      <w:r w:rsidRPr="00C63C48">
        <w:rPr>
          <w:szCs w:val="19"/>
        </w:rPr>
        <w:t xml:space="preserve"> Smith 2019). </w:t>
      </w:r>
      <w:r w:rsidR="00CD4868" w:rsidRPr="00C63C48">
        <w:rPr>
          <w:szCs w:val="19"/>
        </w:rPr>
        <w:t xml:space="preserve">This is likely to </w:t>
      </w:r>
      <w:proofErr w:type="gramStart"/>
      <w:r w:rsidR="00CD4868" w:rsidRPr="00C63C48">
        <w:rPr>
          <w:szCs w:val="19"/>
        </w:rPr>
        <w:t>be in contrast to</w:t>
      </w:r>
      <w:proofErr w:type="gramEnd"/>
      <w:r w:rsidR="00CD4868" w:rsidRPr="00C63C48">
        <w:rPr>
          <w:szCs w:val="19"/>
        </w:rPr>
        <w:t xml:space="preserve"> funding available for teacher </w:t>
      </w:r>
      <w:r w:rsidRPr="00C63C48">
        <w:rPr>
          <w:szCs w:val="19"/>
        </w:rPr>
        <w:t xml:space="preserve">development </w:t>
      </w:r>
      <w:r w:rsidR="00CD4868" w:rsidRPr="00C63C48">
        <w:rPr>
          <w:szCs w:val="19"/>
        </w:rPr>
        <w:t xml:space="preserve">in schools, given the level of teacher qualifications in schools (at </w:t>
      </w:r>
      <w:r w:rsidR="00A229A9">
        <w:rPr>
          <w:szCs w:val="19"/>
        </w:rPr>
        <w:t>D</w:t>
      </w:r>
      <w:r w:rsidR="00A229A9" w:rsidRPr="00C63C48">
        <w:rPr>
          <w:szCs w:val="19"/>
        </w:rPr>
        <w:t xml:space="preserve">egree </w:t>
      </w:r>
      <w:r w:rsidR="00CD4868" w:rsidRPr="00C63C48">
        <w:rPr>
          <w:szCs w:val="19"/>
        </w:rPr>
        <w:t>level and above) and the attention paid to the content of university schoolteacher-training programs by governments (Smith 2019).</w:t>
      </w:r>
      <w:r w:rsidR="00CD4868" w:rsidRPr="00AE079F">
        <w:rPr>
          <w:szCs w:val="19"/>
        </w:rPr>
        <w:tab/>
      </w:r>
      <w:r w:rsidR="00CD4868">
        <w:rPr>
          <w:szCs w:val="19"/>
        </w:rPr>
        <w:t xml:space="preserve"> </w:t>
      </w:r>
    </w:p>
    <w:p w14:paraId="5B8E33B2" w14:textId="5AFA53F8" w:rsidR="00B62607" w:rsidRPr="00B62607" w:rsidRDefault="00B82765" w:rsidP="00FA653A">
      <w:pPr>
        <w:pStyle w:val="Text"/>
        <w:rPr>
          <w:szCs w:val="19"/>
          <w:lang w:eastAsia="en-AU"/>
        </w:rPr>
      </w:pPr>
      <w:r>
        <w:rPr>
          <w:szCs w:val="19"/>
          <w:lang w:eastAsia="en-AU"/>
        </w:rPr>
        <w:t>Many of these barriers remain of concern today,</w:t>
      </w:r>
      <w:r w:rsidR="00310042">
        <w:rPr>
          <w:szCs w:val="19"/>
          <w:lang w:eastAsia="en-AU"/>
        </w:rPr>
        <w:t xml:space="preserve"> </w:t>
      </w:r>
      <w:r>
        <w:rPr>
          <w:szCs w:val="19"/>
          <w:lang w:eastAsia="en-AU"/>
        </w:rPr>
        <w:t xml:space="preserve">evident in </w:t>
      </w:r>
      <w:r w:rsidR="005B2B67">
        <w:rPr>
          <w:szCs w:val="19"/>
          <w:lang w:eastAsia="en-AU"/>
        </w:rPr>
        <w:t xml:space="preserve">the </w:t>
      </w:r>
      <w:r>
        <w:rPr>
          <w:szCs w:val="19"/>
          <w:lang w:eastAsia="en-AU"/>
        </w:rPr>
        <w:t>stakeholder feedback</w:t>
      </w:r>
      <w:r w:rsidR="005B2B67">
        <w:rPr>
          <w:szCs w:val="19"/>
          <w:lang w:eastAsia="en-AU"/>
        </w:rPr>
        <w:t xml:space="preserve"> received during this study</w:t>
      </w:r>
      <w:r>
        <w:rPr>
          <w:szCs w:val="19"/>
          <w:lang w:eastAsia="en-AU"/>
        </w:rPr>
        <w:t xml:space="preserve">. </w:t>
      </w:r>
      <w:r w:rsidR="00B62607" w:rsidRPr="00B62607">
        <w:rPr>
          <w:szCs w:val="19"/>
          <w:lang w:eastAsia="en-AU"/>
        </w:rPr>
        <w:t xml:space="preserve">To develop effective strategies </w:t>
      </w:r>
      <w:r>
        <w:rPr>
          <w:szCs w:val="19"/>
          <w:lang w:eastAsia="en-AU"/>
        </w:rPr>
        <w:t>to address the</w:t>
      </w:r>
      <w:r w:rsidR="005B2B67">
        <w:rPr>
          <w:szCs w:val="19"/>
          <w:lang w:eastAsia="en-AU"/>
        </w:rPr>
        <w:t xml:space="preserve">m </w:t>
      </w:r>
      <w:r w:rsidR="00B62607" w:rsidRPr="00B62607">
        <w:rPr>
          <w:szCs w:val="19"/>
          <w:lang w:eastAsia="en-AU"/>
        </w:rPr>
        <w:t xml:space="preserve">we need to better understand: </w:t>
      </w:r>
    </w:p>
    <w:p w14:paraId="5D73A465" w14:textId="0517AA6D" w:rsidR="00094EC8" w:rsidRDefault="00B82765" w:rsidP="00E049AD">
      <w:pPr>
        <w:pStyle w:val="Dotpoint10"/>
      </w:pPr>
      <w:r>
        <w:t xml:space="preserve">the </w:t>
      </w:r>
      <w:r w:rsidR="00B62607" w:rsidRPr="00B62607">
        <w:t>current</w:t>
      </w:r>
      <w:r w:rsidR="00094EC8">
        <w:t xml:space="preserve"> quality of VET teaching </w:t>
      </w:r>
    </w:p>
    <w:p w14:paraId="25404EDD" w14:textId="77F1DCE7" w:rsidR="00310042" w:rsidRDefault="00310042" w:rsidP="00E049AD">
      <w:pPr>
        <w:pStyle w:val="Dotpoint10"/>
      </w:pPr>
      <w:r>
        <w:t>the agreed attributes of teaching quality</w:t>
      </w:r>
    </w:p>
    <w:p w14:paraId="3876A702" w14:textId="30409EB2" w:rsidR="00094EC8" w:rsidRDefault="00310042" w:rsidP="00E049AD">
      <w:pPr>
        <w:pStyle w:val="Dotpoint10"/>
      </w:pPr>
      <w:r>
        <w:t xml:space="preserve">the </w:t>
      </w:r>
      <w:r w:rsidR="00094EC8">
        <w:t>effectiveness of approaches by RTOs and Australian governments to improve the quality of</w:t>
      </w:r>
      <w:r w:rsidR="000E406B">
        <w:t xml:space="preserve"> </w:t>
      </w:r>
      <w:r w:rsidR="00094EC8">
        <w:t>VET teaching</w:t>
      </w:r>
      <w:r w:rsidR="00AD1D4E">
        <w:t>,</w:t>
      </w:r>
      <w:r w:rsidR="009E73F0">
        <w:rPr>
          <w:rStyle w:val="FootnoteReference"/>
        </w:rPr>
        <w:footnoteReference w:id="6"/>
      </w:r>
      <w:r w:rsidR="00AD1D4E">
        <w:t xml:space="preserve"> and</w:t>
      </w:r>
    </w:p>
    <w:p w14:paraId="3AF1DC48" w14:textId="01449D95" w:rsidR="00094EC8" w:rsidRDefault="00B82765" w:rsidP="00E049AD">
      <w:pPr>
        <w:pStyle w:val="Dotpoint10"/>
      </w:pPr>
      <w:r w:rsidRPr="00280A67">
        <w:rPr>
          <w:color w:val="000000" w:themeColor="text1"/>
        </w:rPr>
        <w:t>the critical</w:t>
      </w:r>
      <w:r w:rsidR="00094EC8" w:rsidRPr="00280A67">
        <w:rPr>
          <w:color w:val="000000" w:themeColor="text1"/>
        </w:rPr>
        <w:t xml:space="preserve"> enablers</w:t>
      </w:r>
      <w:r w:rsidRPr="00280A67">
        <w:rPr>
          <w:color w:val="000000" w:themeColor="text1"/>
        </w:rPr>
        <w:t xml:space="preserve"> </w:t>
      </w:r>
      <w:r>
        <w:t>of quality teaching</w:t>
      </w:r>
      <w:r w:rsidR="00094EC8">
        <w:t>, such as:</w:t>
      </w:r>
    </w:p>
    <w:p w14:paraId="6B9C86DA" w14:textId="14B48ACC" w:rsidR="00094EC8" w:rsidRPr="00994136" w:rsidRDefault="00B82765" w:rsidP="00FA653A">
      <w:pPr>
        <w:pStyle w:val="Dotpoint2"/>
      </w:pPr>
      <w:r>
        <w:t xml:space="preserve">the </w:t>
      </w:r>
      <w:r w:rsidR="00094EC8" w:rsidRPr="00B62607">
        <w:t>widespread acceptance and application of models for consistently assessing teaching quality in VE</w:t>
      </w:r>
      <w:r w:rsidR="00CF773C" w:rsidRPr="00B62607">
        <w:t>T</w:t>
      </w:r>
    </w:p>
    <w:p w14:paraId="6EEE4B15" w14:textId="1B6D7DCD" w:rsidR="00094EC8" w:rsidRPr="00994136" w:rsidRDefault="00094EC8" w:rsidP="00FA653A">
      <w:pPr>
        <w:pStyle w:val="Dotpoint2"/>
      </w:pPr>
      <w:r w:rsidRPr="00B62607">
        <w:t>the collection of evaluative evidence on effective strategies for improving VET teaching</w:t>
      </w:r>
      <w:r w:rsidR="00BE2549" w:rsidRPr="00B62607">
        <w:t>,</w:t>
      </w:r>
      <w:r w:rsidR="00C73237" w:rsidRPr="00B62607">
        <w:t xml:space="preserve"> </w:t>
      </w:r>
      <w:r w:rsidR="00C02294" w:rsidRPr="00B62607">
        <w:t>and</w:t>
      </w:r>
    </w:p>
    <w:p w14:paraId="005CCE8E" w14:textId="3C82E4D1" w:rsidR="00560B47" w:rsidRPr="000F4DDE" w:rsidRDefault="00317112" w:rsidP="00FA653A">
      <w:pPr>
        <w:pStyle w:val="Dotpoint2"/>
        <w:rPr>
          <w:szCs w:val="19"/>
        </w:rPr>
      </w:pPr>
      <w:r w:rsidRPr="00A95A92">
        <w:t>w</w:t>
      </w:r>
      <w:r w:rsidR="00220D05" w:rsidRPr="00B62607">
        <w:t>orkforce</w:t>
      </w:r>
      <w:r w:rsidR="00094EC8" w:rsidRPr="00B62607">
        <w:t xml:space="preserve"> planning for the sector, based on a practical understanding of what makes VET teaching an attractive (or unattractive) career option for </w:t>
      </w:r>
      <w:r w:rsidR="0034169D" w:rsidRPr="00B62607">
        <w:t>teacher</w:t>
      </w:r>
      <w:r w:rsidR="00094EC8" w:rsidRPr="00B62607">
        <w:t>s holding the required qualifications and industry curre</w:t>
      </w:r>
      <w:r w:rsidR="00094EC8">
        <w:t>ncy</w:t>
      </w:r>
      <w:r w:rsidR="005B2B67">
        <w:t>.</w:t>
      </w:r>
    </w:p>
    <w:p w14:paraId="628C52CE" w14:textId="04526599" w:rsidR="00094EC8" w:rsidRPr="003275F2" w:rsidRDefault="00621C5F" w:rsidP="009711B0">
      <w:pPr>
        <w:pStyle w:val="Heading1"/>
        <w:rPr>
          <w:spacing w:val="-4"/>
        </w:rPr>
      </w:pPr>
      <w:bookmarkStart w:id="64" w:name="_Toc40607814"/>
      <w:bookmarkStart w:id="65" w:name="_Toc62204932"/>
      <w:r w:rsidRPr="003275F2">
        <w:rPr>
          <w:noProof/>
          <w:spacing w:val="-4"/>
          <w:lang w:eastAsia="en-AU"/>
        </w:rPr>
        <w:lastRenderedPageBreak/>
        <w:drawing>
          <wp:anchor distT="0" distB="431800" distL="114300" distR="114300" simplePos="0" relativeHeight="252018688" behindDoc="1" locked="0" layoutInCell="1" allowOverlap="1" wp14:anchorId="6E194CD7" wp14:editId="39B7F1F6">
            <wp:simplePos x="0" y="0"/>
            <wp:positionH relativeFrom="column">
              <wp:posOffset>3175</wp:posOffset>
            </wp:positionH>
            <wp:positionV relativeFrom="paragraph">
              <wp:posOffset>0</wp:posOffset>
            </wp:positionV>
            <wp:extent cx="417600" cy="417600"/>
            <wp:effectExtent l="0" t="0" r="1905" b="1905"/>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501" w:rsidRPr="003275F2">
        <w:rPr>
          <w:spacing w:val="-4"/>
        </w:rPr>
        <w:t>Domestic and internation</w:t>
      </w:r>
      <w:r w:rsidR="00D1638B" w:rsidRPr="003275F2">
        <w:rPr>
          <w:spacing w:val="-4"/>
        </w:rPr>
        <w:t>al</w:t>
      </w:r>
      <w:r w:rsidR="00482501" w:rsidRPr="003275F2">
        <w:rPr>
          <w:spacing w:val="-4"/>
        </w:rPr>
        <w:t xml:space="preserve"> approaches to improving </w:t>
      </w:r>
      <w:r w:rsidR="00D90E95" w:rsidRPr="003275F2">
        <w:rPr>
          <w:spacing w:val="-4"/>
        </w:rPr>
        <w:t xml:space="preserve">VET teaching </w:t>
      </w:r>
      <w:r w:rsidR="00482501" w:rsidRPr="003275F2">
        <w:rPr>
          <w:spacing w:val="-4"/>
        </w:rPr>
        <w:t>quality</w:t>
      </w:r>
      <w:bookmarkEnd w:id="64"/>
      <w:bookmarkEnd w:id="65"/>
    </w:p>
    <w:p w14:paraId="5E4B9527" w14:textId="22B4B0FD" w:rsidR="00094EC8" w:rsidRPr="009711B0" w:rsidRDefault="00094EC8" w:rsidP="009711B0">
      <w:pPr>
        <w:pStyle w:val="Heading2"/>
      </w:pPr>
      <w:bookmarkStart w:id="66" w:name="_Toc62204933"/>
      <w:r w:rsidRPr="009711B0">
        <w:t>Context</w:t>
      </w:r>
      <w:bookmarkEnd w:id="66"/>
    </w:p>
    <w:p w14:paraId="14A5F10E" w14:textId="2573557A" w:rsidR="00094EC8" w:rsidRPr="009711B0" w:rsidRDefault="00094EC8" w:rsidP="009711B0">
      <w:pPr>
        <w:pStyle w:val="Text"/>
      </w:pPr>
      <w:r w:rsidRPr="009711B0">
        <w:t xml:space="preserve">What is meant by the term </w:t>
      </w:r>
      <w:r w:rsidR="006566DB" w:rsidRPr="009711B0">
        <w:t>‘</w:t>
      </w:r>
      <w:r w:rsidRPr="009711B0">
        <w:t>quality</w:t>
      </w:r>
      <w:r w:rsidR="006566DB" w:rsidRPr="009711B0">
        <w:t>’</w:t>
      </w:r>
      <w:r w:rsidRPr="009711B0">
        <w:t xml:space="preserve"> and what </w:t>
      </w:r>
      <w:r w:rsidR="00125101" w:rsidRPr="009711B0">
        <w:t>does it mean</w:t>
      </w:r>
      <w:r w:rsidRPr="009711B0">
        <w:t xml:space="preserve"> when applied to VET teaching? </w:t>
      </w:r>
    </w:p>
    <w:p w14:paraId="3D1D718A" w14:textId="461EE3FD" w:rsidR="00094EC8" w:rsidRDefault="00094EC8" w:rsidP="009711B0">
      <w:pPr>
        <w:pStyle w:val="Text"/>
      </w:pPr>
      <w:bookmarkStart w:id="67" w:name="_Hlk41039456"/>
      <w:r w:rsidRPr="009711B0">
        <w:t>There are various definitions of quality</w:t>
      </w:r>
      <w:r w:rsidR="006566DB" w:rsidRPr="009711B0">
        <w:t>,</w:t>
      </w:r>
      <w:r w:rsidRPr="009711B0">
        <w:t xml:space="preserve"> depending on the sector to which it is applied, but generally it refers to the degree to which successful outcomes are achieved against a set of desired benchmarks. Quality in VET teaching is essential for </w:t>
      </w:r>
      <w:r w:rsidR="00D36086" w:rsidRPr="009711B0">
        <w:t xml:space="preserve">ensuring that </w:t>
      </w:r>
      <w:r w:rsidRPr="009711B0">
        <w:t>students, employers, government, industry</w:t>
      </w:r>
      <w:r w:rsidR="001C21FF" w:rsidRPr="009711B0">
        <w:t>,</w:t>
      </w:r>
      <w:r w:rsidRPr="009711B0">
        <w:t xml:space="preserve"> stakeholders, and the broader community</w:t>
      </w:r>
      <w:r w:rsidR="00320174">
        <w:t>,</w:t>
      </w:r>
      <w:r w:rsidRPr="009711B0">
        <w:t xml:space="preserve"> </w:t>
      </w:r>
      <w:r w:rsidR="00D36086" w:rsidRPr="009711B0">
        <w:t xml:space="preserve">can be confident </w:t>
      </w:r>
      <w:r w:rsidRPr="009711B0">
        <w:t>that the system can deliver workers to industry</w:t>
      </w:r>
      <w:r w:rsidR="00873396" w:rsidRPr="009711B0">
        <w:t xml:space="preserve"> —</w:t>
      </w:r>
      <w:r w:rsidRPr="009711B0">
        <w:t xml:space="preserve"> and citizens to society</w:t>
      </w:r>
      <w:r w:rsidR="00873396" w:rsidRPr="009711B0">
        <w:t xml:space="preserve"> —</w:t>
      </w:r>
      <w:r w:rsidRPr="009711B0">
        <w:t xml:space="preserve"> with the skills, knowledge and understanding to </w:t>
      </w:r>
      <w:r w:rsidR="00A275C9" w:rsidRPr="009711B0">
        <w:t xml:space="preserve">the </w:t>
      </w:r>
      <w:r w:rsidR="002B799B" w:rsidRPr="009711B0">
        <w:t xml:space="preserve">levels of </w:t>
      </w:r>
      <w:r w:rsidRPr="009711B0">
        <w:t>competence required. Employers need to be able to trust the integrity of the qualifications of their staff</w:t>
      </w:r>
      <w:r w:rsidR="00291C0F">
        <w:t xml:space="preserve"> a</w:t>
      </w:r>
      <w:r w:rsidR="006A25DB">
        <w:t>s they can help</w:t>
      </w:r>
      <w:r w:rsidR="00B94802">
        <w:t xml:space="preserve"> </w:t>
      </w:r>
      <w:r w:rsidR="008F4FAE" w:rsidRPr="009711B0">
        <w:t>guarantee</w:t>
      </w:r>
      <w:r w:rsidR="006A25DB">
        <w:t xml:space="preserve"> -</w:t>
      </w:r>
      <w:r w:rsidRPr="009711B0">
        <w:t xml:space="preserve"> </w:t>
      </w:r>
      <w:r w:rsidR="00F70E8F">
        <w:t xml:space="preserve">at least </w:t>
      </w:r>
      <w:r w:rsidR="00291C0F">
        <w:t>in part</w:t>
      </w:r>
      <w:r w:rsidR="006A25DB">
        <w:t xml:space="preserve"> -</w:t>
      </w:r>
      <w:r w:rsidR="00291C0F">
        <w:t xml:space="preserve"> </w:t>
      </w:r>
      <w:r w:rsidR="003A44EB" w:rsidRPr="009711B0">
        <w:t>that their staff hold</w:t>
      </w:r>
      <w:r w:rsidRPr="009711B0">
        <w:t xml:space="preserve"> the competencies </w:t>
      </w:r>
      <w:r w:rsidR="003A44EB" w:rsidRPr="009711B0">
        <w:t>required for</w:t>
      </w:r>
      <w:r w:rsidRPr="009711B0">
        <w:t xml:space="preserve"> the job.</w:t>
      </w:r>
    </w:p>
    <w:p w14:paraId="6EBA00A8" w14:textId="003B257B" w:rsidR="00A53DEF" w:rsidRDefault="00133C1D" w:rsidP="001D2C21">
      <w:pPr>
        <w:pStyle w:val="Text"/>
      </w:pPr>
      <w:r>
        <w:t>However</w:t>
      </w:r>
      <w:r w:rsidR="00204A8B">
        <w:t>, what</w:t>
      </w:r>
      <w:r w:rsidRPr="00133C1D">
        <w:t xml:space="preserve"> is considered quality </w:t>
      </w:r>
      <w:r w:rsidR="00485C96">
        <w:t xml:space="preserve">in </w:t>
      </w:r>
      <w:r w:rsidRPr="00133C1D">
        <w:t xml:space="preserve">VET </w:t>
      </w:r>
      <w:r w:rsidR="005E55F6">
        <w:t xml:space="preserve">teaching </w:t>
      </w:r>
      <w:r w:rsidRPr="00133C1D">
        <w:t xml:space="preserve">may vary for different stakeholder groups </w:t>
      </w:r>
      <w:r>
        <w:t xml:space="preserve">depending on their </w:t>
      </w:r>
      <w:r w:rsidRPr="00133C1D">
        <w:t xml:space="preserve">goals when engaging with </w:t>
      </w:r>
      <w:r w:rsidR="00BD3633">
        <w:t xml:space="preserve">the sector </w:t>
      </w:r>
      <w:r>
        <w:t>(Griffin 2017)</w:t>
      </w:r>
      <w:r w:rsidRPr="00133C1D">
        <w:t>.</w:t>
      </w:r>
      <w:r w:rsidR="001D2C21" w:rsidRPr="001D2C21">
        <w:t xml:space="preserve"> </w:t>
      </w:r>
      <w:r w:rsidR="00A53DEF">
        <w:t>Griffin (2017) defines five major stakeholder groups</w:t>
      </w:r>
      <w:r w:rsidR="00541AE6">
        <w:t>:</w:t>
      </w:r>
      <w:r w:rsidR="00A53DEF">
        <w:t xml:space="preserve"> </w:t>
      </w:r>
      <w:r w:rsidR="00A53DEF" w:rsidRPr="00A53DEF">
        <w:t>learners, industry/employers</w:t>
      </w:r>
      <w:r w:rsidR="00541AE6">
        <w:t>,</w:t>
      </w:r>
      <w:r w:rsidR="00A53DEF" w:rsidRPr="00A53DEF">
        <w:t xml:space="preserve"> providers</w:t>
      </w:r>
      <w:r w:rsidR="00541AE6">
        <w:t>,</w:t>
      </w:r>
      <w:r w:rsidR="00A53DEF" w:rsidRPr="00A53DEF">
        <w:t xml:space="preserve"> </w:t>
      </w:r>
      <w:proofErr w:type="gramStart"/>
      <w:r w:rsidR="00A53DEF" w:rsidRPr="00A53DEF">
        <w:t>government</w:t>
      </w:r>
      <w:proofErr w:type="gramEnd"/>
      <w:r w:rsidR="00A53DEF" w:rsidRPr="00A53DEF">
        <w:t xml:space="preserve"> and regulators</w:t>
      </w:r>
      <w:r w:rsidR="00541AE6">
        <w:t>,</w:t>
      </w:r>
      <w:r w:rsidR="00A53DEF">
        <w:t xml:space="preserve"> to which </w:t>
      </w:r>
      <w:r w:rsidR="001D2C21">
        <w:t>Guthrie and Clayton (2018)</w:t>
      </w:r>
      <w:r w:rsidR="00A53DEF">
        <w:t xml:space="preserve"> add </w:t>
      </w:r>
      <w:r w:rsidR="001D2C21">
        <w:t>politicians, policymakers and planners</w:t>
      </w:r>
      <w:r w:rsidR="00A53DEF">
        <w:t xml:space="preserve"> and regional development and community bodies</w:t>
      </w:r>
      <w:r w:rsidR="00485C96">
        <w:t xml:space="preserve">. They also </w:t>
      </w:r>
      <w:r w:rsidR="00A53DEF">
        <w:t xml:space="preserve">expand </w:t>
      </w:r>
      <w:r w:rsidR="00485C96">
        <w:t xml:space="preserve">the definition of </w:t>
      </w:r>
      <w:r w:rsidR="00A53DEF">
        <w:t>industry</w:t>
      </w:r>
      <w:r w:rsidR="006226C9">
        <w:t>/employers</w:t>
      </w:r>
      <w:r w:rsidR="00A53DEF">
        <w:t xml:space="preserve"> to include </w:t>
      </w:r>
      <w:r w:rsidR="001D2C21">
        <w:t xml:space="preserve">peak employer and employee representative bodies and other </w:t>
      </w:r>
      <w:r w:rsidR="00A53DEF">
        <w:t xml:space="preserve">professional bodies and </w:t>
      </w:r>
      <w:r w:rsidR="001D2C21">
        <w:t>associations with more</w:t>
      </w:r>
      <w:r w:rsidR="00A53DEF">
        <w:t xml:space="preserve"> </w:t>
      </w:r>
      <w:r w:rsidR="001D2C21">
        <w:t>specific occupational foci</w:t>
      </w:r>
      <w:r w:rsidR="00855C24">
        <w:t>, as well as local employers</w:t>
      </w:r>
      <w:r w:rsidR="001D2C21">
        <w:t>.</w:t>
      </w:r>
      <w:r w:rsidR="005E55F6">
        <w:t xml:space="preserve"> </w:t>
      </w:r>
    </w:p>
    <w:p w14:paraId="0F9AF75E" w14:textId="1215C8BC" w:rsidR="00157075" w:rsidRDefault="005E55F6" w:rsidP="00157075">
      <w:pPr>
        <w:pStyle w:val="Text"/>
      </w:pPr>
      <w:r>
        <w:t>It is therefore</w:t>
      </w:r>
      <w:r w:rsidR="00133C1D" w:rsidRPr="00133C1D">
        <w:t xml:space="preserve"> useful to </w:t>
      </w:r>
      <w:r>
        <w:t xml:space="preserve">consider </w:t>
      </w:r>
      <w:r w:rsidR="00A53DEF">
        <w:t xml:space="preserve">what </w:t>
      </w:r>
      <w:r w:rsidR="00133C1D" w:rsidRPr="00133C1D">
        <w:t xml:space="preserve">quality </w:t>
      </w:r>
      <w:r w:rsidR="00A53DEF">
        <w:t xml:space="preserve">means </w:t>
      </w:r>
      <w:r w:rsidR="00133C1D" w:rsidRPr="00133C1D">
        <w:t xml:space="preserve">from </w:t>
      </w:r>
      <w:r>
        <w:t xml:space="preserve">different stakeholder </w:t>
      </w:r>
      <w:r w:rsidR="00133C1D" w:rsidRPr="00133C1D">
        <w:t>perspectives</w:t>
      </w:r>
      <w:r w:rsidR="00626E08">
        <w:t xml:space="preserve"> </w:t>
      </w:r>
      <w:r w:rsidR="00485C96">
        <w:t xml:space="preserve">and the level at which </w:t>
      </w:r>
      <w:r w:rsidR="00310042">
        <w:t xml:space="preserve">quality </w:t>
      </w:r>
      <w:r w:rsidR="00485C96">
        <w:t xml:space="preserve">is </w:t>
      </w:r>
      <w:r w:rsidR="00204A8B">
        <w:t xml:space="preserve">viewed </w:t>
      </w:r>
      <w:r w:rsidR="00485C96">
        <w:t xml:space="preserve">(Griffin, 2017). </w:t>
      </w:r>
      <w:r>
        <w:t xml:space="preserve">For example, an employer might </w:t>
      </w:r>
      <w:r w:rsidR="002B14EF">
        <w:t xml:space="preserve">describe quality </w:t>
      </w:r>
      <w:r w:rsidR="00BD3633">
        <w:t xml:space="preserve">in </w:t>
      </w:r>
      <w:r w:rsidR="002B14EF">
        <w:t>teaching in terms of how ready a VET graduate is for work</w:t>
      </w:r>
      <w:r w:rsidR="00A0767E">
        <w:t xml:space="preserve">. A </w:t>
      </w:r>
      <w:r w:rsidR="002B14EF">
        <w:t>student m</w:t>
      </w:r>
      <w:r w:rsidR="00243995">
        <w:t xml:space="preserve">ay </w:t>
      </w:r>
      <w:r w:rsidR="002B14EF">
        <w:t xml:space="preserve">judge teaching </w:t>
      </w:r>
      <w:r w:rsidR="00BD3633">
        <w:t xml:space="preserve">quality </w:t>
      </w:r>
      <w:r w:rsidR="002B14EF">
        <w:t xml:space="preserve">in terms of </w:t>
      </w:r>
      <w:r w:rsidR="00243995">
        <w:t>the</w:t>
      </w:r>
      <w:r w:rsidR="006226C9">
        <w:t>ir</w:t>
      </w:r>
      <w:r w:rsidR="00243995">
        <w:t xml:space="preserve"> learning experience </w:t>
      </w:r>
      <w:r w:rsidR="00BF4F83">
        <w:t xml:space="preserve">and or quickly they got a job, </w:t>
      </w:r>
      <w:r w:rsidR="00243995">
        <w:t xml:space="preserve">and </w:t>
      </w:r>
      <w:r w:rsidR="00A0767E">
        <w:t xml:space="preserve">an </w:t>
      </w:r>
      <w:r w:rsidR="002B14EF">
        <w:t xml:space="preserve">RTO might judge quality in terms of how well it </w:t>
      </w:r>
      <w:r w:rsidR="000C1CAA">
        <w:t>achieve</w:t>
      </w:r>
      <w:r w:rsidR="00BF4F83">
        <w:t>d</w:t>
      </w:r>
      <w:r w:rsidR="000C1CAA">
        <w:t xml:space="preserve"> </w:t>
      </w:r>
      <w:r w:rsidR="002B14EF">
        <w:t>its stated goals and objectives (</w:t>
      </w:r>
      <w:r w:rsidR="00310042">
        <w:t>Ibid.</w:t>
      </w:r>
      <w:r w:rsidR="002B14EF">
        <w:t xml:space="preserve">). </w:t>
      </w:r>
      <w:r w:rsidR="00157075">
        <w:t>One definition of good quality teaching</w:t>
      </w:r>
      <w:r w:rsidR="00CA0460">
        <w:t xml:space="preserve"> in VET</w:t>
      </w:r>
      <w:r w:rsidR="00157075">
        <w:t xml:space="preserve">, provided by Lucas and Claxton (2013, </w:t>
      </w:r>
      <w:r w:rsidR="00ED5705">
        <w:t>p.</w:t>
      </w:r>
      <w:r w:rsidR="00157075">
        <w:t>8)</w:t>
      </w:r>
      <w:r w:rsidR="00CA0460">
        <w:t xml:space="preserve">, describes quality in terms of the desired outcomes for </w:t>
      </w:r>
      <w:r w:rsidR="00157075">
        <w:t>students:</w:t>
      </w:r>
    </w:p>
    <w:p w14:paraId="471079FC" w14:textId="359BA828" w:rsidR="00157075" w:rsidRDefault="00C25F12" w:rsidP="00C72D13">
      <w:pPr>
        <w:pStyle w:val="Dotpoint2"/>
        <w:numPr>
          <w:ilvl w:val="0"/>
          <w:numId w:val="22"/>
        </w:numPr>
      </w:pPr>
      <w:r>
        <w:t>“</w:t>
      </w:r>
      <w:r w:rsidR="00157075">
        <w:t>Skilful in a chosen area (routine expertise)</w:t>
      </w:r>
      <w:r>
        <w:t>”,</w:t>
      </w:r>
    </w:p>
    <w:p w14:paraId="5E249229" w14:textId="2F8EC639" w:rsidR="00157075" w:rsidRDefault="00C25F12" w:rsidP="00C72D13">
      <w:pPr>
        <w:pStyle w:val="Dotpoint2"/>
        <w:numPr>
          <w:ilvl w:val="0"/>
          <w:numId w:val="22"/>
        </w:numPr>
      </w:pPr>
      <w:r>
        <w:t>“</w:t>
      </w:r>
      <w:r w:rsidR="00157075">
        <w:t>Able to deal with the non-routine and unexpected</w:t>
      </w:r>
      <w:r w:rsidR="00157075" w:rsidRPr="00143B5E">
        <w:t xml:space="preserve"> </w:t>
      </w:r>
      <w:r w:rsidR="00157075">
        <w:t>(resourcefulness)</w:t>
      </w:r>
      <w:r>
        <w:t>”,</w:t>
      </w:r>
    </w:p>
    <w:p w14:paraId="3C081206" w14:textId="3D903A9B" w:rsidR="00157075" w:rsidRDefault="00C25F12" w:rsidP="00C72D13">
      <w:pPr>
        <w:pStyle w:val="Dotpoint2"/>
        <w:numPr>
          <w:ilvl w:val="0"/>
          <w:numId w:val="22"/>
        </w:numPr>
      </w:pPr>
      <w:r>
        <w:t>“</w:t>
      </w:r>
      <w:r w:rsidR="00157075">
        <w:t>Functional in different literacies – verbal, written, numerical, graphical and digital</w:t>
      </w:r>
      <w:r>
        <w:t>”</w:t>
      </w:r>
      <w:r w:rsidR="00840A5A">
        <w:t>,</w:t>
      </w:r>
    </w:p>
    <w:p w14:paraId="1CA855EF" w14:textId="61252B9E" w:rsidR="00157075" w:rsidRDefault="00C25F12" w:rsidP="00C72D13">
      <w:pPr>
        <w:pStyle w:val="Dotpoint2"/>
        <w:numPr>
          <w:ilvl w:val="0"/>
          <w:numId w:val="22"/>
        </w:numPr>
      </w:pPr>
      <w:r>
        <w:t>“</w:t>
      </w:r>
      <w:r w:rsidR="00157075">
        <w:t>Craftspeople – with an aspiration for excellence and pride in a job well done</w:t>
      </w:r>
      <w:r>
        <w:t>”</w:t>
      </w:r>
      <w:r w:rsidR="00840A5A">
        <w:t>,</w:t>
      </w:r>
    </w:p>
    <w:p w14:paraId="00F57EEE" w14:textId="77A15A23" w:rsidR="00157075" w:rsidRDefault="00C25F12" w:rsidP="00C72D13">
      <w:pPr>
        <w:pStyle w:val="Dotpoint2"/>
        <w:numPr>
          <w:ilvl w:val="0"/>
          <w:numId w:val="22"/>
        </w:numPr>
      </w:pPr>
      <w:r>
        <w:t>“</w:t>
      </w:r>
      <w:r w:rsidR="00157075">
        <w:t>Able to deal with clients, suppliers and customers appropriately</w:t>
      </w:r>
      <w:r>
        <w:t>”</w:t>
      </w:r>
      <w:r w:rsidR="00157075">
        <w:t>, and</w:t>
      </w:r>
    </w:p>
    <w:p w14:paraId="6513206A" w14:textId="4F9581A6" w:rsidR="00157075" w:rsidRDefault="00C25F12" w:rsidP="00C72D13">
      <w:pPr>
        <w:pStyle w:val="Dotpoint2"/>
        <w:numPr>
          <w:ilvl w:val="0"/>
          <w:numId w:val="22"/>
        </w:numPr>
      </w:pPr>
      <w:r>
        <w:t>“</w:t>
      </w:r>
      <w:r w:rsidR="00157075">
        <w:t>Capable of being an effective lifelong learner</w:t>
      </w:r>
      <w:r>
        <w:t>”</w:t>
      </w:r>
      <w:r w:rsidR="00157075">
        <w:t>.</w:t>
      </w:r>
    </w:p>
    <w:p w14:paraId="386234E6" w14:textId="78123061" w:rsidR="00C1434A" w:rsidRPr="009C7807" w:rsidRDefault="00C1434A" w:rsidP="009C7807">
      <w:pPr>
        <w:pStyle w:val="Heading2"/>
      </w:pPr>
      <w:bookmarkStart w:id="68" w:name="_Toc62204934"/>
      <w:bookmarkEnd w:id="67"/>
      <w:r w:rsidRPr="009C7807">
        <w:t>The nature of the Australian VET teaching workforce</w:t>
      </w:r>
      <w:bookmarkEnd w:id="68"/>
    </w:p>
    <w:p w14:paraId="2F9B0792" w14:textId="664FB928" w:rsidR="00B44F25" w:rsidRDefault="00C058B9" w:rsidP="00C1434A">
      <w:pPr>
        <w:pStyle w:val="Text"/>
      </w:pPr>
      <w:r>
        <w:t xml:space="preserve">Before considering issues related to VET teacher quality and capability, it is important to understand the nature of VET’s teaching workforce. There have been ongoing calls over an extended period to gather </w:t>
      </w:r>
      <w:r w:rsidR="00204A8B">
        <w:t xml:space="preserve">more accurate </w:t>
      </w:r>
      <w:r>
        <w:t>VET workforce data (</w:t>
      </w:r>
      <w:r w:rsidR="002D1963">
        <w:t xml:space="preserve">Dickie </w:t>
      </w:r>
      <w:r w:rsidR="006A25DB">
        <w:t>et</w:t>
      </w:r>
      <w:r w:rsidR="002D1963">
        <w:t xml:space="preserve"> al</w:t>
      </w:r>
      <w:r w:rsidR="006A25DB">
        <w:t>.</w:t>
      </w:r>
      <w:r w:rsidR="002D1963">
        <w:t xml:space="preserve"> 2004; </w:t>
      </w:r>
      <w:r w:rsidR="002D1963" w:rsidRPr="00B44F25">
        <w:t>Mlotkowski</w:t>
      </w:r>
      <w:r w:rsidR="006A25DB">
        <w:t xml:space="preserve"> and</w:t>
      </w:r>
      <w:r w:rsidR="002D1963" w:rsidRPr="00B44F25">
        <w:t xml:space="preserve"> Guthrie 2008</w:t>
      </w:r>
      <w:r w:rsidR="00634C4B">
        <w:t>;</w:t>
      </w:r>
      <w:r w:rsidR="002D1963" w:rsidRPr="00B44F25">
        <w:t xml:space="preserve"> </w:t>
      </w:r>
      <w:r w:rsidR="006A25DB">
        <w:t xml:space="preserve">Australian </w:t>
      </w:r>
      <w:r w:rsidR="002D1963" w:rsidRPr="00B44F25">
        <w:t xml:space="preserve">Productivity Commission 2011; Guthrie </w:t>
      </w:r>
      <w:r w:rsidR="006A25DB">
        <w:t>and</w:t>
      </w:r>
      <w:r w:rsidR="002D1963" w:rsidRPr="00B44F25">
        <w:t xml:space="preserve"> Jones 2018). Knight, White and Granfield (2020) present the </w:t>
      </w:r>
      <w:r w:rsidR="00B44F25">
        <w:t xml:space="preserve">most </w:t>
      </w:r>
      <w:r w:rsidR="005F35A2" w:rsidRPr="00B44F25">
        <w:t xml:space="preserve">recent </w:t>
      </w:r>
      <w:r w:rsidR="00310042">
        <w:t xml:space="preserve">insights into </w:t>
      </w:r>
      <w:r w:rsidR="00B44F25">
        <w:t>the VET teaching workforce</w:t>
      </w:r>
      <w:r w:rsidR="00634C4B">
        <w:t xml:space="preserve">, </w:t>
      </w:r>
      <w:r w:rsidR="00204A8B">
        <w:t xml:space="preserve">which include </w:t>
      </w:r>
      <w:r w:rsidR="00B44F25">
        <w:t>data</w:t>
      </w:r>
      <w:r w:rsidR="00B44F25" w:rsidRPr="00B44F25">
        <w:t xml:space="preserve"> on the qualifications </w:t>
      </w:r>
      <w:r w:rsidR="00B44F25">
        <w:t>held by teachers</w:t>
      </w:r>
      <w:r w:rsidR="00B44F25" w:rsidRPr="00B44F25">
        <w:t>.</w:t>
      </w:r>
    </w:p>
    <w:p w14:paraId="626E151B" w14:textId="2EAE0E8F" w:rsidR="00A0767E" w:rsidRDefault="00E73B12">
      <w:pPr>
        <w:pStyle w:val="Text"/>
      </w:pPr>
      <w:r w:rsidRPr="00B44F25">
        <w:lastRenderedPageBreak/>
        <w:t xml:space="preserve">Table 1 describes the relative numbers </w:t>
      </w:r>
      <w:r w:rsidR="00B44F25">
        <w:t xml:space="preserve">of teachers </w:t>
      </w:r>
      <w:r w:rsidRPr="00B44F25">
        <w:t xml:space="preserve">by </w:t>
      </w:r>
      <w:r w:rsidR="00A0767E">
        <w:t xml:space="preserve">RTO </w:t>
      </w:r>
      <w:r w:rsidRPr="00B44F25">
        <w:t>type</w:t>
      </w:r>
      <w:r w:rsidR="00B44F25">
        <w:t xml:space="preserve">, </w:t>
      </w:r>
      <w:r w:rsidRPr="00B44F25">
        <w:t xml:space="preserve">the </w:t>
      </w:r>
      <w:r w:rsidR="00332FEF">
        <w:t xml:space="preserve">proportion of teachers in each </w:t>
      </w:r>
      <w:r w:rsidR="00A0767E">
        <w:t xml:space="preserve">RTO type’s </w:t>
      </w:r>
      <w:r w:rsidR="00332FEF">
        <w:t xml:space="preserve">workforce and the </w:t>
      </w:r>
      <w:r w:rsidRPr="00B44F25">
        <w:t xml:space="preserve">nature of their </w:t>
      </w:r>
      <w:r w:rsidR="00332FEF" w:rsidRPr="00B44F25">
        <w:t>employment</w:t>
      </w:r>
      <w:r w:rsidR="00332FEF">
        <w:t xml:space="preserve">. It </w:t>
      </w:r>
      <w:r w:rsidR="00962587" w:rsidRPr="00B44F25">
        <w:t xml:space="preserve">shows that </w:t>
      </w:r>
      <w:r w:rsidR="00332FEF">
        <w:t xml:space="preserve">the proportion of </w:t>
      </w:r>
      <w:r w:rsidR="00962587" w:rsidRPr="00B44F25">
        <w:t xml:space="preserve">teaching and learning </w:t>
      </w:r>
      <w:r w:rsidR="00332FEF">
        <w:t xml:space="preserve">staff is </w:t>
      </w:r>
      <w:r w:rsidR="00962587" w:rsidRPr="00B44F25">
        <w:t>highest in the TAFE and private provider sectors, as expected</w:t>
      </w:r>
      <w:r w:rsidR="00332FEF">
        <w:t xml:space="preserve"> given these are the two largest. </w:t>
      </w:r>
      <w:r w:rsidR="00C0208F" w:rsidRPr="00B44F25">
        <w:t>Interestingly</w:t>
      </w:r>
      <w:r w:rsidR="00962587" w:rsidRPr="00B44F25">
        <w:t xml:space="preserve">, TAFE has the highest proportion of its total workforce devoted to ‘training and </w:t>
      </w:r>
      <w:r w:rsidR="00800674" w:rsidRPr="00B44F25">
        <w:t>assessment’</w:t>
      </w:r>
      <w:r w:rsidR="00800674">
        <w:t xml:space="preserve"> (</w:t>
      </w:r>
      <w:r w:rsidR="006226C9">
        <w:t>Ibid.)</w:t>
      </w:r>
      <w:r w:rsidR="00962587" w:rsidRPr="00B44F25">
        <w:t>.</w:t>
      </w:r>
      <w:r w:rsidR="005F35A2" w:rsidRPr="00B44F25">
        <w:t xml:space="preserve"> </w:t>
      </w:r>
    </w:p>
    <w:p w14:paraId="645300AF" w14:textId="66715206" w:rsidR="00332FEF" w:rsidRDefault="00962587" w:rsidP="008537C0">
      <w:pPr>
        <w:pStyle w:val="Text"/>
        <w:spacing w:after="240"/>
      </w:pPr>
      <w:r w:rsidRPr="00B44F25">
        <w:t xml:space="preserve">In terms of employment status, permanency </w:t>
      </w:r>
      <w:r w:rsidR="00204A8B">
        <w:t xml:space="preserve">for teachers </w:t>
      </w:r>
      <w:r w:rsidRPr="00B44F25">
        <w:t>is relatively low in TAFE at around 39%</w:t>
      </w:r>
      <w:r w:rsidR="00800674">
        <w:t xml:space="preserve"> when compared with </w:t>
      </w:r>
      <w:r w:rsidRPr="00B44F25">
        <w:t>private and community education providers (</w:t>
      </w:r>
      <w:r w:rsidR="00800674">
        <w:t xml:space="preserve">at </w:t>
      </w:r>
      <w:r w:rsidRPr="00B44F25">
        <w:t xml:space="preserve">47 to 48%) and </w:t>
      </w:r>
      <w:r w:rsidR="00332FEF">
        <w:t xml:space="preserve">is </w:t>
      </w:r>
      <w:r w:rsidRPr="00B44F25">
        <w:t>very much higher</w:t>
      </w:r>
      <w:r w:rsidR="00800674">
        <w:t xml:space="preserve"> in </w:t>
      </w:r>
      <w:r w:rsidRPr="00B44F25">
        <w:t>enterprise and school-based RTOs. Casual employment levels are high for TAFE</w:t>
      </w:r>
      <w:r w:rsidR="00090175" w:rsidRPr="00B44F25">
        <w:t xml:space="preserve"> (51%) and relatively high for universities, community education and private providers (between 31 </w:t>
      </w:r>
      <w:r w:rsidR="0077294E">
        <w:t>and</w:t>
      </w:r>
      <w:r w:rsidR="00090175" w:rsidRPr="00B44F25">
        <w:t xml:space="preserve"> 42%). Part-time staff numbers</w:t>
      </w:r>
      <w:r w:rsidR="004B0C6A" w:rsidRPr="00B44F25">
        <w:t xml:space="preserve"> are </w:t>
      </w:r>
      <w:r w:rsidR="00204A8B">
        <w:t xml:space="preserve">also </w:t>
      </w:r>
      <w:r w:rsidR="004B0C6A" w:rsidRPr="00B44F25">
        <w:t xml:space="preserve">high for TAFE, university, community education and private providers (ranging from around 51 to 69%). </w:t>
      </w:r>
    </w:p>
    <w:p w14:paraId="5B9207AF" w14:textId="42311810" w:rsidR="00E73B12" w:rsidRPr="00C42ED2" w:rsidRDefault="00E73B12" w:rsidP="00C42ED2">
      <w:pPr>
        <w:pStyle w:val="Tabletitle"/>
      </w:pPr>
      <w:bookmarkStart w:id="69" w:name="_Toc62205204"/>
      <w:r w:rsidRPr="00C42ED2">
        <w:t>Table</w:t>
      </w:r>
      <w:r w:rsidR="00634C4B" w:rsidRPr="00C42ED2">
        <w:t xml:space="preserve"> 1</w:t>
      </w:r>
      <w:r w:rsidR="00C42ED2" w:rsidRPr="00C42ED2">
        <w:tab/>
      </w:r>
      <w:r w:rsidR="00C42ED2" w:rsidRPr="00C42ED2">
        <w:tab/>
      </w:r>
      <w:r w:rsidR="00C42ED2" w:rsidRPr="00C42ED2">
        <w:tab/>
      </w:r>
      <w:r w:rsidRPr="00C42ED2">
        <w:t>Key features of the Australian VET teaching workforce by provider type</w:t>
      </w:r>
      <w:r w:rsidR="00752DB8" w:rsidRPr="00C42ED2">
        <w:t>,</w:t>
      </w:r>
      <w:r w:rsidR="00962587" w:rsidRPr="00C42ED2">
        <w:t xml:space="preserve"> employee numbers</w:t>
      </w:r>
      <w:r w:rsidRPr="00C42ED2">
        <w:t xml:space="preserve"> and </w:t>
      </w:r>
      <w:r w:rsidR="00962587" w:rsidRPr="00C42ED2">
        <w:t xml:space="preserve">their </w:t>
      </w:r>
      <w:r w:rsidRPr="00C42ED2">
        <w:t>nature of employment</w:t>
      </w:r>
      <w:r w:rsidR="009E73F0" w:rsidRPr="00C42ED2">
        <w:rPr>
          <w:rStyle w:val="FootnoteReference"/>
        </w:rPr>
        <w:footnoteReference w:id="7"/>
      </w:r>
      <w:bookmarkEnd w:id="69"/>
    </w:p>
    <w:tbl>
      <w:tblPr>
        <w:tblStyle w:val="TableGrid"/>
        <w:tblW w:w="9185" w:type="dxa"/>
        <w:tblInd w:w="108" w:type="dxa"/>
        <w:tblLayout w:type="fixed"/>
        <w:tblLook w:val="04A0" w:firstRow="1" w:lastRow="0" w:firstColumn="1" w:lastColumn="0" w:noHBand="0" w:noVBand="1"/>
      </w:tblPr>
      <w:tblGrid>
        <w:gridCol w:w="1672"/>
        <w:gridCol w:w="1227"/>
        <w:gridCol w:w="1228"/>
        <w:gridCol w:w="1117"/>
        <w:gridCol w:w="1117"/>
        <w:gridCol w:w="979"/>
        <w:gridCol w:w="922"/>
        <w:gridCol w:w="923"/>
      </w:tblGrid>
      <w:tr w:rsidR="00015E78" w14:paraId="03ED4124" w14:textId="77777777" w:rsidTr="00867C98">
        <w:tc>
          <w:tcPr>
            <w:tcW w:w="1672" w:type="dxa"/>
            <w:vMerge w:val="restart"/>
            <w:tcBorders>
              <w:top w:val="single" w:sz="6" w:space="0" w:color="000000" w:themeColor="text1"/>
              <w:left w:val="nil"/>
              <w:bottom w:val="single" w:sz="6" w:space="0" w:color="000000" w:themeColor="text1"/>
              <w:right w:val="nil"/>
            </w:tcBorders>
            <w:shd w:val="clear" w:color="auto" w:fill="FFFFFF" w:themeFill="background1"/>
            <w:vAlign w:val="center"/>
          </w:tcPr>
          <w:p w14:paraId="70FA8A5A" w14:textId="353549AA" w:rsidR="00015E78" w:rsidRPr="00015E78" w:rsidRDefault="00015E78" w:rsidP="00AD383E">
            <w:pPr>
              <w:pStyle w:val="Tablehead1"/>
              <w:rPr>
                <w:rStyle w:val="CommentReference"/>
                <w:rFonts w:ascii="Trebuchet MS" w:hAnsi="Trebuchet MS"/>
                <w:b w:val="0"/>
                <w:sz w:val="19"/>
                <w:szCs w:val="19"/>
                <w:lang w:eastAsia="en-AU"/>
              </w:rPr>
            </w:pPr>
            <w:r>
              <w:t xml:space="preserve">RTO </w:t>
            </w:r>
            <w:r w:rsidRPr="00015E78">
              <w:t>type</w:t>
            </w:r>
          </w:p>
        </w:tc>
        <w:tc>
          <w:tcPr>
            <w:tcW w:w="1227" w:type="dxa"/>
            <w:vMerge w:val="restart"/>
            <w:tcBorders>
              <w:top w:val="single" w:sz="6" w:space="0" w:color="000000" w:themeColor="text1"/>
              <w:left w:val="nil"/>
              <w:bottom w:val="single" w:sz="6" w:space="0" w:color="000000" w:themeColor="text1"/>
              <w:right w:val="nil"/>
            </w:tcBorders>
            <w:shd w:val="clear" w:color="auto" w:fill="FFFFFF" w:themeFill="background1"/>
          </w:tcPr>
          <w:p w14:paraId="569A94B5" w14:textId="55E0B979" w:rsidR="00015E78" w:rsidRPr="00015E78" w:rsidRDefault="00015E78" w:rsidP="00AD383E">
            <w:pPr>
              <w:pStyle w:val="Tablehead1"/>
            </w:pPr>
            <w:r>
              <w:t xml:space="preserve">Teaching &amp; </w:t>
            </w:r>
            <w:r w:rsidRPr="00015E78">
              <w:t>assessment employees (no.)</w:t>
            </w:r>
          </w:p>
        </w:tc>
        <w:tc>
          <w:tcPr>
            <w:tcW w:w="1228" w:type="dxa"/>
            <w:vMerge w:val="restart"/>
            <w:tcBorders>
              <w:top w:val="single" w:sz="6" w:space="0" w:color="000000" w:themeColor="text1"/>
              <w:left w:val="nil"/>
              <w:bottom w:val="single" w:sz="6" w:space="0" w:color="000000" w:themeColor="text1"/>
              <w:right w:val="nil"/>
            </w:tcBorders>
            <w:shd w:val="clear" w:color="auto" w:fill="FFFFFF" w:themeFill="background1"/>
          </w:tcPr>
          <w:p w14:paraId="0347C0E5" w14:textId="34B0440D" w:rsidR="00015E78" w:rsidRPr="00015E78" w:rsidRDefault="00015E78" w:rsidP="00AD383E">
            <w:pPr>
              <w:pStyle w:val="Tablehead1"/>
            </w:pPr>
            <w:r w:rsidRPr="00015E78">
              <w:t xml:space="preserve">Proportion total </w:t>
            </w:r>
            <w:r>
              <w:t xml:space="preserve">RTO </w:t>
            </w:r>
            <w:r w:rsidRPr="00015E78">
              <w:t>workforce (%)</w:t>
            </w:r>
          </w:p>
        </w:tc>
        <w:tc>
          <w:tcPr>
            <w:tcW w:w="5058" w:type="dxa"/>
            <w:gridSpan w:val="5"/>
            <w:tcBorders>
              <w:top w:val="single" w:sz="6" w:space="0" w:color="000000" w:themeColor="text1"/>
              <w:left w:val="nil"/>
              <w:bottom w:val="single" w:sz="6" w:space="0" w:color="000000" w:themeColor="text1"/>
              <w:right w:val="nil"/>
            </w:tcBorders>
            <w:shd w:val="clear" w:color="auto" w:fill="FFFFFF" w:themeFill="background1"/>
          </w:tcPr>
          <w:p w14:paraId="3B56970A" w14:textId="7EBB32F2" w:rsidR="00015E78" w:rsidRPr="00015E78" w:rsidRDefault="00015E78" w:rsidP="00AD383E">
            <w:pPr>
              <w:pStyle w:val="Tablehead1"/>
              <w:jc w:val="center"/>
            </w:pPr>
            <w:r w:rsidRPr="00015E78">
              <w:t>Employment status</w:t>
            </w:r>
          </w:p>
        </w:tc>
      </w:tr>
      <w:tr w:rsidR="00015E78" w14:paraId="481632FC" w14:textId="77777777" w:rsidTr="00867C98">
        <w:tc>
          <w:tcPr>
            <w:tcW w:w="1672" w:type="dxa"/>
            <w:vMerge/>
            <w:tcBorders>
              <w:top w:val="single" w:sz="6" w:space="0" w:color="000000" w:themeColor="text1"/>
              <w:left w:val="nil"/>
              <w:bottom w:val="single" w:sz="6" w:space="0" w:color="000000" w:themeColor="text1"/>
              <w:right w:val="nil"/>
            </w:tcBorders>
            <w:vAlign w:val="center"/>
          </w:tcPr>
          <w:p w14:paraId="01A5830A" w14:textId="782402D8" w:rsidR="00015E78" w:rsidRPr="00015E78" w:rsidRDefault="00015E78" w:rsidP="00015E78">
            <w:pPr>
              <w:pStyle w:val="Tabletext"/>
              <w:jc w:val="center"/>
              <w:rPr>
                <w:rFonts w:ascii="Trebuchet MS" w:hAnsi="Trebuchet MS"/>
                <w:sz w:val="19"/>
                <w:szCs w:val="19"/>
              </w:rPr>
            </w:pPr>
          </w:p>
        </w:tc>
        <w:tc>
          <w:tcPr>
            <w:tcW w:w="1227" w:type="dxa"/>
            <w:vMerge/>
            <w:tcBorders>
              <w:top w:val="single" w:sz="6" w:space="0" w:color="000000" w:themeColor="text1"/>
              <w:left w:val="nil"/>
              <w:bottom w:val="single" w:sz="6" w:space="0" w:color="000000" w:themeColor="text1"/>
              <w:right w:val="nil"/>
            </w:tcBorders>
          </w:tcPr>
          <w:p w14:paraId="45A0D56C" w14:textId="3898EBAA" w:rsidR="00015E78" w:rsidRPr="00015E78" w:rsidRDefault="00015E78" w:rsidP="00015E78">
            <w:pPr>
              <w:pStyle w:val="Tabletext"/>
              <w:jc w:val="center"/>
              <w:rPr>
                <w:rFonts w:ascii="Trebuchet MS" w:hAnsi="Trebuchet MS"/>
                <w:sz w:val="19"/>
                <w:szCs w:val="19"/>
              </w:rPr>
            </w:pPr>
          </w:p>
        </w:tc>
        <w:tc>
          <w:tcPr>
            <w:tcW w:w="1228" w:type="dxa"/>
            <w:vMerge/>
            <w:tcBorders>
              <w:top w:val="single" w:sz="6" w:space="0" w:color="000000" w:themeColor="text1"/>
              <w:left w:val="nil"/>
              <w:bottom w:val="single" w:sz="6" w:space="0" w:color="000000" w:themeColor="text1"/>
              <w:right w:val="nil"/>
            </w:tcBorders>
          </w:tcPr>
          <w:p w14:paraId="46287251" w14:textId="01E0A441" w:rsidR="00015E78" w:rsidRPr="00015E78" w:rsidRDefault="00015E78" w:rsidP="00015E78">
            <w:pPr>
              <w:pStyle w:val="Tabletext"/>
              <w:jc w:val="center"/>
              <w:rPr>
                <w:rFonts w:ascii="Trebuchet MS" w:hAnsi="Trebuchet MS"/>
                <w:sz w:val="19"/>
                <w:szCs w:val="19"/>
              </w:rPr>
            </w:pPr>
          </w:p>
        </w:tc>
        <w:tc>
          <w:tcPr>
            <w:tcW w:w="1117" w:type="dxa"/>
            <w:tcBorders>
              <w:top w:val="single" w:sz="6" w:space="0" w:color="000000" w:themeColor="text1"/>
              <w:left w:val="nil"/>
              <w:bottom w:val="single" w:sz="6" w:space="0" w:color="000000" w:themeColor="text1"/>
              <w:right w:val="nil"/>
            </w:tcBorders>
            <w:shd w:val="clear" w:color="auto" w:fill="D9D9D9" w:themeFill="background1" w:themeFillShade="D9"/>
          </w:tcPr>
          <w:p w14:paraId="290628FB" w14:textId="77777777" w:rsidR="00015E78" w:rsidRPr="00015E78" w:rsidRDefault="00015E78" w:rsidP="00C72D13">
            <w:pPr>
              <w:pStyle w:val="Tablehead2"/>
              <w:spacing w:after="60"/>
            </w:pPr>
            <w:r w:rsidRPr="00015E78">
              <w:t>Permanent (%)</w:t>
            </w:r>
          </w:p>
        </w:tc>
        <w:tc>
          <w:tcPr>
            <w:tcW w:w="1117" w:type="dxa"/>
            <w:tcBorders>
              <w:top w:val="single" w:sz="6" w:space="0" w:color="000000" w:themeColor="text1"/>
              <w:left w:val="nil"/>
              <w:bottom w:val="single" w:sz="6" w:space="0" w:color="000000" w:themeColor="text1"/>
              <w:right w:val="nil"/>
            </w:tcBorders>
            <w:shd w:val="clear" w:color="auto" w:fill="D9D9D9" w:themeFill="background1" w:themeFillShade="D9"/>
          </w:tcPr>
          <w:p w14:paraId="43E22185" w14:textId="22B9FA91" w:rsidR="00015E78" w:rsidRPr="00015E78" w:rsidRDefault="00015E78" w:rsidP="00C72D13">
            <w:pPr>
              <w:pStyle w:val="Tablehead2"/>
              <w:spacing w:after="60"/>
            </w:pPr>
            <w:r>
              <w:t>Contrac</w:t>
            </w:r>
            <w:r w:rsidRPr="00015E78">
              <w:t>t</w:t>
            </w:r>
            <w:r>
              <w:t>/</w:t>
            </w:r>
            <w:r w:rsidR="00C72D13">
              <w:br/>
            </w:r>
            <w:r w:rsidR="00A229A9">
              <w:t>t</w:t>
            </w:r>
            <w:r w:rsidR="00A229A9" w:rsidRPr="00015E78">
              <w:t>emporary</w:t>
            </w:r>
            <w:r w:rsidR="00A229A9">
              <w:t xml:space="preserve"> </w:t>
            </w:r>
            <w:r w:rsidRPr="00015E78">
              <w:t>(%)</w:t>
            </w:r>
          </w:p>
        </w:tc>
        <w:tc>
          <w:tcPr>
            <w:tcW w:w="979" w:type="dxa"/>
            <w:tcBorders>
              <w:top w:val="single" w:sz="6" w:space="0" w:color="000000" w:themeColor="text1"/>
              <w:left w:val="nil"/>
              <w:bottom w:val="single" w:sz="6" w:space="0" w:color="000000" w:themeColor="text1"/>
              <w:right w:val="nil"/>
            </w:tcBorders>
            <w:shd w:val="clear" w:color="auto" w:fill="D9D9D9" w:themeFill="background1" w:themeFillShade="D9"/>
          </w:tcPr>
          <w:p w14:paraId="2F77F985" w14:textId="77777777" w:rsidR="00015E78" w:rsidRPr="00015E78" w:rsidRDefault="00015E78" w:rsidP="00C72D13">
            <w:pPr>
              <w:pStyle w:val="Tablehead2"/>
              <w:spacing w:after="60"/>
            </w:pPr>
            <w:r w:rsidRPr="00015E78">
              <w:t>Casual or sessional (%)</w:t>
            </w:r>
          </w:p>
        </w:tc>
        <w:tc>
          <w:tcPr>
            <w:tcW w:w="922" w:type="dxa"/>
            <w:tcBorders>
              <w:top w:val="single" w:sz="6" w:space="0" w:color="000000" w:themeColor="text1"/>
              <w:left w:val="nil"/>
              <w:bottom w:val="single" w:sz="6" w:space="0" w:color="000000" w:themeColor="text1"/>
              <w:right w:val="nil"/>
            </w:tcBorders>
            <w:shd w:val="clear" w:color="auto" w:fill="D9D9D9" w:themeFill="background1" w:themeFillShade="D9"/>
          </w:tcPr>
          <w:p w14:paraId="28AC1DD6" w14:textId="419C61A4" w:rsidR="00015E78" w:rsidRPr="00015E78" w:rsidRDefault="00015E78" w:rsidP="00C72D13">
            <w:pPr>
              <w:pStyle w:val="Tablehead2"/>
              <w:spacing w:after="60"/>
            </w:pPr>
            <w:r w:rsidRPr="00015E78">
              <w:t>Full</w:t>
            </w:r>
            <w:r w:rsidR="007C14E6">
              <w:t>-</w:t>
            </w:r>
            <w:r w:rsidRPr="00015E78">
              <w:t>time (%)</w:t>
            </w:r>
          </w:p>
        </w:tc>
        <w:tc>
          <w:tcPr>
            <w:tcW w:w="923" w:type="dxa"/>
            <w:tcBorders>
              <w:top w:val="single" w:sz="6" w:space="0" w:color="000000" w:themeColor="text1"/>
              <w:left w:val="nil"/>
              <w:bottom w:val="single" w:sz="6" w:space="0" w:color="000000" w:themeColor="text1"/>
              <w:right w:val="nil"/>
            </w:tcBorders>
            <w:shd w:val="clear" w:color="auto" w:fill="D9D9D9" w:themeFill="background1" w:themeFillShade="D9"/>
          </w:tcPr>
          <w:p w14:paraId="6E016F42" w14:textId="275AB0B7" w:rsidR="00015E78" w:rsidRPr="00015E78" w:rsidRDefault="00015E78" w:rsidP="00C72D13">
            <w:pPr>
              <w:pStyle w:val="Tablehead2"/>
              <w:spacing w:after="60"/>
            </w:pPr>
            <w:r w:rsidRPr="00015E78">
              <w:t>Part</w:t>
            </w:r>
            <w:r w:rsidR="007C14E6">
              <w:t>-</w:t>
            </w:r>
            <w:r w:rsidRPr="00015E78">
              <w:t>time (%)</w:t>
            </w:r>
          </w:p>
        </w:tc>
      </w:tr>
      <w:tr w:rsidR="00867C98" w14:paraId="16DDA138" w14:textId="77777777" w:rsidTr="00867C98">
        <w:tc>
          <w:tcPr>
            <w:tcW w:w="1672" w:type="dxa"/>
            <w:tcBorders>
              <w:top w:val="nil"/>
              <w:left w:val="nil"/>
              <w:bottom w:val="nil"/>
              <w:right w:val="nil"/>
            </w:tcBorders>
          </w:tcPr>
          <w:p w14:paraId="487C23AF" w14:textId="3A8E8313" w:rsidR="00867C98" w:rsidRPr="00015E78" w:rsidRDefault="00867C98" w:rsidP="00E57E57">
            <w:pPr>
              <w:pStyle w:val="Tabletext"/>
              <w:spacing w:beforeLines="60" w:before="144" w:afterLines="60" w:after="144"/>
            </w:pPr>
            <w:r>
              <w:t>TAFE</w:t>
            </w:r>
          </w:p>
        </w:tc>
        <w:tc>
          <w:tcPr>
            <w:tcW w:w="1227" w:type="dxa"/>
            <w:tcBorders>
              <w:top w:val="nil"/>
              <w:left w:val="nil"/>
              <w:bottom w:val="nil"/>
              <w:right w:val="nil"/>
            </w:tcBorders>
            <w:vAlign w:val="center"/>
          </w:tcPr>
          <w:p w14:paraId="5D71CAB7" w14:textId="6F68304E" w:rsidR="00867C98" w:rsidRPr="00015E78" w:rsidRDefault="00867C98" w:rsidP="00E57E57">
            <w:pPr>
              <w:pStyle w:val="Tabletext"/>
              <w:spacing w:beforeLines="60" w:before="144" w:afterLines="60" w:after="144"/>
              <w:ind w:right="340"/>
              <w:jc w:val="right"/>
            </w:pPr>
            <w:r>
              <w:t>26 688</w:t>
            </w:r>
          </w:p>
        </w:tc>
        <w:tc>
          <w:tcPr>
            <w:tcW w:w="1228" w:type="dxa"/>
            <w:tcBorders>
              <w:top w:val="nil"/>
              <w:left w:val="nil"/>
              <w:bottom w:val="nil"/>
              <w:right w:val="nil"/>
            </w:tcBorders>
          </w:tcPr>
          <w:p w14:paraId="717AACAA" w14:textId="57687CCD" w:rsidR="00867C98" w:rsidRPr="00015E78" w:rsidRDefault="00867C98" w:rsidP="00E57E57">
            <w:pPr>
              <w:pStyle w:val="Tabletext"/>
              <w:spacing w:beforeLines="60" w:before="144" w:afterLines="60" w:after="144"/>
              <w:ind w:right="340"/>
              <w:jc w:val="right"/>
            </w:pPr>
            <w:r>
              <w:t>58.5</w:t>
            </w:r>
          </w:p>
        </w:tc>
        <w:tc>
          <w:tcPr>
            <w:tcW w:w="1117" w:type="dxa"/>
            <w:tcBorders>
              <w:top w:val="nil"/>
              <w:left w:val="nil"/>
              <w:bottom w:val="nil"/>
              <w:right w:val="nil"/>
            </w:tcBorders>
          </w:tcPr>
          <w:p w14:paraId="0A3EDBF7" w14:textId="04B04091" w:rsidR="00867C98" w:rsidRPr="00015E78" w:rsidRDefault="00867C98" w:rsidP="00E57E57">
            <w:pPr>
              <w:pStyle w:val="Tabletext"/>
              <w:spacing w:beforeLines="60" w:before="144" w:afterLines="60" w:after="144"/>
              <w:ind w:right="340"/>
              <w:jc w:val="right"/>
            </w:pPr>
            <w:r>
              <w:t>38.7</w:t>
            </w:r>
          </w:p>
        </w:tc>
        <w:tc>
          <w:tcPr>
            <w:tcW w:w="1117" w:type="dxa"/>
            <w:tcBorders>
              <w:top w:val="nil"/>
              <w:left w:val="nil"/>
              <w:bottom w:val="nil"/>
              <w:right w:val="nil"/>
            </w:tcBorders>
          </w:tcPr>
          <w:p w14:paraId="28893CEB" w14:textId="3FE3ABB0" w:rsidR="00867C98" w:rsidRPr="00015E78" w:rsidRDefault="00867C98" w:rsidP="00E57E57">
            <w:pPr>
              <w:pStyle w:val="Tabletext"/>
              <w:spacing w:beforeLines="60" w:before="144" w:afterLines="60" w:after="144"/>
              <w:ind w:right="340"/>
              <w:jc w:val="right"/>
            </w:pPr>
            <w:r>
              <w:t>10.2</w:t>
            </w:r>
          </w:p>
        </w:tc>
        <w:tc>
          <w:tcPr>
            <w:tcW w:w="979" w:type="dxa"/>
            <w:tcBorders>
              <w:top w:val="nil"/>
              <w:left w:val="nil"/>
              <w:bottom w:val="nil"/>
              <w:right w:val="nil"/>
            </w:tcBorders>
          </w:tcPr>
          <w:p w14:paraId="33F2C0F7" w14:textId="189A36D4" w:rsidR="00867C98" w:rsidRPr="00015E78" w:rsidRDefault="00867C98" w:rsidP="00E57E57">
            <w:pPr>
              <w:pStyle w:val="Tabletext"/>
              <w:spacing w:beforeLines="60" w:before="144" w:afterLines="60" w:after="144"/>
              <w:ind w:right="340"/>
              <w:jc w:val="right"/>
            </w:pPr>
            <w:r>
              <w:t>51.1</w:t>
            </w:r>
          </w:p>
        </w:tc>
        <w:tc>
          <w:tcPr>
            <w:tcW w:w="922" w:type="dxa"/>
            <w:tcBorders>
              <w:top w:val="nil"/>
              <w:left w:val="nil"/>
              <w:bottom w:val="nil"/>
              <w:right w:val="nil"/>
            </w:tcBorders>
          </w:tcPr>
          <w:p w14:paraId="02E1830D" w14:textId="0CD3E9D1" w:rsidR="00867C98" w:rsidRPr="00015E78" w:rsidRDefault="00867C98" w:rsidP="00E57E57">
            <w:pPr>
              <w:pStyle w:val="Tabletext"/>
              <w:spacing w:beforeLines="60" w:before="144" w:afterLines="60" w:after="144"/>
              <w:ind w:right="340"/>
              <w:jc w:val="right"/>
            </w:pPr>
            <w:r>
              <w:t>38.4</w:t>
            </w:r>
          </w:p>
        </w:tc>
        <w:tc>
          <w:tcPr>
            <w:tcW w:w="923" w:type="dxa"/>
            <w:tcBorders>
              <w:top w:val="nil"/>
              <w:left w:val="nil"/>
              <w:bottom w:val="nil"/>
              <w:right w:val="nil"/>
            </w:tcBorders>
          </w:tcPr>
          <w:p w14:paraId="206D297F" w14:textId="33CE1CAA" w:rsidR="00867C98" w:rsidRPr="00015E78" w:rsidRDefault="00867C98" w:rsidP="00E57E57">
            <w:pPr>
              <w:pStyle w:val="Tabletext"/>
              <w:spacing w:beforeLines="60" w:before="144" w:afterLines="60" w:after="144"/>
              <w:ind w:right="340"/>
              <w:jc w:val="right"/>
            </w:pPr>
            <w:r>
              <w:t>61.6</w:t>
            </w:r>
          </w:p>
        </w:tc>
      </w:tr>
      <w:tr w:rsidR="00015E78" w14:paraId="2818CC2C" w14:textId="77777777" w:rsidTr="00867C98">
        <w:tc>
          <w:tcPr>
            <w:tcW w:w="1672" w:type="dxa"/>
            <w:tcBorders>
              <w:top w:val="nil"/>
              <w:left w:val="nil"/>
              <w:bottom w:val="nil"/>
              <w:right w:val="nil"/>
            </w:tcBorders>
          </w:tcPr>
          <w:p w14:paraId="285754BA" w14:textId="6EF2667F" w:rsidR="00E73B12" w:rsidRPr="00015E78" w:rsidRDefault="00E73B12" w:rsidP="00E57E57">
            <w:pPr>
              <w:pStyle w:val="Tabletext"/>
              <w:spacing w:beforeLines="60" w:before="144" w:afterLines="60" w:after="144"/>
            </w:pPr>
            <w:r w:rsidRPr="00015E78">
              <w:t>Uni</w:t>
            </w:r>
            <w:r w:rsidR="00332FEF" w:rsidRPr="00015E78">
              <w:t>versity</w:t>
            </w:r>
          </w:p>
        </w:tc>
        <w:tc>
          <w:tcPr>
            <w:tcW w:w="1227" w:type="dxa"/>
            <w:tcBorders>
              <w:top w:val="nil"/>
              <w:left w:val="nil"/>
              <w:bottom w:val="nil"/>
              <w:right w:val="nil"/>
            </w:tcBorders>
            <w:vAlign w:val="center"/>
          </w:tcPr>
          <w:p w14:paraId="395A3671" w14:textId="77777777" w:rsidR="00E73B12" w:rsidRPr="00015E78" w:rsidRDefault="00E73B12" w:rsidP="00E57E57">
            <w:pPr>
              <w:pStyle w:val="Tabletext"/>
              <w:spacing w:beforeLines="60" w:before="144" w:afterLines="60" w:after="144"/>
              <w:ind w:right="340"/>
              <w:jc w:val="right"/>
            </w:pPr>
            <w:r w:rsidRPr="00015E78">
              <w:t>2 353</w:t>
            </w:r>
          </w:p>
        </w:tc>
        <w:tc>
          <w:tcPr>
            <w:tcW w:w="1228" w:type="dxa"/>
            <w:tcBorders>
              <w:top w:val="nil"/>
              <w:left w:val="nil"/>
              <w:bottom w:val="nil"/>
              <w:right w:val="nil"/>
            </w:tcBorders>
          </w:tcPr>
          <w:p w14:paraId="54E762D8" w14:textId="77777777" w:rsidR="00E73B12" w:rsidRPr="00015E78" w:rsidRDefault="00E73B12" w:rsidP="00E57E57">
            <w:pPr>
              <w:pStyle w:val="Tabletext"/>
              <w:spacing w:beforeLines="60" w:before="144" w:afterLines="60" w:after="144"/>
              <w:ind w:right="340"/>
              <w:jc w:val="right"/>
            </w:pPr>
            <w:r w:rsidRPr="00015E78">
              <w:t>27.0</w:t>
            </w:r>
          </w:p>
        </w:tc>
        <w:tc>
          <w:tcPr>
            <w:tcW w:w="1117" w:type="dxa"/>
            <w:tcBorders>
              <w:top w:val="nil"/>
              <w:left w:val="nil"/>
              <w:bottom w:val="nil"/>
              <w:right w:val="nil"/>
            </w:tcBorders>
          </w:tcPr>
          <w:p w14:paraId="4BC7D17C" w14:textId="77777777" w:rsidR="00E73B12" w:rsidRPr="00015E78" w:rsidRDefault="00E73B12" w:rsidP="00E57E57">
            <w:pPr>
              <w:pStyle w:val="Tabletext"/>
              <w:spacing w:beforeLines="60" w:before="144" w:afterLines="60" w:after="144"/>
              <w:ind w:right="340"/>
              <w:jc w:val="right"/>
            </w:pPr>
            <w:r w:rsidRPr="00015E78">
              <w:t>31.5</w:t>
            </w:r>
          </w:p>
        </w:tc>
        <w:tc>
          <w:tcPr>
            <w:tcW w:w="1117" w:type="dxa"/>
            <w:tcBorders>
              <w:top w:val="nil"/>
              <w:left w:val="nil"/>
              <w:bottom w:val="nil"/>
              <w:right w:val="nil"/>
            </w:tcBorders>
          </w:tcPr>
          <w:p w14:paraId="4BBC53CB" w14:textId="77777777" w:rsidR="00E73B12" w:rsidRPr="00015E78" w:rsidRDefault="00E73B12" w:rsidP="00E57E57">
            <w:pPr>
              <w:pStyle w:val="Tabletext"/>
              <w:spacing w:beforeLines="60" w:before="144" w:afterLines="60" w:after="144"/>
              <w:ind w:right="340"/>
              <w:jc w:val="right"/>
            </w:pPr>
            <w:r w:rsidRPr="00015E78">
              <w:t>25.8</w:t>
            </w:r>
          </w:p>
        </w:tc>
        <w:tc>
          <w:tcPr>
            <w:tcW w:w="979" w:type="dxa"/>
            <w:tcBorders>
              <w:top w:val="nil"/>
              <w:left w:val="nil"/>
              <w:bottom w:val="nil"/>
              <w:right w:val="nil"/>
            </w:tcBorders>
          </w:tcPr>
          <w:p w14:paraId="12E7731B" w14:textId="77777777" w:rsidR="00E73B12" w:rsidRPr="00015E78" w:rsidRDefault="00E73B12" w:rsidP="00E57E57">
            <w:pPr>
              <w:pStyle w:val="Tabletext"/>
              <w:spacing w:beforeLines="60" w:before="144" w:afterLines="60" w:after="144"/>
              <w:ind w:right="340"/>
              <w:jc w:val="right"/>
            </w:pPr>
            <w:r w:rsidRPr="00015E78">
              <w:t>42.7</w:t>
            </w:r>
          </w:p>
        </w:tc>
        <w:tc>
          <w:tcPr>
            <w:tcW w:w="922" w:type="dxa"/>
            <w:tcBorders>
              <w:top w:val="nil"/>
              <w:left w:val="nil"/>
              <w:bottom w:val="nil"/>
              <w:right w:val="nil"/>
            </w:tcBorders>
          </w:tcPr>
          <w:p w14:paraId="54379CE9" w14:textId="77777777" w:rsidR="00E73B12" w:rsidRPr="00015E78" w:rsidRDefault="00E73B12" w:rsidP="00E57E57">
            <w:pPr>
              <w:pStyle w:val="Tabletext"/>
              <w:spacing w:beforeLines="60" w:before="144" w:afterLines="60" w:after="144"/>
              <w:ind w:right="340"/>
              <w:jc w:val="right"/>
            </w:pPr>
            <w:r w:rsidRPr="00015E78">
              <w:t>45.8</w:t>
            </w:r>
          </w:p>
        </w:tc>
        <w:tc>
          <w:tcPr>
            <w:tcW w:w="923" w:type="dxa"/>
            <w:tcBorders>
              <w:top w:val="nil"/>
              <w:left w:val="nil"/>
              <w:bottom w:val="nil"/>
              <w:right w:val="nil"/>
            </w:tcBorders>
          </w:tcPr>
          <w:p w14:paraId="748B8922" w14:textId="77777777" w:rsidR="00E73B12" w:rsidRPr="00015E78" w:rsidRDefault="00E73B12" w:rsidP="00E57E57">
            <w:pPr>
              <w:pStyle w:val="Tabletext"/>
              <w:spacing w:beforeLines="60" w:before="144" w:afterLines="60" w:after="144"/>
              <w:ind w:right="340"/>
              <w:jc w:val="right"/>
            </w:pPr>
            <w:r w:rsidRPr="00015E78">
              <w:t>54.2</w:t>
            </w:r>
          </w:p>
        </w:tc>
      </w:tr>
      <w:tr w:rsidR="00015E78" w14:paraId="6C946A83" w14:textId="77777777" w:rsidTr="00867C98">
        <w:tc>
          <w:tcPr>
            <w:tcW w:w="1672" w:type="dxa"/>
            <w:tcBorders>
              <w:top w:val="nil"/>
              <w:left w:val="nil"/>
              <w:bottom w:val="nil"/>
              <w:right w:val="nil"/>
            </w:tcBorders>
          </w:tcPr>
          <w:p w14:paraId="5A5D8056" w14:textId="6124AB71" w:rsidR="00E73B12" w:rsidRPr="00015E78" w:rsidRDefault="00E73B12" w:rsidP="00E57E57">
            <w:pPr>
              <w:pStyle w:val="Tabletext"/>
              <w:spacing w:beforeLines="60" w:before="144" w:afterLines="60" w:after="144"/>
              <w:ind w:right="-113"/>
            </w:pPr>
            <w:r w:rsidRPr="00015E78">
              <w:t>Community Ed</w:t>
            </w:r>
            <w:r w:rsidR="00015E78" w:rsidRPr="00015E78">
              <w:t>ucation</w:t>
            </w:r>
          </w:p>
        </w:tc>
        <w:tc>
          <w:tcPr>
            <w:tcW w:w="1227" w:type="dxa"/>
            <w:tcBorders>
              <w:top w:val="nil"/>
              <w:left w:val="nil"/>
              <w:bottom w:val="nil"/>
              <w:right w:val="nil"/>
            </w:tcBorders>
            <w:vAlign w:val="center"/>
          </w:tcPr>
          <w:p w14:paraId="5011409A" w14:textId="77777777" w:rsidR="00E73B12" w:rsidRPr="00015E78" w:rsidRDefault="00E73B12" w:rsidP="00E57E57">
            <w:pPr>
              <w:pStyle w:val="Tabletext"/>
              <w:spacing w:beforeLines="60" w:before="144" w:afterLines="60" w:after="144"/>
              <w:ind w:right="340"/>
              <w:jc w:val="right"/>
            </w:pPr>
            <w:r w:rsidRPr="00015E78">
              <w:t>2 315</w:t>
            </w:r>
          </w:p>
        </w:tc>
        <w:tc>
          <w:tcPr>
            <w:tcW w:w="1228" w:type="dxa"/>
            <w:tcBorders>
              <w:top w:val="nil"/>
              <w:left w:val="nil"/>
              <w:bottom w:val="nil"/>
              <w:right w:val="nil"/>
            </w:tcBorders>
          </w:tcPr>
          <w:p w14:paraId="40E83A39" w14:textId="77777777" w:rsidR="00E73B12" w:rsidRPr="00015E78" w:rsidRDefault="00E73B12" w:rsidP="00E57E57">
            <w:pPr>
              <w:pStyle w:val="Tabletext"/>
              <w:spacing w:beforeLines="60" w:before="144" w:afterLines="60" w:after="144"/>
              <w:ind w:right="340"/>
              <w:jc w:val="right"/>
            </w:pPr>
            <w:r w:rsidRPr="00015E78">
              <w:t>26.1</w:t>
            </w:r>
          </w:p>
        </w:tc>
        <w:tc>
          <w:tcPr>
            <w:tcW w:w="1117" w:type="dxa"/>
            <w:tcBorders>
              <w:top w:val="nil"/>
              <w:left w:val="nil"/>
              <w:bottom w:val="nil"/>
              <w:right w:val="nil"/>
            </w:tcBorders>
          </w:tcPr>
          <w:p w14:paraId="280E743A" w14:textId="77777777" w:rsidR="00E73B12" w:rsidRPr="00015E78" w:rsidRDefault="00E73B12" w:rsidP="00E57E57">
            <w:pPr>
              <w:pStyle w:val="Tabletext"/>
              <w:spacing w:beforeLines="60" w:before="144" w:afterLines="60" w:after="144"/>
              <w:ind w:right="340"/>
              <w:jc w:val="right"/>
            </w:pPr>
            <w:r w:rsidRPr="00015E78">
              <w:t>47.0</w:t>
            </w:r>
          </w:p>
        </w:tc>
        <w:tc>
          <w:tcPr>
            <w:tcW w:w="1117" w:type="dxa"/>
            <w:tcBorders>
              <w:top w:val="nil"/>
              <w:left w:val="nil"/>
              <w:bottom w:val="nil"/>
              <w:right w:val="nil"/>
            </w:tcBorders>
          </w:tcPr>
          <w:p w14:paraId="4D8D8E8A" w14:textId="77777777" w:rsidR="00E73B12" w:rsidRPr="00015E78" w:rsidRDefault="00E73B12" w:rsidP="00E57E57">
            <w:pPr>
              <w:pStyle w:val="Tabletext"/>
              <w:spacing w:beforeLines="60" w:before="144" w:afterLines="60" w:after="144"/>
              <w:ind w:right="340"/>
              <w:jc w:val="right"/>
            </w:pPr>
            <w:r w:rsidRPr="00015E78">
              <w:t>14.8</w:t>
            </w:r>
          </w:p>
        </w:tc>
        <w:tc>
          <w:tcPr>
            <w:tcW w:w="979" w:type="dxa"/>
            <w:tcBorders>
              <w:top w:val="nil"/>
              <w:left w:val="nil"/>
              <w:bottom w:val="nil"/>
              <w:right w:val="nil"/>
            </w:tcBorders>
          </w:tcPr>
          <w:p w14:paraId="4AA22A2F" w14:textId="77777777" w:rsidR="00E73B12" w:rsidRPr="00015E78" w:rsidRDefault="00E73B12" w:rsidP="00E57E57">
            <w:pPr>
              <w:pStyle w:val="Tabletext"/>
              <w:spacing w:beforeLines="60" w:before="144" w:afterLines="60" w:after="144"/>
              <w:ind w:right="340"/>
              <w:jc w:val="right"/>
            </w:pPr>
            <w:r w:rsidRPr="00015E78">
              <w:t>38.2</w:t>
            </w:r>
          </w:p>
        </w:tc>
        <w:tc>
          <w:tcPr>
            <w:tcW w:w="922" w:type="dxa"/>
            <w:tcBorders>
              <w:top w:val="nil"/>
              <w:left w:val="nil"/>
              <w:bottom w:val="nil"/>
              <w:right w:val="nil"/>
            </w:tcBorders>
          </w:tcPr>
          <w:p w14:paraId="4A39360C" w14:textId="77777777" w:rsidR="00E73B12" w:rsidRPr="00015E78" w:rsidRDefault="00E73B12" w:rsidP="00E57E57">
            <w:pPr>
              <w:pStyle w:val="Tabletext"/>
              <w:spacing w:beforeLines="60" w:before="144" w:afterLines="60" w:after="144"/>
              <w:ind w:right="340"/>
              <w:jc w:val="right"/>
            </w:pPr>
            <w:r w:rsidRPr="00015E78">
              <w:t>30.7</w:t>
            </w:r>
          </w:p>
        </w:tc>
        <w:tc>
          <w:tcPr>
            <w:tcW w:w="923" w:type="dxa"/>
            <w:tcBorders>
              <w:top w:val="nil"/>
              <w:left w:val="nil"/>
              <w:bottom w:val="nil"/>
              <w:right w:val="nil"/>
            </w:tcBorders>
          </w:tcPr>
          <w:p w14:paraId="0FDB568F" w14:textId="77777777" w:rsidR="00E73B12" w:rsidRPr="00015E78" w:rsidRDefault="00E73B12" w:rsidP="00E57E57">
            <w:pPr>
              <w:pStyle w:val="Tabletext"/>
              <w:spacing w:beforeLines="60" w:before="144" w:afterLines="60" w:after="144"/>
              <w:ind w:right="340"/>
              <w:jc w:val="right"/>
            </w:pPr>
            <w:r w:rsidRPr="00015E78">
              <w:t>69.3</w:t>
            </w:r>
          </w:p>
        </w:tc>
      </w:tr>
      <w:tr w:rsidR="00015E78" w14:paraId="0CDFF4DA" w14:textId="77777777" w:rsidTr="00867C98">
        <w:tc>
          <w:tcPr>
            <w:tcW w:w="1672" w:type="dxa"/>
            <w:tcBorders>
              <w:top w:val="nil"/>
              <w:left w:val="nil"/>
              <w:bottom w:val="nil"/>
              <w:right w:val="nil"/>
            </w:tcBorders>
          </w:tcPr>
          <w:p w14:paraId="14C71722" w14:textId="77777777" w:rsidR="00E73B12" w:rsidRPr="00015E78" w:rsidRDefault="00E73B12" w:rsidP="00E57E57">
            <w:pPr>
              <w:pStyle w:val="Tabletext"/>
              <w:spacing w:beforeLines="60" w:before="144" w:afterLines="60" w:after="144"/>
            </w:pPr>
            <w:r w:rsidRPr="00015E78">
              <w:t>Private</w:t>
            </w:r>
          </w:p>
        </w:tc>
        <w:tc>
          <w:tcPr>
            <w:tcW w:w="1227" w:type="dxa"/>
            <w:tcBorders>
              <w:top w:val="nil"/>
              <w:left w:val="nil"/>
              <w:bottom w:val="nil"/>
              <w:right w:val="nil"/>
            </w:tcBorders>
            <w:vAlign w:val="center"/>
          </w:tcPr>
          <w:p w14:paraId="34CF2A6D" w14:textId="77777777" w:rsidR="00E73B12" w:rsidRPr="00015E78" w:rsidRDefault="00E73B12" w:rsidP="00E57E57">
            <w:pPr>
              <w:pStyle w:val="Tabletext"/>
              <w:spacing w:beforeLines="60" w:before="144" w:afterLines="60" w:after="144"/>
              <w:ind w:right="340"/>
              <w:jc w:val="right"/>
            </w:pPr>
            <w:r w:rsidRPr="00015E78">
              <w:t>23 113</w:t>
            </w:r>
          </w:p>
        </w:tc>
        <w:tc>
          <w:tcPr>
            <w:tcW w:w="1228" w:type="dxa"/>
            <w:tcBorders>
              <w:top w:val="nil"/>
              <w:left w:val="nil"/>
              <w:bottom w:val="nil"/>
              <w:right w:val="nil"/>
            </w:tcBorders>
          </w:tcPr>
          <w:p w14:paraId="0A9B5E7C" w14:textId="77777777" w:rsidR="00E73B12" w:rsidRPr="00015E78" w:rsidRDefault="00E73B12" w:rsidP="00E57E57">
            <w:pPr>
              <w:pStyle w:val="Tabletext"/>
              <w:spacing w:beforeLines="60" w:before="144" w:afterLines="60" w:after="144"/>
              <w:ind w:right="340"/>
              <w:jc w:val="right"/>
            </w:pPr>
            <w:r w:rsidRPr="00015E78">
              <w:t>32.0</w:t>
            </w:r>
          </w:p>
        </w:tc>
        <w:tc>
          <w:tcPr>
            <w:tcW w:w="1117" w:type="dxa"/>
            <w:tcBorders>
              <w:top w:val="nil"/>
              <w:left w:val="nil"/>
              <w:bottom w:val="nil"/>
              <w:right w:val="nil"/>
            </w:tcBorders>
          </w:tcPr>
          <w:p w14:paraId="05846815" w14:textId="77777777" w:rsidR="00E73B12" w:rsidRPr="00015E78" w:rsidRDefault="00E73B12" w:rsidP="00E57E57">
            <w:pPr>
              <w:pStyle w:val="Tabletext"/>
              <w:spacing w:beforeLines="60" w:before="144" w:afterLines="60" w:after="144"/>
              <w:ind w:right="340"/>
              <w:jc w:val="right"/>
            </w:pPr>
            <w:r w:rsidRPr="00015E78">
              <w:t>47.9</w:t>
            </w:r>
          </w:p>
        </w:tc>
        <w:tc>
          <w:tcPr>
            <w:tcW w:w="1117" w:type="dxa"/>
            <w:tcBorders>
              <w:top w:val="nil"/>
              <w:left w:val="nil"/>
              <w:bottom w:val="nil"/>
              <w:right w:val="nil"/>
            </w:tcBorders>
          </w:tcPr>
          <w:p w14:paraId="4399A779" w14:textId="77777777" w:rsidR="00E73B12" w:rsidRPr="00015E78" w:rsidRDefault="00E73B12" w:rsidP="00E57E57">
            <w:pPr>
              <w:pStyle w:val="Tabletext"/>
              <w:spacing w:beforeLines="60" w:before="144" w:afterLines="60" w:after="144"/>
              <w:ind w:right="340"/>
              <w:jc w:val="right"/>
            </w:pPr>
            <w:r w:rsidRPr="00015E78">
              <w:t>21.2</w:t>
            </w:r>
          </w:p>
        </w:tc>
        <w:tc>
          <w:tcPr>
            <w:tcW w:w="979" w:type="dxa"/>
            <w:tcBorders>
              <w:top w:val="nil"/>
              <w:left w:val="nil"/>
              <w:bottom w:val="nil"/>
              <w:right w:val="nil"/>
            </w:tcBorders>
          </w:tcPr>
          <w:p w14:paraId="78BAAF7C" w14:textId="77777777" w:rsidR="00E73B12" w:rsidRPr="00015E78" w:rsidRDefault="00E73B12" w:rsidP="00E57E57">
            <w:pPr>
              <w:pStyle w:val="Tabletext"/>
              <w:spacing w:beforeLines="60" w:before="144" w:afterLines="60" w:after="144"/>
              <w:ind w:right="340"/>
              <w:jc w:val="right"/>
            </w:pPr>
            <w:r w:rsidRPr="00015E78">
              <w:t>30.9</w:t>
            </w:r>
          </w:p>
        </w:tc>
        <w:tc>
          <w:tcPr>
            <w:tcW w:w="922" w:type="dxa"/>
            <w:tcBorders>
              <w:top w:val="nil"/>
              <w:left w:val="nil"/>
              <w:bottom w:val="nil"/>
              <w:right w:val="nil"/>
            </w:tcBorders>
          </w:tcPr>
          <w:p w14:paraId="2CEB22C8" w14:textId="77777777" w:rsidR="00E73B12" w:rsidRPr="00015E78" w:rsidRDefault="00E73B12" w:rsidP="00E57E57">
            <w:pPr>
              <w:pStyle w:val="Tabletext"/>
              <w:spacing w:beforeLines="60" w:before="144" w:afterLines="60" w:after="144"/>
              <w:ind w:right="340"/>
              <w:jc w:val="right"/>
            </w:pPr>
            <w:r w:rsidRPr="00015E78">
              <w:t>48.6</w:t>
            </w:r>
          </w:p>
        </w:tc>
        <w:tc>
          <w:tcPr>
            <w:tcW w:w="923" w:type="dxa"/>
            <w:tcBorders>
              <w:top w:val="nil"/>
              <w:left w:val="nil"/>
              <w:bottom w:val="nil"/>
              <w:right w:val="nil"/>
            </w:tcBorders>
          </w:tcPr>
          <w:p w14:paraId="53A21A83" w14:textId="77777777" w:rsidR="00E73B12" w:rsidRPr="00015E78" w:rsidRDefault="00E73B12" w:rsidP="00E57E57">
            <w:pPr>
              <w:pStyle w:val="Tabletext"/>
              <w:spacing w:beforeLines="60" w:before="144" w:afterLines="60" w:after="144"/>
              <w:ind w:right="340"/>
              <w:jc w:val="right"/>
            </w:pPr>
            <w:r w:rsidRPr="00015E78">
              <w:t>51.4</w:t>
            </w:r>
          </w:p>
        </w:tc>
      </w:tr>
      <w:tr w:rsidR="00015E78" w14:paraId="2DE5747A" w14:textId="77777777" w:rsidTr="00867C98">
        <w:tc>
          <w:tcPr>
            <w:tcW w:w="1672" w:type="dxa"/>
            <w:tcBorders>
              <w:top w:val="nil"/>
              <w:left w:val="nil"/>
              <w:bottom w:val="nil"/>
              <w:right w:val="nil"/>
            </w:tcBorders>
          </w:tcPr>
          <w:p w14:paraId="06C0F9D5" w14:textId="77777777" w:rsidR="00E73B12" w:rsidRPr="00015E78" w:rsidRDefault="00E73B12" w:rsidP="00E57E57">
            <w:pPr>
              <w:pStyle w:val="Tabletext"/>
              <w:spacing w:beforeLines="60" w:before="144" w:afterLines="60" w:after="144"/>
            </w:pPr>
            <w:r w:rsidRPr="00015E78">
              <w:t>Enterprise</w:t>
            </w:r>
          </w:p>
        </w:tc>
        <w:tc>
          <w:tcPr>
            <w:tcW w:w="1227" w:type="dxa"/>
            <w:tcBorders>
              <w:top w:val="nil"/>
              <w:left w:val="nil"/>
              <w:bottom w:val="nil"/>
              <w:right w:val="nil"/>
            </w:tcBorders>
            <w:vAlign w:val="center"/>
          </w:tcPr>
          <w:p w14:paraId="343D216B" w14:textId="77777777" w:rsidR="00E73B12" w:rsidRPr="00015E78" w:rsidRDefault="00E73B12" w:rsidP="00E57E57">
            <w:pPr>
              <w:pStyle w:val="Tabletext"/>
              <w:spacing w:beforeLines="60" w:before="144" w:afterLines="60" w:after="144"/>
              <w:ind w:right="340"/>
              <w:jc w:val="right"/>
            </w:pPr>
            <w:r w:rsidRPr="00015E78">
              <w:t>2 819</w:t>
            </w:r>
          </w:p>
        </w:tc>
        <w:tc>
          <w:tcPr>
            <w:tcW w:w="1228" w:type="dxa"/>
            <w:tcBorders>
              <w:top w:val="nil"/>
              <w:left w:val="nil"/>
              <w:bottom w:val="nil"/>
              <w:right w:val="nil"/>
            </w:tcBorders>
          </w:tcPr>
          <w:p w14:paraId="2837D2D3" w14:textId="77777777" w:rsidR="00E73B12" w:rsidRPr="00015E78" w:rsidRDefault="00E73B12" w:rsidP="00E57E57">
            <w:pPr>
              <w:pStyle w:val="Tabletext"/>
              <w:spacing w:beforeLines="60" w:before="144" w:afterLines="60" w:after="144"/>
              <w:ind w:right="340"/>
              <w:jc w:val="right"/>
            </w:pPr>
            <w:r w:rsidRPr="00015E78">
              <w:t>14.8</w:t>
            </w:r>
          </w:p>
        </w:tc>
        <w:tc>
          <w:tcPr>
            <w:tcW w:w="1117" w:type="dxa"/>
            <w:tcBorders>
              <w:top w:val="nil"/>
              <w:left w:val="nil"/>
              <w:bottom w:val="nil"/>
              <w:right w:val="nil"/>
            </w:tcBorders>
          </w:tcPr>
          <w:p w14:paraId="009FB10A" w14:textId="77777777" w:rsidR="00E73B12" w:rsidRPr="00015E78" w:rsidRDefault="00E73B12" w:rsidP="00E57E57">
            <w:pPr>
              <w:pStyle w:val="Tabletext"/>
              <w:spacing w:beforeLines="60" w:before="144" w:afterLines="60" w:after="144"/>
              <w:ind w:right="340"/>
              <w:jc w:val="right"/>
            </w:pPr>
            <w:r w:rsidRPr="00015E78">
              <w:t>88.0</w:t>
            </w:r>
          </w:p>
        </w:tc>
        <w:tc>
          <w:tcPr>
            <w:tcW w:w="1117" w:type="dxa"/>
            <w:tcBorders>
              <w:top w:val="nil"/>
              <w:left w:val="nil"/>
              <w:bottom w:val="nil"/>
              <w:right w:val="nil"/>
            </w:tcBorders>
          </w:tcPr>
          <w:p w14:paraId="09576B95" w14:textId="77777777" w:rsidR="00E73B12" w:rsidRPr="00015E78" w:rsidRDefault="00E73B12" w:rsidP="00E57E57">
            <w:pPr>
              <w:pStyle w:val="Tabletext"/>
              <w:spacing w:beforeLines="60" w:before="144" w:afterLines="60" w:after="144"/>
              <w:ind w:right="340"/>
              <w:jc w:val="right"/>
            </w:pPr>
            <w:r w:rsidRPr="00015E78">
              <w:t>6.5</w:t>
            </w:r>
          </w:p>
        </w:tc>
        <w:tc>
          <w:tcPr>
            <w:tcW w:w="979" w:type="dxa"/>
            <w:tcBorders>
              <w:top w:val="nil"/>
              <w:left w:val="nil"/>
              <w:bottom w:val="nil"/>
              <w:right w:val="nil"/>
            </w:tcBorders>
          </w:tcPr>
          <w:p w14:paraId="79C6E747" w14:textId="77777777" w:rsidR="00E73B12" w:rsidRPr="00015E78" w:rsidRDefault="00E73B12" w:rsidP="00E57E57">
            <w:pPr>
              <w:pStyle w:val="Tabletext"/>
              <w:spacing w:beforeLines="60" w:before="144" w:afterLines="60" w:after="144"/>
              <w:ind w:right="340"/>
              <w:jc w:val="right"/>
            </w:pPr>
            <w:r w:rsidRPr="00015E78">
              <w:t>5.5</w:t>
            </w:r>
          </w:p>
        </w:tc>
        <w:tc>
          <w:tcPr>
            <w:tcW w:w="922" w:type="dxa"/>
            <w:tcBorders>
              <w:top w:val="nil"/>
              <w:left w:val="nil"/>
              <w:bottom w:val="nil"/>
              <w:right w:val="nil"/>
            </w:tcBorders>
          </w:tcPr>
          <w:p w14:paraId="5EA38451" w14:textId="77777777" w:rsidR="00E73B12" w:rsidRPr="00015E78" w:rsidRDefault="00E73B12" w:rsidP="00E57E57">
            <w:pPr>
              <w:pStyle w:val="Tabletext"/>
              <w:spacing w:beforeLines="60" w:before="144" w:afterLines="60" w:after="144"/>
              <w:ind w:right="340"/>
              <w:jc w:val="right"/>
            </w:pPr>
            <w:r w:rsidRPr="00015E78">
              <w:t>88.2</w:t>
            </w:r>
          </w:p>
        </w:tc>
        <w:tc>
          <w:tcPr>
            <w:tcW w:w="923" w:type="dxa"/>
            <w:tcBorders>
              <w:top w:val="nil"/>
              <w:left w:val="nil"/>
              <w:bottom w:val="nil"/>
              <w:right w:val="nil"/>
            </w:tcBorders>
          </w:tcPr>
          <w:p w14:paraId="421800DA" w14:textId="77777777" w:rsidR="00E73B12" w:rsidRPr="00015E78" w:rsidRDefault="00E73B12" w:rsidP="00E57E57">
            <w:pPr>
              <w:pStyle w:val="Tabletext"/>
              <w:spacing w:beforeLines="60" w:before="144" w:afterLines="60" w:after="144"/>
              <w:ind w:right="340"/>
              <w:jc w:val="right"/>
            </w:pPr>
            <w:r w:rsidRPr="00015E78">
              <w:t>11.8</w:t>
            </w:r>
          </w:p>
        </w:tc>
      </w:tr>
      <w:tr w:rsidR="00015E78" w14:paraId="68911D01" w14:textId="77777777" w:rsidTr="00867C98">
        <w:tc>
          <w:tcPr>
            <w:tcW w:w="1672" w:type="dxa"/>
            <w:tcBorders>
              <w:top w:val="nil"/>
              <w:left w:val="nil"/>
              <w:bottom w:val="nil"/>
              <w:right w:val="nil"/>
            </w:tcBorders>
          </w:tcPr>
          <w:p w14:paraId="56B23885" w14:textId="77777777" w:rsidR="00E73B12" w:rsidRPr="00015E78" w:rsidRDefault="00E73B12" w:rsidP="00E57E57">
            <w:pPr>
              <w:pStyle w:val="Tabletext"/>
              <w:spacing w:beforeLines="60" w:before="144" w:afterLines="60" w:after="144"/>
            </w:pPr>
            <w:r w:rsidRPr="00015E78">
              <w:t>School RTOs</w:t>
            </w:r>
          </w:p>
        </w:tc>
        <w:tc>
          <w:tcPr>
            <w:tcW w:w="1227" w:type="dxa"/>
            <w:tcBorders>
              <w:top w:val="nil"/>
              <w:left w:val="nil"/>
              <w:bottom w:val="nil"/>
              <w:right w:val="nil"/>
            </w:tcBorders>
            <w:vAlign w:val="center"/>
          </w:tcPr>
          <w:p w14:paraId="0E2F3C1B" w14:textId="77777777" w:rsidR="00E73B12" w:rsidRPr="00015E78" w:rsidRDefault="00E73B12" w:rsidP="00E57E57">
            <w:pPr>
              <w:pStyle w:val="Tabletext"/>
              <w:spacing w:beforeLines="60" w:before="144" w:afterLines="60" w:after="144"/>
              <w:ind w:right="340"/>
              <w:jc w:val="right"/>
            </w:pPr>
            <w:r w:rsidRPr="00015E78">
              <w:t>8 446</w:t>
            </w:r>
          </w:p>
        </w:tc>
        <w:tc>
          <w:tcPr>
            <w:tcW w:w="1228" w:type="dxa"/>
            <w:tcBorders>
              <w:top w:val="nil"/>
              <w:left w:val="nil"/>
              <w:bottom w:val="nil"/>
              <w:right w:val="nil"/>
            </w:tcBorders>
          </w:tcPr>
          <w:p w14:paraId="45219FF7" w14:textId="77777777" w:rsidR="00E73B12" w:rsidRPr="00015E78" w:rsidRDefault="00E73B12" w:rsidP="00E57E57">
            <w:pPr>
              <w:pStyle w:val="Tabletext"/>
              <w:spacing w:beforeLines="60" w:before="144" w:afterLines="60" w:after="144"/>
              <w:ind w:right="340"/>
              <w:jc w:val="right"/>
            </w:pPr>
            <w:r w:rsidRPr="00015E78">
              <w:t>11.7</w:t>
            </w:r>
          </w:p>
        </w:tc>
        <w:tc>
          <w:tcPr>
            <w:tcW w:w="1117" w:type="dxa"/>
            <w:tcBorders>
              <w:top w:val="nil"/>
              <w:left w:val="nil"/>
              <w:bottom w:val="nil"/>
              <w:right w:val="nil"/>
            </w:tcBorders>
          </w:tcPr>
          <w:p w14:paraId="36029D80" w14:textId="77777777" w:rsidR="00E73B12" w:rsidRPr="00015E78" w:rsidRDefault="00E73B12" w:rsidP="00E57E57">
            <w:pPr>
              <w:pStyle w:val="Tabletext"/>
              <w:spacing w:beforeLines="60" w:before="144" w:afterLines="60" w:after="144"/>
              <w:ind w:right="340"/>
              <w:jc w:val="right"/>
            </w:pPr>
            <w:r w:rsidRPr="00015E78">
              <w:t>93.0</w:t>
            </w:r>
          </w:p>
        </w:tc>
        <w:tc>
          <w:tcPr>
            <w:tcW w:w="1117" w:type="dxa"/>
            <w:tcBorders>
              <w:top w:val="nil"/>
              <w:left w:val="nil"/>
              <w:bottom w:val="nil"/>
              <w:right w:val="nil"/>
            </w:tcBorders>
          </w:tcPr>
          <w:p w14:paraId="1D60F804" w14:textId="77777777" w:rsidR="00E73B12" w:rsidRPr="00015E78" w:rsidRDefault="00E73B12" w:rsidP="00E57E57">
            <w:pPr>
              <w:pStyle w:val="Tabletext"/>
              <w:spacing w:beforeLines="60" w:before="144" w:afterLines="60" w:after="144"/>
              <w:ind w:right="340"/>
              <w:jc w:val="right"/>
            </w:pPr>
            <w:r w:rsidRPr="00015E78">
              <w:t>6.2</w:t>
            </w:r>
          </w:p>
        </w:tc>
        <w:tc>
          <w:tcPr>
            <w:tcW w:w="979" w:type="dxa"/>
            <w:tcBorders>
              <w:top w:val="nil"/>
              <w:left w:val="nil"/>
              <w:bottom w:val="nil"/>
              <w:right w:val="nil"/>
            </w:tcBorders>
          </w:tcPr>
          <w:p w14:paraId="2C1773FE" w14:textId="77777777" w:rsidR="00E73B12" w:rsidRPr="00015E78" w:rsidRDefault="00E73B12" w:rsidP="00E57E57">
            <w:pPr>
              <w:pStyle w:val="Tabletext"/>
              <w:spacing w:beforeLines="60" w:before="144" w:afterLines="60" w:after="144"/>
              <w:ind w:right="340"/>
              <w:jc w:val="right"/>
            </w:pPr>
            <w:r w:rsidRPr="00015E78">
              <w:t>0.8</w:t>
            </w:r>
          </w:p>
        </w:tc>
        <w:tc>
          <w:tcPr>
            <w:tcW w:w="922" w:type="dxa"/>
            <w:tcBorders>
              <w:top w:val="nil"/>
              <w:left w:val="nil"/>
              <w:bottom w:val="nil"/>
              <w:right w:val="nil"/>
            </w:tcBorders>
          </w:tcPr>
          <w:p w14:paraId="1AC99624" w14:textId="77777777" w:rsidR="00E73B12" w:rsidRPr="00015E78" w:rsidRDefault="00E73B12" w:rsidP="00E57E57">
            <w:pPr>
              <w:pStyle w:val="Tabletext"/>
              <w:spacing w:beforeLines="60" w:before="144" w:afterLines="60" w:after="144"/>
              <w:ind w:right="340"/>
              <w:jc w:val="right"/>
            </w:pPr>
            <w:r w:rsidRPr="00015E78">
              <w:t>81.7</w:t>
            </w:r>
          </w:p>
        </w:tc>
        <w:tc>
          <w:tcPr>
            <w:tcW w:w="923" w:type="dxa"/>
            <w:tcBorders>
              <w:top w:val="nil"/>
              <w:left w:val="nil"/>
              <w:bottom w:val="nil"/>
              <w:right w:val="nil"/>
            </w:tcBorders>
          </w:tcPr>
          <w:p w14:paraId="4291A5C4" w14:textId="77777777" w:rsidR="00E73B12" w:rsidRPr="00015E78" w:rsidRDefault="00E73B12" w:rsidP="00E57E57">
            <w:pPr>
              <w:pStyle w:val="Tabletext"/>
              <w:spacing w:beforeLines="60" w:before="144" w:afterLines="60" w:after="144"/>
              <w:ind w:right="340"/>
              <w:jc w:val="right"/>
            </w:pPr>
            <w:r w:rsidRPr="00015E78">
              <w:t>18.3</w:t>
            </w:r>
          </w:p>
        </w:tc>
      </w:tr>
      <w:tr w:rsidR="00015E78" w14:paraId="4690D35E" w14:textId="77777777" w:rsidTr="00867C98">
        <w:tc>
          <w:tcPr>
            <w:tcW w:w="1672" w:type="dxa"/>
            <w:tcBorders>
              <w:top w:val="nil"/>
              <w:left w:val="nil"/>
              <w:bottom w:val="single" w:sz="6" w:space="0" w:color="000000" w:themeColor="text1"/>
              <w:right w:val="nil"/>
            </w:tcBorders>
          </w:tcPr>
          <w:p w14:paraId="2212902C" w14:textId="77777777" w:rsidR="00E73B12" w:rsidRPr="00015E78" w:rsidRDefault="00E73B12" w:rsidP="00E57E57">
            <w:pPr>
              <w:pStyle w:val="Tabletext"/>
              <w:spacing w:beforeLines="60" w:before="144" w:afterLines="60" w:after="144"/>
            </w:pPr>
            <w:r w:rsidRPr="00015E78">
              <w:t>Exempt</w:t>
            </w:r>
          </w:p>
        </w:tc>
        <w:tc>
          <w:tcPr>
            <w:tcW w:w="1227" w:type="dxa"/>
            <w:tcBorders>
              <w:top w:val="nil"/>
              <w:left w:val="nil"/>
              <w:bottom w:val="single" w:sz="6" w:space="0" w:color="000000" w:themeColor="text1"/>
              <w:right w:val="nil"/>
            </w:tcBorders>
            <w:vAlign w:val="center"/>
          </w:tcPr>
          <w:p w14:paraId="3D31B589" w14:textId="77777777" w:rsidR="00E73B12" w:rsidRPr="00015E78" w:rsidRDefault="00E73B12" w:rsidP="00E57E57">
            <w:pPr>
              <w:pStyle w:val="Tabletext"/>
              <w:spacing w:beforeLines="60" w:before="144" w:afterLines="60" w:after="144"/>
              <w:ind w:right="340"/>
              <w:jc w:val="right"/>
            </w:pPr>
            <w:r w:rsidRPr="00015E78">
              <w:t>5 645</w:t>
            </w:r>
          </w:p>
        </w:tc>
        <w:tc>
          <w:tcPr>
            <w:tcW w:w="1228" w:type="dxa"/>
            <w:tcBorders>
              <w:top w:val="nil"/>
              <w:left w:val="nil"/>
              <w:bottom w:val="single" w:sz="6" w:space="0" w:color="000000" w:themeColor="text1"/>
              <w:right w:val="nil"/>
            </w:tcBorders>
          </w:tcPr>
          <w:p w14:paraId="370E2289" w14:textId="77777777" w:rsidR="00E73B12" w:rsidRPr="00015E78" w:rsidRDefault="00E73B12" w:rsidP="00E57E57">
            <w:pPr>
              <w:pStyle w:val="Tabletext"/>
              <w:spacing w:beforeLines="60" w:before="144" w:afterLines="60" w:after="144"/>
              <w:ind w:right="340"/>
              <w:jc w:val="right"/>
            </w:pPr>
            <w:r w:rsidRPr="00015E78">
              <w:t>29.3</w:t>
            </w:r>
          </w:p>
        </w:tc>
        <w:tc>
          <w:tcPr>
            <w:tcW w:w="1117" w:type="dxa"/>
            <w:tcBorders>
              <w:top w:val="nil"/>
              <w:left w:val="nil"/>
              <w:bottom w:val="single" w:sz="6" w:space="0" w:color="000000" w:themeColor="text1"/>
              <w:right w:val="nil"/>
            </w:tcBorders>
          </w:tcPr>
          <w:p w14:paraId="344FAC79" w14:textId="77777777" w:rsidR="00E73B12" w:rsidRPr="00015E78" w:rsidRDefault="00E73B12" w:rsidP="00E57E57">
            <w:pPr>
              <w:pStyle w:val="Tabletext"/>
              <w:spacing w:beforeLines="60" w:before="144" w:afterLines="60" w:after="144"/>
              <w:ind w:right="340"/>
              <w:jc w:val="right"/>
            </w:pPr>
            <w:r w:rsidRPr="00015E78">
              <w:t>86.9</w:t>
            </w:r>
          </w:p>
        </w:tc>
        <w:tc>
          <w:tcPr>
            <w:tcW w:w="1117" w:type="dxa"/>
            <w:tcBorders>
              <w:top w:val="nil"/>
              <w:left w:val="nil"/>
              <w:bottom w:val="single" w:sz="6" w:space="0" w:color="000000" w:themeColor="text1"/>
              <w:right w:val="nil"/>
            </w:tcBorders>
          </w:tcPr>
          <w:p w14:paraId="6F987B77" w14:textId="77777777" w:rsidR="00E73B12" w:rsidRPr="00015E78" w:rsidRDefault="00E73B12" w:rsidP="00E57E57">
            <w:pPr>
              <w:pStyle w:val="Tabletext"/>
              <w:spacing w:beforeLines="60" w:before="144" w:afterLines="60" w:after="144"/>
              <w:ind w:right="340"/>
              <w:jc w:val="right"/>
            </w:pPr>
            <w:r w:rsidRPr="00015E78">
              <w:t>10.2</w:t>
            </w:r>
          </w:p>
        </w:tc>
        <w:tc>
          <w:tcPr>
            <w:tcW w:w="979" w:type="dxa"/>
            <w:tcBorders>
              <w:top w:val="nil"/>
              <w:left w:val="nil"/>
              <w:bottom w:val="single" w:sz="6" w:space="0" w:color="000000" w:themeColor="text1"/>
              <w:right w:val="nil"/>
            </w:tcBorders>
          </w:tcPr>
          <w:p w14:paraId="47C57872" w14:textId="77777777" w:rsidR="00E73B12" w:rsidRPr="00015E78" w:rsidRDefault="00E73B12" w:rsidP="00E57E57">
            <w:pPr>
              <w:pStyle w:val="Tabletext"/>
              <w:spacing w:beforeLines="60" w:before="144" w:afterLines="60" w:after="144"/>
              <w:ind w:right="340"/>
              <w:jc w:val="right"/>
            </w:pPr>
            <w:r w:rsidRPr="00015E78">
              <w:t>2.9</w:t>
            </w:r>
          </w:p>
        </w:tc>
        <w:tc>
          <w:tcPr>
            <w:tcW w:w="922" w:type="dxa"/>
            <w:tcBorders>
              <w:top w:val="nil"/>
              <w:left w:val="nil"/>
              <w:bottom w:val="single" w:sz="6" w:space="0" w:color="000000" w:themeColor="text1"/>
              <w:right w:val="nil"/>
            </w:tcBorders>
          </w:tcPr>
          <w:p w14:paraId="7DAA7CC2" w14:textId="77777777" w:rsidR="00E73B12" w:rsidRPr="00015E78" w:rsidRDefault="00E73B12" w:rsidP="00E57E57">
            <w:pPr>
              <w:pStyle w:val="Tabletext"/>
              <w:spacing w:beforeLines="60" w:before="144" w:afterLines="60" w:after="144"/>
              <w:ind w:right="340"/>
              <w:jc w:val="right"/>
            </w:pPr>
            <w:r w:rsidRPr="00015E78">
              <w:t>86.4</w:t>
            </w:r>
          </w:p>
        </w:tc>
        <w:tc>
          <w:tcPr>
            <w:tcW w:w="923" w:type="dxa"/>
            <w:tcBorders>
              <w:top w:val="nil"/>
              <w:left w:val="nil"/>
              <w:bottom w:val="single" w:sz="6" w:space="0" w:color="000000" w:themeColor="text1"/>
              <w:right w:val="nil"/>
            </w:tcBorders>
          </w:tcPr>
          <w:p w14:paraId="10812C65" w14:textId="77777777" w:rsidR="00E73B12" w:rsidRPr="00015E78" w:rsidRDefault="00E73B12" w:rsidP="00E57E57">
            <w:pPr>
              <w:pStyle w:val="Tabletext"/>
              <w:spacing w:beforeLines="60" w:before="144" w:afterLines="60" w:after="144"/>
              <w:ind w:right="340"/>
              <w:jc w:val="right"/>
            </w:pPr>
            <w:r w:rsidRPr="00015E78">
              <w:t>13.6</w:t>
            </w:r>
          </w:p>
        </w:tc>
      </w:tr>
      <w:tr w:rsidR="00015E78" w14:paraId="1874435B" w14:textId="77777777" w:rsidTr="00867C98">
        <w:tc>
          <w:tcPr>
            <w:tcW w:w="1672" w:type="dxa"/>
            <w:tcBorders>
              <w:top w:val="single" w:sz="6" w:space="0" w:color="000000" w:themeColor="text1"/>
              <w:left w:val="nil"/>
              <w:bottom w:val="single" w:sz="6" w:space="0" w:color="000000" w:themeColor="text1"/>
              <w:right w:val="nil"/>
            </w:tcBorders>
          </w:tcPr>
          <w:p w14:paraId="3D098B39" w14:textId="77777777" w:rsidR="00E73B12" w:rsidRPr="00C72D13" w:rsidRDefault="00E73B12" w:rsidP="00AD383E">
            <w:pPr>
              <w:pStyle w:val="Tabletext"/>
              <w:rPr>
                <w:b/>
                <w:bCs/>
              </w:rPr>
            </w:pPr>
            <w:r w:rsidRPr="00C72D13">
              <w:rPr>
                <w:b/>
                <w:bCs/>
              </w:rPr>
              <w:t>TOTAL</w:t>
            </w:r>
          </w:p>
        </w:tc>
        <w:tc>
          <w:tcPr>
            <w:tcW w:w="1227" w:type="dxa"/>
            <w:tcBorders>
              <w:top w:val="single" w:sz="6" w:space="0" w:color="000000" w:themeColor="text1"/>
              <w:left w:val="nil"/>
              <w:bottom w:val="single" w:sz="6" w:space="0" w:color="000000" w:themeColor="text1"/>
              <w:right w:val="nil"/>
            </w:tcBorders>
            <w:vAlign w:val="center"/>
          </w:tcPr>
          <w:p w14:paraId="322EEDE3" w14:textId="77777777" w:rsidR="00E73B12" w:rsidRPr="00C72D13" w:rsidRDefault="00E73B12" w:rsidP="00E57E57">
            <w:pPr>
              <w:pStyle w:val="Tabletext"/>
              <w:ind w:right="340"/>
              <w:jc w:val="right"/>
              <w:rPr>
                <w:b/>
                <w:bCs/>
              </w:rPr>
            </w:pPr>
            <w:r w:rsidRPr="00C72D13">
              <w:rPr>
                <w:b/>
                <w:bCs/>
              </w:rPr>
              <w:t>71 379</w:t>
            </w:r>
          </w:p>
        </w:tc>
        <w:tc>
          <w:tcPr>
            <w:tcW w:w="1228" w:type="dxa"/>
            <w:tcBorders>
              <w:top w:val="single" w:sz="6" w:space="0" w:color="000000" w:themeColor="text1"/>
              <w:left w:val="nil"/>
              <w:bottom w:val="single" w:sz="6" w:space="0" w:color="000000" w:themeColor="text1"/>
              <w:right w:val="nil"/>
            </w:tcBorders>
          </w:tcPr>
          <w:p w14:paraId="4D68F1AF" w14:textId="77777777" w:rsidR="00E73B12" w:rsidRPr="00C72D13" w:rsidRDefault="00E73B12" w:rsidP="00E57E57">
            <w:pPr>
              <w:pStyle w:val="Tabletext"/>
              <w:ind w:right="340"/>
              <w:jc w:val="right"/>
              <w:rPr>
                <w:b/>
                <w:bCs/>
              </w:rPr>
            </w:pPr>
            <w:r w:rsidRPr="00C72D13">
              <w:rPr>
                <w:b/>
                <w:bCs/>
              </w:rPr>
              <w:t>29.0</w:t>
            </w:r>
          </w:p>
        </w:tc>
        <w:tc>
          <w:tcPr>
            <w:tcW w:w="1117" w:type="dxa"/>
            <w:tcBorders>
              <w:top w:val="single" w:sz="6" w:space="0" w:color="000000" w:themeColor="text1"/>
              <w:left w:val="nil"/>
              <w:bottom w:val="single" w:sz="6" w:space="0" w:color="000000" w:themeColor="text1"/>
              <w:right w:val="nil"/>
            </w:tcBorders>
          </w:tcPr>
          <w:p w14:paraId="4E0CA6B5" w14:textId="77777777" w:rsidR="00E73B12" w:rsidRPr="00C72D13" w:rsidRDefault="00E73B12" w:rsidP="00E57E57">
            <w:pPr>
              <w:pStyle w:val="Tabletext"/>
              <w:ind w:right="340"/>
              <w:jc w:val="right"/>
              <w:rPr>
                <w:b/>
                <w:bCs/>
              </w:rPr>
            </w:pPr>
            <w:r w:rsidRPr="00C72D13">
              <w:rPr>
                <w:b/>
                <w:bCs/>
              </w:rPr>
              <w:t>53.5</w:t>
            </w:r>
          </w:p>
        </w:tc>
        <w:tc>
          <w:tcPr>
            <w:tcW w:w="1117" w:type="dxa"/>
            <w:tcBorders>
              <w:top w:val="single" w:sz="6" w:space="0" w:color="000000" w:themeColor="text1"/>
              <w:left w:val="nil"/>
              <w:bottom w:val="single" w:sz="6" w:space="0" w:color="000000" w:themeColor="text1"/>
              <w:right w:val="nil"/>
            </w:tcBorders>
          </w:tcPr>
          <w:p w14:paraId="56644951" w14:textId="77777777" w:rsidR="00E73B12" w:rsidRPr="00C72D13" w:rsidRDefault="00E73B12" w:rsidP="00E57E57">
            <w:pPr>
              <w:pStyle w:val="Tabletext"/>
              <w:ind w:right="340"/>
              <w:jc w:val="right"/>
              <w:rPr>
                <w:b/>
                <w:bCs/>
              </w:rPr>
            </w:pPr>
            <w:r w:rsidRPr="00C72D13">
              <w:rPr>
                <w:b/>
                <w:bCs/>
              </w:rPr>
              <w:t>13.9</w:t>
            </w:r>
          </w:p>
        </w:tc>
        <w:tc>
          <w:tcPr>
            <w:tcW w:w="979" w:type="dxa"/>
            <w:tcBorders>
              <w:top w:val="single" w:sz="6" w:space="0" w:color="000000" w:themeColor="text1"/>
              <w:left w:val="nil"/>
              <w:bottom w:val="single" w:sz="6" w:space="0" w:color="000000" w:themeColor="text1"/>
              <w:right w:val="nil"/>
            </w:tcBorders>
          </w:tcPr>
          <w:p w14:paraId="605D80EA" w14:textId="77777777" w:rsidR="00E73B12" w:rsidRPr="00C72D13" w:rsidRDefault="00E73B12" w:rsidP="00E57E57">
            <w:pPr>
              <w:pStyle w:val="Tabletext"/>
              <w:ind w:right="340"/>
              <w:jc w:val="right"/>
              <w:rPr>
                <w:b/>
                <w:bCs/>
              </w:rPr>
            </w:pPr>
            <w:r w:rsidRPr="00C72D13">
              <w:rPr>
                <w:b/>
                <w:bCs/>
              </w:rPr>
              <w:t>32.6</w:t>
            </w:r>
          </w:p>
        </w:tc>
        <w:tc>
          <w:tcPr>
            <w:tcW w:w="922" w:type="dxa"/>
            <w:tcBorders>
              <w:top w:val="single" w:sz="6" w:space="0" w:color="000000" w:themeColor="text1"/>
              <w:left w:val="nil"/>
              <w:bottom w:val="single" w:sz="6" w:space="0" w:color="000000" w:themeColor="text1"/>
              <w:right w:val="nil"/>
            </w:tcBorders>
          </w:tcPr>
          <w:p w14:paraId="7E277EB3" w14:textId="77777777" w:rsidR="00E73B12" w:rsidRPr="00C72D13" w:rsidRDefault="00E73B12" w:rsidP="00E57E57">
            <w:pPr>
              <w:pStyle w:val="Tabletext"/>
              <w:ind w:right="340"/>
              <w:jc w:val="right"/>
              <w:rPr>
                <w:b/>
                <w:bCs/>
              </w:rPr>
            </w:pPr>
            <w:r w:rsidRPr="00C72D13">
              <w:rPr>
                <w:b/>
                <w:bCs/>
              </w:rPr>
              <w:t>52.6</w:t>
            </w:r>
          </w:p>
        </w:tc>
        <w:tc>
          <w:tcPr>
            <w:tcW w:w="923" w:type="dxa"/>
            <w:tcBorders>
              <w:top w:val="single" w:sz="6" w:space="0" w:color="000000" w:themeColor="text1"/>
              <w:left w:val="nil"/>
              <w:bottom w:val="single" w:sz="6" w:space="0" w:color="000000" w:themeColor="text1"/>
              <w:right w:val="nil"/>
            </w:tcBorders>
          </w:tcPr>
          <w:p w14:paraId="4C34963B" w14:textId="77777777" w:rsidR="00E73B12" w:rsidRPr="00C72D13" w:rsidRDefault="00E73B12" w:rsidP="00E57E57">
            <w:pPr>
              <w:pStyle w:val="Tabletext"/>
              <w:ind w:right="340"/>
              <w:jc w:val="right"/>
              <w:rPr>
                <w:b/>
                <w:bCs/>
              </w:rPr>
            </w:pPr>
            <w:r w:rsidRPr="00C72D13">
              <w:rPr>
                <w:b/>
                <w:bCs/>
              </w:rPr>
              <w:t>47.4</w:t>
            </w:r>
          </w:p>
        </w:tc>
      </w:tr>
    </w:tbl>
    <w:p w14:paraId="1E7A1A52" w14:textId="77777777" w:rsidR="00F46305" w:rsidRPr="00F46305" w:rsidRDefault="00F46305" w:rsidP="00F46305">
      <w:pPr>
        <w:spacing w:before="0" w:line="240" w:lineRule="auto"/>
        <w:ind w:left="567"/>
        <w:rPr>
          <w:sz w:val="8"/>
          <w:szCs w:val="8"/>
        </w:rPr>
      </w:pPr>
    </w:p>
    <w:p w14:paraId="6B8DF65D" w14:textId="77777777" w:rsidR="00F46305" w:rsidRDefault="00F46305" w:rsidP="00AD383E">
      <w:pPr>
        <w:pStyle w:val="Source"/>
      </w:pPr>
      <w:r w:rsidRPr="00F46305">
        <w:t xml:space="preserve">Note:   </w:t>
      </w:r>
      <w:r>
        <w:t xml:space="preserve">  </w:t>
      </w:r>
      <w:r w:rsidRPr="00F46305">
        <w:t xml:space="preserve">Average is rounded to nearest whole number. Total % does not always add to 100.0 due to rounding of components. </w:t>
      </w:r>
    </w:p>
    <w:p w14:paraId="54B87D1A" w14:textId="77777777" w:rsidR="003275F2" w:rsidRDefault="00F46305" w:rsidP="003275F2">
      <w:pPr>
        <w:pStyle w:val="Source"/>
      </w:pPr>
      <w:r>
        <w:t xml:space="preserve">             </w:t>
      </w:r>
      <w:r w:rsidRPr="00F46305">
        <w:t>The proportion of the VET workforce that are trainers and assessors</w:t>
      </w:r>
      <w:r w:rsidR="00462A30">
        <w:t xml:space="preserve"> </w:t>
      </w:r>
      <w:r w:rsidRPr="00F46305">
        <w:t>in a category is the aggregate total of trainers and assessors divided by the aggregate total of all employees,</w:t>
      </w:r>
      <w:r w:rsidR="00462A30">
        <w:t xml:space="preserve"> based on a survey administered in February 2019. T</w:t>
      </w:r>
      <w:r w:rsidRPr="00F46305">
        <w:t>he calculation assumes equal weighting across RTOs in the category.</w:t>
      </w:r>
      <w:r w:rsidR="00462A30">
        <w:t xml:space="preserve"> </w:t>
      </w:r>
      <w:r w:rsidRPr="00F46305">
        <w:t xml:space="preserve">Number of trainers and assessors is headcount. </w:t>
      </w:r>
      <w:r w:rsidR="00462A30" w:rsidRPr="00462A30">
        <w:t>Enterprise providers and School RTOs in the survey were explicitly asked to supply information only about the RTO part of their organisation.</w:t>
      </w:r>
    </w:p>
    <w:p w14:paraId="2D1EE0BC" w14:textId="21CDECF2" w:rsidR="003275F2" w:rsidRPr="003275F2" w:rsidRDefault="003275F2" w:rsidP="003275F2">
      <w:pPr>
        <w:pStyle w:val="Source"/>
        <w:ind w:left="569" w:hanging="565"/>
      </w:pPr>
      <w:r>
        <w:t xml:space="preserve">             </w:t>
      </w:r>
      <w:r w:rsidRPr="003275F2">
        <w:t>Under the National VET Data Policy (version 1) RTOs were exempt from collecting and reporting data to the National VET Provider Collection if they had a National security, border protection and policing exemption or a Delivery of emergency or safety community services exemption.</w:t>
      </w:r>
    </w:p>
    <w:p w14:paraId="2B86037E" w14:textId="68C286DF" w:rsidR="00800674" w:rsidRDefault="00800674" w:rsidP="00FA653A">
      <w:pPr>
        <w:pStyle w:val="Text"/>
      </w:pPr>
      <w:r w:rsidRPr="00F46305">
        <w:t xml:space="preserve">The significance of these proportions is that part-time and casual teachers often do not have access to </w:t>
      </w:r>
      <w:r w:rsidR="00BE3DEA">
        <w:t>Continuing Professional Development (CPD)</w:t>
      </w:r>
      <w:r w:rsidRPr="00F46305">
        <w:t xml:space="preserve"> opportunities at the same levels as leadership, managerial and permanent teaching staff.</w:t>
      </w:r>
      <w:r w:rsidRPr="00800674">
        <w:t xml:space="preserve"> In part, this appears to be a funding issue, but it </w:t>
      </w:r>
      <w:r w:rsidR="00BF4F83">
        <w:t xml:space="preserve">is </w:t>
      </w:r>
      <w:r w:rsidRPr="00800674">
        <w:t>also due to casual teachers being seen by these providers as more ‘peripheral’ than ‘core’ teaching staff (Harris et al. 2001)</w:t>
      </w:r>
      <w:r w:rsidR="0077294E">
        <w:t xml:space="preserve"> and therefore their CPD is not supported</w:t>
      </w:r>
      <w:r w:rsidRPr="00800674">
        <w:t xml:space="preserve">. Equally, </w:t>
      </w:r>
      <w:proofErr w:type="gramStart"/>
      <w:r w:rsidRPr="00800674">
        <w:t>part-time</w:t>
      </w:r>
      <w:proofErr w:type="gramEnd"/>
      <w:r w:rsidRPr="00800674">
        <w:t xml:space="preserve"> or casual VET teachers may not regard teaching as their primary work or identify with the teaching workforce, which has implications for their attitudes towards CPD (Tyler and Dymock 2017</w:t>
      </w:r>
      <w:r w:rsidR="004734B4">
        <w:t>;</w:t>
      </w:r>
      <w:r w:rsidRPr="00800674">
        <w:t xml:space="preserve"> Clayton and Guthrie 201</w:t>
      </w:r>
      <w:r w:rsidR="00555E8F">
        <w:t>0</w:t>
      </w:r>
      <w:r w:rsidRPr="00800674">
        <w:t>). This raises questions about who, precisely, is responsible for supporting and funding their ongoing development.</w:t>
      </w:r>
    </w:p>
    <w:p w14:paraId="56D7BEE9" w14:textId="76E5347B" w:rsidR="007C14E6" w:rsidRDefault="00E41ADA" w:rsidP="00FA653A">
      <w:pPr>
        <w:pStyle w:val="Text"/>
      </w:pPr>
      <w:r w:rsidRPr="00015E78">
        <w:lastRenderedPageBreak/>
        <w:t xml:space="preserve">Knight et al. (2020) also report on the highest level of teaching qualifications held by private provider versus TAFE </w:t>
      </w:r>
      <w:r w:rsidR="007C14E6">
        <w:t>teachers</w:t>
      </w:r>
      <w:r w:rsidRPr="00015E78">
        <w:t>. While similar proportions of the private and TAFE teaching staff h</w:t>
      </w:r>
      <w:r w:rsidR="007C14E6">
        <w:t xml:space="preserve">old </w:t>
      </w:r>
      <w:r w:rsidRPr="00015E78">
        <w:t xml:space="preserve">the Certificate IV in TAE (mid-high 70%), private provider staff appear to have a slightly higher proportion with a Diploma-level qualification (10.6 </w:t>
      </w:r>
      <w:r w:rsidR="00F979E3">
        <w:t xml:space="preserve">compared with </w:t>
      </w:r>
      <w:r w:rsidRPr="00015E78">
        <w:t xml:space="preserve">7.2%). </w:t>
      </w:r>
      <w:r w:rsidR="00905D25" w:rsidRPr="00015E78">
        <w:t xml:space="preserve">On the other hand, </w:t>
      </w:r>
      <w:r w:rsidRPr="00015E78">
        <w:t>TAFE tend</w:t>
      </w:r>
      <w:r w:rsidR="007C14E6">
        <w:t>s</w:t>
      </w:r>
      <w:r w:rsidRPr="00015E78">
        <w:t xml:space="preserve"> to have a higher proportion of staff with</w:t>
      </w:r>
      <w:r w:rsidR="002C27B7">
        <w:t xml:space="preserve"> ‘</w:t>
      </w:r>
      <w:r w:rsidR="007C14E6">
        <w:t>a</w:t>
      </w:r>
      <w:r w:rsidRPr="00015E78">
        <w:t xml:space="preserve">ny other higher-level qualification in Adult Education’ (11.1 </w:t>
      </w:r>
      <w:r w:rsidR="00F979E3">
        <w:t xml:space="preserve">compared with </w:t>
      </w:r>
      <w:r w:rsidRPr="00015E78">
        <w:t>4.4%).</w:t>
      </w:r>
      <w:r w:rsidR="00D80807" w:rsidRPr="00015E78">
        <w:t xml:space="preserve"> </w:t>
      </w:r>
    </w:p>
    <w:p w14:paraId="7D54D3E2" w14:textId="20C12F52" w:rsidR="00E41ADA" w:rsidRPr="00015E78" w:rsidRDefault="00905D25" w:rsidP="00FA653A">
      <w:pPr>
        <w:pStyle w:val="Text"/>
      </w:pPr>
      <w:r w:rsidRPr="00015E78">
        <w:t xml:space="preserve">The key message </w:t>
      </w:r>
      <w:r w:rsidR="008537C0">
        <w:t xml:space="preserve">to take </w:t>
      </w:r>
      <w:r w:rsidR="00EA31AB">
        <w:t xml:space="preserve">from this data </w:t>
      </w:r>
      <w:r w:rsidRPr="00015E78">
        <w:t xml:space="preserve">is that the great majority of TAFE and private provider </w:t>
      </w:r>
      <w:r w:rsidR="007C14E6">
        <w:t xml:space="preserve">teachers </w:t>
      </w:r>
      <w:r w:rsidRPr="00015E78">
        <w:t>hold a Certificate IV teaching qualification</w:t>
      </w:r>
      <w:r w:rsidR="008537C0">
        <w:t xml:space="preserve"> which </w:t>
      </w:r>
      <w:r w:rsidRPr="00015E78">
        <w:t xml:space="preserve">raises </w:t>
      </w:r>
      <w:r w:rsidR="007C14E6">
        <w:t xml:space="preserve">questions about </w:t>
      </w:r>
      <w:r w:rsidRPr="00015E78">
        <w:t xml:space="preserve">the </w:t>
      </w:r>
      <w:r w:rsidR="00800674">
        <w:t xml:space="preserve">adequacy of this </w:t>
      </w:r>
      <w:r w:rsidR="008537C0">
        <w:t xml:space="preserve">level of </w:t>
      </w:r>
      <w:r w:rsidR="00800674">
        <w:t>qualification in ensuring quality teaching in VET and supporting teachers to achieve it</w:t>
      </w:r>
      <w:r w:rsidR="004734B4">
        <w:t xml:space="preserve"> without access to </w:t>
      </w:r>
      <w:r w:rsidR="008537C0">
        <w:t>ongoing development opportunities</w:t>
      </w:r>
      <w:r w:rsidR="001B48FE">
        <w:t xml:space="preserve">, including </w:t>
      </w:r>
      <w:r w:rsidR="0077294E">
        <w:t>higher level qualifications</w:t>
      </w:r>
      <w:r w:rsidR="00800674">
        <w:t>.</w:t>
      </w:r>
    </w:p>
    <w:p w14:paraId="4FCD0C8B" w14:textId="3CE48A71" w:rsidR="00D20AE0" w:rsidRDefault="005A3151" w:rsidP="009C7807">
      <w:pPr>
        <w:pStyle w:val="Heading2"/>
      </w:pPr>
      <w:bookmarkStart w:id="70" w:name="_Toc62204935"/>
      <w:r>
        <w:t xml:space="preserve">Strategies to improve </w:t>
      </w:r>
      <w:r w:rsidR="00D20AE0" w:rsidRPr="00D20AE0">
        <w:t>teacher quality</w:t>
      </w:r>
      <w:bookmarkEnd w:id="70"/>
      <w:r w:rsidR="00D20AE0" w:rsidRPr="00D20AE0">
        <w:t xml:space="preserve"> </w:t>
      </w:r>
    </w:p>
    <w:p w14:paraId="14EC2F8F" w14:textId="5E5991A3" w:rsidR="00502FF6" w:rsidRDefault="00094EC8" w:rsidP="00FA653A">
      <w:pPr>
        <w:pStyle w:val="Text"/>
      </w:pPr>
      <w:r w:rsidRPr="00FF48E4">
        <w:t xml:space="preserve">The 2011 Australian Productivity Commission’s report on the VET workforce investigated the issues affecting workforce planning and the development and structure of the workforce in the short, </w:t>
      </w:r>
      <w:proofErr w:type="gramStart"/>
      <w:r w:rsidRPr="00FF48E4">
        <w:t>medium</w:t>
      </w:r>
      <w:proofErr w:type="gramEnd"/>
      <w:r w:rsidRPr="00FF48E4">
        <w:t xml:space="preserve"> and longer term. The </w:t>
      </w:r>
      <w:r w:rsidR="00192571" w:rsidRPr="00FF48E4">
        <w:t>C</w:t>
      </w:r>
      <w:r w:rsidRPr="00FF48E4">
        <w:t xml:space="preserve">ommission noted that the VET </w:t>
      </w:r>
      <w:r w:rsidR="00F67264" w:rsidRPr="00FF48E4">
        <w:t xml:space="preserve">teaching </w:t>
      </w:r>
      <w:r w:rsidRPr="00FF48E4">
        <w:t xml:space="preserve">workforce was comprised of dual professionals (vocational experts and teachers), which necessitated their maintaining industry experience, </w:t>
      </w:r>
      <w:proofErr w:type="gramStart"/>
      <w:r w:rsidRPr="00FF48E4">
        <w:t>qualifications</w:t>
      </w:r>
      <w:proofErr w:type="gramEnd"/>
      <w:r w:rsidRPr="00FF48E4">
        <w:t xml:space="preserve"> and accreditations, as well as </w:t>
      </w:r>
      <w:r w:rsidR="006D10D2" w:rsidRPr="00FF48E4">
        <w:t>a</w:t>
      </w:r>
      <w:r w:rsidRPr="00FF48E4">
        <w:t xml:space="preserve"> relevant teaching qualification. Hence, VET </w:t>
      </w:r>
      <w:r w:rsidR="0034169D" w:rsidRPr="00FF48E4">
        <w:t>teacher</w:t>
      </w:r>
      <w:r w:rsidRPr="00FF48E4">
        <w:t xml:space="preserve">s </w:t>
      </w:r>
      <w:r w:rsidR="00650031" w:rsidRPr="00FF48E4">
        <w:t>generally, but not invariably</w:t>
      </w:r>
      <w:r w:rsidR="00FF48E4">
        <w:t>,</w:t>
      </w:r>
      <w:r w:rsidR="00650031" w:rsidRPr="00FF48E4">
        <w:t xml:space="preserve"> </w:t>
      </w:r>
      <w:r w:rsidRPr="00FF48E4">
        <w:t>require both teaching and occupational expertise.</w:t>
      </w:r>
      <w:r w:rsidR="009E73F0">
        <w:rPr>
          <w:rStyle w:val="FootnoteReference"/>
          <w:szCs w:val="19"/>
        </w:rPr>
        <w:footnoteReference w:id="8"/>
      </w:r>
    </w:p>
    <w:p w14:paraId="1E3A91B2" w14:textId="6F7AD57D" w:rsidR="003559AB" w:rsidRPr="00AE5DFB" w:rsidRDefault="00220D05" w:rsidP="00FA653A">
      <w:pPr>
        <w:pStyle w:val="Text"/>
      </w:pPr>
      <w:r w:rsidRPr="00AE5DFB">
        <w:t>Innovation</w:t>
      </w:r>
      <w:r w:rsidR="00577B97" w:rsidRPr="00AE5DFB">
        <w:t xml:space="preserve"> and Business Skills Australia (IBSA) </w:t>
      </w:r>
      <w:r w:rsidR="000E5E31" w:rsidRPr="00AE5DFB">
        <w:t>responded</w:t>
      </w:r>
      <w:r w:rsidR="00094EC8" w:rsidRPr="00AE5DFB">
        <w:t xml:space="preserve"> to the Productivity Commission’s report</w:t>
      </w:r>
      <w:r w:rsidR="000E5E31" w:rsidRPr="00AE5DFB">
        <w:t xml:space="preserve"> by</w:t>
      </w:r>
      <w:r w:rsidR="00094EC8" w:rsidRPr="00AE5DFB">
        <w:t xml:space="preserve"> commissio</w:t>
      </w:r>
      <w:r w:rsidR="000E5E31" w:rsidRPr="00AE5DFB">
        <w:t>ning</w:t>
      </w:r>
      <w:r w:rsidR="00094EC8" w:rsidRPr="00AE5DFB">
        <w:t xml:space="preserve"> a discussion paper</w:t>
      </w:r>
      <w:r w:rsidR="000E5E31" w:rsidRPr="00AE5DFB">
        <w:t>. Th</w:t>
      </w:r>
      <w:r w:rsidR="009A1C11" w:rsidRPr="00AE5DFB">
        <w:t>is paper</w:t>
      </w:r>
      <w:r w:rsidR="00A04ACF" w:rsidRPr="00AE5DFB">
        <w:t>, prepared by Precision Consultancy</w:t>
      </w:r>
      <w:r w:rsidR="00FB7270" w:rsidRPr="00AE5DFB">
        <w:t xml:space="preserve"> (2011),</w:t>
      </w:r>
      <w:r w:rsidR="00A04ACF" w:rsidRPr="00AE5DFB">
        <w:t xml:space="preserve"> </w:t>
      </w:r>
      <w:r w:rsidR="00094EC8" w:rsidRPr="00AE5DFB">
        <w:t>proposed the development of a national workforce capability framework for VET practitioners</w:t>
      </w:r>
      <w:r w:rsidR="002F65AE" w:rsidRPr="00AE5DFB">
        <w:t>. I</w:t>
      </w:r>
      <w:r w:rsidR="00474736" w:rsidRPr="00AE5DFB">
        <w:t xml:space="preserve">n </w:t>
      </w:r>
      <w:r w:rsidR="00094EC8" w:rsidRPr="00AE5DFB">
        <w:t>2013 the VET Practitioner Capability Framework was published by IBSA</w:t>
      </w:r>
      <w:r w:rsidR="008537C0" w:rsidRPr="00AE5DFB">
        <w:t xml:space="preserve">, </w:t>
      </w:r>
      <w:r w:rsidR="00094EC8" w:rsidRPr="00AE5DFB">
        <w:t xml:space="preserve">accompanied by an implementation guide describing the broad capabilities required for a range of job roles in the VET sector. </w:t>
      </w:r>
      <w:r w:rsidR="00650031" w:rsidRPr="00AE5DFB">
        <w:t xml:space="preserve">In the </w:t>
      </w:r>
      <w:r w:rsidR="000E11E0" w:rsidRPr="00AE5DFB">
        <w:t xml:space="preserve">year </w:t>
      </w:r>
      <w:r w:rsidR="00094EC8" w:rsidRPr="00AE5DFB">
        <w:t>the Productivity Commission</w:t>
      </w:r>
      <w:r w:rsidR="00D27B57" w:rsidRPr="00AE5DFB">
        <w:t>’s</w:t>
      </w:r>
      <w:r w:rsidR="00094EC8" w:rsidRPr="00AE5DFB">
        <w:t xml:space="preserve"> report</w:t>
      </w:r>
      <w:r w:rsidR="002F65AE" w:rsidRPr="00AE5DFB">
        <w:t xml:space="preserve"> was released</w:t>
      </w:r>
      <w:r w:rsidR="00094EC8" w:rsidRPr="00AE5DFB">
        <w:t xml:space="preserve">, </w:t>
      </w:r>
      <w:proofErr w:type="spellStart"/>
      <w:r w:rsidR="00094EC8" w:rsidRPr="00AE5DFB">
        <w:t>Wheelahan</w:t>
      </w:r>
      <w:proofErr w:type="spellEnd"/>
      <w:r w:rsidR="00094EC8" w:rsidRPr="00AE5DFB">
        <w:t xml:space="preserve"> and Moodie (201</w:t>
      </w:r>
      <w:r w:rsidR="00FA2EF0" w:rsidRPr="00AE5DFB">
        <w:t>1</w:t>
      </w:r>
      <w:r w:rsidR="00094EC8" w:rsidRPr="00AE5DFB">
        <w:t>)</w:t>
      </w:r>
      <w:r w:rsidR="0036458A" w:rsidRPr="00AE5DFB">
        <w:t xml:space="preserve"> </w:t>
      </w:r>
      <w:r w:rsidR="00094EC8" w:rsidRPr="00AE5DFB">
        <w:t xml:space="preserve">suggested approaches for improving the quality of VET teaching, producing a set of practical recommendations to be implemented in a staged process. </w:t>
      </w:r>
      <w:r w:rsidR="00503858" w:rsidRPr="00AE5DFB">
        <w:t xml:space="preserve">Staged approaches </w:t>
      </w:r>
      <w:r w:rsidR="003559AB" w:rsidRPr="00AE5DFB">
        <w:t xml:space="preserve">to teacher development </w:t>
      </w:r>
      <w:r w:rsidR="00503858" w:rsidRPr="00AE5DFB">
        <w:t>have a strong historical precedent</w:t>
      </w:r>
      <w:r w:rsidR="0094265F" w:rsidRPr="00AE5DFB">
        <w:t xml:space="preserve"> (Fleming 1978; </w:t>
      </w:r>
      <w:proofErr w:type="spellStart"/>
      <w:r w:rsidR="0094265F" w:rsidRPr="00AE5DFB">
        <w:t>Wheelahan</w:t>
      </w:r>
      <w:proofErr w:type="spellEnd"/>
      <w:r w:rsidR="0094265F" w:rsidRPr="00AE5DFB">
        <w:t xml:space="preserve"> </w:t>
      </w:r>
      <w:r w:rsidR="001334C8" w:rsidRPr="00AE5DFB">
        <w:t>and</w:t>
      </w:r>
      <w:r w:rsidR="0094265F" w:rsidRPr="00AE5DFB">
        <w:t xml:space="preserve"> Moodie 2011; Harris 2020) with early staged approaches to initial training and ongoing PD </w:t>
      </w:r>
      <w:r w:rsidR="00D27B57" w:rsidRPr="00AE5DFB">
        <w:t xml:space="preserve">also </w:t>
      </w:r>
      <w:r w:rsidR="0094265F" w:rsidRPr="00AE5DFB">
        <w:t>described in Hall et al. (1991).</w:t>
      </w:r>
    </w:p>
    <w:p w14:paraId="0296B579" w14:textId="41A876F8" w:rsidR="00503858" w:rsidRPr="00EA31AB" w:rsidRDefault="00503858" w:rsidP="00FA653A">
      <w:pPr>
        <w:pStyle w:val="Text"/>
      </w:pPr>
      <w:r w:rsidRPr="00EA31AB">
        <w:t>However, high levels of casualisation present</w:t>
      </w:r>
      <w:r w:rsidR="003559AB">
        <w:t xml:space="preserve"> </w:t>
      </w:r>
      <w:r w:rsidRPr="00EA31AB">
        <w:t xml:space="preserve">challenges </w:t>
      </w:r>
      <w:r w:rsidR="003559AB">
        <w:t xml:space="preserve">to </w:t>
      </w:r>
      <w:r w:rsidRPr="00EA31AB">
        <w:t>supporting beginning, part-time and casual teach</w:t>
      </w:r>
      <w:r w:rsidR="007942DC">
        <w:t>ing</w:t>
      </w:r>
      <w:r w:rsidR="003559AB">
        <w:t xml:space="preserve"> </w:t>
      </w:r>
      <w:r w:rsidRPr="00EA31AB">
        <w:t xml:space="preserve">staff as they can have limited access to </w:t>
      </w:r>
      <w:proofErr w:type="gramStart"/>
      <w:r w:rsidRPr="00EA31AB">
        <w:t>provider-supported</w:t>
      </w:r>
      <w:proofErr w:type="gramEnd"/>
      <w:r w:rsidRPr="00EA31AB">
        <w:t xml:space="preserve"> </w:t>
      </w:r>
      <w:r w:rsidR="003559AB">
        <w:t>C</w:t>
      </w:r>
      <w:r w:rsidRPr="00EA31AB">
        <w:t>PD opportunities (</w:t>
      </w:r>
      <w:r w:rsidR="001334C8">
        <w:t xml:space="preserve">Australian </w:t>
      </w:r>
      <w:r w:rsidRPr="00EA31AB">
        <w:t xml:space="preserve">Productivity Commission 2011; Guthrie </w:t>
      </w:r>
      <w:r w:rsidR="001334C8">
        <w:t>and</w:t>
      </w:r>
      <w:r w:rsidRPr="00EA31AB">
        <w:t xml:space="preserve"> Every 2013)</w:t>
      </w:r>
      <w:r w:rsidR="003559AB">
        <w:t xml:space="preserve">, </w:t>
      </w:r>
      <w:r w:rsidR="002C7083">
        <w:t>particularly</w:t>
      </w:r>
      <w:r w:rsidR="003559AB">
        <w:t xml:space="preserve"> if they are part of a staged approach. These teachers </w:t>
      </w:r>
      <w:r w:rsidRPr="00EA31AB">
        <w:t xml:space="preserve">may </w:t>
      </w:r>
      <w:r w:rsidR="003559AB">
        <w:t xml:space="preserve">also </w:t>
      </w:r>
      <w:r w:rsidRPr="00EA31AB">
        <w:t xml:space="preserve">be reluctant to take on PD at their own expense and in their own time. Tuck and Smith (2017) identify these factors as significant barriers to CPD for VET teachers. </w:t>
      </w:r>
    </w:p>
    <w:p w14:paraId="7D8E073A" w14:textId="57A1C483" w:rsidR="0056762B" w:rsidRDefault="00094EC8" w:rsidP="00FA653A">
      <w:pPr>
        <w:pStyle w:val="Text"/>
        <w:rPr>
          <w:color w:val="000000"/>
          <w:lang w:val="en-US"/>
        </w:rPr>
      </w:pPr>
      <w:r w:rsidRPr="009711B0">
        <w:t xml:space="preserve">More recently, Rasmussen (2016) developed a set of strategies covering areas </w:t>
      </w:r>
      <w:proofErr w:type="gramStart"/>
      <w:r w:rsidRPr="009711B0">
        <w:t>similar to</w:t>
      </w:r>
      <w:proofErr w:type="gramEnd"/>
      <w:r w:rsidRPr="009711B0">
        <w:t xml:space="preserve"> those identified by </w:t>
      </w:r>
      <w:proofErr w:type="spellStart"/>
      <w:r w:rsidRPr="009711B0">
        <w:t>Wheelahan</w:t>
      </w:r>
      <w:proofErr w:type="spellEnd"/>
      <w:r w:rsidRPr="009711B0">
        <w:t xml:space="preserve"> and Moodie (201</w:t>
      </w:r>
      <w:r w:rsidR="00FA2EF0">
        <w:t>1</w:t>
      </w:r>
      <w:r w:rsidRPr="009711B0">
        <w:t xml:space="preserve">), which included VET teacher qualifications, professional teaching standards and/or registration, and </w:t>
      </w:r>
      <w:r w:rsidR="0041252E">
        <w:t xml:space="preserve">CPD </w:t>
      </w:r>
      <w:r w:rsidRPr="009711B0">
        <w:t>for maintain</w:t>
      </w:r>
      <w:r w:rsidR="00A36658">
        <w:t>ing</w:t>
      </w:r>
      <w:r w:rsidRPr="009711B0">
        <w:t xml:space="preserve"> teacher currency and competency. Rasmussen’s research led her to recommend that RTOs implement their own systems for ensuring their </w:t>
      </w:r>
      <w:r w:rsidR="0034169D">
        <w:t>teacher</w:t>
      </w:r>
      <w:r w:rsidRPr="009711B0">
        <w:t>s maintain industry currency and experience</w:t>
      </w:r>
      <w:r w:rsidR="00A36658">
        <w:t xml:space="preserve">. </w:t>
      </w:r>
      <w:r w:rsidR="00DC0EB1">
        <w:t xml:space="preserve">According to </w:t>
      </w:r>
      <w:r w:rsidR="008152E3" w:rsidRPr="00B62607">
        <w:rPr>
          <w:color w:val="000000"/>
          <w:lang w:val="en-US"/>
        </w:rPr>
        <w:t>Toze and Tierney (2010</w:t>
      </w:r>
      <w:r w:rsidR="00DC0EB1">
        <w:rPr>
          <w:color w:val="000000"/>
          <w:lang w:val="en-US"/>
        </w:rPr>
        <w:t xml:space="preserve">), </w:t>
      </w:r>
      <w:r w:rsidR="008152E3" w:rsidRPr="00B62607">
        <w:rPr>
          <w:color w:val="000000"/>
          <w:lang w:val="en-US"/>
        </w:rPr>
        <w:t xml:space="preserve">RTOs </w:t>
      </w:r>
      <w:r w:rsidR="0056762B">
        <w:rPr>
          <w:color w:val="000000"/>
          <w:lang w:val="en-US"/>
        </w:rPr>
        <w:t xml:space="preserve">use </w:t>
      </w:r>
      <w:r w:rsidR="008152E3" w:rsidRPr="00B62607">
        <w:rPr>
          <w:color w:val="000000"/>
          <w:lang w:val="en-US"/>
        </w:rPr>
        <w:t xml:space="preserve">a broad range of approaches to </w:t>
      </w:r>
      <w:r w:rsidR="0056762B">
        <w:rPr>
          <w:color w:val="000000"/>
          <w:lang w:val="en-US"/>
        </w:rPr>
        <w:t xml:space="preserve">support teachers to update their industry expertise, which is a </w:t>
      </w:r>
      <w:r w:rsidR="00DC0EB1">
        <w:rPr>
          <w:color w:val="000000"/>
          <w:lang w:val="en-US"/>
        </w:rPr>
        <w:t xml:space="preserve">requirement in the </w:t>
      </w:r>
      <w:r w:rsidR="00B94802" w:rsidRPr="00A03DEB">
        <w:t>RTO Standards</w:t>
      </w:r>
      <w:r w:rsidR="00DC0EB1">
        <w:t xml:space="preserve"> </w:t>
      </w:r>
      <w:r w:rsidR="00FA2EF0" w:rsidRPr="007F0429">
        <w:t>(ASQA 2019)</w:t>
      </w:r>
      <w:r w:rsidR="002B163A">
        <w:t>.</w:t>
      </w:r>
      <w:r w:rsidR="0056762B">
        <w:t xml:space="preserve"> </w:t>
      </w:r>
    </w:p>
    <w:p w14:paraId="17941DB0" w14:textId="30796CBE" w:rsidR="00094EC8" w:rsidRPr="00B62607" w:rsidRDefault="0056762B" w:rsidP="00FA653A">
      <w:pPr>
        <w:pStyle w:val="Text"/>
        <w:rPr>
          <w:color w:val="000000"/>
          <w:lang w:val="en-US"/>
        </w:rPr>
      </w:pPr>
      <w:r>
        <w:rPr>
          <w:color w:val="000000"/>
          <w:lang w:val="en-US"/>
        </w:rPr>
        <w:lastRenderedPageBreak/>
        <w:t xml:space="preserve">The </w:t>
      </w:r>
      <w:r w:rsidR="00AE6712" w:rsidRPr="009711B0">
        <w:t>challenge</w:t>
      </w:r>
      <w:r w:rsidR="009F5173" w:rsidRPr="009711B0">
        <w:t xml:space="preserve"> for RTOs in </w:t>
      </w:r>
      <w:r w:rsidR="00DC0EB1">
        <w:t xml:space="preserve">meeting </w:t>
      </w:r>
      <w:r w:rsidR="009F5173" w:rsidRPr="009711B0">
        <w:t>the standards is ensur</w:t>
      </w:r>
      <w:r w:rsidR="00DC0EB1">
        <w:t xml:space="preserve">ing </w:t>
      </w:r>
      <w:r w:rsidR="009F5173" w:rsidRPr="009711B0">
        <w:t xml:space="preserve">that </w:t>
      </w:r>
      <w:r w:rsidR="009F5173">
        <w:t>teachers</w:t>
      </w:r>
      <w:r w:rsidR="009F5173" w:rsidRPr="009711B0">
        <w:t xml:space="preserve"> remain curren</w:t>
      </w:r>
      <w:r w:rsidR="009F5173">
        <w:t>t</w:t>
      </w:r>
      <w:r w:rsidR="009F5173" w:rsidRPr="009711B0">
        <w:t xml:space="preserve"> with ongoing </w:t>
      </w:r>
      <w:r>
        <w:t xml:space="preserve">and sometimes rapid </w:t>
      </w:r>
      <w:r w:rsidR="009F5173" w:rsidRPr="009711B0">
        <w:t xml:space="preserve">changes </w:t>
      </w:r>
      <w:r w:rsidR="005203D3">
        <w:t>in r</w:t>
      </w:r>
      <w:r w:rsidR="005203D3" w:rsidRPr="009711B0">
        <w:t>egulatory requirements</w:t>
      </w:r>
      <w:r>
        <w:t xml:space="preserve">, </w:t>
      </w:r>
      <w:r w:rsidR="005203D3" w:rsidRPr="009711B0">
        <w:t>technologie</w:t>
      </w:r>
      <w:r w:rsidR="005203D3">
        <w:t xml:space="preserve">s </w:t>
      </w:r>
      <w:r w:rsidR="005203D3" w:rsidRPr="009711B0">
        <w:t xml:space="preserve">and </w:t>
      </w:r>
      <w:r w:rsidR="005203D3">
        <w:t xml:space="preserve">work </w:t>
      </w:r>
      <w:r w:rsidR="005203D3" w:rsidRPr="009711B0">
        <w:t>practice</w:t>
      </w:r>
      <w:r w:rsidR="005203D3">
        <w:t>s</w:t>
      </w:r>
      <w:r w:rsidR="005203D3" w:rsidRPr="009711B0">
        <w:t xml:space="preserve"> </w:t>
      </w:r>
      <w:r w:rsidR="005203D3">
        <w:t xml:space="preserve">in industry </w:t>
      </w:r>
      <w:r>
        <w:t xml:space="preserve">and the workplace </w:t>
      </w:r>
      <w:r w:rsidR="005203D3" w:rsidRPr="009711B0">
        <w:t>(Tyler &amp; Dymock 2017)</w:t>
      </w:r>
      <w:r w:rsidR="009F5173">
        <w:t xml:space="preserve"> </w:t>
      </w:r>
      <w:r>
        <w:t xml:space="preserve">and even </w:t>
      </w:r>
      <w:r w:rsidR="005203D3">
        <w:t>enhance</w:t>
      </w:r>
      <w:r w:rsidR="006F769F">
        <w:t xml:space="preserve"> </w:t>
      </w:r>
      <w:r w:rsidR="005203D3">
        <w:t xml:space="preserve">their </w:t>
      </w:r>
      <w:r w:rsidR="009F5173" w:rsidRPr="009711B0">
        <w:t xml:space="preserve">vocational competence. </w:t>
      </w:r>
      <w:r w:rsidR="002C7083">
        <w:t>However, e</w:t>
      </w:r>
      <w:r w:rsidR="00B256F2">
        <w:t xml:space="preserve">ven employers, as </w:t>
      </w:r>
      <w:r w:rsidR="009F5173" w:rsidRPr="00AF2888">
        <w:rPr>
          <w:color w:val="000000"/>
          <w:lang w:val="en-US"/>
        </w:rPr>
        <w:t xml:space="preserve">Clayton et al. </w:t>
      </w:r>
      <w:r w:rsidR="009F5173">
        <w:rPr>
          <w:color w:val="000000"/>
          <w:lang w:val="en-US"/>
        </w:rPr>
        <w:t>(2013</w:t>
      </w:r>
      <w:r w:rsidR="009F5173" w:rsidRPr="00AF2888">
        <w:rPr>
          <w:color w:val="000000"/>
          <w:lang w:val="en-US"/>
        </w:rPr>
        <w:t xml:space="preserve">) </w:t>
      </w:r>
      <w:r w:rsidR="009F5173">
        <w:rPr>
          <w:color w:val="000000"/>
          <w:lang w:val="en-US"/>
        </w:rPr>
        <w:t>point out</w:t>
      </w:r>
      <w:r w:rsidR="00B256F2">
        <w:rPr>
          <w:color w:val="000000"/>
          <w:lang w:val="en-US"/>
        </w:rPr>
        <w:t xml:space="preserve">, </w:t>
      </w:r>
      <w:r w:rsidR="009F5173" w:rsidRPr="00AF2888">
        <w:rPr>
          <w:color w:val="000000"/>
          <w:lang w:val="en-US"/>
        </w:rPr>
        <w:t>consider</w:t>
      </w:r>
      <w:r w:rsidR="00786AF2">
        <w:rPr>
          <w:color w:val="000000"/>
          <w:lang w:val="en-US"/>
        </w:rPr>
        <w:t xml:space="preserve"> it </w:t>
      </w:r>
      <w:r w:rsidR="00B256F2">
        <w:rPr>
          <w:color w:val="000000"/>
          <w:lang w:val="en-US"/>
        </w:rPr>
        <w:t xml:space="preserve">almost </w:t>
      </w:r>
      <w:r w:rsidR="00786AF2">
        <w:rPr>
          <w:color w:val="000000"/>
          <w:lang w:val="en-US"/>
        </w:rPr>
        <w:t>im</w:t>
      </w:r>
      <w:r w:rsidR="009F5173" w:rsidRPr="00AF2888">
        <w:rPr>
          <w:color w:val="000000"/>
          <w:lang w:val="en-US"/>
        </w:rPr>
        <w:t xml:space="preserve">possible for </w:t>
      </w:r>
      <w:r w:rsidR="00B256F2">
        <w:rPr>
          <w:color w:val="000000"/>
          <w:lang w:val="en-US"/>
        </w:rPr>
        <w:t xml:space="preserve">VET </w:t>
      </w:r>
      <w:r w:rsidR="009F5173" w:rsidRPr="00AF2888">
        <w:rPr>
          <w:color w:val="000000"/>
          <w:lang w:val="en-US"/>
        </w:rPr>
        <w:t>t</w:t>
      </w:r>
      <w:r w:rsidR="00786AF2">
        <w:rPr>
          <w:color w:val="000000"/>
          <w:lang w:val="en-US"/>
        </w:rPr>
        <w:t xml:space="preserve">eachers </w:t>
      </w:r>
      <w:r w:rsidR="009F5173" w:rsidRPr="00AF2888">
        <w:rPr>
          <w:color w:val="000000"/>
          <w:lang w:val="en-US"/>
        </w:rPr>
        <w:t>to keep abreast of every change</w:t>
      </w:r>
      <w:r w:rsidR="005203D3">
        <w:rPr>
          <w:color w:val="000000"/>
          <w:lang w:val="en-US"/>
        </w:rPr>
        <w:t xml:space="preserve"> in their industry</w:t>
      </w:r>
      <w:r w:rsidR="00796210">
        <w:rPr>
          <w:color w:val="000000"/>
          <w:lang w:val="en-US"/>
        </w:rPr>
        <w:t xml:space="preserve">. </w:t>
      </w:r>
      <w:r w:rsidR="00B256F2" w:rsidRPr="00B256F2">
        <w:rPr>
          <w:color w:val="000000"/>
          <w:lang w:val="en-US"/>
        </w:rPr>
        <w:t xml:space="preserve">Clayton et al. (2013) </w:t>
      </w:r>
      <w:r w:rsidR="00786AF2">
        <w:rPr>
          <w:color w:val="000000"/>
          <w:lang w:val="en-US"/>
        </w:rPr>
        <w:t xml:space="preserve">also found </w:t>
      </w:r>
      <w:r w:rsidR="009F5173" w:rsidRPr="00AF2888">
        <w:rPr>
          <w:color w:val="000000"/>
          <w:lang w:val="en-US"/>
        </w:rPr>
        <w:t xml:space="preserve">that </w:t>
      </w:r>
      <w:r w:rsidR="00786AF2">
        <w:rPr>
          <w:color w:val="000000"/>
          <w:lang w:val="en-US"/>
        </w:rPr>
        <w:t xml:space="preserve">the </w:t>
      </w:r>
      <w:r w:rsidR="009F5173" w:rsidRPr="00AF2888">
        <w:rPr>
          <w:color w:val="000000"/>
          <w:lang w:val="en-US"/>
        </w:rPr>
        <w:t xml:space="preserve">views of ASQA auditors about how </w:t>
      </w:r>
      <w:r w:rsidR="00786AF2">
        <w:rPr>
          <w:color w:val="000000"/>
          <w:lang w:val="en-US"/>
        </w:rPr>
        <w:t xml:space="preserve">industry </w:t>
      </w:r>
      <w:r w:rsidR="009F5173" w:rsidRPr="00AF2888">
        <w:rPr>
          <w:color w:val="000000"/>
          <w:lang w:val="en-US"/>
        </w:rPr>
        <w:t xml:space="preserve">currency might be maintained </w:t>
      </w:r>
      <w:r w:rsidR="005203D3">
        <w:rPr>
          <w:color w:val="000000"/>
          <w:lang w:val="en-US"/>
        </w:rPr>
        <w:t xml:space="preserve">by teachers </w:t>
      </w:r>
      <w:r w:rsidR="009F5173" w:rsidRPr="00AF2888">
        <w:rPr>
          <w:color w:val="000000"/>
          <w:lang w:val="en-US"/>
        </w:rPr>
        <w:t xml:space="preserve">did not </w:t>
      </w:r>
      <w:r w:rsidR="00F979E3">
        <w:rPr>
          <w:color w:val="000000"/>
          <w:lang w:val="en-US"/>
        </w:rPr>
        <w:t xml:space="preserve">always </w:t>
      </w:r>
      <w:r w:rsidR="009F5173" w:rsidRPr="00AF2888">
        <w:rPr>
          <w:color w:val="000000"/>
          <w:lang w:val="en-US"/>
        </w:rPr>
        <w:t>align with th</w:t>
      </w:r>
      <w:r w:rsidR="00786AF2">
        <w:rPr>
          <w:color w:val="000000"/>
          <w:lang w:val="en-US"/>
        </w:rPr>
        <w:t xml:space="preserve">ose </w:t>
      </w:r>
      <w:r w:rsidR="009F5173" w:rsidRPr="00AF2888">
        <w:rPr>
          <w:color w:val="000000"/>
          <w:lang w:val="en-US"/>
        </w:rPr>
        <w:t>of industry or RTOs</w:t>
      </w:r>
      <w:r w:rsidR="00786AF2">
        <w:rPr>
          <w:color w:val="000000"/>
          <w:lang w:val="en-US"/>
        </w:rPr>
        <w:t xml:space="preserve">. </w:t>
      </w:r>
    </w:p>
    <w:p w14:paraId="03EE0F43" w14:textId="2700FA1F" w:rsidR="0088637C" w:rsidRDefault="00241CEA" w:rsidP="00FA653A">
      <w:pPr>
        <w:pStyle w:val="Text"/>
      </w:pPr>
      <w:r>
        <w:t xml:space="preserve">RTOs must also demonstrate </w:t>
      </w:r>
      <w:r w:rsidR="00B256F2">
        <w:t xml:space="preserve">to ASQA that their </w:t>
      </w:r>
      <w:r w:rsidR="0088637C">
        <w:t>t</w:t>
      </w:r>
      <w:r w:rsidR="005A3151">
        <w:t xml:space="preserve">eachers </w:t>
      </w:r>
      <w:r>
        <w:t>have ‘</w:t>
      </w:r>
      <w:r w:rsidRPr="009613D1">
        <w:t>current knowledge and skills in vocational training and learning that informs their training and assessment</w:t>
      </w:r>
      <w:r w:rsidR="0088637C">
        <w:t>’</w:t>
      </w:r>
      <w:r>
        <w:t xml:space="preserve"> (ASQA, </w:t>
      </w:r>
      <w:r w:rsidRPr="00241CEA">
        <w:t>2019</w:t>
      </w:r>
      <w:r>
        <w:t xml:space="preserve">. </w:t>
      </w:r>
      <w:r w:rsidR="00ED5705">
        <w:t>p.</w:t>
      </w:r>
      <w:r>
        <w:t>61)</w:t>
      </w:r>
      <w:r w:rsidRPr="009613D1">
        <w:t>.</w:t>
      </w:r>
      <w:r>
        <w:t xml:space="preserve"> </w:t>
      </w:r>
      <w:r w:rsidR="00094EC8" w:rsidRPr="009711B0">
        <w:t>Harris</w:t>
      </w:r>
      <w:r w:rsidR="00796210">
        <w:t xml:space="preserve"> (</w:t>
      </w:r>
      <w:r w:rsidR="00094EC8" w:rsidRPr="009711B0">
        <w:t>2015</w:t>
      </w:r>
      <w:r w:rsidR="00796210">
        <w:t xml:space="preserve">, </w:t>
      </w:r>
      <w:r w:rsidR="00ED5705">
        <w:t>p.</w:t>
      </w:r>
      <w:r w:rsidR="00796210">
        <w:t xml:space="preserve">14) highlights the importance </w:t>
      </w:r>
      <w:r w:rsidR="00B256F2">
        <w:t xml:space="preserve">to quality in the sector </w:t>
      </w:r>
      <w:r w:rsidR="002C27B7">
        <w:t>of VET</w:t>
      </w:r>
      <w:r w:rsidR="00796210">
        <w:t xml:space="preserve"> teachers having </w:t>
      </w:r>
      <w:r w:rsidR="00796210" w:rsidRPr="00796210">
        <w:t>a solid understanding of</w:t>
      </w:r>
      <w:r w:rsidR="00796210">
        <w:t xml:space="preserve"> </w:t>
      </w:r>
      <w:r w:rsidR="00796210" w:rsidRPr="00796210">
        <w:t xml:space="preserve">the </w:t>
      </w:r>
      <w:r w:rsidR="00796210">
        <w:t>‘</w:t>
      </w:r>
      <w:r w:rsidR="00796210" w:rsidRPr="00796210">
        <w:t>psychology and sociology of learning and curriculum design</w:t>
      </w:r>
      <w:r w:rsidR="00796210">
        <w:t xml:space="preserve">’ </w:t>
      </w:r>
      <w:r w:rsidR="0010759B">
        <w:t xml:space="preserve">and </w:t>
      </w:r>
      <w:r w:rsidR="0010759B" w:rsidRPr="00796210">
        <w:t>how to assess ‘without defaulting to ticks and flicks on standard checklists’</w:t>
      </w:r>
      <w:r w:rsidR="00796210">
        <w:t>. His</w:t>
      </w:r>
      <w:r w:rsidR="00796210" w:rsidRPr="009711B0">
        <w:t xml:space="preserve"> </w:t>
      </w:r>
      <w:r w:rsidR="00094EC8" w:rsidRPr="009711B0">
        <w:t>report focused on the development of pedagogical skills</w:t>
      </w:r>
      <w:r w:rsidR="0041252E">
        <w:t xml:space="preserve"> in VET</w:t>
      </w:r>
      <w:r w:rsidR="00094EC8" w:rsidRPr="009711B0">
        <w:t xml:space="preserve">, which are not covered by the RTO Standards, emphasising the need for VET teachers to develop </w:t>
      </w:r>
      <w:r w:rsidR="00796210">
        <w:t xml:space="preserve">both the </w:t>
      </w:r>
      <w:proofErr w:type="gramStart"/>
      <w:r w:rsidR="00094EC8" w:rsidRPr="009711B0">
        <w:t>knowledge</w:t>
      </w:r>
      <w:proofErr w:type="gramEnd"/>
      <w:r w:rsidR="00094EC8" w:rsidRPr="009711B0">
        <w:t xml:space="preserve"> and understanding of the content they have to </w:t>
      </w:r>
      <w:r w:rsidR="00FE73B8" w:rsidRPr="009711B0">
        <w:t>teach,</w:t>
      </w:r>
      <w:r w:rsidR="00094EC8" w:rsidRPr="009711B0">
        <w:t xml:space="preserve"> and the teaching skills required </w:t>
      </w:r>
      <w:r>
        <w:t xml:space="preserve">to do </w:t>
      </w:r>
      <w:r w:rsidR="00094EC8" w:rsidRPr="009711B0">
        <w:t>this</w:t>
      </w:r>
      <w:r w:rsidR="00B256F2">
        <w:t xml:space="preserve"> well</w:t>
      </w:r>
      <w:r w:rsidR="00094EC8" w:rsidRPr="009711B0">
        <w:t xml:space="preserve">. </w:t>
      </w:r>
    </w:p>
    <w:p w14:paraId="14B0FE88" w14:textId="77D7F128" w:rsidR="009E67D2" w:rsidRDefault="00FA2EF0" w:rsidP="00FA653A">
      <w:pPr>
        <w:pStyle w:val="Text"/>
      </w:pPr>
      <w:r>
        <w:t xml:space="preserve">Harris </w:t>
      </w:r>
      <w:r w:rsidR="008F0FAD">
        <w:t>(2015)</w:t>
      </w:r>
      <w:r w:rsidR="0010703F">
        <w:t xml:space="preserve">, </w:t>
      </w:r>
      <w:r>
        <w:t>Guthrie and Jones (2018)</w:t>
      </w:r>
      <w:r w:rsidR="00BE3DEA">
        <w:t>,</w:t>
      </w:r>
      <w:r w:rsidR="00F74E79">
        <w:t xml:space="preserve"> and Smith </w:t>
      </w:r>
      <w:r w:rsidR="0010703F">
        <w:t>(</w:t>
      </w:r>
      <w:r w:rsidR="00F74E79">
        <w:t>2019)</w:t>
      </w:r>
      <w:r>
        <w:t xml:space="preserve"> </w:t>
      </w:r>
      <w:r w:rsidR="00BB745A">
        <w:t xml:space="preserve">question </w:t>
      </w:r>
      <w:r w:rsidR="00BB745A" w:rsidRPr="009711B0">
        <w:t xml:space="preserve">the </w:t>
      </w:r>
      <w:r w:rsidR="00BB745A">
        <w:t xml:space="preserve">adequacy of the </w:t>
      </w:r>
      <w:r w:rsidR="00BB745A" w:rsidRPr="009711B0">
        <w:t xml:space="preserve">Certificate IV </w:t>
      </w:r>
      <w:r w:rsidR="00BB745A">
        <w:t>in TAE a</w:t>
      </w:r>
      <w:r w:rsidR="00BB745A" w:rsidRPr="009711B0">
        <w:t>s a baseline qualification</w:t>
      </w:r>
      <w:r w:rsidR="00BB745A">
        <w:t xml:space="preserve"> for </w:t>
      </w:r>
      <w:r w:rsidR="00E44908">
        <w:t xml:space="preserve">developing this level of </w:t>
      </w:r>
      <w:r w:rsidR="009E67D2">
        <w:t xml:space="preserve">teaching </w:t>
      </w:r>
      <w:r w:rsidR="00E44908">
        <w:t xml:space="preserve">expertise. They </w:t>
      </w:r>
      <w:r w:rsidR="00A7149E" w:rsidRPr="009711B0">
        <w:t>ma</w:t>
      </w:r>
      <w:r w:rsidR="00332FEF">
        <w:t>k</w:t>
      </w:r>
      <w:r w:rsidR="00A7149E" w:rsidRPr="009711B0">
        <w:t>e</w:t>
      </w:r>
      <w:r w:rsidR="00094EC8" w:rsidRPr="009711B0">
        <w:t xml:space="preserve"> </w:t>
      </w:r>
      <w:r w:rsidR="00F74E79">
        <w:t>a strong</w:t>
      </w:r>
      <w:r w:rsidR="00094EC8" w:rsidRPr="009711B0">
        <w:t xml:space="preserve"> case for continuing </w:t>
      </w:r>
      <w:r w:rsidR="00E82B5E" w:rsidRPr="009711B0">
        <w:t xml:space="preserve">formal and informal </w:t>
      </w:r>
      <w:r w:rsidR="0041252E">
        <w:t xml:space="preserve">PD </w:t>
      </w:r>
      <w:r w:rsidR="00E44908">
        <w:t xml:space="preserve">for teachers </w:t>
      </w:r>
      <w:r w:rsidR="00E44908" w:rsidRPr="009711B0">
        <w:t xml:space="preserve">following </w:t>
      </w:r>
      <w:r w:rsidR="00E44908">
        <w:t xml:space="preserve">their achievement of the </w:t>
      </w:r>
      <w:r w:rsidR="00BB745A">
        <w:t>Certificate</w:t>
      </w:r>
      <w:r w:rsidR="00E44908">
        <w:t xml:space="preserve"> IV</w:t>
      </w:r>
      <w:r w:rsidR="00DA0A66">
        <w:t>.</w:t>
      </w:r>
      <w:r w:rsidR="0041252E">
        <w:t xml:space="preserve"> </w:t>
      </w:r>
      <w:r w:rsidR="0094265F" w:rsidRPr="0094265F">
        <w:t xml:space="preserve">Clayton (2009) highlights the importance of </w:t>
      </w:r>
      <w:r w:rsidR="00B256F2">
        <w:t xml:space="preserve">this </w:t>
      </w:r>
      <w:r w:rsidR="0094265F" w:rsidRPr="0094265F">
        <w:t>to new VET teachers who often find it difficult to meet</w:t>
      </w:r>
      <w:r w:rsidR="0094265F">
        <w:t xml:space="preserve"> the needs of diverse learners.</w:t>
      </w:r>
    </w:p>
    <w:p w14:paraId="0E45BBC7" w14:textId="54BAEA10" w:rsidR="0094265F" w:rsidRDefault="0010759B" w:rsidP="00FA653A">
      <w:pPr>
        <w:pStyle w:val="Text"/>
      </w:pPr>
      <w:r>
        <w:t>W</w:t>
      </w:r>
      <w:r w:rsidR="000067CA" w:rsidRPr="003E5135">
        <w:t xml:space="preserve">ork by </w:t>
      </w:r>
      <w:r>
        <w:t xml:space="preserve">the </w:t>
      </w:r>
      <w:r w:rsidR="00937E87">
        <w:t xml:space="preserve">University of Melbourne’s </w:t>
      </w:r>
      <w:r w:rsidR="000067CA" w:rsidRPr="003E5135">
        <w:t>L H Martin Centre</w:t>
      </w:r>
      <w:r w:rsidR="00E44908">
        <w:t xml:space="preserve"> </w:t>
      </w:r>
      <w:r>
        <w:t xml:space="preserve">found </w:t>
      </w:r>
      <w:r w:rsidR="000067CA" w:rsidRPr="003E5135">
        <w:t xml:space="preserve">the best </w:t>
      </w:r>
      <w:r w:rsidR="003E5135">
        <w:t xml:space="preserve">approaches </w:t>
      </w:r>
      <w:r w:rsidR="000067CA" w:rsidRPr="003E5135">
        <w:t>to develop</w:t>
      </w:r>
      <w:r w:rsidR="00937E87">
        <w:t>ing</w:t>
      </w:r>
      <w:r w:rsidR="000067CA" w:rsidRPr="003E5135">
        <w:t xml:space="preserve"> </w:t>
      </w:r>
      <w:r w:rsidR="00DA0A66">
        <w:t>VET</w:t>
      </w:r>
      <w:r>
        <w:t xml:space="preserve"> </w:t>
      </w:r>
      <w:r w:rsidR="00E44908">
        <w:t xml:space="preserve">teacher </w:t>
      </w:r>
      <w:r w:rsidR="00DA0A66">
        <w:t>expertise</w:t>
      </w:r>
      <w:r>
        <w:t xml:space="preserve"> </w:t>
      </w:r>
      <w:r w:rsidR="003E5135">
        <w:t>are, in order of highest ranking</w:t>
      </w:r>
      <w:r w:rsidR="00113D44">
        <w:t xml:space="preserve"> of 342 survey responses</w:t>
      </w:r>
      <w:r w:rsidR="003E5135">
        <w:t xml:space="preserve">: </w:t>
      </w:r>
      <w:r w:rsidR="000067CA" w:rsidRPr="003E5135">
        <w:t xml:space="preserve">ongoing and structured PD (309), mentoring (308), industry experience (294), teaching experience (289) and peer to peer support (287). Less highly rated but still significant approaches </w:t>
      </w:r>
      <w:proofErr w:type="gramStart"/>
      <w:r w:rsidR="000067CA" w:rsidRPr="003E5135">
        <w:t>include:</w:t>
      </w:r>
      <w:proofErr w:type="gramEnd"/>
      <w:r w:rsidR="000067CA" w:rsidRPr="003E5135">
        <w:t xml:space="preserve"> formal teaching qualifications and teacher observation (both 239), other formal qualifications (235) and </w:t>
      </w:r>
      <w:r w:rsidR="00E44908">
        <w:t>c</w:t>
      </w:r>
      <w:r w:rsidR="000067CA" w:rsidRPr="003E5135">
        <w:t xml:space="preserve">ommunities of </w:t>
      </w:r>
      <w:r w:rsidR="00E44908">
        <w:t>p</w:t>
      </w:r>
      <w:r w:rsidR="000067CA" w:rsidRPr="003E5135">
        <w:t>ractice (227)</w:t>
      </w:r>
      <w:r w:rsidR="003E5135" w:rsidRPr="003E5135">
        <w:t xml:space="preserve"> (Schubert 2016)</w:t>
      </w:r>
      <w:r w:rsidR="000067CA" w:rsidRPr="003E5135">
        <w:t xml:space="preserve">. The least effective approaches </w:t>
      </w:r>
      <w:proofErr w:type="gramStart"/>
      <w:r w:rsidR="000067CA" w:rsidRPr="003E5135">
        <w:t>were considered to be</w:t>
      </w:r>
      <w:proofErr w:type="gramEnd"/>
      <w:r w:rsidR="000067CA" w:rsidRPr="003E5135">
        <w:t xml:space="preserve"> conferences and </w:t>
      </w:r>
      <w:r>
        <w:t xml:space="preserve">membership </w:t>
      </w:r>
      <w:r w:rsidR="00E44908">
        <w:t xml:space="preserve">by teachers </w:t>
      </w:r>
      <w:r>
        <w:t xml:space="preserve">of </w:t>
      </w:r>
      <w:r w:rsidR="000067CA" w:rsidRPr="003E5135">
        <w:t xml:space="preserve">educational associations. </w:t>
      </w:r>
    </w:p>
    <w:p w14:paraId="51D4A87C" w14:textId="1DB4B110" w:rsidR="00DE315D" w:rsidRDefault="003E5135" w:rsidP="00FA653A">
      <w:pPr>
        <w:pStyle w:val="Text"/>
      </w:pPr>
      <w:r>
        <w:t>Well-</w:t>
      </w:r>
      <w:r w:rsidR="00A00165" w:rsidRPr="00E25CF8">
        <w:t>designed</w:t>
      </w:r>
      <w:r w:rsidR="000067CA" w:rsidRPr="003E5135">
        <w:t xml:space="preserve"> </w:t>
      </w:r>
      <w:r>
        <w:t xml:space="preserve">CPD, </w:t>
      </w:r>
      <w:r w:rsidR="000067CA" w:rsidRPr="003E5135">
        <w:t xml:space="preserve">mentoring and other structured forms of PD are </w:t>
      </w:r>
      <w:r w:rsidR="005A3151">
        <w:t xml:space="preserve">especially </w:t>
      </w:r>
      <w:r w:rsidR="000067CA" w:rsidRPr="003E5135">
        <w:t>effective</w:t>
      </w:r>
      <w:r w:rsidRPr="003E5135">
        <w:t xml:space="preserve"> </w:t>
      </w:r>
      <w:r w:rsidR="00937E87">
        <w:t xml:space="preserve">when </w:t>
      </w:r>
      <w:r>
        <w:t xml:space="preserve">they develop teacher </w:t>
      </w:r>
      <w:r w:rsidRPr="003E5135">
        <w:t xml:space="preserve">capability </w:t>
      </w:r>
      <w:r>
        <w:t xml:space="preserve">in </w:t>
      </w:r>
      <w:r w:rsidR="009E67D2">
        <w:t xml:space="preserve">local </w:t>
      </w:r>
      <w:r w:rsidRPr="003E5135">
        <w:t>context</w:t>
      </w:r>
      <w:r w:rsidR="009E67D2">
        <w:t>s</w:t>
      </w:r>
      <w:r>
        <w:t xml:space="preserve"> where it has </w:t>
      </w:r>
      <w:r w:rsidRPr="00B62607">
        <w:t>immediate</w:t>
      </w:r>
      <w:r>
        <w:t xml:space="preserve"> </w:t>
      </w:r>
      <w:r w:rsidRPr="003E5135">
        <w:t>relevance</w:t>
      </w:r>
      <w:r>
        <w:t xml:space="preserve"> and </w:t>
      </w:r>
      <w:r w:rsidRPr="003E5135">
        <w:t>application</w:t>
      </w:r>
      <w:r w:rsidR="00E44908">
        <w:t xml:space="preserve">. </w:t>
      </w:r>
      <w:r w:rsidR="00B256F2">
        <w:t>The ability for teachers (especially industry experts) to receive a thorough induction and ongoing mentoring and coaching support to form their professional identit</w:t>
      </w:r>
      <w:r w:rsidR="00E6655C">
        <w:t xml:space="preserve">y </w:t>
      </w:r>
      <w:r w:rsidR="00B256F2">
        <w:t xml:space="preserve">as </w:t>
      </w:r>
      <w:r w:rsidR="00E6655C">
        <w:t xml:space="preserve">a VET </w:t>
      </w:r>
      <w:r w:rsidR="00B256F2">
        <w:t xml:space="preserve">teacher is especially valued </w:t>
      </w:r>
      <w:r w:rsidR="00E6655C">
        <w:t>(</w:t>
      </w:r>
      <w:r w:rsidR="00B256F2">
        <w:t>Schubert</w:t>
      </w:r>
      <w:r w:rsidR="00E6655C">
        <w:t xml:space="preserve">, </w:t>
      </w:r>
      <w:r w:rsidR="00B256F2">
        <w:t xml:space="preserve">2016). </w:t>
      </w:r>
      <w:r w:rsidR="0094265F">
        <w:t xml:space="preserve">In addition, </w:t>
      </w:r>
      <w:r w:rsidR="00DE315D">
        <w:t xml:space="preserve">effective PD </w:t>
      </w:r>
      <w:r w:rsidR="00E6655C">
        <w:t xml:space="preserve">programs </w:t>
      </w:r>
      <w:r w:rsidR="00DE315D">
        <w:t xml:space="preserve">for teachers </w:t>
      </w:r>
      <w:r w:rsidR="00B256F2">
        <w:t xml:space="preserve">should </w:t>
      </w:r>
      <w:r w:rsidR="00DE315D">
        <w:t xml:space="preserve">be, </w:t>
      </w:r>
    </w:p>
    <w:p w14:paraId="66508DE3" w14:textId="69E8475F" w:rsidR="00DE315D" w:rsidRPr="00C72D13" w:rsidRDefault="00DE315D" w:rsidP="00C72D13">
      <w:pPr>
        <w:pStyle w:val="Quote"/>
      </w:pPr>
      <w:r w:rsidRPr="00C72D13">
        <w:t xml:space="preserve">. . . on-going, include training, practice and feedback and provide adequate time and follow-up support. Successful programs involve teachers in learning activities that are similar to those they will use with their </w:t>
      </w:r>
      <w:proofErr w:type="gramStart"/>
      <w:r w:rsidRPr="00C72D13">
        <w:t>students, and</w:t>
      </w:r>
      <w:proofErr w:type="gramEnd"/>
      <w:r w:rsidRPr="00C72D13">
        <w:t xml:space="preserve"> encourage the development of teachers’ learning communities</w:t>
      </w:r>
      <w:r w:rsidR="00B256F2" w:rsidRPr="00C72D13">
        <w:t xml:space="preserve"> (OECD, 2009)</w:t>
      </w:r>
      <w:r w:rsidRPr="00C72D13">
        <w:t>.</w:t>
      </w:r>
    </w:p>
    <w:p w14:paraId="0F44B259" w14:textId="70975360" w:rsidR="00144B08" w:rsidRPr="00C3417A" w:rsidRDefault="007F28D9" w:rsidP="00C3417A">
      <w:pPr>
        <w:pStyle w:val="Text"/>
      </w:pPr>
      <w:r>
        <w:t xml:space="preserve">The value of </w:t>
      </w:r>
      <w:r w:rsidR="00D926C7">
        <w:t xml:space="preserve">constructive </w:t>
      </w:r>
      <w:r>
        <w:t>feedback to teachers and their reflect</w:t>
      </w:r>
      <w:r w:rsidR="00D926C7">
        <w:t>ions</w:t>
      </w:r>
      <w:r>
        <w:t xml:space="preserve"> on </w:t>
      </w:r>
      <w:r w:rsidR="00D926C7">
        <w:t xml:space="preserve">how their </w:t>
      </w:r>
      <w:r w:rsidRPr="007F28D9">
        <w:t xml:space="preserve">teaching </w:t>
      </w:r>
      <w:r w:rsidR="00D926C7">
        <w:t xml:space="preserve">impacts </w:t>
      </w:r>
      <w:r w:rsidRPr="007F28D9">
        <w:t xml:space="preserve">on student learning </w:t>
      </w:r>
      <w:r w:rsidR="00445F11">
        <w:t xml:space="preserve">are </w:t>
      </w:r>
      <w:r w:rsidRPr="007F28D9">
        <w:t xml:space="preserve">the most critical aspects of </w:t>
      </w:r>
      <w:r w:rsidR="00D926C7">
        <w:t xml:space="preserve">teaching </w:t>
      </w:r>
      <w:r>
        <w:t>(</w:t>
      </w:r>
      <w:r w:rsidRPr="007F28D9">
        <w:t>Hattie</w:t>
      </w:r>
      <w:r>
        <w:t xml:space="preserve">, </w:t>
      </w:r>
      <w:r w:rsidRPr="007F28D9">
        <w:t xml:space="preserve">2015). </w:t>
      </w:r>
      <w:r w:rsidR="00BB745A">
        <w:t xml:space="preserve">Callan et al. (2007), Clayton et al. (2008) and </w:t>
      </w:r>
      <w:r w:rsidR="00BB745A" w:rsidRPr="009603EE">
        <w:t>Guthrie and Clayton</w:t>
      </w:r>
      <w:r w:rsidR="00BB745A">
        <w:t xml:space="preserve"> (</w:t>
      </w:r>
      <w:r w:rsidR="00BB745A" w:rsidRPr="009603EE">
        <w:t>2010)</w:t>
      </w:r>
      <w:r w:rsidR="00BB745A">
        <w:t xml:space="preserve"> </w:t>
      </w:r>
      <w:r w:rsidR="00E6655C">
        <w:t xml:space="preserve">also </w:t>
      </w:r>
      <w:r w:rsidR="00BB745A">
        <w:t>emphasise</w:t>
      </w:r>
      <w:r w:rsidR="00BB745A" w:rsidRPr="009603EE">
        <w:t xml:space="preserve"> the </w:t>
      </w:r>
      <w:r w:rsidR="00BB745A">
        <w:t xml:space="preserve">importance of </w:t>
      </w:r>
      <w:r w:rsidR="00BB745A" w:rsidRPr="009603EE">
        <w:t>institutional culture</w:t>
      </w:r>
      <w:r w:rsidR="00BB745A">
        <w:t>s,</w:t>
      </w:r>
      <w:r w:rsidR="00BB745A" w:rsidRPr="009603EE">
        <w:t xml:space="preserve"> </w:t>
      </w:r>
      <w:r w:rsidR="00BB745A">
        <w:t xml:space="preserve">management and </w:t>
      </w:r>
      <w:r w:rsidR="00BB745A" w:rsidRPr="009603EE">
        <w:t xml:space="preserve">leadership </w:t>
      </w:r>
      <w:r w:rsidR="00BB745A">
        <w:t xml:space="preserve">and team-based approaches </w:t>
      </w:r>
      <w:r w:rsidR="00BB745A" w:rsidRPr="009603EE">
        <w:t xml:space="preserve">to </w:t>
      </w:r>
      <w:r w:rsidR="00DE315D">
        <w:t xml:space="preserve">the effectiveness of </w:t>
      </w:r>
      <w:r w:rsidR="00BB745A">
        <w:t xml:space="preserve">CPD and </w:t>
      </w:r>
      <w:r w:rsidR="00DE315D">
        <w:t xml:space="preserve">to </w:t>
      </w:r>
      <w:r w:rsidR="00BB745A" w:rsidRPr="009603EE">
        <w:t>teaching quality</w:t>
      </w:r>
      <w:r w:rsidR="00BB745A">
        <w:t xml:space="preserve"> across the sector. </w:t>
      </w:r>
      <w:r w:rsidR="009E67D2">
        <w:t>F</w:t>
      </w:r>
      <w:r w:rsidR="003E5135">
        <w:t xml:space="preserve">ormal </w:t>
      </w:r>
      <w:r w:rsidR="000067CA" w:rsidRPr="00B62607">
        <w:t xml:space="preserve">qualifications </w:t>
      </w:r>
      <w:r w:rsidR="003E5135">
        <w:t xml:space="preserve">also play an important role </w:t>
      </w:r>
      <w:r w:rsidR="00E44908">
        <w:t xml:space="preserve">in </w:t>
      </w:r>
      <w:r w:rsidR="009E67D2">
        <w:t>the process</w:t>
      </w:r>
      <w:r w:rsidR="00E44908">
        <w:t xml:space="preserve"> </w:t>
      </w:r>
      <w:r w:rsidR="00157075" w:rsidRPr="00E25CF8">
        <w:t>(</w:t>
      </w:r>
      <w:r w:rsidR="00157075" w:rsidRPr="00B74050">
        <w:t>Smith 2019</w:t>
      </w:r>
      <w:r w:rsidR="002432D4" w:rsidRPr="00B74050">
        <w:t xml:space="preserve">) </w:t>
      </w:r>
      <w:r w:rsidR="00BB745A" w:rsidRPr="00B74050">
        <w:t>as discussed below</w:t>
      </w:r>
      <w:r w:rsidR="00ED5739" w:rsidRPr="00C3417A">
        <w:t>.</w:t>
      </w:r>
      <w:r w:rsidR="00BB745A" w:rsidRPr="00C3417A">
        <w:t xml:space="preserve"> </w:t>
      </w:r>
    </w:p>
    <w:p w14:paraId="57F30D70" w14:textId="4FE7478A" w:rsidR="00F67264" w:rsidRPr="009711B0" w:rsidRDefault="00F67264" w:rsidP="00F67264">
      <w:pPr>
        <w:pStyle w:val="Heading2"/>
      </w:pPr>
      <w:bookmarkStart w:id="71" w:name="_Toc62204936"/>
      <w:r w:rsidRPr="009711B0">
        <w:lastRenderedPageBreak/>
        <w:t>Exploring the need for higher qualifications for VET teachers</w:t>
      </w:r>
      <w:bookmarkEnd w:id="71"/>
      <w:r w:rsidRPr="009711B0">
        <w:t xml:space="preserve"> </w:t>
      </w:r>
    </w:p>
    <w:p w14:paraId="2257626C" w14:textId="3E083226" w:rsidR="00F67264" w:rsidRDefault="00F67264" w:rsidP="00F67264">
      <w:pPr>
        <w:pStyle w:val="Text"/>
      </w:pPr>
      <w:r>
        <w:t xml:space="preserve">Determining whether VET teachers need higher qualifications and other capabilities requires an understanding of what it is that makes a good VET teacher (Smith </w:t>
      </w:r>
      <w:r w:rsidR="00526BF7">
        <w:t>and</w:t>
      </w:r>
      <w:r>
        <w:t xml:space="preserve"> Yasukawa 2017). This was one of the key questions asked of students, teachers and managers by Smith and Yasukawa in their study investigating whether a more highly qualified VET teacher workforce had the potential to address issues of quality teaching. </w:t>
      </w:r>
    </w:p>
    <w:p w14:paraId="0D678FD2" w14:textId="343B5EA6" w:rsidR="00F67264" w:rsidRDefault="00F67264" w:rsidP="00F67264">
      <w:pPr>
        <w:pStyle w:val="Text"/>
      </w:pPr>
      <w:r>
        <w:t>In their responses to the question, students and teachers agreed that a good teacher: is well organised and prepared for teaching; has a passion for their teaching topic</w:t>
      </w:r>
      <w:r w:rsidR="00395C62">
        <w:t>;</w:t>
      </w:r>
      <w:r>
        <w:t xml:space="preserve"> is objective, </w:t>
      </w:r>
      <w:proofErr w:type="gramStart"/>
      <w:r>
        <w:t>fair</w:t>
      </w:r>
      <w:proofErr w:type="gramEnd"/>
      <w:r>
        <w:t xml:space="preserve"> and motivating; is able to give clear explanations; can identify and address student needs</w:t>
      </w:r>
      <w:r w:rsidR="00395C62">
        <w:t>;</w:t>
      </w:r>
      <w:r>
        <w:t xml:space="preserve"> is flexible; has expertise in the topic area</w:t>
      </w:r>
      <w:r w:rsidR="00395C62">
        <w:t>;</w:t>
      </w:r>
      <w:r>
        <w:t xml:space="preserve"> and can motivate students to learn. </w:t>
      </w:r>
    </w:p>
    <w:p w14:paraId="590522CF" w14:textId="07FBB8EC" w:rsidR="00F67264" w:rsidRDefault="00F67264" w:rsidP="00F67264">
      <w:pPr>
        <w:pStyle w:val="Text"/>
      </w:pPr>
      <w:r>
        <w:t xml:space="preserve">For managers, a good VET teacher </w:t>
      </w:r>
      <w:r w:rsidR="00395C62">
        <w:t>i</w:t>
      </w:r>
      <w:r>
        <w:t>s someone who c</w:t>
      </w:r>
      <w:r w:rsidR="00395C62">
        <w:t>an</w:t>
      </w:r>
      <w:r>
        <w:t>: ‘be trusted with project work’; progress to senior positions; complete paperwork properly; understand the ‘broader implications of his or her work’; and understand compliance systems and comply with them (</w:t>
      </w:r>
      <w:r w:rsidR="0010703F">
        <w:t>Ibid.</w:t>
      </w:r>
      <w:r>
        <w:t xml:space="preserve">). These findings </w:t>
      </w:r>
      <w:r w:rsidRPr="005C0B5A">
        <w:t>(especially in relation to teacher ability to provide clear explanations to students</w:t>
      </w:r>
      <w:r>
        <w:t xml:space="preserve">) can also be applied to questions about whether VET teachers should have higher qualifications, a topic of enduring interest in the sector (Corbel et al. 2014; Smith 2019). </w:t>
      </w:r>
    </w:p>
    <w:p w14:paraId="35154FE4" w14:textId="3157B40C" w:rsidR="00F67264" w:rsidRPr="004B1417" w:rsidRDefault="00F67264" w:rsidP="00F67264">
      <w:pPr>
        <w:pStyle w:val="Text"/>
      </w:pPr>
      <w:r w:rsidRPr="004B1417">
        <w:t>In examining whether teachers with higher qualifications are more effective teachers, Smith (201</w:t>
      </w:r>
      <w:r w:rsidR="00722BE2" w:rsidRPr="004B1417">
        <w:t>9</w:t>
      </w:r>
      <w:r w:rsidRPr="004B1417">
        <w:t xml:space="preserve">) reported that teachers with degrees in their discipline or in VET pedagogy were substantially more confident in their teaching and in their explanations of the various elements of courses, </w:t>
      </w:r>
      <w:r w:rsidR="00395C62">
        <w:t>and</w:t>
      </w:r>
      <w:r w:rsidRPr="004B1417">
        <w:t xml:space="preserve"> teachers with degrees in VET pedagogy were better able to express ‘nuances’ in their teaching and showed more empathy for students. T</w:t>
      </w:r>
      <w:r w:rsidR="00395C62">
        <w:t>eachers with higher qualifications</w:t>
      </w:r>
      <w:r w:rsidRPr="004B1417">
        <w:t xml:space="preserve"> were also reported by managers as having received better student evaluations. </w:t>
      </w:r>
      <w:r w:rsidR="008D05FF" w:rsidRPr="004B1417">
        <w:t xml:space="preserve">It is interesting to note that teachers delivering the Certificate IV in </w:t>
      </w:r>
      <w:r w:rsidR="00395C62">
        <w:t>TAE</w:t>
      </w:r>
      <w:r w:rsidR="008D05FF" w:rsidRPr="004B1417">
        <w:t xml:space="preserve"> are required under the RTO Standards to hold at least one Diploma level qualification </w:t>
      </w:r>
      <w:r w:rsidR="008D05FF" w:rsidRPr="004B1417">
        <w:rPr>
          <w:szCs w:val="19"/>
        </w:rPr>
        <w:t>from the TAE package or a higher-level qualification in adult education (ASQA 2019, p. 70).</w:t>
      </w:r>
    </w:p>
    <w:p w14:paraId="1603ABEB" w14:textId="6F6F95B0" w:rsidR="00C17FD8" w:rsidRDefault="00F67264" w:rsidP="00F67264">
      <w:pPr>
        <w:pStyle w:val="Text"/>
      </w:pPr>
      <w:r w:rsidRPr="009711B0">
        <w:t xml:space="preserve">Although these findings could be used to make a case for raising the </w:t>
      </w:r>
      <w:r>
        <w:t xml:space="preserve">basic </w:t>
      </w:r>
      <w:r w:rsidRPr="009711B0">
        <w:t>qualification required for VET teachers, there seems to be little interest in doing this</w:t>
      </w:r>
      <w:r w:rsidR="00C17FD8">
        <w:t xml:space="preserve"> among stakeholders consulted for this project</w:t>
      </w:r>
      <w:r w:rsidRPr="009711B0">
        <w:t xml:space="preserve">, even though issues with using one qualification to cover a diversity of roles have been identified (Ithaca Group 2013; IBSA 2013). This </w:t>
      </w:r>
      <w:r w:rsidR="00E6655C">
        <w:t xml:space="preserve">issue </w:t>
      </w:r>
      <w:r w:rsidRPr="009711B0">
        <w:t xml:space="preserve">is explored in greater detail later in the report. </w:t>
      </w:r>
    </w:p>
    <w:p w14:paraId="6AAC4911" w14:textId="685201AF" w:rsidR="00094EC8" w:rsidRPr="009C7807" w:rsidRDefault="00E53E1A" w:rsidP="009C7807">
      <w:pPr>
        <w:pStyle w:val="Heading2"/>
        <w:rPr>
          <w:rFonts w:eastAsia="Cambria"/>
        </w:rPr>
      </w:pPr>
      <w:bookmarkStart w:id="72" w:name="_Toc62204937"/>
      <w:r w:rsidRPr="009C7807">
        <w:rPr>
          <w:rFonts w:eastAsia="Cambria"/>
        </w:rPr>
        <w:t>S</w:t>
      </w:r>
      <w:r w:rsidR="00157075" w:rsidRPr="009C7807">
        <w:rPr>
          <w:rFonts w:eastAsia="Cambria"/>
        </w:rPr>
        <w:t xml:space="preserve">tudies on </w:t>
      </w:r>
      <w:r w:rsidR="009518CE" w:rsidRPr="009C7807">
        <w:rPr>
          <w:rFonts w:eastAsia="Cambria"/>
        </w:rPr>
        <w:t>t</w:t>
      </w:r>
      <w:r w:rsidR="00094EC8" w:rsidRPr="009C7807">
        <w:rPr>
          <w:rFonts w:eastAsia="Cambria"/>
        </w:rPr>
        <w:t>eacher evaluation processes and performance measures</w:t>
      </w:r>
      <w:bookmarkEnd w:id="72"/>
    </w:p>
    <w:p w14:paraId="6661C530" w14:textId="210087C0" w:rsidR="00FA01A3" w:rsidRPr="00937E87" w:rsidRDefault="00FA01A3" w:rsidP="00FA01A3">
      <w:pPr>
        <w:pStyle w:val="NormalWeb"/>
        <w:spacing w:line="360" w:lineRule="auto"/>
        <w:rPr>
          <w:sz w:val="19"/>
          <w:szCs w:val="20"/>
          <w:lang w:eastAsia="en-US"/>
        </w:rPr>
      </w:pPr>
      <w:r w:rsidRPr="00937E87">
        <w:rPr>
          <w:sz w:val="19"/>
          <w:szCs w:val="20"/>
          <w:lang w:eastAsia="en-US"/>
        </w:rPr>
        <w:t>In recent times, teaching capabilities have been added to concepts of teaching competence to help evaluate and raise the quality of teaching and learning across educational sectors. According to Lester (2014, p.2), the concept of capability went ‘beyond [the concept of] competence and towards [the concept] of excellence’. While capability was directed more towards ongoing development, the concept of competence was based on a point-in-time assessment (</w:t>
      </w:r>
      <w:r w:rsidR="00E53E1A">
        <w:rPr>
          <w:sz w:val="19"/>
          <w:szCs w:val="20"/>
          <w:lang w:eastAsia="en-US"/>
        </w:rPr>
        <w:t>Ibid.</w:t>
      </w:r>
      <w:r w:rsidRPr="00937E87">
        <w:rPr>
          <w:sz w:val="19"/>
          <w:szCs w:val="20"/>
          <w:lang w:eastAsia="en-US"/>
        </w:rPr>
        <w:t>). In his opinion, capability frameworks are best placed to focus on the generic aspects of teaching and used after teachers ha</w:t>
      </w:r>
      <w:r>
        <w:rPr>
          <w:sz w:val="19"/>
          <w:szCs w:val="20"/>
          <w:lang w:eastAsia="en-US"/>
        </w:rPr>
        <w:t xml:space="preserve">ve </w:t>
      </w:r>
      <w:r w:rsidRPr="00937E87">
        <w:rPr>
          <w:sz w:val="19"/>
          <w:szCs w:val="20"/>
          <w:lang w:eastAsia="en-US"/>
        </w:rPr>
        <w:t>completed their initial training — once they had met the professional qualification standards.</w:t>
      </w:r>
    </w:p>
    <w:p w14:paraId="17FC84AE" w14:textId="67658693" w:rsidR="00157075" w:rsidRDefault="00157075" w:rsidP="00157075">
      <w:pPr>
        <w:pStyle w:val="NormalWeb"/>
        <w:spacing w:before="240" w:beforeAutospacing="0" w:after="0" w:line="360" w:lineRule="auto"/>
        <w:rPr>
          <w:sz w:val="19"/>
          <w:szCs w:val="20"/>
          <w:lang w:eastAsia="en-US"/>
        </w:rPr>
      </w:pPr>
      <w:r w:rsidRPr="00937E87">
        <w:rPr>
          <w:sz w:val="19"/>
          <w:szCs w:val="20"/>
          <w:lang w:eastAsia="en-US"/>
        </w:rPr>
        <w:t xml:space="preserve">Professional standards and frameworks </w:t>
      </w:r>
      <w:r>
        <w:rPr>
          <w:sz w:val="19"/>
          <w:szCs w:val="20"/>
          <w:lang w:eastAsia="en-US"/>
        </w:rPr>
        <w:t xml:space="preserve">are </w:t>
      </w:r>
      <w:r w:rsidRPr="00937E87">
        <w:rPr>
          <w:sz w:val="19"/>
          <w:szCs w:val="20"/>
          <w:lang w:eastAsia="en-US"/>
        </w:rPr>
        <w:t xml:space="preserve">concerned with </w:t>
      </w:r>
      <w:r>
        <w:rPr>
          <w:sz w:val="19"/>
          <w:szCs w:val="20"/>
          <w:lang w:eastAsia="en-US"/>
        </w:rPr>
        <w:t xml:space="preserve">making sure </w:t>
      </w:r>
      <w:r w:rsidRPr="00937E87">
        <w:rPr>
          <w:sz w:val="19"/>
          <w:szCs w:val="20"/>
          <w:lang w:eastAsia="en-US"/>
        </w:rPr>
        <w:t>practitioners within an industry–</w:t>
      </w:r>
      <w:r>
        <w:rPr>
          <w:sz w:val="19"/>
          <w:szCs w:val="20"/>
          <w:lang w:eastAsia="en-US"/>
        </w:rPr>
        <w:t xml:space="preserve">are competent and </w:t>
      </w:r>
      <w:r w:rsidRPr="00937E87">
        <w:rPr>
          <w:sz w:val="19"/>
          <w:szCs w:val="20"/>
          <w:lang w:eastAsia="en-US"/>
        </w:rPr>
        <w:t>‘fit to practise’ (</w:t>
      </w:r>
      <w:r>
        <w:rPr>
          <w:sz w:val="19"/>
          <w:szCs w:val="20"/>
          <w:lang w:eastAsia="en-US"/>
        </w:rPr>
        <w:t>Ibid.</w:t>
      </w:r>
      <w:r w:rsidRPr="00937E87">
        <w:rPr>
          <w:sz w:val="19"/>
          <w:szCs w:val="20"/>
          <w:lang w:eastAsia="en-US"/>
        </w:rPr>
        <w:t xml:space="preserve"> </w:t>
      </w:r>
      <w:r w:rsidR="00ED5705">
        <w:rPr>
          <w:sz w:val="19"/>
          <w:szCs w:val="20"/>
          <w:lang w:eastAsia="en-US"/>
        </w:rPr>
        <w:t>p.</w:t>
      </w:r>
      <w:r w:rsidRPr="00937E87">
        <w:rPr>
          <w:sz w:val="19"/>
          <w:szCs w:val="20"/>
          <w:lang w:eastAsia="en-US"/>
        </w:rPr>
        <w:t xml:space="preserve">1). </w:t>
      </w:r>
      <w:r w:rsidR="00E53E1A">
        <w:rPr>
          <w:sz w:val="19"/>
          <w:szCs w:val="20"/>
          <w:lang w:eastAsia="en-US"/>
        </w:rPr>
        <w:t xml:space="preserve">According to Lester, </w:t>
      </w:r>
      <w:r>
        <w:rPr>
          <w:sz w:val="19"/>
          <w:szCs w:val="20"/>
          <w:lang w:eastAsia="en-US"/>
        </w:rPr>
        <w:t>c</w:t>
      </w:r>
      <w:r w:rsidRPr="00CD352C">
        <w:rPr>
          <w:sz w:val="19"/>
          <w:szCs w:val="20"/>
          <w:lang w:eastAsia="en-US"/>
        </w:rPr>
        <w:t>alls for teacher standards</w:t>
      </w:r>
      <w:r w:rsidR="00E53E1A">
        <w:rPr>
          <w:sz w:val="19"/>
          <w:szCs w:val="20"/>
          <w:lang w:eastAsia="en-US"/>
        </w:rPr>
        <w:t xml:space="preserve"> in education</w:t>
      </w:r>
      <w:r w:rsidRPr="00CD352C">
        <w:rPr>
          <w:sz w:val="19"/>
          <w:szCs w:val="20"/>
          <w:lang w:eastAsia="en-US"/>
        </w:rPr>
        <w:t xml:space="preserve">, and their accreditation and registration, </w:t>
      </w:r>
      <w:r>
        <w:rPr>
          <w:sz w:val="19"/>
          <w:szCs w:val="20"/>
          <w:lang w:eastAsia="en-US"/>
        </w:rPr>
        <w:t xml:space="preserve">are usually </w:t>
      </w:r>
      <w:r w:rsidRPr="00CD352C">
        <w:rPr>
          <w:sz w:val="19"/>
          <w:szCs w:val="20"/>
          <w:lang w:eastAsia="en-US"/>
        </w:rPr>
        <w:t xml:space="preserve">accompanied by the belief that their implementation </w:t>
      </w:r>
      <w:r>
        <w:rPr>
          <w:sz w:val="19"/>
          <w:szCs w:val="20"/>
          <w:lang w:eastAsia="en-US"/>
        </w:rPr>
        <w:t xml:space="preserve">is </w:t>
      </w:r>
      <w:r w:rsidRPr="00CD352C">
        <w:rPr>
          <w:sz w:val="19"/>
          <w:szCs w:val="20"/>
          <w:lang w:eastAsia="en-US"/>
        </w:rPr>
        <w:t>likely to improve the professional status of teachers, including VET teachers.</w:t>
      </w:r>
    </w:p>
    <w:p w14:paraId="1F0918F5" w14:textId="7832D9A5" w:rsidR="00AB6CBD" w:rsidRDefault="00AB6CBD" w:rsidP="00AB6CBD">
      <w:pPr>
        <w:pStyle w:val="Text"/>
      </w:pPr>
      <w:r w:rsidRPr="003570FE">
        <w:lastRenderedPageBreak/>
        <w:t>Although mandatory requirements for the registration of VET teachers are rare in Australia,</w:t>
      </w:r>
      <w:r w:rsidR="00F45F40">
        <w:rPr>
          <w:rStyle w:val="FootnoteReference"/>
        </w:rPr>
        <w:footnoteReference w:id="9"/>
      </w:r>
      <w:r w:rsidRPr="003570FE">
        <w:t xml:space="preserve"> the requirements for RTOs to ensure their teachers are suitably qualified are legislated and set out in the RTO Standards (ASQA, 2019). School teachers are</w:t>
      </w:r>
      <w:r w:rsidR="00283ABC">
        <w:t>,</w:t>
      </w:r>
      <w:r w:rsidRPr="003570FE">
        <w:t xml:space="preserve"> </w:t>
      </w:r>
      <w:r w:rsidR="00E6655C">
        <w:t>however</w:t>
      </w:r>
      <w:r w:rsidR="00283ABC">
        <w:t>,</w:t>
      </w:r>
      <w:r w:rsidR="00E6655C">
        <w:t xml:space="preserve"> </w:t>
      </w:r>
      <w:r w:rsidRPr="003570FE">
        <w:t xml:space="preserve">subject to mandatory registration requirements, and this includes those teachers in schools who teach VET subjects and courses. The </w:t>
      </w:r>
      <w:hyperlink r:id="rId37" w:history="1">
        <w:r w:rsidRPr="003570FE">
          <w:rPr>
            <w:rStyle w:val="Hyperlink"/>
          </w:rPr>
          <w:t>Australian Professional Standards for Teachers</w:t>
        </w:r>
      </w:hyperlink>
      <w:r w:rsidRPr="003570FE">
        <w:rPr>
          <w:rStyle w:val="Hyperlink"/>
        </w:rPr>
        <w:t xml:space="preserve"> (A</w:t>
      </w:r>
      <w:r>
        <w:rPr>
          <w:rStyle w:val="Hyperlink"/>
        </w:rPr>
        <w:t>ITSL,</w:t>
      </w:r>
      <w:r w:rsidRPr="003570FE">
        <w:rPr>
          <w:rStyle w:val="Hyperlink"/>
        </w:rPr>
        <w:t xml:space="preserve"> 2011), and </w:t>
      </w:r>
      <w:r w:rsidRPr="003570FE">
        <w:t>standards for teacher registration,</w:t>
      </w:r>
      <w:r w:rsidRPr="003570FE">
        <w:rPr>
          <w:rStyle w:val="Hyperlink"/>
        </w:rPr>
        <w:t xml:space="preserve"> are</w:t>
      </w:r>
      <w:r w:rsidRPr="003570FE">
        <w:t xml:space="preserve"> key reference points for the standards currently being implemented in some jurisdictions (for both schools and the VET sector).</w:t>
      </w:r>
    </w:p>
    <w:p w14:paraId="23414140" w14:textId="1084E308" w:rsidR="00FA01A3" w:rsidRDefault="00FA01A3" w:rsidP="005A3151">
      <w:pPr>
        <w:pStyle w:val="Text"/>
      </w:pPr>
      <w:r w:rsidRPr="00FA01A3">
        <w:t xml:space="preserve">While many studies relating to teacher performance measurement are concerned with the evaluation of teachers in schools rather than in VET, they provide some fundamental insights into systems of professional standards, capability frameworks and </w:t>
      </w:r>
      <w:r w:rsidR="00E6655C">
        <w:t xml:space="preserve">the </w:t>
      </w:r>
      <w:r w:rsidRPr="00FA01A3">
        <w:t>features of quality teaching. Findings from an Organisation for Economic Co-operation and Development (OECD</w:t>
      </w:r>
      <w:r w:rsidR="00E6655C">
        <w:t>)</w:t>
      </w:r>
      <w:r w:rsidR="00283ABC">
        <w:t xml:space="preserve"> </w:t>
      </w:r>
      <w:r w:rsidRPr="00FA01A3">
        <w:t xml:space="preserve">study on teacher evaluation approaches </w:t>
      </w:r>
      <w:r w:rsidR="00DE315D">
        <w:t>in a number of countries</w:t>
      </w:r>
      <w:r w:rsidR="00DE315D">
        <w:rPr>
          <w:rStyle w:val="FootnoteReference"/>
        </w:rPr>
        <w:footnoteReference w:id="10"/>
      </w:r>
      <w:r w:rsidR="00DE315D">
        <w:t xml:space="preserve"> </w:t>
      </w:r>
      <w:r w:rsidRPr="00FA01A3">
        <w:t>indicated that it is important to identify the dual purposes of evaluation — referred to as the ‘improvement and accountability functions’ — and to ensure that these are not compromised by combining both purposes in one evaluation process</w:t>
      </w:r>
      <w:r w:rsidR="00E6655C">
        <w:t xml:space="preserve"> (OECD, 2009)</w:t>
      </w:r>
      <w:r w:rsidRPr="00FA01A3">
        <w:t>.</w:t>
      </w:r>
    </w:p>
    <w:p w14:paraId="17C0937B" w14:textId="51D4924A" w:rsidR="00DE315D" w:rsidRDefault="00FA01A3" w:rsidP="00EC6048">
      <w:pPr>
        <w:pStyle w:val="Text"/>
        <w:rPr>
          <w:rFonts w:eastAsia="Cambria"/>
        </w:rPr>
      </w:pPr>
      <w:r>
        <w:rPr>
          <w:rFonts w:eastAsia="Cambria"/>
        </w:rPr>
        <w:t xml:space="preserve">A 2017 study of the frameworks and standards for measuring the performance of teachers in Australia </w:t>
      </w:r>
      <w:r w:rsidR="00C3417A">
        <w:rPr>
          <w:rFonts w:eastAsia="Cambria"/>
        </w:rPr>
        <w:br/>
      </w:r>
      <w:r>
        <w:rPr>
          <w:rFonts w:eastAsia="Cambria"/>
        </w:rPr>
        <w:t>and in 14 other international systems</w:t>
      </w:r>
      <w:r w:rsidR="009E73F0">
        <w:rPr>
          <w:rStyle w:val="FootnoteReference"/>
          <w:rFonts w:eastAsia="Cambria"/>
        </w:rPr>
        <w:footnoteReference w:id="11"/>
      </w:r>
      <w:r>
        <w:rPr>
          <w:rFonts w:eastAsia="Cambria"/>
        </w:rPr>
        <w:t xml:space="preserve"> highlighted the practical issues for consideration when setting up such frameworks and standards and developing measures of performance (Clinton et al. 2017). </w:t>
      </w:r>
      <w:r w:rsidR="00C3417A">
        <w:rPr>
          <w:rFonts w:eastAsia="Cambria"/>
        </w:rPr>
        <w:br/>
      </w:r>
      <w:r w:rsidR="00D4299D">
        <w:t xml:space="preserve">The study also </w:t>
      </w:r>
      <w:r>
        <w:t xml:space="preserve">emphasised the importance of considering the impact of other factors on performance, including the </w:t>
      </w:r>
      <w:r w:rsidRPr="00A60A42">
        <w:rPr>
          <w:rFonts w:eastAsia="Cambria"/>
        </w:rPr>
        <w:t>instructional context</w:t>
      </w:r>
      <w:r>
        <w:rPr>
          <w:rFonts w:eastAsia="Cambria"/>
        </w:rPr>
        <w:t xml:space="preserve">, </w:t>
      </w:r>
      <w:r w:rsidRPr="00A60A42">
        <w:rPr>
          <w:rFonts w:eastAsia="Cambria"/>
        </w:rPr>
        <w:t>curriculum and assessment systems</w:t>
      </w:r>
      <w:r>
        <w:rPr>
          <w:rFonts w:eastAsia="Cambria"/>
        </w:rPr>
        <w:t xml:space="preserve">, </w:t>
      </w:r>
      <w:r w:rsidRPr="00A60A42">
        <w:rPr>
          <w:rFonts w:eastAsia="Cambria"/>
        </w:rPr>
        <w:t>class size</w:t>
      </w:r>
      <w:r>
        <w:rPr>
          <w:rFonts w:eastAsia="Cambria"/>
        </w:rPr>
        <w:t xml:space="preserve">s, </w:t>
      </w:r>
      <w:proofErr w:type="gramStart"/>
      <w:r w:rsidRPr="00A60A42">
        <w:rPr>
          <w:rFonts w:eastAsia="Cambria"/>
        </w:rPr>
        <w:t>facilities</w:t>
      </w:r>
      <w:proofErr w:type="gramEnd"/>
      <w:r w:rsidRPr="00A60A42">
        <w:rPr>
          <w:rFonts w:eastAsia="Cambria"/>
        </w:rPr>
        <w:t xml:space="preserve"> and materials</w:t>
      </w:r>
      <w:r>
        <w:rPr>
          <w:rFonts w:eastAsia="Cambria"/>
        </w:rPr>
        <w:t xml:space="preserve">. </w:t>
      </w:r>
      <w:r w:rsidR="000168D5">
        <w:rPr>
          <w:rFonts w:eastAsia="Cambria"/>
        </w:rPr>
        <w:t>S</w:t>
      </w:r>
      <w:r w:rsidR="00E53E1A" w:rsidRPr="00E53E1A">
        <w:rPr>
          <w:rFonts w:eastAsia="Cambria"/>
        </w:rPr>
        <w:t>tudents</w:t>
      </w:r>
      <w:r w:rsidR="000168D5">
        <w:rPr>
          <w:rFonts w:eastAsia="Cambria"/>
        </w:rPr>
        <w:t xml:space="preserve">, as </w:t>
      </w:r>
      <w:r w:rsidR="000168D5" w:rsidRPr="000168D5">
        <w:rPr>
          <w:rFonts w:eastAsia="Cambria"/>
        </w:rPr>
        <w:t>Hattie (2015</w:t>
      </w:r>
      <w:r w:rsidR="00D5072E">
        <w:rPr>
          <w:rFonts w:eastAsia="Cambria"/>
        </w:rPr>
        <w:t>, p.</w:t>
      </w:r>
      <w:r w:rsidR="000168D5" w:rsidRPr="000168D5">
        <w:rPr>
          <w:rFonts w:eastAsia="Cambria"/>
        </w:rPr>
        <w:t xml:space="preserve">87) </w:t>
      </w:r>
      <w:r w:rsidR="000168D5">
        <w:rPr>
          <w:rFonts w:eastAsia="Cambria"/>
        </w:rPr>
        <w:t xml:space="preserve">writes, are </w:t>
      </w:r>
      <w:r w:rsidR="00E53E1A" w:rsidRPr="00E53E1A">
        <w:rPr>
          <w:rFonts w:eastAsia="Cambria"/>
        </w:rPr>
        <w:t xml:space="preserve">often the greatest source of variance in learning due to their different motivations, purposes for learning and preferences in how they study and learn. </w:t>
      </w:r>
      <w:r w:rsidR="00E53E1A">
        <w:rPr>
          <w:rFonts w:eastAsia="Cambria"/>
        </w:rPr>
        <w:t xml:space="preserve">There is, therefore, a </w:t>
      </w:r>
      <w:r>
        <w:rPr>
          <w:rFonts w:eastAsia="Cambria"/>
        </w:rPr>
        <w:t xml:space="preserve">need to gather evidence from multiple sources to ensure accuracy and fairness </w:t>
      </w:r>
      <w:r w:rsidR="00E53E1A">
        <w:rPr>
          <w:rFonts w:eastAsia="Cambria"/>
        </w:rPr>
        <w:t>when measuring teacher performance</w:t>
      </w:r>
      <w:r w:rsidR="000168D5">
        <w:rPr>
          <w:rFonts w:eastAsia="Cambria"/>
        </w:rPr>
        <w:t xml:space="preserve"> </w:t>
      </w:r>
      <w:r w:rsidR="00EC6048">
        <w:rPr>
          <w:rFonts w:eastAsia="Cambria"/>
        </w:rPr>
        <w:t>(OECD</w:t>
      </w:r>
      <w:r w:rsidR="00F073C5">
        <w:rPr>
          <w:rFonts w:eastAsia="Cambria"/>
        </w:rPr>
        <w:t>,</w:t>
      </w:r>
      <w:r w:rsidR="00283ABC">
        <w:rPr>
          <w:rFonts w:eastAsia="Cambria"/>
        </w:rPr>
        <w:t xml:space="preserve"> </w:t>
      </w:r>
      <w:r>
        <w:rPr>
          <w:rFonts w:eastAsia="Cambria"/>
        </w:rPr>
        <w:t xml:space="preserve">2009). </w:t>
      </w:r>
    </w:p>
    <w:p w14:paraId="5F3B3699" w14:textId="165D839D" w:rsidR="007F70C0" w:rsidRDefault="00E53E1A" w:rsidP="007F70C0">
      <w:pPr>
        <w:pStyle w:val="Text"/>
      </w:pPr>
      <w:r>
        <w:t xml:space="preserve">In Australia, the </w:t>
      </w:r>
      <w:r w:rsidR="00937E87" w:rsidRPr="00CD352C">
        <w:t xml:space="preserve">challenge </w:t>
      </w:r>
      <w:r w:rsidR="00FA01A3">
        <w:t xml:space="preserve">in implementing capability frameworks or </w:t>
      </w:r>
      <w:r w:rsidR="00937E87" w:rsidRPr="00CD352C">
        <w:t>formal professional standards for VET teachers (including registration and/or accreditation</w:t>
      </w:r>
      <w:r w:rsidR="000168D5">
        <w:t xml:space="preserve"> systems</w:t>
      </w:r>
      <w:r w:rsidR="00937E87" w:rsidRPr="00CD352C">
        <w:t xml:space="preserve">) </w:t>
      </w:r>
      <w:r w:rsidR="00FA01A3">
        <w:t xml:space="preserve">is </w:t>
      </w:r>
      <w:r w:rsidR="000168D5">
        <w:t xml:space="preserve">taking </w:t>
      </w:r>
      <w:r w:rsidR="00937E87" w:rsidRPr="00CD352C">
        <w:t xml:space="preserve">account of the legislated </w:t>
      </w:r>
      <w:r w:rsidR="00FA01A3">
        <w:t xml:space="preserve">RTO </w:t>
      </w:r>
      <w:r w:rsidR="00937E87" w:rsidRPr="00CD352C">
        <w:t>Standards</w:t>
      </w:r>
      <w:r w:rsidR="00FA01A3">
        <w:t xml:space="preserve">. </w:t>
      </w:r>
      <w:r w:rsidR="00502FF6" w:rsidRPr="00FA01A3">
        <w:t>While these determine the standards RTOs must meet, including the qualifications required by teachers delivering nationally recognised VET</w:t>
      </w:r>
      <w:r w:rsidR="00FA01A3">
        <w:t xml:space="preserve"> qualifications</w:t>
      </w:r>
      <w:r w:rsidR="00502FF6" w:rsidRPr="00FA01A3">
        <w:t xml:space="preserve">, they do not specify teaching capabilities or the need for the registration of </w:t>
      </w:r>
      <w:proofErr w:type="gramStart"/>
      <w:r w:rsidR="00502FF6" w:rsidRPr="00FA01A3">
        <w:t>teachers, if</w:t>
      </w:r>
      <w:proofErr w:type="gramEnd"/>
      <w:r w:rsidR="00502FF6" w:rsidRPr="00FA01A3">
        <w:t xml:space="preserve"> that is seen as desirable. Other factors to consider are the complexity of the VET sector, the diversity of roles within it, and the different patterns of employment of teachers.</w:t>
      </w:r>
      <w:r w:rsidR="00FA01A3">
        <w:t xml:space="preserve"> </w:t>
      </w:r>
      <w:r w:rsidR="000168D5">
        <w:t xml:space="preserve">Another important factor, and the </w:t>
      </w:r>
      <w:r w:rsidR="007F70C0" w:rsidRPr="00BA40E6">
        <w:t>underlying problem</w:t>
      </w:r>
      <w:r w:rsidR="007F70C0">
        <w:t xml:space="preserve"> </w:t>
      </w:r>
      <w:r w:rsidR="000168D5">
        <w:t>for VET systems generally</w:t>
      </w:r>
      <w:r w:rsidR="007F70C0">
        <w:t xml:space="preserve"> according to </w:t>
      </w:r>
      <w:r w:rsidR="000168D5">
        <w:t xml:space="preserve">the </w:t>
      </w:r>
      <w:r w:rsidR="000168D5" w:rsidRPr="000168D5">
        <w:t xml:space="preserve">United Nations Educational, Scientific and Cultural Organization </w:t>
      </w:r>
      <w:r w:rsidR="000168D5">
        <w:t>(</w:t>
      </w:r>
      <w:r w:rsidR="007F70C0">
        <w:t>UNESCO</w:t>
      </w:r>
      <w:r w:rsidR="000168D5">
        <w:t>)</w:t>
      </w:r>
      <w:r w:rsidR="007F70C0">
        <w:t xml:space="preserve">, </w:t>
      </w:r>
      <w:r w:rsidR="007F70C0" w:rsidRPr="00BA40E6">
        <w:t xml:space="preserve">is </w:t>
      </w:r>
      <w:r w:rsidR="007F70C0">
        <w:t>‘</w:t>
      </w:r>
      <w:r w:rsidR="007F70C0" w:rsidRPr="00BA40E6">
        <w:t xml:space="preserve">a very weak professional knowledge base involving </w:t>
      </w:r>
      <w:r w:rsidR="007F70C0">
        <w:t>TVET</w:t>
      </w:r>
      <w:r w:rsidR="000168D5">
        <w:rPr>
          <w:rStyle w:val="FootnoteReference"/>
        </w:rPr>
        <w:footnoteReference w:id="12"/>
      </w:r>
      <w:r w:rsidR="007F70C0">
        <w:t xml:space="preserve"> </w:t>
      </w:r>
      <w:r w:rsidR="007F70C0" w:rsidRPr="00BA40E6">
        <w:t>pedagogy and delivery</w:t>
      </w:r>
      <w:r w:rsidR="007F70C0">
        <w:t>’</w:t>
      </w:r>
      <w:r w:rsidR="000168D5">
        <w:t xml:space="preserve"> (</w:t>
      </w:r>
      <w:proofErr w:type="spellStart"/>
      <w:r w:rsidR="00445F11" w:rsidRPr="00445F11">
        <w:t>Marope</w:t>
      </w:r>
      <w:proofErr w:type="spellEnd"/>
      <w:r w:rsidR="00445F11">
        <w:t xml:space="preserve"> et al.</w:t>
      </w:r>
      <w:r w:rsidR="00445F11" w:rsidRPr="00445F11">
        <w:t>, 2015,</w:t>
      </w:r>
      <w:r w:rsidR="000168D5">
        <w:t xml:space="preserve"> p.115)</w:t>
      </w:r>
      <w:r w:rsidR="007F70C0">
        <w:t>.</w:t>
      </w:r>
    </w:p>
    <w:p w14:paraId="67590045" w14:textId="2F7381BB" w:rsidR="00986F3D" w:rsidRDefault="00502FF6" w:rsidP="007F28D9">
      <w:pPr>
        <w:pStyle w:val="Text"/>
      </w:pPr>
      <w:proofErr w:type="gramStart"/>
      <w:r w:rsidRPr="00FA01A3">
        <w:t>All of</w:t>
      </w:r>
      <w:proofErr w:type="gramEnd"/>
      <w:r w:rsidRPr="00FA01A3">
        <w:t xml:space="preserve"> these factors make the development and application of professional standards problematic (Ithaca Group 2013) and the implementation of </w:t>
      </w:r>
      <w:r w:rsidR="00C77D83">
        <w:t xml:space="preserve">CPD </w:t>
      </w:r>
      <w:r w:rsidRPr="00FA01A3">
        <w:t xml:space="preserve">for upgrading teacher skills more complex (Tyler &amp; Dymock 2017). </w:t>
      </w:r>
      <w:proofErr w:type="gramStart"/>
      <w:r w:rsidR="009B0B8D">
        <w:t>This is why</w:t>
      </w:r>
      <w:proofErr w:type="gramEnd"/>
      <w:r w:rsidR="009B0B8D">
        <w:t xml:space="preserve">, </w:t>
      </w:r>
      <w:r w:rsidR="00FA01A3">
        <w:t xml:space="preserve">as </w:t>
      </w:r>
      <w:r w:rsidRPr="00FA01A3">
        <w:t>Guthrie &amp; Jones (2018) argue</w:t>
      </w:r>
      <w:r w:rsidR="00FA01A3">
        <w:t xml:space="preserve">, </w:t>
      </w:r>
      <w:r w:rsidRPr="00FA01A3">
        <w:t xml:space="preserve">a range of comprehensive and high-quality </w:t>
      </w:r>
      <w:r w:rsidR="0080237D">
        <w:t>C</w:t>
      </w:r>
      <w:r w:rsidRPr="00FA01A3">
        <w:t xml:space="preserve">PD opportunities must be accessible to both </w:t>
      </w:r>
      <w:r w:rsidR="009B0B8D">
        <w:t xml:space="preserve">RTOs </w:t>
      </w:r>
      <w:r w:rsidRPr="00FA01A3">
        <w:t xml:space="preserve">and individual teachers, and that the workplace cultures in </w:t>
      </w:r>
      <w:r w:rsidR="00A74644">
        <w:t xml:space="preserve">RTOs </w:t>
      </w:r>
      <w:r w:rsidRPr="00FA01A3">
        <w:t>must enable quality staff development</w:t>
      </w:r>
      <w:r w:rsidR="009B0B8D" w:rsidRPr="009B0B8D">
        <w:t xml:space="preserve"> </w:t>
      </w:r>
      <w:r w:rsidR="000168D5">
        <w:t xml:space="preserve">through CPD and </w:t>
      </w:r>
      <w:r w:rsidRPr="00FA01A3">
        <w:t xml:space="preserve">collaboration among teachers </w:t>
      </w:r>
      <w:r w:rsidR="000168D5">
        <w:t xml:space="preserve">with adequate funding </w:t>
      </w:r>
      <w:r w:rsidRPr="00FA01A3">
        <w:t xml:space="preserve">(see also Clayton et al. 2008). </w:t>
      </w:r>
      <w:r w:rsidR="00986F3D" w:rsidRPr="00770018">
        <w:t>Simons et al. (2009)</w:t>
      </w:r>
      <w:r w:rsidR="00986F3D">
        <w:t xml:space="preserve"> found that PD in </w:t>
      </w:r>
      <w:r w:rsidR="000168D5">
        <w:t xml:space="preserve">VET </w:t>
      </w:r>
      <w:r w:rsidR="00986F3D">
        <w:t>is not even</w:t>
      </w:r>
      <w:r w:rsidR="00DF07D9">
        <w:t>-</w:t>
      </w:r>
      <w:r w:rsidR="00986F3D">
        <w:lastRenderedPageBreak/>
        <w:t>handed and that existing arrangements tend to best serve staff in management positions. They also noted that:</w:t>
      </w:r>
    </w:p>
    <w:p w14:paraId="6F00B7E0" w14:textId="2FB1CD1F" w:rsidR="0080237D" w:rsidRPr="0080237D" w:rsidRDefault="00986F3D" w:rsidP="0080237D">
      <w:pPr>
        <w:pStyle w:val="Quote"/>
      </w:pPr>
      <w:r w:rsidRPr="007F28D9">
        <w:t xml:space="preserve">Careers in the VET sector are notable for their diversity. They are shaped by both individual and organisational concerns, as well as by the nature and structure of the different occupations that make up the sector’s workforce (Ibid., </w:t>
      </w:r>
      <w:r w:rsidR="00ED5705">
        <w:t>p.</w:t>
      </w:r>
      <w:r w:rsidRPr="007F28D9">
        <w:t>8).</w:t>
      </w:r>
    </w:p>
    <w:p w14:paraId="7C1F9DEF" w14:textId="3CE89071" w:rsidR="00094EC8" w:rsidRPr="00C72D13" w:rsidRDefault="00094EC8" w:rsidP="00C72D13">
      <w:pPr>
        <w:pStyle w:val="Heading2"/>
        <w:rPr>
          <w:rStyle w:val="TextChar"/>
          <w:rFonts w:ascii="Arial" w:eastAsia="Cambria" w:hAnsi="Arial"/>
          <w:sz w:val="28"/>
        </w:rPr>
      </w:pPr>
      <w:bookmarkStart w:id="73" w:name="_Toc62204938"/>
      <w:r w:rsidRPr="00C72D13">
        <w:rPr>
          <w:rStyle w:val="TextChar"/>
          <w:rFonts w:ascii="Arial" w:eastAsia="Cambria" w:hAnsi="Arial"/>
          <w:sz w:val="28"/>
        </w:rPr>
        <w:t xml:space="preserve">Commonalities in the architecture and content of frameworks </w:t>
      </w:r>
      <w:r w:rsidR="00ED5705">
        <w:rPr>
          <w:rStyle w:val="TextChar"/>
          <w:rFonts w:ascii="Arial" w:eastAsia="Cambria" w:hAnsi="Arial"/>
          <w:sz w:val="28"/>
        </w:rPr>
        <w:br/>
      </w:r>
      <w:r w:rsidRPr="00C72D13">
        <w:rPr>
          <w:rStyle w:val="TextChar"/>
          <w:rFonts w:ascii="Arial" w:eastAsia="Cambria" w:hAnsi="Arial"/>
          <w:sz w:val="28"/>
        </w:rPr>
        <w:t>and standards</w:t>
      </w:r>
      <w:bookmarkEnd w:id="73"/>
    </w:p>
    <w:p w14:paraId="2809E19F" w14:textId="0A66D6A3" w:rsidR="00094EC8" w:rsidRPr="00124F0A" w:rsidRDefault="00094EC8" w:rsidP="001428A5">
      <w:pPr>
        <w:pStyle w:val="Text"/>
        <w:rPr>
          <w:rFonts w:eastAsia="Cambria"/>
        </w:rPr>
      </w:pPr>
      <w:r w:rsidRPr="00124F0A">
        <w:rPr>
          <w:rFonts w:eastAsia="Cambria"/>
        </w:rPr>
        <w:t xml:space="preserve">The literature indicates that </w:t>
      </w:r>
      <w:r w:rsidR="00930456" w:rsidRPr="00124F0A">
        <w:rPr>
          <w:rFonts w:eastAsia="Cambria"/>
        </w:rPr>
        <w:t xml:space="preserve">professional </w:t>
      </w:r>
      <w:r w:rsidR="00124F0A">
        <w:rPr>
          <w:rFonts w:eastAsia="Cambria"/>
        </w:rPr>
        <w:t xml:space="preserve">capability </w:t>
      </w:r>
      <w:r w:rsidRPr="00124F0A">
        <w:rPr>
          <w:rFonts w:eastAsia="Cambria"/>
        </w:rPr>
        <w:t>frameworks and standards are organised around a range of domains and various associated elements and measures, with the latter often expressed in statements of capability (in capability frameworks) or standards of competence (in professional standards). In their assessment of frameworks and standards, Clinton et al. (2017</w:t>
      </w:r>
      <w:r w:rsidR="00304371">
        <w:rPr>
          <w:rFonts w:eastAsia="Cambria"/>
        </w:rPr>
        <w:t>, p.130</w:t>
      </w:r>
      <w:r w:rsidRPr="00124F0A">
        <w:rPr>
          <w:rFonts w:eastAsia="Cambria"/>
        </w:rPr>
        <w:t>) identified the following dimensions</w:t>
      </w:r>
      <w:r w:rsidR="00FA722F">
        <w:rPr>
          <w:rFonts w:eastAsia="Cambria"/>
        </w:rPr>
        <w:t xml:space="preserve"> of effective teaching</w:t>
      </w:r>
      <w:r w:rsidRPr="00124F0A">
        <w:rPr>
          <w:rFonts w:eastAsia="Cambria"/>
        </w:rPr>
        <w:t xml:space="preserve">, along with their associated measurable outcomes (in italics): </w:t>
      </w:r>
    </w:p>
    <w:p w14:paraId="1E2159E5" w14:textId="66D15A1C" w:rsidR="00094EC8" w:rsidRPr="00124F0A" w:rsidRDefault="00094EC8" w:rsidP="00ED5705">
      <w:pPr>
        <w:pStyle w:val="Dotpoint10"/>
        <w:spacing w:after="120"/>
      </w:pPr>
      <w:proofErr w:type="gramStart"/>
      <w:r w:rsidRPr="00124F0A">
        <w:t>teaching:</w:t>
      </w:r>
      <w:proofErr w:type="gramEnd"/>
      <w:r w:rsidRPr="00124F0A">
        <w:t xml:space="preserve"> </w:t>
      </w:r>
      <w:r w:rsidRPr="004714FF">
        <w:rPr>
          <w:i/>
          <w:iCs/>
        </w:rPr>
        <w:t>subject matter knowledge; instructional practice skill; pedagogical knowledge; preparation and planning; evaluation</w:t>
      </w:r>
      <w:r w:rsidR="00304371">
        <w:rPr>
          <w:i/>
          <w:iCs/>
        </w:rPr>
        <w:t>,</w:t>
      </w:r>
      <w:r w:rsidRPr="004714FF">
        <w:rPr>
          <w:i/>
          <w:iCs/>
        </w:rPr>
        <w:t xml:space="preserve"> assessment and feedback; and learning strategies</w:t>
      </w:r>
      <w:r w:rsidR="00930456" w:rsidRPr="00124F0A">
        <w:t>,</w:t>
      </w:r>
    </w:p>
    <w:p w14:paraId="00826476" w14:textId="74DD3F46" w:rsidR="00094EC8" w:rsidRPr="00124F0A" w:rsidRDefault="00094EC8" w:rsidP="00ED5705">
      <w:pPr>
        <w:pStyle w:val="Dotpoint10"/>
        <w:spacing w:after="120"/>
      </w:pPr>
      <w:r w:rsidRPr="00124F0A">
        <w:t xml:space="preserve">teacher as a person: </w:t>
      </w:r>
      <w:r w:rsidRPr="004714FF">
        <w:rPr>
          <w:i/>
          <w:iCs/>
        </w:rPr>
        <w:t>communication, mind frames, psycho-social resources and attitude, cultural competency, and numeracy and literacy ready</w:t>
      </w:r>
      <w:r w:rsidR="00930456" w:rsidRPr="00124F0A">
        <w:t>,</w:t>
      </w:r>
    </w:p>
    <w:p w14:paraId="2554B42C" w14:textId="3185ED21" w:rsidR="00094EC8" w:rsidRPr="007F28D9" w:rsidRDefault="00094EC8" w:rsidP="00ED5705">
      <w:pPr>
        <w:pStyle w:val="Dotpoint10"/>
        <w:spacing w:after="120"/>
      </w:pPr>
      <w:r w:rsidRPr="00124F0A">
        <w:t xml:space="preserve">behaviour as a teacher: </w:t>
      </w:r>
      <w:r w:rsidRPr="004714FF">
        <w:rPr>
          <w:i/>
          <w:iCs/>
        </w:rPr>
        <w:t xml:space="preserve">adherence to a set of standards, professionalism, leadership, </w:t>
      </w:r>
      <w:proofErr w:type="gramStart"/>
      <w:r w:rsidRPr="004714FF">
        <w:rPr>
          <w:i/>
          <w:iCs/>
        </w:rPr>
        <w:t>accreditation</w:t>
      </w:r>
      <w:proofErr w:type="gramEnd"/>
      <w:r w:rsidRPr="004714FF">
        <w:rPr>
          <w:i/>
          <w:iCs/>
        </w:rPr>
        <w:t xml:space="preserve"> and credentialing</w:t>
      </w:r>
      <w:r w:rsidR="00930456" w:rsidRPr="00124F0A">
        <w:t xml:space="preserve">, </w:t>
      </w:r>
      <w:r w:rsidR="00930456" w:rsidRPr="007F28D9">
        <w:t>and</w:t>
      </w:r>
    </w:p>
    <w:p w14:paraId="3D90C365" w14:textId="7EE47952" w:rsidR="00094EC8" w:rsidRPr="00124F0A" w:rsidRDefault="00094EC8" w:rsidP="00ED5705">
      <w:pPr>
        <w:pStyle w:val="Dotpoint10"/>
        <w:spacing w:after="120"/>
        <w:rPr>
          <w:rFonts w:eastAsia="Cambria"/>
        </w:rPr>
      </w:pPr>
      <w:r w:rsidRPr="00124F0A">
        <w:t>continuous</w:t>
      </w:r>
      <w:r w:rsidR="005923BB">
        <w:t xml:space="preserve"> </w:t>
      </w:r>
      <w:r w:rsidR="00304371">
        <w:t>learning</w:t>
      </w:r>
      <w:r w:rsidRPr="007F28D9">
        <w:t xml:space="preserve">: </w:t>
      </w:r>
      <w:r w:rsidRPr="004714FF">
        <w:rPr>
          <w:i/>
          <w:iCs/>
        </w:rPr>
        <w:t>skill and specialisation, career progression, subject specialisation</w:t>
      </w:r>
      <w:r w:rsidRPr="00124F0A">
        <w:t>.</w:t>
      </w:r>
    </w:p>
    <w:p w14:paraId="75A4BCA3" w14:textId="34F0CD04" w:rsidR="00094EC8" w:rsidRDefault="00094EC8" w:rsidP="009711B0">
      <w:pPr>
        <w:pStyle w:val="Text"/>
      </w:pPr>
      <w:r w:rsidRPr="003409D0">
        <w:t>The OECD (2009) noted that Danielson’s Framework for Teaching</w:t>
      </w:r>
      <w:r w:rsidR="009654DC">
        <w:rPr>
          <w:rStyle w:val="FootnoteReference"/>
        </w:rPr>
        <w:footnoteReference w:id="13"/>
      </w:r>
      <w:r w:rsidRPr="003409D0">
        <w:t xml:space="preserve"> (2007</w:t>
      </w:r>
      <w:r w:rsidR="00F33209" w:rsidRPr="003409D0">
        <w:t xml:space="preserve">, </w:t>
      </w:r>
      <w:r w:rsidRPr="003409D0">
        <w:t>201</w:t>
      </w:r>
      <w:r w:rsidR="008904AA" w:rsidRPr="003409D0">
        <w:t>4)</w:t>
      </w:r>
      <w:r w:rsidRPr="003409D0">
        <w:t xml:space="preserve"> has influenced the systems used in the United Kingdom, </w:t>
      </w:r>
      <w:proofErr w:type="gramStart"/>
      <w:r w:rsidRPr="003409D0">
        <w:t>Chile</w:t>
      </w:r>
      <w:proofErr w:type="gramEnd"/>
      <w:r w:rsidRPr="003409D0">
        <w:t xml:space="preserve"> and the Kentucky (USA) Education Department</w:t>
      </w:r>
      <w:r w:rsidR="00A74644">
        <w:t xml:space="preserve">.  This framework </w:t>
      </w:r>
      <w:r w:rsidRPr="003409D0">
        <w:t>covers the broad range of capabilities, attitudes and behaviours</w:t>
      </w:r>
      <w:r w:rsidR="008B7DD3" w:rsidRPr="003409D0">
        <w:t xml:space="preserve"> identified</w:t>
      </w:r>
      <w:r w:rsidR="0066344C">
        <w:t xml:space="preserve"> in the preceding dot points</w:t>
      </w:r>
      <w:r w:rsidR="00ED7752" w:rsidRPr="003409D0">
        <w:t>. I</w:t>
      </w:r>
      <w:r w:rsidR="00B55C83" w:rsidRPr="003409D0">
        <w:t>t</w:t>
      </w:r>
      <w:r w:rsidRPr="003409D0">
        <w:t xml:space="preserve"> </w:t>
      </w:r>
      <w:r w:rsidR="00B55C83" w:rsidRPr="003409D0">
        <w:t>includes</w:t>
      </w:r>
      <w:r w:rsidR="009603EE" w:rsidRPr="003409D0">
        <w:t xml:space="preserve"> </w:t>
      </w:r>
      <w:r w:rsidRPr="003409D0">
        <w:t xml:space="preserve">explicit reference to creating a respectful classroom environment, understanding student </w:t>
      </w:r>
      <w:r w:rsidR="002C27B7" w:rsidRPr="003409D0">
        <w:t>needs</w:t>
      </w:r>
      <w:r w:rsidRPr="003409D0">
        <w:t xml:space="preserve"> and being flexibl</w:t>
      </w:r>
      <w:r w:rsidR="009806D6" w:rsidRPr="003409D0">
        <w:t>e</w:t>
      </w:r>
      <w:r w:rsidRPr="003409D0">
        <w:t xml:space="preserve"> and responsive. </w:t>
      </w:r>
    </w:p>
    <w:p w14:paraId="588147B4" w14:textId="77777777" w:rsidR="00C3417A" w:rsidRDefault="00124F0A" w:rsidP="00C3417A">
      <w:pPr>
        <w:pStyle w:val="Dotpoint10"/>
        <w:numPr>
          <w:ilvl w:val="0"/>
          <w:numId w:val="0"/>
        </w:numPr>
        <w:rPr>
          <w:lang w:eastAsia="en-AU"/>
        </w:rPr>
      </w:pPr>
      <w:proofErr w:type="gramStart"/>
      <w:r w:rsidRPr="000B081A">
        <w:t>A number of</w:t>
      </w:r>
      <w:proofErr w:type="gramEnd"/>
      <w:r w:rsidRPr="000B081A">
        <w:t xml:space="preserve"> capability frameworks have been developed </w:t>
      </w:r>
      <w:r w:rsidR="0041337F" w:rsidRPr="000B081A">
        <w:t xml:space="preserve">in Australia </w:t>
      </w:r>
      <w:r w:rsidRPr="000B081A">
        <w:t>to reflect the skills and capabilities</w:t>
      </w:r>
      <w:r w:rsidR="00C77D83">
        <w:t xml:space="preserve"> of</w:t>
      </w:r>
      <w:r w:rsidRPr="000B081A">
        <w:t xml:space="preserve"> VET teachers</w:t>
      </w:r>
      <w:r w:rsidR="0041337F" w:rsidRPr="000B081A">
        <w:t>, mostly</w:t>
      </w:r>
      <w:r w:rsidRPr="000B081A">
        <w:t xml:space="preserve"> by larger TAFE institutes and state-wide TAFE systems such as TAFE Queensland (Smith, 2019). </w:t>
      </w:r>
      <w:r w:rsidR="006373BF" w:rsidRPr="000B081A">
        <w:t xml:space="preserve">These are discussed in </w:t>
      </w:r>
      <w:r w:rsidR="000B081A" w:rsidRPr="000B081A">
        <w:t xml:space="preserve">further detail in </w:t>
      </w:r>
      <w:r w:rsidR="006373BF" w:rsidRPr="000B081A">
        <w:t>the following chapter</w:t>
      </w:r>
      <w:r w:rsidR="00C77D83">
        <w:t>,</w:t>
      </w:r>
      <w:r w:rsidR="00EC6048">
        <w:t xml:space="preserve"> </w:t>
      </w:r>
      <w:r w:rsidR="007F28D9">
        <w:t xml:space="preserve">with </w:t>
      </w:r>
      <w:r w:rsidR="00EC6048">
        <w:t xml:space="preserve">the </w:t>
      </w:r>
      <w:proofErr w:type="gramStart"/>
      <w:r w:rsidR="009B0B8D">
        <w:rPr>
          <w:lang w:eastAsia="en-AU"/>
        </w:rPr>
        <w:t>most commonly used</w:t>
      </w:r>
      <w:proofErr w:type="gramEnd"/>
      <w:r w:rsidR="009B0B8D">
        <w:rPr>
          <w:lang w:eastAsia="en-AU"/>
        </w:rPr>
        <w:t xml:space="preserve"> framework</w:t>
      </w:r>
      <w:r w:rsidR="007F28D9">
        <w:rPr>
          <w:lang w:eastAsia="en-AU"/>
        </w:rPr>
        <w:t xml:space="preserve"> being </w:t>
      </w:r>
      <w:r w:rsidR="009B0B8D">
        <w:rPr>
          <w:lang w:eastAsia="en-AU"/>
        </w:rPr>
        <w:t>the ‘VET Practitioner Capability Framework’ developed by IBSA</w:t>
      </w:r>
      <w:r w:rsidR="007F70C0">
        <w:rPr>
          <w:lang w:eastAsia="en-AU"/>
        </w:rPr>
        <w:t xml:space="preserve">. </w:t>
      </w:r>
    </w:p>
    <w:p w14:paraId="4F1A1D71" w14:textId="18B0FA5C" w:rsidR="00EF07D6" w:rsidRPr="00C72D13" w:rsidRDefault="00EF07D6" w:rsidP="00C3417A">
      <w:pPr>
        <w:pStyle w:val="Heading2"/>
        <w:rPr>
          <w:rStyle w:val="TextChar"/>
          <w:rFonts w:ascii="Arial" w:eastAsia="Cambria" w:hAnsi="Arial"/>
          <w:sz w:val="28"/>
        </w:rPr>
      </w:pPr>
      <w:bookmarkStart w:id="74" w:name="_Toc62204939"/>
      <w:r w:rsidRPr="00C72D13">
        <w:rPr>
          <w:rStyle w:val="TextChar"/>
          <w:rFonts w:ascii="Arial" w:eastAsia="Cambria" w:hAnsi="Arial"/>
          <w:sz w:val="28"/>
        </w:rPr>
        <w:t>Measuring performance</w:t>
      </w:r>
      <w:bookmarkEnd w:id="74"/>
      <w:r w:rsidRPr="00C72D13">
        <w:rPr>
          <w:rStyle w:val="TextChar"/>
          <w:rFonts w:ascii="Arial" w:eastAsia="Cambria" w:hAnsi="Arial"/>
          <w:sz w:val="28"/>
        </w:rPr>
        <w:t xml:space="preserve"> </w:t>
      </w:r>
    </w:p>
    <w:p w14:paraId="7D7B1669" w14:textId="668C9A6E" w:rsidR="00EF07D6" w:rsidRPr="0041337F" w:rsidRDefault="00EF07D6" w:rsidP="00E85F6A">
      <w:pPr>
        <w:pStyle w:val="Text"/>
        <w:rPr>
          <w:rFonts w:eastAsia="Cambria"/>
        </w:rPr>
      </w:pPr>
      <w:r w:rsidRPr="0041337F">
        <w:rPr>
          <w:rFonts w:eastAsia="Cambria"/>
        </w:rPr>
        <w:t>The use of multiple sources of evidence</w:t>
      </w:r>
      <w:r w:rsidR="000B3B5A">
        <w:rPr>
          <w:rFonts w:eastAsia="Cambria"/>
        </w:rPr>
        <w:t xml:space="preserve"> to measure teacher performance </w:t>
      </w:r>
      <w:r w:rsidRPr="0041337F">
        <w:rPr>
          <w:rFonts w:eastAsia="Cambria"/>
        </w:rPr>
        <w:t>is promoted as the key to the effective evaluation of teacher practice (Clinton et al. 2017</w:t>
      </w:r>
      <w:r w:rsidR="006109A0">
        <w:rPr>
          <w:rFonts w:eastAsia="Cambria"/>
        </w:rPr>
        <w:t>;</w:t>
      </w:r>
      <w:r w:rsidR="009B0B8D">
        <w:rPr>
          <w:rFonts w:eastAsia="Cambria"/>
        </w:rPr>
        <w:t xml:space="preserve"> OECD 2009</w:t>
      </w:r>
      <w:r w:rsidRPr="0041337F">
        <w:rPr>
          <w:rFonts w:eastAsia="Cambria"/>
        </w:rPr>
        <w:t>)</w:t>
      </w:r>
      <w:r w:rsidR="000B3B5A">
        <w:rPr>
          <w:rFonts w:eastAsia="Cambria"/>
        </w:rPr>
        <w:t xml:space="preserve">. </w:t>
      </w:r>
      <w:r w:rsidR="007F28D9">
        <w:rPr>
          <w:rFonts w:eastAsia="Cambria"/>
        </w:rPr>
        <w:t xml:space="preserve">Measures </w:t>
      </w:r>
      <w:r w:rsidRPr="0041337F">
        <w:rPr>
          <w:rFonts w:eastAsia="Cambria"/>
        </w:rPr>
        <w:t xml:space="preserve">may include: </w:t>
      </w:r>
    </w:p>
    <w:p w14:paraId="7617C103" w14:textId="270CE001" w:rsidR="00EF07D6" w:rsidRPr="007F28D9" w:rsidRDefault="00EF07D6" w:rsidP="00FA653A">
      <w:pPr>
        <w:pStyle w:val="Dotpoint10"/>
      </w:pPr>
      <w:r w:rsidRPr="007F28D9">
        <w:t>observation of classroom practice (discussed later)</w:t>
      </w:r>
      <w:r w:rsidR="00A74644">
        <w:t>,</w:t>
      </w:r>
    </w:p>
    <w:p w14:paraId="08548E7F" w14:textId="14F5F3CA" w:rsidR="00EF07D6" w:rsidRPr="007F28D9" w:rsidRDefault="00EF07D6" w:rsidP="00FA653A">
      <w:pPr>
        <w:pStyle w:val="Dotpoint10"/>
      </w:pPr>
      <w:r w:rsidRPr="007F28D9">
        <w:t>assessment of teaching performance portfolios</w:t>
      </w:r>
      <w:r w:rsidR="00A74644">
        <w:t>,</w:t>
      </w:r>
    </w:p>
    <w:p w14:paraId="2EEB6219" w14:textId="437FAE8A" w:rsidR="00EF07D6" w:rsidRPr="007F28D9" w:rsidRDefault="00EF07D6" w:rsidP="00FA653A">
      <w:pPr>
        <w:pStyle w:val="Dotpoint10"/>
      </w:pPr>
      <w:r w:rsidRPr="007F28D9">
        <w:t>interviews with teachers (including performance and development interviews)</w:t>
      </w:r>
      <w:r w:rsidR="006373BF" w:rsidRPr="007F28D9">
        <w:t>, and</w:t>
      </w:r>
      <w:r w:rsidRPr="007F28D9">
        <w:t xml:space="preserve"> </w:t>
      </w:r>
    </w:p>
    <w:p w14:paraId="171F2942" w14:textId="77777777" w:rsidR="00EF07D6" w:rsidRPr="007F28D9" w:rsidRDefault="00EF07D6" w:rsidP="00FA653A">
      <w:pPr>
        <w:pStyle w:val="Dotpoint10"/>
        <w:rPr>
          <w:rFonts w:eastAsia="Cambria"/>
        </w:rPr>
      </w:pPr>
      <w:r w:rsidRPr="007F28D9">
        <w:t xml:space="preserve">teacher ratings by peers and students. </w:t>
      </w:r>
    </w:p>
    <w:p w14:paraId="176D67C6" w14:textId="77777777" w:rsidR="00ED5705" w:rsidRDefault="00ED5705" w:rsidP="00FA653A">
      <w:pPr>
        <w:pStyle w:val="Text"/>
        <w:rPr>
          <w:rFonts w:eastAsia="Cambria"/>
        </w:rPr>
      </w:pPr>
    </w:p>
    <w:p w14:paraId="217E8A17" w14:textId="2A6247E8" w:rsidR="00EF07D6" w:rsidRPr="0041337F" w:rsidRDefault="00EF07D6" w:rsidP="00FA653A">
      <w:pPr>
        <w:pStyle w:val="Text"/>
        <w:rPr>
          <w:rFonts w:eastAsia="Cambria"/>
        </w:rPr>
      </w:pPr>
      <w:r w:rsidRPr="0041337F">
        <w:rPr>
          <w:rFonts w:eastAsia="Cambria"/>
        </w:rPr>
        <w:lastRenderedPageBreak/>
        <w:t xml:space="preserve">Other relevant sources of evidence (mostly observed in international systems) include: </w:t>
      </w:r>
    </w:p>
    <w:p w14:paraId="0E846847" w14:textId="1457C0E6" w:rsidR="00EF07D6" w:rsidRPr="007F28D9" w:rsidRDefault="00EF07D6" w:rsidP="00FA653A">
      <w:pPr>
        <w:pStyle w:val="Dotpoint10"/>
      </w:pPr>
      <w:r w:rsidRPr="007F28D9">
        <w:t>records of teaching performance (on standardised forms)</w:t>
      </w:r>
      <w:r w:rsidR="006373BF" w:rsidRPr="007F28D9">
        <w:t>, and</w:t>
      </w:r>
    </w:p>
    <w:p w14:paraId="08A1300E" w14:textId="77777777" w:rsidR="00EF07D6" w:rsidRPr="007F28D9" w:rsidRDefault="00EF07D6" w:rsidP="00FA653A">
      <w:pPr>
        <w:pStyle w:val="Dotpoint10"/>
      </w:pPr>
      <w:r w:rsidRPr="007F28D9">
        <w:t xml:space="preserve">results of teacher testing used for other purposes (for example, tests that, in some countries, assess teacher knowledge and skill for entry into the profession, or access to permanent employment). </w:t>
      </w:r>
    </w:p>
    <w:p w14:paraId="05EA542D" w14:textId="61E61044" w:rsidR="000B3B5A" w:rsidRDefault="000B3B5A" w:rsidP="006373BF">
      <w:pPr>
        <w:pStyle w:val="Text"/>
      </w:pPr>
      <w:bookmarkStart w:id="75" w:name="_Toc40607817"/>
      <w:bookmarkStart w:id="76" w:name="_Toc19804889"/>
      <w:bookmarkStart w:id="77" w:name="_Hlk32849793"/>
      <w:r w:rsidRPr="000B3B5A">
        <w:t xml:space="preserve">Measures such as student assessment results and course evaluation feedback can be part of the quality process, and many of the frameworks reviewed refer explicitly to using these as a basis for teacher self-reflection. These measures form part of the quality assurance system in general and are of major importance to RTOs when preparing for compliance audits by external regulators. </w:t>
      </w:r>
    </w:p>
    <w:p w14:paraId="55C09BE5" w14:textId="30D4CFD4" w:rsidR="00E85F6A" w:rsidRDefault="00DE315D" w:rsidP="00DE315D">
      <w:pPr>
        <w:pStyle w:val="Text"/>
        <w:rPr>
          <w:rFonts w:eastAsia="Cambria"/>
        </w:rPr>
      </w:pPr>
      <w:r>
        <w:rPr>
          <w:rFonts w:eastAsia="Cambria"/>
        </w:rPr>
        <w:t>However, the OECD’s research indicates that the use of student results for teacher evaluation is not a commonly adopted practice internationally mainly due to uncertainties associated with attributing student progress to teacher impact</w:t>
      </w:r>
      <w:r w:rsidR="009518CE">
        <w:rPr>
          <w:rFonts w:eastAsia="Cambria"/>
        </w:rPr>
        <w:t xml:space="preserve"> </w:t>
      </w:r>
      <w:r w:rsidR="009518CE" w:rsidRPr="009518CE">
        <w:rPr>
          <w:rFonts w:eastAsia="Cambria"/>
        </w:rPr>
        <w:t>when there are multiple other factors impacting on the results, including students’ socio-economic background (OECD 2009</w:t>
      </w:r>
      <w:r w:rsidR="009518CE">
        <w:rPr>
          <w:rFonts w:eastAsia="Cambria"/>
        </w:rPr>
        <w:t xml:space="preserve">, </w:t>
      </w:r>
      <w:r w:rsidR="00ED5705">
        <w:rPr>
          <w:rFonts w:eastAsia="Cambria"/>
        </w:rPr>
        <w:t>p.</w:t>
      </w:r>
      <w:r w:rsidR="009518CE" w:rsidRPr="009518CE">
        <w:rPr>
          <w:rFonts w:eastAsia="Cambria"/>
        </w:rPr>
        <w:t>11)</w:t>
      </w:r>
      <w:r w:rsidRPr="009518CE">
        <w:rPr>
          <w:rFonts w:eastAsia="Cambria"/>
        </w:rPr>
        <w:t xml:space="preserve">. </w:t>
      </w:r>
      <w:r>
        <w:rPr>
          <w:rFonts w:eastAsia="Cambria"/>
        </w:rPr>
        <w:t xml:space="preserve">The </w:t>
      </w:r>
      <w:r w:rsidR="006373BF" w:rsidRPr="0041337F">
        <w:rPr>
          <w:rFonts w:eastAsia="Cambria"/>
        </w:rPr>
        <w:t xml:space="preserve">research </w:t>
      </w:r>
      <w:r>
        <w:rPr>
          <w:rFonts w:eastAsia="Cambria"/>
        </w:rPr>
        <w:t xml:space="preserve">also </w:t>
      </w:r>
      <w:r w:rsidR="006373BF" w:rsidRPr="0041337F">
        <w:rPr>
          <w:rFonts w:eastAsia="Cambria"/>
        </w:rPr>
        <w:t xml:space="preserve">cautions </w:t>
      </w:r>
      <w:r w:rsidR="00B74050">
        <w:rPr>
          <w:rFonts w:eastAsia="Cambria"/>
        </w:rPr>
        <w:t>about the need</w:t>
      </w:r>
      <w:r w:rsidR="006373BF">
        <w:rPr>
          <w:rFonts w:eastAsia="Cambria"/>
        </w:rPr>
        <w:t xml:space="preserve"> </w:t>
      </w:r>
      <w:r w:rsidR="006373BF" w:rsidRPr="0041337F">
        <w:rPr>
          <w:rFonts w:eastAsia="Cambria"/>
        </w:rPr>
        <w:t xml:space="preserve">to separate the performance measures used for development and practice improvement from those for accountability purposes. </w:t>
      </w:r>
      <w:r w:rsidR="00E85F6A" w:rsidRPr="0041337F">
        <w:rPr>
          <w:rFonts w:eastAsia="Cambria"/>
        </w:rPr>
        <w:t xml:space="preserve">Indeed, Smith and Hawke (2008, </w:t>
      </w:r>
      <w:r w:rsidR="00ED5705">
        <w:rPr>
          <w:rFonts w:eastAsia="Cambria"/>
        </w:rPr>
        <w:t>p.</w:t>
      </w:r>
      <w:r w:rsidR="00E85F6A" w:rsidRPr="0041337F">
        <w:rPr>
          <w:rFonts w:eastAsia="Cambria"/>
        </w:rPr>
        <w:t xml:space="preserve">8) note that for RTOs, </w:t>
      </w:r>
      <w:r w:rsidR="00E85F6A">
        <w:rPr>
          <w:rFonts w:eastAsia="Cambria"/>
        </w:rPr>
        <w:t>‘</w:t>
      </w:r>
      <w:r w:rsidR="00E85F6A" w:rsidRPr="0041337F">
        <w:rPr>
          <w:rFonts w:eastAsia="Cambria"/>
        </w:rPr>
        <w:t>Performance management systems tend to be focused on staff development rather than on performance evaluation</w:t>
      </w:r>
      <w:r w:rsidR="00E85F6A">
        <w:rPr>
          <w:rFonts w:eastAsia="Cambria"/>
        </w:rPr>
        <w:t>’</w:t>
      </w:r>
      <w:r w:rsidR="00A74644">
        <w:rPr>
          <w:rFonts w:eastAsia="Cambria"/>
        </w:rPr>
        <w:t>.</w:t>
      </w:r>
      <w:r w:rsidR="00E85F6A" w:rsidRPr="0041337F">
        <w:rPr>
          <w:rFonts w:eastAsia="Cambria"/>
        </w:rPr>
        <w:t xml:space="preserve"> </w:t>
      </w:r>
    </w:p>
    <w:p w14:paraId="74BA49BB" w14:textId="41A42C14" w:rsidR="000B3B5A" w:rsidRDefault="006373BF" w:rsidP="00BA40E6">
      <w:pPr>
        <w:pStyle w:val="Text"/>
      </w:pPr>
      <w:r w:rsidRPr="0041337F">
        <w:rPr>
          <w:rFonts w:eastAsia="Cambria"/>
        </w:rPr>
        <w:t xml:space="preserve">Our consultations with key stakeholder groups allude to similar issues when approaches to improving teacher practice were discussed. </w:t>
      </w:r>
      <w:r w:rsidR="00E85F6A" w:rsidRPr="0041337F">
        <w:rPr>
          <w:rFonts w:eastAsia="Cambria"/>
        </w:rPr>
        <w:t>Teachers may be reluctant to speak about their weaknesses in a process focused on accountability because of the perceived repercussions on career and wages.</w:t>
      </w:r>
      <w:r w:rsidR="00E85F6A">
        <w:rPr>
          <w:rFonts w:eastAsia="Cambria"/>
        </w:rPr>
        <w:t xml:space="preserve"> </w:t>
      </w:r>
      <w:r w:rsidR="000B3B5A" w:rsidRPr="0041337F">
        <w:t>How RTOs use objective measures (such as student assessment or employment post-training) to help review the quality of teacher performance and develop the quality of VET teaching requires more intense investigation, since student factors unrelated to the quality of teaching are necessarily implicated.</w:t>
      </w:r>
      <w:r w:rsidR="007F70C0" w:rsidRPr="007F70C0">
        <w:t xml:space="preserve"> </w:t>
      </w:r>
    </w:p>
    <w:p w14:paraId="1CAF0C07" w14:textId="2039789F" w:rsidR="00241D66" w:rsidRDefault="00241D66" w:rsidP="00E049AD">
      <w:pPr>
        <w:pStyle w:val="Dotpoint10"/>
        <w:numPr>
          <w:ilvl w:val="0"/>
          <w:numId w:val="0"/>
        </w:numPr>
      </w:pPr>
      <w:r>
        <w:br w:type="page"/>
      </w:r>
    </w:p>
    <w:p w14:paraId="1CAA71CD" w14:textId="3B21B255" w:rsidR="003D30B7" w:rsidRPr="009711B0" w:rsidRDefault="00621C5F" w:rsidP="009711B0">
      <w:pPr>
        <w:pStyle w:val="Heading1"/>
      </w:pPr>
      <w:bookmarkStart w:id="78" w:name="_Toc62204940"/>
      <w:r w:rsidRPr="00621C5F">
        <w:rPr>
          <w:noProof/>
          <w:lang w:eastAsia="en-AU"/>
        </w:rPr>
        <w:lastRenderedPageBreak/>
        <w:drawing>
          <wp:anchor distT="0" distB="0" distL="114300" distR="114300" simplePos="0" relativeHeight="252020736" behindDoc="0" locked="0" layoutInCell="1" allowOverlap="1" wp14:anchorId="405906A3" wp14:editId="3BC350A5">
            <wp:simplePos x="0" y="0"/>
            <wp:positionH relativeFrom="column">
              <wp:posOffset>3212</wp:posOffset>
            </wp:positionH>
            <wp:positionV relativeFrom="paragraph">
              <wp:posOffset>374</wp:posOffset>
            </wp:positionV>
            <wp:extent cx="417600" cy="417600"/>
            <wp:effectExtent l="0" t="0" r="1905" b="1905"/>
            <wp:wrapSquare wrapText="bothSides"/>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preferRelativeResize="0">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0B7" w:rsidRPr="009711B0">
        <w:t xml:space="preserve">Analysing the content of </w:t>
      </w:r>
      <w:r w:rsidR="00685CCE">
        <w:t xml:space="preserve">selected </w:t>
      </w:r>
      <w:r w:rsidR="003409D0">
        <w:t xml:space="preserve">capability </w:t>
      </w:r>
      <w:r w:rsidR="003D30B7" w:rsidRPr="009711B0">
        <w:t>frameworks and standards</w:t>
      </w:r>
      <w:bookmarkEnd w:id="75"/>
      <w:bookmarkEnd w:id="78"/>
    </w:p>
    <w:p w14:paraId="0D7D6D1B" w14:textId="2C67EA52" w:rsidR="003D30B7" w:rsidRPr="009C7807" w:rsidRDefault="003D30B7" w:rsidP="009C7807">
      <w:pPr>
        <w:pStyle w:val="Heading2"/>
      </w:pPr>
      <w:bookmarkStart w:id="79" w:name="_Toc40607818"/>
      <w:bookmarkStart w:id="80" w:name="_Toc62204941"/>
      <w:r w:rsidRPr="009C7807">
        <w:t>Selecting the frameworks</w:t>
      </w:r>
      <w:bookmarkEnd w:id="79"/>
      <w:bookmarkEnd w:id="80"/>
    </w:p>
    <w:p w14:paraId="3DBB5F8F" w14:textId="7CE085D3" w:rsidR="00241D66" w:rsidRPr="009711B0" w:rsidRDefault="00C25F12" w:rsidP="009711B0">
      <w:pPr>
        <w:pStyle w:val="Text"/>
      </w:pPr>
      <w:r w:rsidRPr="00C25F12">
        <w:t>Based on recommendations from each Australian jurisdiction and our environmental scan of current frameworks and standards</w:t>
      </w:r>
      <w:r w:rsidR="00903F40">
        <w:t>,</w:t>
      </w:r>
      <w:r w:rsidRPr="00C25F12">
        <w:t xml:space="preserve"> we selected a small sample used in Australia and overseas for more detailed analysis.</w:t>
      </w:r>
      <w:r w:rsidR="003D30B7" w:rsidRPr="009711B0">
        <w:t xml:space="preserve"> </w:t>
      </w:r>
      <w:r w:rsidR="00245304" w:rsidRPr="009711B0">
        <w:t>Some</w:t>
      </w:r>
      <w:r w:rsidR="00241D66" w:rsidRPr="009711B0">
        <w:t xml:space="preserve"> </w:t>
      </w:r>
      <w:r w:rsidR="003D30B7" w:rsidRPr="009711B0">
        <w:t xml:space="preserve">jurisdictions did not </w:t>
      </w:r>
      <w:r w:rsidR="00241D66" w:rsidRPr="009711B0">
        <w:t xml:space="preserve">suggest </w:t>
      </w:r>
      <w:r w:rsidR="003D30B7" w:rsidRPr="009711B0">
        <w:t>frameworks for further investigation</w:t>
      </w:r>
      <w:r w:rsidR="00245304" w:rsidRPr="009711B0">
        <w:t xml:space="preserve"> and in these instances</w:t>
      </w:r>
      <w:r w:rsidR="00DF07D9">
        <w:t>,</w:t>
      </w:r>
      <w:r w:rsidR="003D30B7" w:rsidRPr="009711B0">
        <w:t xml:space="preserve"> </w:t>
      </w:r>
      <w:r w:rsidR="00241D66" w:rsidRPr="009711B0">
        <w:t>we identified</w:t>
      </w:r>
      <w:r w:rsidR="003D30B7" w:rsidRPr="009711B0">
        <w:t xml:space="preserve"> public RTOs </w:t>
      </w:r>
      <w:r w:rsidR="00241D66" w:rsidRPr="009711B0">
        <w:t>with</w:t>
      </w:r>
      <w:r w:rsidR="003D30B7" w:rsidRPr="009711B0">
        <w:t xml:space="preserve">in </w:t>
      </w:r>
      <w:r w:rsidR="00241D66" w:rsidRPr="009711B0">
        <w:t>those</w:t>
      </w:r>
      <w:r w:rsidR="00AC3C44" w:rsidRPr="009711B0">
        <w:t xml:space="preserve"> </w:t>
      </w:r>
      <w:r w:rsidR="003D30B7" w:rsidRPr="009711B0">
        <w:t>jurisdictions that had developed and were using capability frameworks for their staff.</w:t>
      </w:r>
    </w:p>
    <w:p w14:paraId="15934582" w14:textId="23868B67" w:rsidR="003D30B7" w:rsidRPr="009C7807" w:rsidRDefault="003D30B7" w:rsidP="009C7807">
      <w:pPr>
        <w:pStyle w:val="Heading2"/>
      </w:pPr>
      <w:bookmarkStart w:id="81" w:name="_Toc62204942"/>
      <w:r w:rsidRPr="009C7807">
        <w:t>A hierarchy of skills and knowledge</w:t>
      </w:r>
      <w:bookmarkEnd w:id="81"/>
      <w:r w:rsidRPr="009C7807">
        <w:t xml:space="preserve"> </w:t>
      </w:r>
    </w:p>
    <w:p w14:paraId="4DDE47A5" w14:textId="706D838A" w:rsidR="003D30B7" w:rsidRPr="0061110E" w:rsidRDefault="003D30B7" w:rsidP="009711B0">
      <w:pPr>
        <w:pStyle w:val="Text"/>
        <w:ind w:right="-1"/>
        <w:rPr>
          <w:spacing w:val="-2"/>
        </w:rPr>
      </w:pPr>
      <w:r w:rsidRPr="0061110E">
        <w:rPr>
          <w:spacing w:val="-2"/>
        </w:rPr>
        <w:t>Some frameworks and standards have a graduated set of capabilities based on a ‘hierarchy of skills and knowledge’ (IBSA 2013, p</w:t>
      </w:r>
      <w:r w:rsidR="00984721" w:rsidRPr="0061110E">
        <w:rPr>
          <w:spacing w:val="-2"/>
        </w:rPr>
        <w:t>.</w:t>
      </w:r>
      <w:r w:rsidRPr="0061110E">
        <w:rPr>
          <w:spacing w:val="-2"/>
        </w:rPr>
        <w:t>9), including at different career stages and levels of expertise and experience</w:t>
      </w:r>
      <w:r w:rsidR="002974D0" w:rsidRPr="0061110E">
        <w:rPr>
          <w:spacing w:val="-2"/>
        </w:rPr>
        <w:t>, while others simply identify the capabilities</w:t>
      </w:r>
      <w:r w:rsidR="009654DC" w:rsidRPr="0061110E">
        <w:rPr>
          <w:rStyle w:val="FootnoteReference"/>
          <w:spacing w:val="-2"/>
        </w:rPr>
        <w:footnoteReference w:id="14"/>
      </w:r>
      <w:r w:rsidR="0093074C" w:rsidRPr="0061110E">
        <w:rPr>
          <w:spacing w:val="-2"/>
        </w:rPr>
        <w:t xml:space="preserve">. </w:t>
      </w:r>
      <w:r w:rsidRPr="0061110E">
        <w:rPr>
          <w:spacing w:val="-2"/>
        </w:rPr>
        <w:t xml:space="preserve">The frameworks examined for </w:t>
      </w:r>
      <w:r w:rsidR="00DE2986" w:rsidRPr="0061110E">
        <w:rPr>
          <w:spacing w:val="-2"/>
        </w:rPr>
        <w:t>the various education</w:t>
      </w:r>
      <w:r w:rsidRPr="0061110E">
        <w:rPr>
          <w:spacing w:val="-2"/>
        </w:rPr>
        <w:t xml:space="preserve"> sector</w:t>
      </w:r>
      <w:r w:rsidR="00DE2986" w:rsidRPr="0061110E">
        <w:rPr>
          <w:spacing w:val="-2"/>
        </w:rPr>
        <w:t>s</w:t>
      </w:r>
      <w:r w:rsidR="007F70C0" w:rsidRPr="0061110E">
        <w:rPr>
          <w:spacing w:val="-2"/>
        </w:rPr>
        <w:t xml:space="preserve"> </w:t>
      </w:r>
      <w:r w:rsidRPr="0061110E">
        <w:rPr>
          <w:spacing w:val="-2"/>
        </w:rPr>
        <w:t>include:</w:t>
      </w:r>
    </w:p>
    <w:p w14:paraId="2C952E4E" w14:textId="74579215" w:rsidR="003A0097" w:rsidRPr="001F08DC" w:rsidRDefault="003D30B7" w:rsidP="00FA653A">
      <w:pPr>
        <w:pStyle w:val="Text"/>
      </w:pPr>
      <w:r w:rsidRPr="001F08DC">
        <w:t>VET sector frameworks</w:t>
      </w:r>
      <w:r w:rsidR="009654DC" w:rsidRPr="00E85F6A">
        <w:rPr>
          <w:rStyle w:val="FootnoteReference"/>
          <w:szCs w:val="19"/>
        </w:rPr>
        <w:footnoteReference w:id="15"/>
      </w:r>
      <w:r w:rsidRPr="001F08DC">
        <w:t>:</w:t>
      </w:r>
    </w:p>
    <w:p w14:paraId="0CF2B723" w14:textId="3ACDCA94" w:rsidR="003A0097" w:rsidRPr="00FA653A" w:rsidRDefault="003D30B7" w:rsidP="00FA653A">
      <w:pPr>
        <w:pStyle w:val="Dotpoint10"/>
      </w:pPr>
      <w:r w:rsidRPr="00FA653A">
        <w:t>IBSA VET Practitioner Capability Framework</w:t>
      </w:r>
      <w:r w:rsidR="00903F40">
        <w:t>,</w:t>
      </w:r>
    </w:p>
    <w:p w14:paraId="3B685B17" w14:textId="708BA9F5" w:rsidR="003A0097" w:rsidRPr="00FA653A" w:rsidRDefault="003D30B7" w:rsidP="00FA653A">
      <w:pPr>
        <w:pStyle w:val="Dotpoint10"/>
      </w:pPr>
      <w:r w:rsidRPr="00FA653A">
        <w:t>Charles Darwin University’s VET Educator Capability Framewor</w:t>
      </w:r>
      <w:r w:rsidR="008D7367" w:rsidRPr="00FA653A">
        <w:t>k</w:t>
      </w:r>
      <w:r w:rsidR="00903F40">
        <w:t>,</w:t>
      </w:r>
    </w:p>
    <w:p w14:paraId="6E07DA1F" w14:textId="09301BBB" w:rsidR="003A0097" w:rsidRPr="00FA653A" w:rsidRDefault="003D30B7" w:rsidP="00FA653A">
      <w:pPr>
        <w:pStyle w:val="Dotpoint10"/>
      </w:pPr>
      <w:r w:rsidRPr="00FA653A">
        <w:t>Chisholm Educator Excellence Framework</w:t>
      </w:r>
      <w:r w:rsidR="00903F40">
        <w:t>,</w:t>
      </w:r>
    </w:p>
    <w:p w14:paraId="6324F8F1" w14:textId="7D24629E" w:rsidR="003A0097" w:rsidRPr="00FA653A" w:rsidRDefault="003D30B7" w:rsidP="00FA653A">
      <w:pPr>
        <w:pStyle w:val="Dotpoint10"/>
      </w:pPr>
      <w:r w:rsidRPr="00FA653A">
        <w:t>TAFE New South Wales Professional Standards for Teachers</w:t>
      </w:r>
      <w:r w:rsidR="00903F40">
        <w:t>,</w:t>
      </w:r>
    </w:p>
    <w:p w14:paraId="0B665B59" w14:textId="2EE7D5E0" w:rsidR="00464C78" w:rsidRPr="00FA653A" w:rsidRDefault="003D30B7" w:rsidP="00FA653A">
      <w:pPr>
        <w:pStyle w:val="Dotpoint10"/>
      </w:pPr>
      <w:r w:rsidRPr="00FA653A">
        <w:t>TAFESA VET Educator Capability Framework</w:t>
      </w:r>
      <w:r w:rsidR="00903F40">
        <w:t>,</w:t>
      </w:r>
    </w:p>
    <w:p w14:paraId="04858286" w14:textId="1074B602" w:rsidR="00464C78" w:rsidRPr="00FA653A" w:rsidRDefault="003D30B7" w:rsidP="00FA653A">
      <w:pPr>
        <w:pStyle w:val="Dotpoint10"/>
      </w:pPr>
      <w:proofErr w:type="spellStart"/>
      <w:r w:rsidRPr="00FA653A">
        <w:t>TasTAFE</w:t>
      </w:r>
      <w:proofErr w:type="spellEnd"/>
      <w:r w:rsidRPr="00FA653A">
        <w:t xml:space="preserve"> Educator Capability Framework</w:t>
      </w:r>
      <w:r w:rsidR="00903F40">
        <w:t>,</w:t>
      </w:r>
    </w:p>
    <w:p w14:paraId="3065C25D" w14:textId="3922FF18" w:rsidR="00464C78" w:rsidRPr="00FA653A" w:rsidRDefault="003D30B7" w:rsidP="00FA653A">
      <w:pPr>
        <w:pStyle w:val="Dotpoint10"/>
      </w:pPr>
      <w:r w:rsidRPr="00FA653A">
        <w:t>North Metropolitan TAFE VET Practitioner Capability Framework and Academic Capability Framework</w:t>
      </w:r>
      <w:r w:rsidR="00903F40">
        <w:t>,</w:t>
      </w:r>
      <w:r w:rsidRPr="00FA653A">
        <w:t xml:space="preserve"> (ACF)(Perth)</w:t>
      </w:r>
    </w:p>
    <w:p w14:paraId="0F253D50" w14:textId="0B068815" w:rsidR="00E358C8" w:rsidRPr="00FA653A" w:rsidRDefault="003D30B7" w:rsidP="00FA653A">
      <w:pPr>
        <w:pStyle w:val="Dotpoint10"/>
      </w:pPr>
      <w:r w:rsidRPr="00FA653A">
        <w:t>TAFE Queensland Educator Capability Framework</w:t>
      </w:r>
      <w:r w:rsidR="000B081A" w:rsidRPr="00FA653A">
        <w:t>, and</w:t>
      </w:r>
    </w:p>
    <w:p w14:paraId="77E067C3" w14:textId="3A580150" w:rsidR="003D3CB5" w:rsidRPr="00FA653A" w:rsidRDefault="003D30B7" w:rsidP="00FA653A">
      <w:pPr>
        <w:pStyle w:val="Dotpoint10"/>
      </w:pPr>
      <w:r w:rsidRPr="00FA653A">
        <w:t xml:space="preserve">Professional Standards for Teachers and </w:t>
      </w:r>
      <w:r w:rsidR="00ED7752" w:rsidRPr="00FA653A">
        <w:t>Trainer</w:t>
      </w:r>
      <w:r w:rsidRPr="00FA653A">
        <w:t xml:space="preserve">s </w:t>
      </w:r>
      <w:r w:rsidR="00E26FA0" w:rsidRPr="00FA653A">
        <w:t xml:space="preserve">in </w:t>
      </w:r>
      <w:r w:rsidR="00547EC7" w:rsidRPr="00FA653A">
        <w:t>E</w:t>
      </w:r>
      <w:r w:rsidR="00E26FA0" w:rsidRPr="00FA653A">
        <w:t xml:space="preserve">ducation and </w:t>
      </w:r>
      <w:r w:rsidR="00547EC7" w:rsidRPr="00FA653A">
        <w:t>T</w:t>
      </w:r>
      <w:r w:rsidR="00E26FA0" w:rsidRPr="00FA653A">
        <w:t>raining</w:t>
      </w:r>
      <w:r w:rsidR="002974D0" w:rsidRPr="00FA653A">
        <w:t xml:space="preserve"> </w:t>
      </w:r>
      <w:r w:rsidR="007B2DD6" w:rsidRPr="00FA653A">
        <w:t>—</w:t>
      </w:r>
      <w:r w:rsidRPr="00FA653A">
        <w:t xml:space="preserve"> England</w:t>
      </w:r>
      <w:r w:rsidR="00F17738" w:rsidRPr="00FA653A">
        <w:t>.</w:t>
      </w:r>
    </w:p>
    <w:p w14:paraId="0504F515" w14:textId="77777777" w:rsidR="00A5138D" w:rsidRPr="001F08DC" w:rsidRDefault="00A5138D" w:rsidP="00FA653A">
      <w:pPr>
        <w:pStyle w:val="Text"/>
      </w:pPr>
      <w:r w:rsidRPr="001F08DC">
        <w:t xml:space="preserve">Schooling sector standards: </w:t>
      </w:r>
    </w:p>
    <w:p w14:paraId="2A3ACC9F" w14:textId="70BEC4B0" w:rsidR="00A5138D" w:rsidRPr="00FA653A" w:rsidRDefault="00A5138D" w:rsidP="00FA653A">
      <w:pPr>
        <w:pStyle w:val="Dotpoint10"/>
      </w:pPr>
      <w:r w:rsidRPr="00FA653A">
        <w:t xml:space="preserve">The </w:t>
      </w:r>
      <w:r w:rsidR="000C77A6" w:rsidRPr="00FA653A">
        <w:t>Australian Institute for Teaching and School Leadership (</w:t>
      </w:r>
      <w:r w:rsidRPr="00FA653A">
        <w:t>AITSL</w:t>
      </w:r>
      <w:r w:rsidR="000C77A6" w:rsidRPr="00FA653A">
        <w:t xml:space="preserve">) </w:t>
      </w:r>
      <w:r w:rsidRPr="00FA653A">
        <w:t>Australian Professional Standards for Teachers</w:t>
      </w:r>
      <w:r w:rsidR="00903F40">
        <w:t>,</w:t>
      </w:r>
    </w:p>
    <w:p w14:paraId="407A22D4" w14:textId="28432648" w:rsidR="00DB485A" w:rsidRPr="00FA653A" w:rsidRDefault="00A5138D" w:rsidP="00FA653A">
      <w:pPr>
        <w:pStyle w:val="Dotpoint10"/>
      </w:pPr>
      <w:r w:rsidRPr="00FA653A">
        <w:t xml:space="preserve">USA Career and Technical Education [VET] Standards (teachers of 11 to 18-year-olds), and </w:t>
      </w:r>
    </w:p>
    <w:p w14:paraId="736CFB92" w14:textId="33205E11" w:rsidR="001F08DC" w:rsidRPr="00FA653A" w:rsidRDefault="00A5138D" w:rsidP="00FA653A">
      <w:pPr>
        <w:pStyle w:val="Dotpoint10"/>
      </w:pPr>
      <w:r w:rsidRPr="00FA653A">
        <w:t>The Danielson Framework for Teaching</w:t>
      </w:r>
      <w:r w:rsidR="000B081A" w:rsidRPr="00FA653A">
        <w:t>.</w:t>
      </w:r>
    </w:p>
    <w:p w14:paraId="13AE840B" w14:textId="618E4A2C" w:rsidR="001F08DC" w:rsidRDefault="00A5138D" w:rsidP="00FA653A">
      <w:pPr>
        <w:pStyle w:val="Text"/>
      </w:pPr>
      <w:r w:rsidRPr="00DB485A">
        <w:lastRenderedPageBreak/>
        <w:t>Higher education sector framework:</w:t>
      </w:r>
    </w:p>
    <w:p w14:paraId="7F931FEF" w14:textId="2FF2109A" w:rsidR="00DB485A" w:rsidRPr="00FA653A" w:rsidRDefault="00A5138D" w:rsidP="00FA653A">
      <w:pPr>
        <w:pStyle w:val="Dotpoint10"/>
      </w:pPr>
      <w:r w:rsidRPr="00FA653A">
        <w:t>Griffith Learning and Teaching Capabilities Framework, Griffith University.</w:t>
      </w:r>
      <w:r w:rsidR="005F415B" w:rsidRPr="00FA653A">
        <w:t xml:space="preserve"> </w:t>
      </w:r>
    </w:p>
    <w:p w14:paraId="3B1C6C9B" w14:textId="75C48B6A" w:rsidR="00D26CFE" w:rsidRDefault="00F17738" w:rsidP="00FA653A">
      <w:pPr>
        <w:pStyle w:val="Dotpoint2"/>
        <w:numPr>
          <w:ilvl w:val="0"/>
          <w:numId w:val="0"/>
        </w:numPr>
      </w:pPr>
      <w:r>
        <w:t xml:space="preserve">It is worth noting that </w:t>
      </w:r>
      <w:r w:rsidR="00D26CFE">
        <w:t xml:space="preserve">the current </w:t>
      </w:r>
      <w:hyperlink r:id="rId38" w:history="1">
        <w:r w:rsidR="00DC07DC" w:rsidRPr="00DC07DC">
          <w:rPr>
            <w:rStyle w:val="Hyperlink"/>
          </w:rPr>
          <w:t>Victorian TAFE Teaching Staff Agreement 2018</w:t>
        </w:r>
      </w:hyperlink>
      <w:r w:rsidR="00D26CFE">
        <w:t xml:space="preserve"> </w:t>
      </w:r>
      <w:r>
        <w:t xml:space="preserve">also </w:t>
      </w:r>
      <w:r w:rsidR="00D26CFE">
        <w:t xml:space="preserve">describes the expected </w:t>
      </w:r>
      <w:r w:rsidR="00B4666C">
        <w:t xml:space="preserve">key duties and </w:t>
      </w:r>
      <w:r w:rsidR="00D26CFE">
        <w:t>attributes of teachers and managers in that system</w:t>
      </w:r>
      <w:r w:rsidR="00A17900">
        <w:t>, as do</w:t>
      </w:r>
      <w:r w:rsidR="00CE3925">
        <w:t xml:space="preserve"> </w:t>
      </w:r>
      <w:r w:rsidR="00A17900">
        <w:t>other TAFE industrial awards (</w:t>
      </w:r>
      <w:r w:rsidR="00FB409A">
        <w:t>e.g.</w:t>
      </w:r>
      <w:r w:rsidR="007E5ACB">
        <w:t xml:space="preserve"> </w:t>
      </w:r>
      <w:r w:rsidR="00522B2E">
        <w:t xml:space="preserve">the </w:t>
      </w:r>
      <w:hyperlink r:id="rId39" w:history="1">
        <w:r w:rsidR="00522B2E" w:rsidRPr="00522B2E">
          <w:rPr>
            <w:rStyle w:val="Hyperlink"/>
          </w:rPr>
          <w:t>TAFE Queensland Educators Certified Agreement 2019</w:t>
        </w:r>
      </w:hyperlink>
      <w:r w:rsidR="007E5ACB">
        <w:t xml:space="preserve">, </w:t>
      </w:r>
      <w:hyperlink r:id="rId40" w:history="1">
        <w:r w:rsidR="007E5ACB" w:rsidRPr="008C3CF2">
          <w:rPr>
            <w:rStyle w:val="Hyperlink"/>
          </w:rPr>
          <w:t>Western Australia</w:t>
        </w:r>
        <w:r w:rsidR="00522B2E" w:rsidRPr="008C3CF2">
          <w:rPr>
            <w:rStyle w:val="Hyperlink"/>
          </w:rPr>
          <w:t>n TAFE Lecturers’ Agreement 2019</w:t>
        </w:r>
      </w:hyperlink>
      <w:r w:rsidR="00A5138D">
        <w:t xml:space="preserve">, </w:t>
      </w:r>
      <w:hyperlink r:id="rId41" w:history="1">
        <w:r w:rsidR="00A5138D" w:rsidRPr="00A5138D">
          <w:rPr>
            <w:rStyle w:val="Hyperlink"/>
          </w:rPr>
          <w:t>Charles Darwin University a</w:t>
        </w:r>
        <w:r w:rsidR="000B081A">
          <w:rPr>
            <w:rStyle w:val="Hyperlink"/>
          </w:rPr>
          <w:t xml:space="preserve">nd </w:t>
        </w:r>
        <w:r w:rsidR="00A5138D" w:rsidRPr="00A5138D">
          <w:rPr>
            <w:rStyle w:val="Hyperlink"/>
          </w:rPr>
          <w:t xml:space="preserve"> Union Enterprise Agreement 2018</w:t>
        </w:r>
      </w:hyperlink>
      <w:r w:rsidR="00A5138D">
        <w:t xml:space="preserve"> </w:t>
      </w:r>
      <w:r w:rsidR="00522B2E">
        <w:t xml:space="preserve">and </w:t>
      </w:r>
      <w:r w:rsidR="0072414A">
        <w:t>S</w:t>
      </w:r>
      <w:r w:rsidR="00A35044">
        <w:t xml:space="preserve">chedule 2 </w:t>
      </w:r>
      <w:r w:rsidR="00A35044" w:rsidRPr="00F161E7">
        <w:t xml:space="preserve">of </w:t>
      </w:r>
      <w:r w:rsidR="00A17900" w:rsidRPr="0072414A">
        <w:t>South Australia’s</w:t>
      </w:r>
      <w:r w:rsidR="0072414A" w:rsidRPr="00E85F6A">
        <w:t xml:space="preserve"> </w:t>
      </w:r>
      <w:hyperlink r:id="rId42" w:history="1">
        <w:r w:rsidR="0072414A" w:rsidRPr="00E85F6A">
          <w:rPr>
            <w:rStyle w:val="Hyperlink"/>
          </w:rPr>
          <w:t xml:space="preserve">TAFE </w:t>
        </w:r>
        <w:r w:rsidR="00FB409A">
          <w:rPr>
            <w:rStyle w:val="Hyperlink"/>
          </w:rPr>
          <w:t>[</w:t>
        </w:r>
        <w:r w:rsidR="0072414A" w:rsidRPr="00E85F6A">
          <w:rPr>
            <w:rStyle w:val="Hyperlink"/>
          </w:rPr>
          <w:t>Educational Staff</w:t>
        </w:r>
        <w:r w:rsidR="00FB409A">
          <w:rPr>
            <w:rStyle w:val="Hyperlink"/>
          </w:rPr>
          <w:t>]</w:t>
        </w:r>
        <w:r w:rsidR="0072414A" w:rsidRPr="00E85F6A">
          <w:rPr>
            <w:rStyle w:val="Hyperlink"/>
          </w:rPr>
          <w:t xml:space="preserve"> Interim Award</w:t>
        </w:r>
      </w:hyperlink>
      <w:r w:rsidR="00A17900" w:rsidRPr="00F161E7">
        <w:t>).</w:t>
      </w:r>
    </w:p>
    <w:p w14:paraId="0D1233D7" w14:textId="734D976E" w:rsidR="004C4C8F" w:rsidRPr="00C72D13" w:rsidRDefault="004C4C8F" w:rsidP="00C72D13">
      <w:pPr>
        <w:pStyle w:val="Heading3"/>
        <w:rPr>
          <w:i/>
          <w:iCs/>
        </w:rPr>
      </w:pPr>
      <w:r w:rsidRPr="00C72D13">
        <w:rPr>
          <w:i/>
          <w:iCs/>
        </w:rPr>
        <w:t>Professional teaching capabilities</w:t>
      </w:r>
    </w:p>
    <w:p w14:paraId="520CF4DD" w14:textId="33B272CE" w:rsidR="008C45E4" w:rsidRPr="006F2B8E" w:rsidRDefault="008C45E4" w:rsidP="008C45E4">
      <w:pPr>
        <w:spacing w:before="160" w:after="200"/>
        <w:rPr>
          <w:szCs w:val="20"/>
          <w:lang w:eastAsia="en-AU"/>
        </w:rPr>
      </w:pPr>
      <w:r w:rsidRPr="006373BF">
        <w:rPr>
          <w:szCs w:val="20"/>
          <w:lang w:eastAsia="en-AU"/>
        </w:rPr>
        <w:t xml:space="preserve">A comparison of </w:t>
      </w:r>
      <w:r>
        <w:rPr>
          <w:szCs w:val="20"/>
          <w:lang w:eastAsia="en-AU"/>
        </w:rPr>
        <w:t xml:space="preserve">the teacher </w:t>
      </w:r>
      <w:r w:rsidRPr="006373BF">
        <w:rPr>
          <w:szCs w:val="20"/>
          <w:lang w:eastAsia="en-AU"/>
        </w:rPr>
        <w:t>capability frameworks and standards</w:t>
      </w:r>
      <w:r>
        <w:rPr>
          <w:szCs w:val="20"/>
          <w:lang w:eastAsia="en-AU"/>
        </w:rPr>
        <w:t xml:space="preserve"> </w:t>
      </w:r>
      <w:r w:rsidR="00E85F6A">
        <w:rPr>
          <w:szCs w:val="20"/>
          <w:lang w:eastAsia="en-AU"/>
        </w:rPr>
        <w:t>(</w:t>
      </w:r>
      <w:r w:rsidR="00A768B1">
        <w:t>appendix</w:t>
      </w:r>
      <w:r w:rsidR="00A768B1" w:rsidRPr="00E85F6A">
        <w:rPr>
          <w:szCs w:val="20"/>
          <w:lang w:eastAsia="en-AU"/>
        </w:rPr>
        <w:t xml:space="preserve"> </w:t>
      </w:r>
      <w:r w:rsidR="006F2B8E">
        <w:rPr>
          <w:szCs w:val="20"/>
          <w:lang w:eastAsia="en-AU"/>
        </w:rPr>
        <w:t>3</w:t>
      </w:r>
      <w:r w:rsidR="00E85F6A">
        <w:rPr>
          <w:szCs w:val="20"/>
          <w:lang w:eastAsia="en-AU"/>
        </w:rPr>
        <w:t xml:space="preserve">) </w:t>
      </w:r>
      <w:r w:rsidRPr="006373BF">
        <w:rPr>
          <w:szCs w:val="20"/>
          <w:lang w:eastAsia="en-AU"/>
        </w:rPr>
        <w:t xml:space="preserve">shows that, irrespective of the organising framework used, the coverage of the key features of the teaching process is similar </w:t>
      </w:r>
      <w:r>
        <w:rPr>
          <w:szCs w:val="20"/>
          <w:lang w:eastAsia="en-AU"/>
        </w:rPr>
        <w:t xml:space="preserve">even though </w:t>
      </w:r>
      <w:r w:rsidRPr="00A2524F">
        <w:rPr>
          <w:szCs w:val="19"/>
        </w:rPr>
        <w:t>a range of terminology is used to describe each of the capabilities or standards, and various levels of detail are provided</w:t>
      </w:r>
      <w:r>
        <w:rPr>
          <w:szCs w:val="19"/>
        </w:rPr>
        <w:t>.</w:t>
      </w:r>
      <w:r w:rsidRPr="008C45E4">
        <w:t xml:space="preserve"> </w:t>
      </w:r>
    </w:p>
    <w:p w14:paraId="7FE0768C" w14:textId="70E1FCBA" w:rsidR="008C45E4" w:rsidRDefault="006F4526" w:rsidP="00E049AD">
      <w:pPr>
        <w:pStyle w:val="Dotpoint10"/>
        <w:numPr>
          <w:ilvl w:val="0"/>
          <w:numId w:val="0"/>
        </w:numPr>
      </w:pPr>
      <w:proofErr w:type="gramStart"/>
      <w:r w:rsidRPr="00A2524F">
        <w:t>All of</w:t>
      </w:r>
      <w:proofErr w:type="gramEnd"/>
      <w:r w:rsidRPr="00A2524F">
        <w:t xml:space="preserve"> the frameworks deal in some way with the professional knowledge and practice of teaching and assessment (including planning, designing, preparing and delivering the activities required for student learning activit</w:t>
      </w:r>
      <w:r w:rsidR="000C16E5">
        <w:t xml:space="preserve">ies, resources and assessments) and </w:t>
      </w:r>
      <w:r w:rsidR="000C16E5" w:rsidRPr="000C16E5">
        <w:t xml:space="preserve">cover professional values and commitment, irrespective of the sector in which </w:t>
      </w:r>
      <w:r w:rsidR="000C16E5">
        <w:t>the teaching occurs. A</w:t>
      </w:r>
      <w:r w:rsidRPr="00A2524F">
        <w:t xml:space="preserve">ll but one of the </w:t>
      </w:r>
      <w:r w:rsidR="00510654">
        <w:t xml:space="preserve">selected </w:t>
      </w:r>
      <w:r w:rsidRPr="00A2524F">
        <w:t>frameworks deal with profession</w:t>
      </w:r>
      <w:r w:rsidR="000C16E5">
        <w:t>al engagement and collaboration</w:t>
      </w:r>
      <w:r w:rsidRPr="00A2524F">
        <w:t xml:space="preserve"> (including with industry, </w:t>
      </w:r>
      <w:proofErr w:type="gramStart"/>
      <w:r w:rsidRPr="00A2524F">
        <w:t>communities</w:t>
      </w:r>
      <w:proofErr w:type="gramEnd"/>
      <w:r w:rsidRPr="00A2524F">
        <w:t xml:space="preserve"> and other teachers). </w:t>
      </w:r>
    </w:p>
    <w:p w14:paraId="6C2593A2" w14:textId="4D8CB008" w:rsidR="004C4C8F" w:rsidRDefault="000C16E5" w:rsidP="00E049AD">
      <w:pPr>
        <w:pStyle w:val="Dotpoint10"/>
        <w:numPr>
          <w:ilvl w:val="0"/>
          <w:numId w:val="0"/>
        </w:numPr>
        <w:rPr>
          <w:lang w:eastAsia="en-AU"/>
        </w:rPr>
      </w:pPr>
      <w:r>
        <w:t>C</w:t>
      </w:r>
      <w:r w:rsidR="006F4526" w:rsidRPr="00A2524F">
        <w:t xml:space="preserve">apabilities such as digital literacy skills, </w:t>
      </w:r>
      <w:proofErr w:type="gramStart"/>
      <w:r w:rsidR="006F4526" w:rsidRPr="00A2524F">
        <w:t>entrepreneurship</w:t>
      </w:r>
      <w:proofErr w:type="gramEnd"/>
      <w:r w:rsidR="006F4526" w:rsidRPr="00A2524F">
        <w:t xml:space="preserve"> and innovation, found in some of the more recently developed frameworks reflect the increasing need for teachers to apply current technologies and innovative approaches to their teaching delivery and assessment, and to be proactive in </w:t>
      </w:r>
      <w:r w:rsidR="008C45E4">
        <w:t xml:space="preserve">practice-based research and </w:t>
      </w:r>
      <w:r w:rsidR="006F4526" w:rsidRPr="00A2524F">
        <w:t>seeking new student markets.</w:t>
      </w:r>
      <w:r w:rsidR="00A2524F" w:rsidRPr="00A2524F">
        <w:t xml:space="preserve"> </w:t>
      </w:r>
      <w:r w:rsidR="004C4C8F">
        <w:rPr>
          <w:lang w:eastAsia="en-AU"/>
        </w:rPr>
        <w:t xml:space="preserve">This is evident in </w:t>
      </w:r>
      <w:r w:rsidR="008C45E4">
        <w:rPr>
          <w:lang w:eastAsia="en-AU"/>
        </w:rPr>
        <w:t xml:space="preserve">IBSA’s </w:t>
      </w:r>
      <w:r w:rsidR="004C4C8F">
        <w:rPr>
          <w:lang w:eastAsia="en-AU"/>
        </w:rPr>
        <w:t>‘VET Practitioner Capability Framework’ (2013), which breaks down capabilities into four domains:</w:t>
      </w:r>
    </w:p>
    <w:p w14:paraId="789DA4E9" w14:textId="13A9860A" w:rsidR="004C4C8F" w:rsidRPr="009C7807" w:rsidRDefault="00A768B1" w:rsidP="00C72D13">
      <w:pPr>
        <w:pStyle w:val="Dotpoint2"/>
        <w:numPr>
          <w:ilvl w:val="0"/>
          <w:numId w:val="21"/>
        </w:numPr>
      </w:pPr>
      <w:r>
        <w:t>T</w:t>
      </w:r>
      <w:r w:rsidRPr="009C7807">
        <w:t xml:space="preserve">eaching </w:t>
      </w:r>
      <w:r w:rsidR="004C4C8F" w:rsidRPr="009C7807">
        <w:t>(theory, design, facilitation, evaluation); assessment (theory, products, processes, validation)</w:t>
      </w:r>
      <w:r w:rsidR="00903F40">
        <w:t>,</w:t>
      </w:r>
    </w:p>
    <w:p w14:paraId="52CC709C" w14:textId="6AB27202" w:rsidR="004C4C8F" w:rsidRPr="009C7807" w:rsidRDefault="00A768B1" w:rsidP="00C72D13">
      <w:pPr>
        <w:pStyle w:val="Dotpoint2"/>
        <w:numPr>
          <w:ilvl w:val="0"/>
          <w:numId w:val="21"/>
        </w:numPr>
      </w:pPr>
      <w:r>
        <w:t>I</w:t>
      </w:r>
      <w:r w:rsidR="004C4C8F" w:rsidRPr="009C7807">
        <w:t>ndustry collaboration (engagement, networks, vocational competence, workforce development)</w:t>
      </w:r>
      <w:r w:rsidR="00903F40">
        <w:t>,</w:t>
      </w:r>
      <w:r w:rsidR="004C4C8F" w:rsidRPr="009C7807">
        <w:t xml:space="preserve"> </w:t>
      </w:r>
    </w:p>
    <w:p w14:paraId="0808F528" w14:textId="3287445A" w:rsidR="004C4C8F" w:rsidRPr="009C7807" w:rsidRDefault="00A768B1" w:rsidP="00C72D13">
      <w:pPr>
        <w:pStyle w:val="Dotpoint2"/>
        <w:numPr>
          <w:ilvl w:val="0"/>
          <w:numId w:val="21"/>
        </w:numPr>
      </w:pPr>
      <w:r>
        <w:t>S</w:t>
      </w:r>
      <w:r w:rsidR="004C4C8F" w:rsidRPr="009C7807">
        <w:t>ystems and compliance (system standards, system stakeholders, products, processes)</w:t>
      </w:r>
      <w:r w:rsidR="00683422" w:rsidRPr="009C7807">
        <w:t>,</w:t>
      </w:r>
      <w:r w:rsidR="004C4C8F" w:rsidRPr="009C7807">
        <w:t xml:space="preserve"> and</w:t>
      </w:r>
    </w:p>
    <w:p w14:paraId="5AB1A2E5" w14:textId="0A55FAA7" w:rsidR="004C4C8F" w:rsidRPr="009C7807" w:rsidRDefault="00A768B1" w:rsidP="00C72D13">
      <w:pPr>
        <w:pStyle w:val="Dotpoint2"/>
        <w:numPr>
          <w:ilvl w:val="0"/>
          <w:numId w:val="21"/>
        </w:numPr>
      </w:pPr>
      <w:r>
        <w:t>S</w:t>
      </w:r>
      <w:r w:rsidR="004C4C8F" w:rsidRPr="009C7807">
        <w:t xml:space="preserve">kill areas (leadership, ethics, cultural competence, innovation, teamwork, and collaboration, evidence-based </w:t>
      </w:r>
      <w:proofErr w:type="gramStart"/>
      <w:r w:rsidR="004C4C8F" w:rsidRPr="009C7807">
        <w:t>practice</w:t>
      </w:r>
      <w:proofErr w:type="gramEnd"/>
      <w:r w:rsidR="004C4C8F" w:rsidRPr="009C7807">
        <w:t xml:space="preserve"> and research). </w:t>
      </w:r>
    </w:p>
    <w:bookmarkEnd w:id="76"/>
    <w:bookmarkEnd w:id="77"/>
    <w:p w14:paraId="42BC7CAC" w14:textId="165B08A4" w:rsidR="00F51A6C" w:rsidRDefault="00F51A6C" w:rsidP="000C16E5">
      <w:pPr>
        <w:spacing w:before="160"/>
      </w:pPr>
      <w:r w:rsidRPr="008D4F2C">
        <w:t xml:space="preserve">The </w:t>
      </w:r>
      <w:r w:rsidR="003C160B" w:rsidRPr="008D4F2C">
        <w:t xml:space="preserve">capabilities </w:t>
      </w:r>
      <w:r w:rsidR="002B21E3" w:rsidRPr="008D4F2C">
        <w:t xml:space="preserve">listed </w:t>
      </w:r>
      <w:r w:rsidR="008C45E4" w:rsidRPr="008D4F2C">
        <w:t xml:space="preserve">in the 13 frameworks </w:t>
      </w:r>
      <w:r w:rsidRPr="008D4F2C">
        <w:t xml:space="preserve">are not exhaustive, and in </w:t>
      </w:r>
      <w:r w:rsidR="00AB4EC3" w:rsidRPr="008D4F2C">
        <w:t>t</w:t>
      </w:r>
      <w:r w:rsidRPr="008D4F2C">
        <w:t xml:space="preserve">able </w:t>
      </w:r>
      <w:r w:rsidR="008322F9" w:rsidRPr="008D4F2C">
        <w:t>2</w:t>
      </w:r>
      <w:r w:rsidR="003C160B" w:rsidRPr="008D4F2C">
        <w:t xml:space="preserve"> </w:t>
      </w:r>
      <w:r w:rsidR="008C45E4" w:rsidRPr="008D4F2C">
        <w:t xml:space="preserve">below </w:t>
      </w:r>
      <w:r w:rsidRPr="008D4F2C">
        <w:t>we provide an</w:t>
      </w:r>
      <w:r w:rsidR="00683422" w:rsidRPr="008D4F2C">
        <w:t xml:space="preserve"> </w:t>
      </w:r>
      <w:r w:rsidRPr="008D4F2C">
        <w:t xml:space="preserve">overview of </w:t>
      </w:r>
      <w:r w:rsidR="003F7E77" w:rsidRPr="008D4F2C">
        <w:t xml:space="preserve">stakeholder </w:t>
      </w:r>
      <w:r w:rsidRPr="008D4F2C">
        <w:t xml:space="preserve">suggestions on aspects </w:t>
      </w:r>
      <w:r w:rsidR="004E1C4F" w:rsidRPr="008D4F2C">
        <w:t xml:space="preserve">that </w:t>
      </w:r>
      <w:r w:rsidR="00AE07E3" w:rsidRPr="008D4F2C">
        <w:t xml:space="preserve">such frameworks </w:t>
      </w:r>
      <w:r w:rsidRPr="008D4F2C">
        <w:t xml:space="preserve">should </w:t>
      </w:r>
      <w:r w:rsidR="00AE07E3" w:rsidRPr="008D4F2C">
        <w:t>include, some of which are already covered in the frameworks (</w:t>
      </w:r>
      <w:r w:rsidR="00931191" w:rsidRPr="008D4F2C">
        <w:t>for example,</w:t>
      </w:r>
      <w:r w:rsidR="00AE07E3" w:rsidRPr="008D4F2C">
        <w:t xml:space="preserve"> digital skills)</w:t>
      </w:r>
      <w:r w:rsidRPr="008D4F2C">
        <w:t>.</w:t>
      </w:r>
    </w:p>
    <w:p w14:paraId="4CF5942B" w14:textId="77777777" w:rsidR="000C16E5" w:rsidRDefault="000C16E5">
      <w:pPr>
        <w:spacing w:before="0" w:line="240" w:lineRule="auto"/>
        <w:rPr>
          <w:rFonts w:asciiTheme="minorBidi" w:hAnsiTheme="minorBidi" w:cstheme="minorBidi"/>
          <w:b/>
          <w:sz w:val="17"/>
          <w:szCs w:val="17"/>
          <w:lang w:eastAsia="en-US"/>
        </w:rPr>
      </w:pPr>
      <w:bookmarkStart w:id="82" w:name="_Toc43381949"/>
      <w:r>
        <w:rPr>
          <w:rFonts w:asciiTheme="minorBidi" w:hAnsiTheme="minorBidi" w:cstheme="minorBidi"/>
          <w:szCs w:val="17"/>
        </w:rPr>
        <w:br w:type="page"/>
      </w:r>
    </w:p>
    <w:p w14:paraId="5407ABA7" w14:textId="3D674B87" w:rsidR="00F51A6C" w:rsidRPr="00D96F7F" w:rsidRDefault="00F51A6C" w:rsidP="00C4770A">
      <w:pPr>
        <w:pStyle w:val="Tabletitle"/>
        <w:rPr>
          <w:rFonts w:asciiTheme="minorBidi" w:hAnsiTheme="minorBidi" w:cstheme="minorBidi"/>
          <w:szCs w:val="17"/>
        </w:rPr>
      </w:pPr>
      <w:bookmarkStart w:id="83" w:name="_Toc62205205"/>
      <w:r w:rsidRPr="00D96F7F">
        <w:rPr>
          <w:rFonts w:asciiTheme="minorBidi" w:hAnsiTheme="minorBidi" w:cstheme="minorBidi"/>
          <w:szCs w:val="17"/>
        </w:rPr>
        <w:lastRenderedPageBreak/>
        <w:t xml:space="preserve">Table </w:t>
      </w:r>
      <w:r w:rsidR="008322F9" w:rsidRPr="00D96F7F">
        <w:rPr>
          <w:rFonts w:asciiTheme="minorBidi" w:hAnsiTheme="minorBidi" w:cstheme="minorBidi"/>
          <w:szCs w:val="17"/>
        </w:rPr>
        <w:t>2</w:t>
      </w:r>
      <w:r w:rsidR="00611DDA" w:rsidRPr="00D96F7F">
        <w:rPr>
          <w:rFonts w:asciiTheme="minorBidi" w:hAnsiTheme="minorBidi" w:cstheme="minorBidi"/>
          <w:szCs w:val="17"/>
        </w:rPr>
        <w:tab/>
      </w:r>
      <w:r w:rsidRPr="00D96F7F">
        <w:rPr>
          <w:rFonts w:asciiTheme="minorBidi" w:hAnsiTheme="minorBidi" w:cstheme="minorBidi"/>
          <w:szCs w:val="17"/>
        </w:rPr>
        <w:t>Items of capability identified by stakeholder groups</w:t>
      </w:r>
      <w:bookmarkEnd w:id="82"/>
      <w:bookmarkEnd w:id="83"/>
    </w:p>
    <w:tbl>
      <w:tblPr>
        <w:tblStyle w:val="NCVERTable"/>
        <w:tblW w:w="8613" w:type="dxa"/>
        <w:tblCellMar>
          <w:top w:w="0" w:type="dxa"/>
        </w:tblCellMar>
        <w:tblLook w:val="04A0" w:firstRow="1" w:lastRow="0" w:firstColumn="1" w:lastColumn="0" w:noHBand="0" w:noVBand="1"/>
      </w:tblPr>
      <w:tblGrid>
        <w:gridCol w:w="2943"/>
        <w:gridCol w:w="5670"/>
      </w:tblGrid>
      <w:tr w:rsidR="00716F0A" w:rsidRPr="003A695C" w14:paraId="061F9BD5" w14:textId="77777777" w:rsidTr="000C16E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8" w:space="0" w:color="auto"/>
              <w:bottom w:val="nil"/>
            </w:tcBorders>
            <w:shd w:val="clear" w:color="auto" w:fill="auto"/>
            <w:tcMar>
              <w:top w:w="28" w:type="dxa"/>
            </w:tcMar>
          </w:tcPr>
          <w:p w14:paraId="4550F5FE" w14:textId="2AF54C2A" w:rsidR="00716F0A" w:rsidRPr="00C4770A" w:rsidRDefault="00716F0A" w:rsidP="001B2B52">
            <w:pPr>
              <w:pStyle w:val="Tablehead2"/>
              <w:jc w:val="left"/>
            </w:pPr>
            <w:r w:rsidRPr="00C4770A">
              <w:t xml:space="preserve">Knowledge of pedagogy and subject content </w:t>
            </w:r>
          </w:p>
        </w:tc>
        <w:tc>
          <w:tcPr>
            <w:tcW w:w="5670" w:type="dxa"/>
            <w:tcBorders>
              <w:top w:val="single" w:sz="8" w:space="0" w:color="auto"/>
              <w:bottom w:val="nil"/>
            </w:tcBorders>
            <w:shd w:val="clear" w:color="auto" w:fill="auto"/>
            <w:tcMar>
              <w:top w:w="28" w:type="dxa"/>
            </w:tcMar>
          </w:tcPr>
          <w:p w14:paraId="4DF9E052" w14:textId="0466B1A4" w:rsidR="00716F0A" w:rsidRPr="00FE73B8" w:rsidRDefault="00716F0A" w:rsidP="00A00901">
            <w:pPr>
              <w:pStyle w:val="Tabletext"/>
              <w:jc w:val="left"/>
              <w:cnfStyle w:val="100000000000" w:firstRow="1" w:lastRow="0" w:firstColumn="0" w:lastColumn="0" w:oddVBand="0" w:evenVBand="0" w:oddHBand="0" w:evenHBand="0" w:firstRowFirstColumn="0" w:firstRowLastColumn="0" w:lastRowFirstColumn="0" w:lastRowLastColumn="0"/>
              <w:rPr>
                <w:b w:val="0"/>
                <w:bCs/>
              </w:rPr>
            </w:pPr>
            <w:r w:rsidRPr="00FE73B8">
              <w:rPr>
                <w:b w:val="0"/>
                <w:bCs/>
              </w:rPr>
              <w:t xml:space="preserve">Knowledge of pedagogy, subject </w:t>
            </w:r>
            <w:proofErr w:type="gramStart"/>
            <w:r w:rsidRPr="00FE73B8">
              <w:rPr>
                <w:b w:val="0"/>
                <w:bCs/>
              </w:rPr>
              <w:t>content</w:t>
            </w:r>
            <w:proofErr w:type="gramEnd"/>
            <w:r w:rsidRPr="00FE73B8">
              <w:rPr>
                <w:b w:val="0"/>
                <w:bCs/>
              </w:rPr>
              <w:t xml:space="preserve"> and discipline area, including teaching practice that is research</w:t>
            </w:r>
            <w:r w:rsidR="00931191" w:rsidRPr="00FE73B8">
              <w:rPr>
                <w:b w:val="0"/>
                <w:bCs/>
              </w:rPr>
              <w:t>-</w:t>
            </w:r>
            <w:r w:rsidRPr="00FE73B8">
              <w:rPr>
                <w:b w:val="0"/>
                <w:bCs/>
              </w:rPr>
              <w:t xml:space="preserve"> and industry-informed</w:t>
            </w:r>
          </w:p>
        </w:tc>
      </w:tr>
      <w:tr w:rsidR="00716F0A" w:rsidRPr="003A695C" w14:paraId="469CC73D" w14:textId="77777777" w:rsidTr="000C16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shd w:val="clear" w:color="auto" w:fill="auto"/>
            <w:tcMar>
              <w:top w:w="28" w:type="dxa"/>
            </w:tcMar>
          </w:tcPr>
          <w:p w14:paraId="05A9FF64" w14:textId="77777777" w:rsidR="00716F0A" w:rsidRPr="00C4770A" w:rsidRDefault="00716F0A" w:rsidP="001B2B52">
            <w:pPr>
              <w:pStyle w:val="Tablehead2"/>
              <w:jc w:val="left"/>
            </w:pPr>
          </w:p>
        </w:tc>
        <w:tc>
          <w:tcPr>
            <w:tcW w:w="5670" w:type="dxa"/>
            <w:tcBorders>
              <w:top w:val="nil"/>
              <w:bottom w:val="nil"/>
            </w:tcBorders>
            <w:shd w:val="clear" w:color="auto" w:fill="auto"/>
            <w:tcMar>
              <w:top w:w="28" w:type="dxa"/>
            </w:tcMar>
          </w:tcPr>
          <w:p w14:paraId="65B75DF7" w14:textId="7EF9F3FF"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Ability to plan, design and evaluate programs (including self-evaluation)</w:t>
            </w:r>
          </w:p>
        </w:tc>
      </w:tr>
      <w:tr w:rsidR="00716F0A" w:rsidRPr="003A695C" w14:paraId="59AD24DB" w14:textId="77777777" w:rsidTr="000C16E5">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left w:val="nil"/>
              <w:bottom w:val="nil"/>
              <w:right w:val="nil"/>
            </w:tcBorders>
            <w:shd w:val="clear" w:color="auto" w:fill="auto"/>
            <w:tcMar>
              <w:top w:w="28" w:type="dxa"/>
            </w:tcMar>
          </w:tcPr>
          <w:p w14:paraId="07944854" w14:textId="77777777" w:rsidR="00716F0A" w:rsidRPr="00C4770A" w:rsidRDefault="00716F0A" w:rsidP="001B2B52">
            <w:pPr>
              <w:pStyle w:val="Tablehead2"/>
              <w:jc w:val="left"/>
            </w:pPr>
          </w:p>
        </w:tc>
        <w:tc>
          <w:tcPr>
            <w:tcW w:w="5670" w:type="dxa"/>
            <w:tcBorders>
              <w:top w:val="nil"/>
              <w:left w:val="nil"/>
              <w:bottom w:val="nil"/>
              <w:right w:val="nil"/>
            </w:tcBorders>
            <w:shd w:val="clear" w:color="auto" w:fill="auto"/>
            <w:tcMar>
              <w:top w:w="28" w:type="dxa"/>
            </w:tcMar>
          </w:tcPr>
          <w:p w14:paraId="5EA777D6" w14:textId="1F7AE6F5"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Ability to design assessment tools and materials, conduct assessments (and engage students in assessment)</w:t>
            </w:r>
          </w:p>
        </w:tc>
      </w:tr>
      <w:tr w:rsidR="00716F0A" w:rsidRPr="003A695C" w14:paraId="59A72FD8" w14:textId="77777777" w:rsidTr="000C16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shd w:val="clear" w:color="auto" w:fill="auto"/>
            <w:tcMar>
              <w:top w:w="28" w:type="dxa"/>
            </w:tcMar>
          </w:tcPr>
          <w:p w14:paraId="626BD6C6" w14:textId="77777777" w:rsidR="00716F0A" w:rsidRPr="00C4770A" w:rsidRDefault="00716F0A" w:rsidP="001B2B52">
            <w:pPr>
              <w:pStyle w:val="Tablehead2"/>
              <w:jc w:val="left"/>
            </w:pPr>
          </w:p>
        </w:tc>
        <w:tc>
          <w:tcPr>
            <w:tcW w:w="5670" w:type="dxa"/>
            <w:tcBorders>
              <w:top w:val="nil"/>
              <w:bottom w:val="nil"/>
            </w:tcBorders>
            <w:shd w:val="clear" w:color="auto" w:fill="auto"/>
            <w:tcMar>
              <w:top w:w="28" w:type="dxa"/>
            </w:tcMar>
          </w:tcPr>
          <w:p w14:paraId="5E1B5560" w14:textId="60C1E558"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Knowing how to teach, including classroom management</w:t>
            </w:r>
          </w:p>
        </w:tc>
      </w:tr>
      <w:tr w:rsidR="00716F0A" w:rsidRPr="003A695C" w14:paraId="55A09951" w14:textId="77777777" w:rsidTr="000C16E5">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left w:val="nil"/>
              <w:bottom w:val="nil"/>
              <w:right w:val="nil"/>
            </w:tcBorders>
            <w:shd w:val="clear" w:color="auto" w:fill="auto"/>
            <w:tcMar>
              <w:top w:w="28" w:type="dxa"/>
            </w:tcMar>
          </w:tcPr>
          <w:p w14:paraId="7DE367DA" w14:textId="77777777" w:rsidR="00716F0A" w:rsidRPr="00C4770A" w:rsidRDefault="00716F0A" w:rsidP="001B2B52">
            <w:pPr>
              <w:pStyle w:val="Tablehead2"/>
              <w:jc w:val="left"/>
            </w:pPr>
          </w:p>
        </w:tc>
        <w:tc>
          <w:tcPr>
            <w:tcW w:w="5670" w:type="dxa"/>
            <w:tcBorders>
              <w:top w:val="nil"/>
              <w:left w:val="nil"/>
              <w:bottom w:val="nil"/>
              <w:right w:val="nil"/>
            </w:tcBorders>
            <w:shd w:val="clear" w:color="auto" w:fill="auto"/>
            <w:tcMar>
              <w:top w:w="28" w:type="dxa"/>
            </w:tcMar>
          </w:tcPr>
          <w:p w14:paraId="1814161A" w14:textId="0D70DD1C"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 xml:space="preserve">Ability </w:t>
            </w:r>
            <w:r w:rsidR="00931191" w:rsidRPr="003A695C">
              <w:rPr>
                <w:bCs/>
              </w:rPr>
              <w:t>to communicate</w:t>
            </w:r>
            <w:r w:rsidRPr="003A695C">
              <w:rPr>
                <w:bCs/>
              </w:rPr>
              <w:t xml:space="preserve"> effectively with students, and deliver engaging presentations </w:t>
            </w:r>
          </w:p>
        </w:tc>
      </w:tr>
      <w:tr w:rsidR="00716F0A" w:rsidRPr="003A695C" w14:paraId="564694B2" w14:textId="77777777" w:rsidTr="000C16E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nil"/>
            </w:tcBorders>
            <w:shd w:val="clear" w:color="auto" w:fill="auto"/>
            <w:tcMar>
              <w:top w:w="28" w:type="dxa"/>
            </w:tcMar>
          </w:tcPr>
          <w:p w14:paraId="0D26A945" w14:textId="77777777" w:rsidR="00716F0A" w:rsidRPr="00C4770A" w:rsidRDefault="00716F0A" w:rsidP="001B2B52">
            <w:pPr>
              <w:pStyle w:val="Tablehead2"/>
              <w:jc w:val="left"/>
            </w:pPr>
          </w:p>
        </w:tc>
        <w:tc>
          <w:tcPr>
            <w:tcW w:w="5670" w:type="dxa"/>
            <w:tcBorders>
              <w:top w:val="nil"/>
              <w:bottom w:val="nil"/>
            </w:tcBorders>
            <w:shd w:val="clear" w:color="auto" w:fill="auto"/>
            <w:tcMar>
              <w:top w:w="28" w:type="dxa"/>
            </w:tcMar>
          </w:tcPr>
          <w:p w14:paraId="1F3884AD" w14:textId="6D80BE1F"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 xml:space="preserve">Professionalism and ethical behaviour </w:t>
            </w:r>
          </w:p>
        </w:tc>
      </w:tr>
      <w:tr w:rsidR="00716F0A" w:rsidRPr="003A695C" w14:paraId="5E558A62" w14:textId="77777777" w:rsidTr="000C16E5">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left w:val="nil"/>
              <w:bottom w:val="nil"/>
              <w:right w:val="nil"/>
            </w:tcBorders>
            <w:shd w:val="clear" w:color="auto" w:fill="auto"/>
            <w:tcMar>
              <w:top w:w="28" w:type="dxa"/>
            </w:tcMar>
          </w:tcPr>
          <w:p w14:paraId="6CC3652D" w14:textId="7F0A92F5" w:rsidR="00716F0A" w:rsidRPr="00C4770A" w:rsidRDefault="00716F0A" w:rsidP="001B2B52">
            <w:pPr>
              <w:pStyle w:val="Tablehead2"/>
              <w:jc w:val="left"/>
            </w:pPr>
          </w:p>
        </w:tc>
        <w:tc>
          <w:tcPr>
            <w:tcW w:w="5670" w:type="dxa"/>
            <w:tcBorders>
              <w:top w:val="nil"/>
              <w:left w:val="nil"/>
              <w:bottom w:val="nil"/>
              <w:right w:val="nil"/>
            </w:tcBorders>
            <w:shd w:val="clear" w:color="auto" w:fill="auto"/>
            <w:tcMar>
              <w:top w:w="28" w:type="dxa"/>
            </w:tcMar>
          </w:tcPr>
          <w:p w14:paraId="1F0D5A7F" w14:textId="5AA3C622"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Keeping up with changes in qualification requirements</w:t>
            </w:r>
          </w:p>
        </w:tc>
      </w:tr>
      <w:tr w:rsidR="00716F0A" w:rsidRPr="003A695C" w14:paraId="125A5588" w14:textId="77777777" w:rsidTr="00611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single" w:sz="4" w:space="0" w:color="auto"/>
            </w:tcBorders>
            <w:shd w:val="clear" w:color="auto" w:fill="auto"/>
            <w:tcMar>
              <w:top w:w="28" w:type="dxa"/>
            </w:tcMar>
          </w:tcPr>
          <w:p w14:paraId="12AAC00D" w14:textId="57F4FA7D" w:rsidR="00716F0A" w:rsidRPr="00C4770A" w:rsidRDefault="00716F0A" w:rsidP="001B2B52">
            <w:pPr>
              <w:pStyle w:val="Tablehead2"/>
              <w:jc w:val="left"/>
            </w:pPr>
          </w:p>
        </w:tc>
        <w:tc>
          <w:tcPr>
            <w:tcW w:w="5670" w:type="dxa"/>
            <w:tcBorders>
              <w:top w:val="nil"/>
              <w:bottom w:val="single" w:sz="4" w:space="0" w:color="auto"/>
            </w:tcBorders>
            <w:shd w:val="clear" w:color="auto" w:fill="auto"/>
            <w:tcMar>
              <w:top w:w="28" w:type="dxa"/>
            </w:tcMar>
          </w:tcPr>
          <w:p w14:paraId="3B965C29" w14:textId="1AB6EFF9"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Applying principles of reasonable adjustment in assessment</w:t>
            </w:r>
          </w:p>
        </w:tc>
      </w:tr>
      <w:tr w:rsidR="00716F0A" w:rsidRPr="003A695C" w14:paraId="78EB87E3" w14:textId="77777777" w:rsidTr="0061110E">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il"/>
              <w:bottom w:val="single" w:sz="4" w:space="0" w:color="auto"/>
              <w:right w:val="nil"/>
            </w:tcBorders>
            <w:shd w:val="clear" w:color="auto" w:fill="auto"/>
            <w:tcMar>
              <w:top w:w="28" w:type="dxa"/>
            </w:tcMar>
          </w:tcPr>
          <w:p w14:paraId="2E900492" w14:textId="7720DBBA" w:rsidR="00716F0A" w:rsidRPr="00C4770A" w:rsidRDefault="00716F0A" w:rsidP="001B2B52">
            <w:pPr>
              <w:pStyle w:val="Tablehead2"/>
              <w:jc w:val="left"/>
            </w:pPr>
            <w:r w:rsidRPr="00C4770A">
              <w:t>Professional and ethical values</w:t>
            </w:r>
          </w:p>
        </w:tc>
        <w:tc>
          <w:tcPr>
            <w:tcW w:w="5670" w:type="dxa"/>
            <w:tcBorders>
              <w:top w:val="single" w:sz="4" w:space="0" w:color="auto"/>
              <w:left w:val="nil"/>
              <w:bottom w:val="single" w:sz="4" w:space="0" w:color="auto"/>
              <w:right w:val="nil"/>
            </w:tcBorders>
            <w:shd w:val="clear" w:color="auto" w:fill="auto"/>
            <w:tcMar>
              <w:top w:w="28" w:type="dxa"/>
            </w:tcMar>
          </w:tcPr>
          <w:p w14:paraId="660C176C" w14:textId="36373AAE"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 xml:space="preserve">Professionalism and ethical behaviour </w:t>
            </w:r>
          </w:p>
        </w:tc>
      </w:tr>
      <w:tr w:rsidR="00716F0A" w:rsidRPr="003A695C" w14:paraId="211BC8F9" w14:textId="77777777" w:rsidTr="00611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single" w:sz="4" w:space="0" w:color="auto"/>
            </w:tcBorders>
            <w:shd w:val="clear" w:color="auto" w:fill="auto"/>
            <w:tcMar>
              <w:top w:w="28" w:type="dxa"/>
            </w:tcMar>
          </w:tcPr>
          <w:p w14:paraId="7EC900C1" w14:textId="5AC09C37" w:rsidR="00716F0A" w:rsidRPr="00C4770A" w:rsidRDefault="00716F0A" w:rsidP="001B2B52">
            <w:pPr>
              <w:pStyle w:val="Tablehead2"/>
              <w:jc w:val="left"/>
            </w:pPr>
            <w:r w:rsidRPr="00C4770A">
              <w:t>Understanding individual student needs</w:t>
            </w:r>
          </w:p>
        </w:tc>
        <w:tc>
          <w:tcPr>
            <w:tcW w:w="5670" w:type="dxa"/>
            <w:tcBorders>
              <w:top w:val="single" w:sz="4" w:space="0" w:color="auto"/>
              <w:bottom w:val="single" w:sz="4" w:space="0" w:color="auto"/>
            </w:tcBorders>
            <w:shd w:val="clear" w:color="auto" w:fill="auto"/>
            <w:tcMar>
              <w:top w:w="28" w:type="dxa"/>
            </w:tcMar>
          </w:tcPr>
          <w:p w14:paraId="002EDE88" w14:textId="25C7B1A6"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Understanding and customising training to suit student needs,</w:t>
            </w:r>
            <w:r w:rsidR="00316D52" w:rsidRPr="003A695C">
              <w:rPr>
                <w:bCs/>
              </w:rPr>
              <w:t xml:space="preserve"> </w:t>
            </w:r>
            <w:r w:rsidRPr="003A695C">
              <w:rPr>
                <w:bCs/>
              </w:rPr>
              <w:t xml:space="preserve">learning preferences and styles </w:t>
            </w:r>
          </w:p>
        </w:tc>
      </w:tr>
      <w:tr w:rsidR="00716F0A" w:rsidRPr="003A695C" w14:paraId="34313F4E" w14:textId="77777777" w:rsidTr="0061110E">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il"/>
              <w:bottom w:val="nil"/>
              <w:right w:val="nil"/>
            </w:tcBorders>
            <w:shd w:val="clear" w:color="auto" w:fill="auto"/>
            <w:tcMar>
              <w:top w:w="28" w:type="dxa"/>
            </w:tcMar>
          </w:tcPr>
          <w:p w14:paraId="41F9A976" w14:textId="044220C6" w:rsidR="00716F0A" w:rsidRPr="00C4770A" w:rsidRDefault="00716F0A" w:rsidP="000C16E5">
            <w:pPr>
              <w:pStyle w:val="Tablehead2"/>
              <w:jc w:val="left"/>
            </w:pPr>
            <w:r w:rsidRPr="00C4770A">
              <w:t>Knowledge of</w:t>
            </w:r>
            <w:r w:rsidR="00316D52" w:rsidRPr="00C4770A">
              <w:t xml:space="preserve"> </w:t>
            </w:r>
            <w:r w:rsidRPr="00C4770A">
              <w:t>cultural diversity and social inclusion</w:t>
            </w:r>
          </w:p>
        </w:tc>
        <w:tc>
          <w:tcPr>
            <w:tcW w:w="5670" w:type="dxa"/>
            <w:tcBorders>
              <w:top w:val="single" w:sz="4" w:space="0" w:color="auto"/>
              <w:left w:val="nil"/>
              <w:bottom w:val="nil"/>
              <w:right w:val="nil"/>
            </w:tcBorders>
            <w:shd w:val="clear" w:color="auto" w:fill="auto"/>
            <w:tcMar>
              <w:top w:w="28" w:type="dxa"/>
            </w:tcMar>
          </w:tcPr>
          <w:p w14:paraId="104508A7" w14:textId="77777777"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Knowledge and understanding of different cultures</w:t>
            </w:r>
          </w:p>
          <w:p w14:paraId="21E6F427" w14:textId="08672681" w:rsidR="00716F0A" w:rsidRPr="003A695C" w:rsidRDefault="0070149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Pr>
                <w:bCs/>
              </w:rPr>
              <w:br/>
            </w:r>
            <w:r w:rsidR="00716F0A" w:rsidRPr="003A695C">
              <w:rPr>
                <w:bCs/>
              </w:rPr>
              <w:t xml:space="preserve">Understanding and catering for </w:t>
            </w:r>
            <w:r w:rsidR="00931191" w:rsidRPr="003A695C">
              <w:rPr>
                <w:bCs/>
              </w:rPr>
              <w:t xml:space="preserve">the </w:t>
            </w:r>
            <w:r w:rsidR="00716F0A" w:rsidRPr="003A695C">
              <w:rPr>
                <w:bCs/>
              </w:rPr>
              <w:t>learning needs of diverse equity groups, including Indigenous cultures</w:t>
            </w:r>
          </w:p>
        </w:tc>
      </w:tr>
      <w:tr w:rsidR="00716F0A" w:rsidRPr="003A695C" w14:paraId="7AA88C33" w14:textId="77777777" w:rsidTr="0061110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nil"/>
              <w:bottom w:val="single" w:sz="4" w:space="0" w:color="auto"/>
            </w:tcBorders>
            <w:shd w:val="clear" w:color="auto" w:fill="auto"/>
            <w:tcMar>
              <w:top w:w="28" w:type="dxa"/>
            </w:tcMar>
          </w:tcPr>
          <w:p w14:paraId="60566395" w14:textId="77777777" w:rsidR="00716F0A" w:rsidRPr="00C4770A" w:rsidRDefault="00716F0A" w:rsidP="00C4770A">
            <w:pPr>
              <w:pStyle w:val="Tablehead2"/>
            </w:pPr>
          </w:p>
        </w:tc>
        <w:tc>
          <w:tcPr>
            <w:tcW w:w="5670" w:type="dxa"/>
            <w:tcBorders>
              <w:top w:val="nil"/>
              <w:bottom w:val="single" w:sz="4" w:space="0" w:color="auto"/>
            </w:tcBorders>
            <w:shd w:val="clear" w:color="auto" w:fill="auto"/>
            <w:tcMar>
              <w:top w:w="28" w:type="dxa"/>
            </w:tcMar>
          </w:tcPr>
          <w:p w14:paraId="6D373992" w14:textId="06776CE3" w:rsidR="00716F0A" w:rsidRPr="003A695C" w:rsidRDefault="00716F0A"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Knowledge of support services available, and identifying and managing services to meet student needs</w:t>
            </w:r>
          </w:p>
        </w:tc>
      </w:tr>
      <w:tr w:rsidR="00716F0A" w:rsidRPr="003A695C" w14:paraId="6249E966" w14:textId="77777777" w:rsidTr="0061110E">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left w:val="nil"/>
              <w:bottom w:val="single" w:sz="4" w:space="0" w:color="auto"/>
              <w:right w:val="nil"/>
            </w:tcBorders>
            <w:shd w:val="clear" w:color="auto" w:fill="auto"/>
            <w:tcMar>
              <w:top w:w="28" w:type="dxa"/>
            </w:tcMar>
          </w:tcPr>
          <w:p w14:paraId="2F176B9A" w14:textId="35788591" w:rsidR="00716F0A" w:rsidRPr="00C4770A" w:rsidRDefault="00716F0A" w:rsidP="001B2B52">
            <w:pPr>
              <w:pStyle w:val="Tablehead2"/>
              <w:jc w:val="left"/>
            </w:pPr>
            <w:r w:rsidRPr="00C4770A">
              <w:t xml:space="preserve">Dual </w:t>
            </w:r>
            <w:r w:rsidR="00931191" w:rsidRPr="00C4770A">
              <w:t>p</w:t>
            </w:r>
            <w:r w:rsidRPr="00C4770A">
              <w:t>rofessional issues</w:t>
            </w:r>
          </w:p>
        </w:tc>
        <w:tc>
          <w:tcPr>
            <w:tcW w:w="5670" w:type="dxa"/>
            <w:tcBorders>
              <w:top w:val="single" w:sz="4" w:space="0" w:color="auto"/>
              <w:left w:val="nil"/>
              <w:bottom w:val="single" w:sz="4" w:space="0" w:color="auto"/>
              <w:right w:val="nil"/>
            </w:tcBorders>
            <w:shd w:val="clear" w:color="auto" w:fill="auto"/>
            <w:tcMar>
              <w:top w:w="28" w:type="dxa"/>
            </w:tcMar>
          </w:tcPr>
          <w:p w14:paraId="3087BC27" w14:textId="0DC4735C"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 xml:space="preserve">Understanding both the strengths and challenges of having a dual professional </w:t>
            </w:r>
            <w:r w:rsidR="009C08B6">
              <w:rPr>
                <w:bCs/>
              </w:rPr>
              <w:t>work role</w:t>
            </w:r>
          </w:p>
        </w:tc>
      </w:tr>
      <w:tr w:rsidR="00AB05AF" w:rsidRPr="003A695C" w14:paraId="78BC99E0" w14:textId="77777777" w:rsidTr="000C16E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nil"/>
            </w:tcBorders>
            <w:shd w:val="clear" w:color="auto" w:fill="auto"/>
            <w:tcMar>
              <w:top w:w="28" w:type="dxa"/>
            </w:tcMar>
          </w:tcPr>
          <w:p w14:paraId="488BE7F6" w14:textId="46634E31" w:rsidR="00AB05AF" w:rsidRPr="00C4770A" w:rsidRDefault="00AB05AF" w:rsidP="001B2B52">
            <w:pPr>
              <w:pStyle w:val="Tablehead2"/>
              <w:jc w:val="left"/>
            </w:pPr>
            <w:r w:rsidRPr="00C4770A">
              <w:t>Knowledge and application of basic and/or advanced digital skills and technologies</w:t>
            </w:r>
          </w:p>
        </w:tc>
        <w:tc>
          <w:tcPr>
            <w:tcW w:w="5670" w:type="dxa"/>
            <w:tcBorders>
              <w:top w:val="single" w:sz="4" w:space="0" w:color="auto"/>
            </w:tcBorders>
            <w:shd w:val="clear" w:color="auto" w:fill="auto"/>
            <w:tcMar>
              <w:top w:w="28" w:type="dxa"/>
            </w:tcMar>
          </w:tcPr>
          <w:p w14:paraId="059DE468" w14:textId="77777777" w:rsidR="00AB05AF" w:rsidRPr="003A695C" w:rsidRDefault="00AB05AF" w:rsidP="00A00901">
            <w:pPr>
              <w:pStyle w:val="Tabletext"/>
              <w:spacing w:after="120"/>
              <w:jc w:val="left"/>
              <w:cnfStyle w:val="000000100000" w:firstRow="0" w:lastRow="0" w:firstColumn="0" w:lastColumn="0" w:oddVBand="0" w:evenVBand="0" w:oddHBand="1" w:evenHBand="0" w:firstRowFirstColumn="0" w:firstRowLastColumn="0" w:lastRowFirstColumn="0" w:lastRowLastColumn="0"/>
              <w:rPr>
                <w:bCs/>
              </w:rPr>
            </w:pPr>
            <w:r w:rsidRPr="003A695C">
              <w:rPr>
                <w:bCs/>
              </w:rPr>
              <w:t xml:space="preserve">Ability to use basic digital skills and platforms for training </w:t>
            </w:r>
          </w:p>
          <w:p w14:paraId="3A4EB683" w14:textId="71B16373" w:rsidR="00AB05AF" w:rsidRPr="003A695C" w:rsidRDefault="00AB05AF" w:rsidP="00A00901">
            <w:pPr>
              <w:pStyle w:val="Tabletext"/>
              <w:jc w:val="left"/>
              <w:cnfStyle w:val="000000100000" w:firstRow="0" w:lastRow="0" w:firstColumn="0" w:lastColumn="0" w:oddVBand="0" w:evenVBand="0" w:oddHBand="1" w:evenHBand="0" w:firstRowFirstColumn="0" w:firstRowLastColumn="0" w:lastRowFirstColumn="0" w:lastRowLastColumn="0"/>
              <w:rPr>
                <w:bCs/>
              </w:rPr>
            </w:pPr>
            <w:r w:rsidRPr="003A695C">
              <w:rPr>
                <w:bCs/>
              </w:rPr>
              <w:t>Understanding of and or skill in using advanced digital technologies, and higher-level technologies used in industry</w:t>
            </w:r>
          </w:p>
        </w:tc>
      </w:tr>
      <w:tr w:rsidR="00716F0A" w:rsidRPr="003A695C" w14:paraId="76D63530" w14:textId="77777777" w:rsidTr="0061110E">
        <w:trPr>
          <w:trHeight w:val="20"/>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auto"/>
              <w:bottom w:val="single" w:sz="8" w:space="0" w:color="auto"/>
            </w:tcBorders>
            <w:shd w:val="clear" w:color="auto" w:fill="auto"/>
            <w:tcMar>
              <w:top w:w="28" w:type="dxa"/>
            </w:tcMar>
          </w:tcPr>
          <w:p w14:paraId="7090BF96" w14:textId="0D80AB3C" w:rsidR="00716F0A" w:rsidRPr="00C4770A" w:rsidRDefault="00716F0A" w:rsidP="001B2B52">
            <w:pPr>
              <w:pStyle w:val="Tablehead2"/>
              <w:jc w:val="left"/>
            </w:pPr>
            <w:r w:rsidRPr="00C4770A">
              <w:br w:type="page"/>
              <w:t>Involvement in</w:t>
            </w:r>
            <w:r w:rsidR="00316D52" w:rsidRPr="00C4770A">
              <w:t xml:space="preserve"> </w:t>
            </w:r>
            <w:r w:rsidRPr="00C4770A">
              <w:t>higher</w:t>
            </w:r>
            <w:r w:rsidR="00931191" w:rsidRPr="00C4770A">
              <w:t>-</w:t>
            </w:r>
            <w:r w:rsidRPr="00C4770A">
              <w:t>level corporate responsibilities</w:t>
            </w:r>
          </w:p>
        </w:tc>
        <w:tc>
          <w:tcPr>
            <w:tcW w:w="5670" w:type="dxa"/>
            <w:tcBorders>
              <w:top w:val="single" w:sz="4" w:space="0" w:color="auto"/>
              <w:bottom w:val="single" w:sz="8" w:space="0" w:color="auto"/>
            </w:tcBorders>
            <w:shd w:val="clear" w:color="auto" w:fill="auto"/>
            <w:tcMar>
              <w:top w:w="28" w:type="dxa"/>
            </w:tcMar>
          </w:tcPr>
          <w:p w14:paraId="7C12C32B" w14:textId="448A44DF" w:rsidR="00716F0A" w:rsidRPr="003A695C" w:rsidRDefault="00716F0A" w:rsidP="00A00901">
            <w:pPr>
              <w:pStyle w:val="Tabletext"/>
              <w:jc w:val="left"/>
              <w:cnfStyle w:val="000000000000" w:firstRow="0" w:lastRow="0" w:firstColumn="0" w:lastColumn="0" w:oddVBand="0" w:evenVBand="0" w:oddHBand="0" w:evenHBand="0" w:firstRowFirstColumn="0" w:firstRowLastColumn="0" w:lastRowFirstColumn="0" w:lastRowLastColumn="0"/>
              <w:rPr>
                <w:bCs/>
              </w:rPr>
            </w:pPr>
            <w:r w:rsidRPr="003A695C">
              <w:rPr>
                <w:bCs/>
              </w:rPr>
              <w:t xml:space="preserve">Opportunities to be involved in higher-level decision-making about </w:t>
            </w:r>
            <w:r w:rsidR="000E7A23">
              <w:rPr>
                <w:bCs/>
              </w:rPr>
              <w:t xml:space="preserve">VET </w:t>
            </w:r>
            <w:r w:rsidRPr="003A695C">
              <w:rPr>
                <w:bCs/>
              </w:rPr>
              <w:t xml:space="preserve">policy and processes, including </w:t>
            </w:r>
            <w:r w:rsidR="000E7A23">
              <w:rPr>
                <w:bCs/>
              </w:rPr>
              <w:t xml:space="preserve">teaching, learning </w:t>
            </w:r>
            <w:r w:rsidR="00931191" w:rsidRPr="003A695C">
              <w:rPr>
                <w:bCs/>
              </w:rPr>
              <w:t>and assessment strategies</w:t>
            </w:r>
          </w:p>
        </w:tc>
      </w:tr>
    </w:tbl>
    <w:p w14:paraId="6CE0B427" w14:textId="77777777" w:rsidR="00F62572" w:rsidRDefault="00F62572" w:rsidP="00F62572">
      <w:pPr>
        <w:pStyle w:val="Source"/>
      </w:pPr>
      <w:r w:rsidRPr="00F62572">
        <w:t>Source: Information from suggestions made by stakeholders in interviews for this study.</w:t>
      </w:r>
    </w:p>
    <w:p w14:paraId="63EF7E46" w14:textId="24B27289" w:rsidR="004C4C8F" w:rsidRPr="00C72D13" w:rsidRDefault="004C4C8F" w:rsidP="00A00901">
      <w:pPr>
        <w:pStyle w:val="Heading3"/>
        <w:spacing w:before="360"/>
        <w:rPr>
          <w:i/>
          <w:iCs/>
        </w:rPr>
      </w:pPr>
      <w:r w:rsidRPr="00C72D13">
        <w:rPr>
          <w:i/>
          <w:iCs/>
        </w:rPr>
        <w:t>Developmental approaches to building capability</w:t>
      </w:r>
    </w:p>
    <w:p w14:paraId="2BB2CEB3" w14:textId="66B9A599" w:rsidR="0094265F" w:rsidRDefault="004C4C8F" w:rsidP="00685CCE">
      <w:pPr>
        <w:spacing w:before="160" w:after="200"/>
        <w:rPr>
          <w:szCs w:val="19"/>
        </w:rPr>
      </w:pPr>
      <w:proofErr w:type="gramStart"/>
      <w:r w:rsidRPr="00685CCE">
        <w:rPr>
          <w:szCs w:val="19"/>
        </w:rPr>
        <w:t>The majority of</w:t>
      </w:r>
      <w:proofErr w:type="gramEnd"/>
      <w:r w:rsidRPr="00685CCE">
        <w:rPr>
          <w:szCs w:val="19"/>
        </w:rPr>
        <w:t xml:space="preserve"> the capability frameworks and professional standards reviewed identify progressively more complex areas of capability, knowledge and behaviours expected of teachers at various stages of their career</w:t>
      </w:r>
      <w:r w:rsidR="00D96F7F">
        <w:rPr>
          <w:rStyle w:val="FootnoteReference"/>
          <w:szCs w:val="19"/>
        </w:rPr>
        <w:footnoteReference w:id="16"/>
      </w:r>
      <w:r w:rsidRPr="00685CCE">
        <w:rPr>
          <w:szCs w:val="19"/>
        </w:rPr>
        <w:t xml:space="preserve">. Some specifically identify a stage for early career teachers, in terms of beginning or transitioning teachers, graduates or new teachers, while for others there is no differentiation. </w:t>
      </w:r>
      <w:r w:rsidR="00685CCE" w:rsidRPr="00685CCE">
        <w:rPr>
          <w:szCs w:val="19"/>
        </w:rPr>
        <w:t>In most cases, the frameworks also deal with the formal qualifications required for entry into the teaching profession.</w:t>
      </w:r>
      <w:r w:rsidR="0094265F" w:rsidRPr="0094265F">
        <w:rPr>
          <w:szCs w:val="19"/>
        </w:rPr>
        <w:t xml:space="preserve"> </w:t>
      </w:r>
    </w:p>
    <w:p w14:paraId="319207DF" w14:textId="3011469F" w:rsidR="005D4B6F" w:rsidRPr="006F2B8E" w:rsidRDefault="0094265F" w:rsidP="000C16E5">
      <w:pPr>
        <w:spacing w:before="160" w:after="200"/>
        <w:rPr>
          <w:szCs w:val="19"/>
        </w:rPr>
      </w:pPr>
      <w:r w:rsidRPr="00685CCE">
        <w:rPr>
          <w:szCs w:val="19"/>
        </w:rPr>
        <w:t xml:space="preserve">The TAFE industrial awards highlighted above </w:t>
      </w:r>
      <w:r>
        <w:rPr>
          <w:szCs w:val="19"/>
        </w:rPr>
        <w:t>(</w:t>
      </w:r>
      <w:r w:rsidRPr="0094265F">
        <w:rPr>
          <w:szCs w:val="19"/>
        </w:rPr>
        <w:t>and discussed below</w:t>
      </w:r>
      <w:r>
        <w:rPr>
          <w:szCs w:val="19"/>
        </w:rPr>
        <w:t>) a</w:t>
      </w:r>
      <w:r w:rsidRPr="00685CCE">
        <w:rPr>
          <w:szCs w:val="19"/>
        </w:rPr>
        <w:t>lso outline expected duties and attributes of staff at various career stages and seniority levels, including those of managers and leaders.</w:t>
      </w:r>
      <w:r>
        <w:rPr>
          <w:szCs w:val="19"/>
        </w:rPr>
        <w:t xml:space="preserve"> </w:t>
      </w:r>
      <w:r w:rsidR="004C4C8F" w:rsidRPr="00685CCE">
        <w:rPr>
          <w:szCs w:val="19"/>
        </w:rPr>
        <w:t>Standards</w:t>
      </w:r>
      <w:r w:rsidR="000C16E5">
        <w:rPr>
          <w:szCs w:val="19"/>
        </w:rPr>
        <w:t>,</w:t>
      </w:r>
      <w:r w:rsidR="004C4C8F" w:rsidRPr="00685CCE">
        <w:rPr>
          <w:szCs w:val="19"/>
        </w:rPr>
        <w:t xml:space="preserve"> like the Professional Standards for teachers and trainers in England</w:t>
      </w:r>
      <w:r w:rsidR="000C16E5">
        <w:rPr>
          <w:szCs w:val="19"/>
        </w:rPr>
        <w:t>,</w:t>
      </w:r>
      <w:r w:rsidR="004C4C8F" w:rsidRPr="00685CCE">
        <w:rPr>
          <w:szCs w:val="19"/>
        </w:rPr>
        <w:t xml:space="preserve"> have a set of developmental stages as well as a set of transitioning stages to recognise the fact that teachers will progress through career stages at different speeds. In </w:t>
      </w:r>
      <w:r w:rsidR="0070149A">
        <w:t>appendix</w:t>
      </w:r>
      <w:r w:rsidR="0070149A" w:rsidRPr="00685CCE">
        <w:rPr>
          <w:szCs w:val="19"/>
        </w:rPr>
        <w:t xml:space="preserve"> </w:t>
      </w:r>
      <w:r w:rsidR="006F2B8E">
        <w:rPr>
          <w:szCs w:val="19"/>
        </w:rPr>
        <w:t>4</w:t>
      </w:r>
      <w:r w:rsidR="004C4C8F" w:rsidRPr="00685CCE">
        <w:rPr>
          <w:szCs w:val="19"/>
        </w:rPr>
        <w:t xml:space="preserve"> we set out for each of the frameworks the various categories applying to the different career stages of teachers. </w:t>
      </w:r>
    </w:p>
    <w:p w14:paraId="590550AE" w14:textId="72624748" w:rsidR="0050712C" w:rsidRPr="00C72D13" w:rsidRDefault="009F315A" w:rsidP="00C72D13">
      <w:pPr>
        <w:pStyle w:val="Heading2"/>
      </w:pPr>
      <w:bookmarkStart w:id="84" w:name="_Toc62204943"/>
      <w:r w:rsidRPr="00C72D13">
        <w:lastRenderedPageBreak/>
        <w:t>Teacher capabilities and enterprise agreements</w:t>
      </w:r>
      <w:bookmarkEnd w:id="84"/>
      <w:r w:rsidRPr="00C72D13">
        <w:t xml:space="preserve"> </w:t>
      </w:r>
    </w:p>
    <w:p w14:paraId="3BF50358" w14:textId="075D124E" w:rsidR="0050712C" w:rsidRPr="00643991" w:rsidRDefault="0050712C" w:rsidP="00643991">
      <w:pPr>
        <w:pStyle w:val="Text"/>
        <w:rPr>
          <w:rStyle w:val="Hyperlink"/>
        </w:rPr>
      </w:pPr>
      <w:r w:rsidRPr="00643991">
        <w:t xml:space="preserve">An example of how capabilities can be integrated into </w:t>
      </w:r>
      <w:r w:rsidR="00A45A33" w:rsidRPr="00643991">
        <w:t xml:space="preserve">enterprise agreements </w:t>
      </w:r>
      <w:r w:rsidRPr="00643991">
        <w:t>is evident in the Victorian TAFE Teaching Staff Agreement</w:t>
      </w:r>
      <w:r w:rsidR="00F51A6C" w:rsidRPr="00643991">
        <w:t xml:space="preserve"> (2018)</w:t>
      </w:r>
      <w:r w:rsidRPr="00643991">
        <w:t xml:space="preserve">, which sets out the classification descriptors, </w:t>
      </w:r>
      <w:r w:rsidR="003F7E77" w:rsidRPr="00643991">
        <w:t>c</w:t>
      </w:r>
      <w:r w:rsidRPr="00643991">
        <w:t xml:space="preserve">lassification </w:t>
      </w:r>
      <w:r w:rsidR="003F7E77" w:rsidRPr="00643991">
        <w:t>c</w:t>
      </w:r>
      <w:r w:rsidRPr="00643991">
        <w:t xml:space="preserve">ontext </w:t>
      </w:r>
      <w:r w:rsidR="004B358B" w:rsidRPr="00643991">
        <w:t>l</w:t>
      </w:r>
      <w:r w:rsidRPr="00643991">
        <w:t>evel and the typical functions expected of each category level</w:t>
      </w:r>
      <w:r w:rsidR="00F45F40">
        <w:rPr>
          <w:rStyle w:val="FootnoteReference"/>
        </w:rPr>
        <w:footnoteReference w:id="17"/>
      </w:r>
      <w:r w:rsidRPr="00643991">
        <w:t xml:space="preserve">. In addition to listing conditions of employment, it </w:t>
      </w:r>
      <w:r w:rsidR="003F7E77" w:rsidRPr="00643991">
        <w:t xml:space="preserve">sets out the capabilities expected of </w:t>
      </w:r>
      <w:r w:rsidRPr="00643991">
        <w:t>staff at each category level</w:t>
      </w:r>
      <w:r w:rsidR="00715965">
        <w:t xml:space="preserve"> and </w:t>
      </w:r>
      <w:r w:rsidRPr="00643991">
        <w:t xml:space="preserve">spells out what is expected of beginning teachers, those who are primarily involved in direct teaching and those in supervisory and leadership roles </w:t>
      </w:r>
      <w:r w:rsidR="00715965">
        <w:t xml:space="preserve">with </w:t>
      </w:r>
      <w:r w:rsidRPr="00643991">
        <w:t>progressively higher levels of seniority and accountability.</w:t>
      </w:r>
      <w:r w:rsidR="00F45F40">
        <w:rPr>
          <w:rStyle w:val="FootnoteReference"/>
        </w:rPr>
        <w:footnoteReference w:id="18"/>
      </w:r>
      <w:r w:rsidRPr="00643991">
        <w:t xml:space="preserve"> </w:t>
      </w:r>
    </w:p>
    <w:p w14:paraId="3607B300" w14:textId="3859B4AF" w:rsidR="003020AF" w:rsidRPr="00643991" w:rsidRDefault="0028335E" w:rsidP="00A318D6">
      <w:pPr>
        <w:pStyle w:val="Text"/>
      </w:pPr>
      <w:r w:rsidRPr="00643991">
        <w:t xml:space="preserve">The agreement specifies not only the level but also the type of qualifications required at </w:t>
      </w:r>
      <w:r w:rsidR="006103FC" w:rsidRPr="00643991">
        <w:t xml:space="preserve">each </w:t>
      </w:r>
      <w:r w:rsidRPr="00643991">
        <w:t>level and for promotion</w:t>
      </w:r>
      <w:r w:rsidR="006103FC" w:rsidRPr="00643991">
        <w:t>al</w:t>
      </w:r>
      <w:r w:rsidR="00D047AB" w:rsidRPr="00643991">
        <w:t xml:space="preserve"> positions, upon which subsequent pay rises and progression depend</w:t>
      </w:r>
      <w:r w:rsidRPr="00643991">
        <w:t xml:space="preserve">. </w:t>
      </w:r>
      <w:r w:rsidR="00D047AB" w:rsidRPr="00643991">
        <w:t xml:space="preserve">The lowest level of teacher classification in the agreement </w:t>
      </w:r>
      <w:r w:rsidR="00096276">
        <w:t>(</w:t>
      </w:r>
      <w:r w:rsidR="00096276" w:rsidRPr="00096276">
        <w:t xml:space="preserve">Casual L1 and L1.1 and 1.2) </w:t>
      </w:r>
      <w:r w:rsidR="00D047AB" w:rsidRPr="00643991">
        <w:t xml:space="preserve">is aligned with the Certificate IV </w:t>
      </w:r>
      <w:r w:rsidR="004A1139">
        <w:t xml:space="preserve">in </w:t>
      </w:r>
      <w:r w:rsidR="00D047AB" w:rsidRPr="00643991">
        <w:t xml:space="preserve">TAE </w:t>
      </w:r>
      <w:r w:rsidR="002B1290">
        <w:t>(AQF 4</w:t>
      </w:r>
      <w:r w:rsidR="00715965">
        <w:t xml:space="preserve"> level</w:t>
      </w:r>
      <w:r w:rsidR="002B1290">
        <w:t xml:space="preserve">) </w:t>
      </w:r>
      <w:r w:rsidR="00D047AB" w:rsidRPr="00643991">
        <w:t>qualification</w:t>
      </w:r>
      <w:r w:rsidR="006103FC" w:rsidRPr="00643991">
        <w:t xml:space="preserve"> </w:t>
      </w:r>
      <w:r w:rsidR="00F17738">
        <w:t xml:space="preserve">and </w:t>
      </w:r>
      <w:r w:rsidR="00D047AB" w:rsidRPr="00643991">
        <w:t xml:space="preserve">attracts the lowest pay rate. </w:t>
      </w:r>
      <w:r w:rsidRPr="00643991">
        <w:t xml:space="preserve">Teachers </w:t>
      </w:r>
      <w:r w:rsidR="00D047AB" w:rsidRPr="00643991">
        <w:t xml:space="preserve">who want to progress </w:t>
      </w:r>
      <w:r w:rsidR="00096276">
        <w:t xml:space="preserve">to </w:t>
      </w:r>
      <w:r w:rsidR="00D047AB" w:rsidRPr="00643991">
        <w:t>level</w:t>
      </w:r>
      <w:r w:rsidR="00096276">
        <w:t xml:space="preserve"> 2</w:t>
      </w:r>
      <w:r w:rsidR="00D047AB" w:rsidRPr="00643991">
        <w:t xml:space="preserve"> </w:t>
      </w:r>
      <w:r w:rsidR="00F17738">
        <w:t>(</w:t>
      </w:r>
      <w:r w:rsidR="00F17738" w:rsidRPr="00096276">
        <w:t>Casual L2, and L2.1 to 2.3</w:t>
      </w:r>
      <w:r w:rsidR="00F17738">
        <w:t xml:space="preserve">) </w:t>
      </w:r>
      <w:r w:rsidRPr="00643991">
        <w:t xml:space="preserve">will require </w:t>
      </w:r>
      <w:r w:rsidR="00D047AB" w:rsidRPr="00643991">
        <w:t>a qualification upgrade</w:t>
      </w:r>
      <w:r w:rsidR="00A45A33" w:rsidRPr="00643991">
        <w:t>,</w:t>
      </w:r>
      <w:r w:rsidR="00D047AB" w:rsidRPr="00643991">
        <w:t xml:space="preserve"> comprising </w:t>
      </w:r>
      <w:r w:rsidR="00096276">
        <w:t xml:space="preserve">at least </w:t>
      </w:r>
      <w:r w:rsidR="00D047AB" w:rsidRPr="00643991">
        <w:t>a</w:t>
      </w:r>
      <w:r w:rsidR="002B1290">
        <w:t xml:space="preserve">n AQF 5 </w:t>
      </w:r>
      <w:r w:rsidR="00715965">
        <w:t>(</w:t>
      </w:r>
      <w:r w:rsidR="00D96F7F">
        <w:t>D</w:t>
      </w:r>
      <w:r w:rsidR="00D047AB" w:rsidRPr="00643991">
        <w:t>iploma</w:t>
      </w:r>
      <w:r w:rsidR="00A45A33" w:rsidRPr="00643991">
        <w:t>-</w:t>
      </w:r>
      <w:r w:rsidR="00D047AB" w:rsidRPr="00643991">
        <w:t>level</w:t>
      </w:r>
      <w:r w:rsidR="00715965">
        <w:t>)</w:t>
      </w:r>
      <w:r w:rsidR="00D047AB" w:rsidRPr="00643991">
        <w:t xml:space="preserve"> qualification</w:t>
      </w:r>
      <w:r w:rsidR="00F17738">
        <w:t xml:space="preserve">. </w:t>
      </w:r>
      <w:r w:rsidR="00096276">
        <w:t xml:space="preserve">A minimum of an </w:t>
      </w:r>
      <w:r w:rsidR="0061110E">
        <w:t>A</w:t>
      </w:r>
      <w:r w:rsidR="0061110E" w:rsidRPr="00643991">
        <w:t xml:space="preserve">dvanced </w:t>
      </w:r>
      <w:r w:rsidR="0061110E">
        <w:t>D</w:t>
      </w:r>
      <w:r w:rsidR="0061110E" w:rsidRPr="00643991">
        <w:t>iploma</w:t>
      </w:r>
      <w:r w:rsidR="00A45A33" w:rsidRPr="00643991">
        <w:t>-</w:t>
      </w:r>
      <w:r w:rsidR="002B1290">
        <w:t xml:space="preserve"> or </w:t>
      </w:r>
      <w:r w:rsidR="0061110E">
        <w:t xml:space="preserve">Associate Degree </w:t>
      </w:r>
      <w:r w:rsidR="00D047AB" w:rsidRPr="00643991">
        <w:t>level qualification</w:t>
      </w:r>
      <w:r w:rsidR="00096276" w:rsidRPr="00096276">
        <w:t xml:space="preserve"> </w:t>
      </w:r>
      <w:r w:rsidR="00096276">
        <w:t xml:space="preserve">at </w:t>
      </w:r>
      <w:r w:rsidR="00096276" w:rsidRPr="00096276">
        <w:t xml:space="preserve">AQF </w:t>
      </w:r>
      <w:r w:rsidR="00096276">
        <w:t xml:space="preserve">level </w:t>
      </w:r>
      <w:r w:rsidR="00096276" w:rsidRPr="00096276">
        <w:t xml:space="preserve">6 </w:t>
      </w:r>
      <w:r w:rsidR="00096276">
        <w:t xml:space="preserve">or above is required </w:t>
      </w:r>
      <w:r w:rsidR="00D047AB" w:rsidRPr="00643991">
        <w:t>for classification level 3</w:t>
      </w:r>
      <w:r w:rsidR="00096276">
        <w:t xml:space="preserve"> (</w:t>
      </w:r>
      <w:r w:rsidR="00096276" w:rsidRPr="00096276">
        <w:t>Casual L3 and L3.1 to 3.4)</w:t>
      </w:r>
      <w:r w:rsidR="00096276" w:rsidDel="00715965">
        <w:t xml:space="preserve"> </w:t>
      </w:r>
      <w:r w:rsidR="001503B9">
        <w:t>(VTA, 2018: 22)</w:t>
      </w:r>
      <w:r w:rsidR="00D047AB" w:rsidRPr="00643991">
        <w:t>.</w:t>
      </w:r>
      <w:r w:rsidR="00635D96">
        <w:t xml:space="preserve"> </w:t>
      </w:r>
      <w:r w:rsidR="00096276" w:rsidRPr="00096276">
        <w:t>All educational manager positions (EM 1 to 3) require at least an AQF 6 qualification or above.</w:t>
      </w:r>
      <w:r w:rsidR="001503B9">
        <w:t xml:space="preserve"> </w:t>
      </w:r>
      <w:r w:rsidR="00D047AB" w:rsidRPr="00643991">
        <w:t xml:space="preserve">These </w:t>
      </w:r>
      <w:r w:rsidR="00832CF3" w:rsidRPr="00643991">
        <w:t>higher</w:t>
      </w:r>
      <w:r w:rsidR="00385974" w:rsidRPr="00643991">
        <w:t>-</w:t>
      </w:r>
      <w:r w:rsidR="006103FC" w:rsidRPr="00643991">
        <w:t xml:space="preserve">level </w:t>
      </w:r>
      <w:r w:rsidR="00D047AB" w:rsidRPr="00643991">
        <w:t xml:space="preserve">qualifications </w:t>
      </w:r>
      <w:r w:rsidR="00096276" w:rsidRPr="00096276">
        <w:t xml:space="preserve">have varying levels of expected teaching experience and </w:t>
      </w:r>
      <w:r w:rsidR="00D047AB" w:rsidRPr="00643991">
        <w:t xml:space="preserve">must </w:t>
      </w:r>
      <w:r w:rsidR="001503B9" w:rsidRPr="001503B9">
        <w:t>include studies in</w:t>
      </w:r>
      <w:r w:rsidR="001503B9">
        <w:t xml:space="preserve"> </w:t>
      </w:r>
      <w:r w:rsidR="001503B9" w:rsidRPr="001503B9">
        <w:t xml:space="preserve">adult learning methodology, teaching in a vocational education environment, </w:t>
      </w:r>
      <w:r w:rsidR="001503B9">
        <w:t>a</w:t>
      </w:r>
      <w:r w:rsidR="001503B9" w:rsidRPr="001503B9">
        <w:t xml:space="preserve">pplied </w:t>
      </w:r>
      <w:r w:rsidR="001503B9">
        <w:t>r</w:t>
      </w:r>
      <w:r w:rsidR="001503B9" w:rsidRPr="001503B9">
        <w:t>esearch linked to the Boyer framework of scholarship</w:t>
      </w:r>
      <w:r w:rsidR="005577FA">
        <w:t xml:space="preserve"> </w:t>
      </w:r>
      <w:r w:rsidR="001503B9" w:rsidRPr="00643991">
        <w:t>(Boyer 1979)</w:t>
      </w:r>
      <w:r w:rsidR="009F315A">
        <w:t>,</w:t>
      </w:r>
      <w:r w:rsidR="00F45F40">
        <w:rPr>
          <w:rStyle w:val="FootnoteReference"/>
        </w:rPr>
        <w:footnoteReference w:id="19"/>
      </w:r>
      <w:r w:rsidR="001503B9" w:rsidRPr="001503B9">
        <w:t xml:space="preserve"> and 200 hours of supervised practicum </w:t>
      </w:r>
      <w:r w:rsidR="00096276">
        <w:t>(Ibid.)</w:t>
      </w:r>
      <w:r w:rsidR="00C47E64">
        <w:t>.</w:t>
      </w:r>
      <w:r w:rsidR="00D96F7F">
        <w:t xml:space="preserve"> </w:t>
      </w:r>
      <w:r w:rsidR="00096276" w:rsidRPr="00AE079F">
        <w:t>This can be made up of 50 hours of direct supervision (observed and evaluated by a qualified teacher or educator) and a further 150 hours of other professional practice.</w:t>
      </w:r>
    </w:p>
    <w:p w14:paraId="2A1CADB8" w14:textId="7BC523EC" w:rsidR="00523D86" w:rsidRDefault="009F315A" w:rsidP="00643991">
      <w:pPr>
        <w:pStyle w:val="Text"/>
      </w:pPr>
      <w:r>
        <w:t>However, a</w:t>
      </w:r>
      <w:r w:rsidR="00832CF3" w:rsidRPr="00643991">
        <w:t xml:space="preserve">ccording to one of </w:t>
      </w:r>
      <w:r w:rsidR="009C1136" w:rsidRPr="00643991">
        <w:t xml:space="preserve">the </w:t>
      </w:r>
      <w:r w:rsidR="00832CF3" w:rsidRPr="00643991">
        <w:t xml:space="preserve">TAFE leaders </w:t>
      </w:r>
      <w:r w:rsidR="009C1136" w:rsidRPr="00643991">
        <w:t>consulted</w:t>
      </w:r>
      <w:r w:rsidR="00A45A33" w:rsidRPr="00643991">
        <w:t>,</w:t>
      </w:r>
      <w:r w:rsidR="009C1136" w:rsidRPr="00643991">
        <w:t xml:space="preserve"> </w:t>
      </w:r>
      <w:r w:rsidR="00832CF3" w:rsidRPr="00643991">
        <w:t xml:space="preserve">these additional qualifications for promotion </w:t>
      </w:r>
      <w:proofErr w:type="gramStart"/>
      <w:r w:rsidR="00832CF3" w:rsidRPr="00643991">
        <w:t>are considered to be</w:t>
      </w:r>
      <w:proofErr w:type="gramEnd"/>
      <w:r w:rsidR="00832CF3" w:rsidRPr="00643991">
        <w:t xml:space="preserve"> too </w:t>
      </w:r>
      <w:r w:rsidR="00A45A33" w:rsidRPr="00643991">
        <w:t>difficult</w:t>
      </w:r>
      <w:r w:rsidR="00832CF3" w:rsidRPr="00643991">
        <w:t xml:space="preserve"> to </w:t>
      </w:r>
      <w:r w:rsidR="00A45A33" w:rsidRPr="00643991">
        <w:t>acquire</w:t>
      </w:r>
      <w:r w:rsidR="00832CF3" w:rsidRPr="00643991">
        <w:t xml:space="preserve"> and the reward too low for the </w:t>
      </w:r>
      <w:r w:rsidR="00C47E64">
        <w:t xml:space="preserve">time, </w:t>
      </w:r>
      <w:r w:rsidR="00832CF3" w:rsidRPr="00643991">
        <w:t xml:space="preserve">effort and expense involved, </w:t>
      </w:r>
      <w:r w:rsidR="0073480B" w:rsidRPr="00643991">
        <w:t xml:space="preserve">since </w:t>
      </w:r>
      <w:r w:rsidR="00832CF3" w:rsidRPr="00643991">
        <w:t>many VET teachers are</w:t>
      </w:r>
      <w:r w:rsidR="00D047AB" w:rsidRPr="00643991">
        <w:t xml:space="preserve"> casual or part-time, or </w:t>
      </w:r>
      <w:r w:rsidR="00D96F7F">
        <w:t xml:space="preserve">are </w:t>
      </w:r>
      <w:r w:rsidR="00D047AB" w:rsidRPr="00643991">
        <w:t>unable or unwilling to commit to extensive further studies</w:t>
      </w:r>
      <w:r w:rsidR="003020AF" w:rsidRPr="00643991">
        <w:t xml:space="preserve">. </w:t>
      </w:r>
      <w:r w:rsidR="004B358B" w:rsidRPr="00643991">
        <w:t xml:space="preserve">There is also no certainty that individuals will remain at a certain standard or </w:t>
      </w:r>
      <w:r w:rsidR="0073480B" w:rsidRPr="00643991">
        <w:t xml:space="preserve">be </w:t>
      </w:r>
      <w:r w:rsidR="004B358B" w:rsidRPr="00643991">
        <w:t xml:space="preserve">willing to take on </w:t>
      </w:r>
      <w:r w:rsidR="00EA52AC" w:rsidRPr="00643991">
        <w:t xml:space="preserve">the </w:t>
      </w:r>
      <w:r w:rsidR="004B358B" w:rsidRPr="00643991">
        <w:t xml:space="preserve">additional responsibilities that could be reasonably expected </w:t>
      </w:r>
      <w:r w:rsidR="0073480B" w:rsidRPr="00643991">
        <w:t>of</w:t>
      </w:r>
      <w:r w:rsidR="004B358B" w:rsidRPr="00643991">
        <w:t xml:space="preserve"> someone with </w:t>
      </w:r>
      <w:r w:rsidR="003020AF" w:rsidRPr="00643991">
        <w:t xml:space="preserve">upgraded </w:t>
      </w:r>
      <w:r w:rsidR="004B358B" w:rsidRPr="00643991">
        <w:t>skills</w:t>
      </w:r>
      <w:r w:rsidR="0028335E" w:rsidRPr="00643991">
        <w:t xml:space="preserve"> and </w:t>
      </w:r>
      <w:r w:rsidR="00832CF3" w:rsidRPr="00643991">
        <w:t>qualifications</w:t>
      </w:r>
      <w:r w:rsidR="004B358B" w:rsidRPr="00643991">
        <w:t xml:space="preserve">. </w:t>
      </w:r>
      <w:r w:rsidR="00832CF3" w:rsidRPr="00643991">
        <w:t>As a result</w:t>
      </w:r>
      <w:r w:rsidR="00D973B7" w:rsidRPr="00643991">
        <w:t>,</w:t>
      </w:r>
      <w:r w:rsidR="00832CF3" w:rsidRPr="00643991">
        <w:t xml:space="preserve"> </w:t>
      </w:r>
      <w:r w:rsidR="00FB558B">
        <w:t xml:space="preserve">and in their </w:t>
      </w:r>
      <w:r w:rsidR="00D96F7F">
        <w:t xml:space="preserve">individual </w:t>
      </w:r>
      <w:r w:rsidR="00FB558B">
        <w:t xml:space="preserve">view, </w:t>
      </w:r>
      <w:r w:rsidR="004B358B" w:rsidRPr="00643991">
        <w:t xml:space="preserve">the </w:t>
      </w:r>
      <w:r w:rsidR="00EA52AC" w:rsidRPr="00643991">
        <w:t>a</w:t>
      </w:r>
      <w:r w:rsidR="004B358B" w:rsidRPr="00643991">
        <w:t>greement has inadvertently reduced the morale of those teachers who hold other</w:t>
      </w:r>
      <w:r w:rsidR="005D4B6F" w:rsidRPr="00643991">
        <w:t xml:space="preserve"> postgraduate qualifications (including master</w:t>
      </w:r>
      <w:r w:rsidR="00EA52AC" w:rsidRPr="00643991">
        <w:t>’</w:t>
      </w:r>
      <w:r w:rsidR="005D4B6F" w:rsidRPr="00643991">
        <w:t>s degrees)</w:t>
      </w:r>
      <w:r w:rsidR="0073480B" w:rsidRPr="00643991">
        <w:t>, which</w:t>
      </w:r>
      <w:r w:rsidR="00D7758D" w:rsidRPr="00643991">
        <w:t xml:space="preserve"> </w:t>
      </w:r>
      <w:r w:rsidR="003020AF" w:rsidRPr="00643991">
        <w:t xml:space="preserve">the agreement does not </w:t>
      </w:r>
      <w:r w:rsidR="004B358B" w:rsidRPr="00643991">
        <w:t xml:space="preserve">recognise for promotion or </w:t>
      </w:r>
      <w:r w:rsidR="005D4B6F" w:rsidRPr="00643991">
        <w:t xml:space="preserve">pay </w:t>
      </w:r>
      <w:r w:rsidR="004B358B" w:rsidRPr="00643991">
        <w:t>increment purposes</w:t>
      </w:r>
      <w:r w:rsidR="005D4B6F" w:rsidRPr="00643991">
        <w:t xml:space="preserve">, </w:t>
      </w:r>
      <w:r w:rsidR="004B358B" w:rsidRPr="00643991">
        <w:t>even though these teachers</w:t>
      </w:r>
      <w:r w:rsidR="005D4B6F" w:rsidRPr="00643991">
        <w:t xml:space="preserve"> </w:t>
      </w:r>
      <w:r w:rsidR="003020AF" w:rsidRPr="00643991">
        <w:t xml:space="preserve">may have </w:t>
      </w:r>
      <w:r w:rsidR="00D40A02">
        <w:t xml:space="preserve">skills and knowledge that are </w:t>
      </w:r>
      <w:r w:rsidR="00523D86">
        <w:t>equivalent.</w:t>
      </w:r>
      <w:r w:rsidR="00523D86" w:rsidRPr="00096276">
        <w:t xml:space="preserve"> </w:t>
      </w:r>
    </w:p>
    <w:p w14:paraId="55FEB313" w14:textId="55000B58" w:rsidR="00096276" w:rsidRDefault="005577FA" w:rsidP="00643991">
      <w:pPr>
        <w:pStyle w:val="Text"/>
      </w:pPr>
      <w:r>
        <w:t>This</w:t>
      </w:r>
      <w:r w:rsidR="00096276" w:rsidRPr="00096276">
        <w:t xml:space="preserve"> is only one view</w:t>
      </w:r>
      <w:r w:rsidR="00C47E64">
        <w:t>, however,</w:t>
      </w:r>
      <w:r>
        <w:t xml:space="preserve"> </w:t>
      </w:r>
      <w:r w:rsidR="0039625D">
        <w:t xml:space="preserve">and there can be </w:t>
      </w:r>
      <w:r w:rsidR="0039625D" w:rsidRPr="0039625D">
        <w:t>financial reward</w:t>
      </w:r>
      <w:r w:rsidR="0039625D">
        <w:t>s</w:t>
      </w:r>
      <w:r w:rsidR="0039625D" w:rsidRPr="0039625D">
        <w:t xml:space="preserve"> for </w:t>
      </w:r>
      <w:r w:rsidR="0039625D">
        <w:t xml:space="preserve">teachers to undertake </w:t>
      </w:r>
      <w:r w:rsidR="0039625D" w:rsidRPr="0039625D">
        <w:t>a higher qual</w:t>
      </w:r>
      <w:r w:rsidR="0039625D">
        <w:t xml:space="preserve">ification, </w:t>
      </w:r>
      <w:r>
        <w:t xml:space="preserve">but </w:t>
      </w:r>
      <w:r w:rsidR="00523D86">
        <w:t xml:space="preserve">the </w:t>
      </w:r>
      <w:r w:rsidR="00096276" w:rsidRPr="00096276">
        <w:t xml:space="preserve">requirement to upgrade from the Certificate IV to a Diploma qualification to cross a salary bar was </w:t>
      </w:r>
      <w:r w:rsidR="0039625D">
        <w:t xml:space="preserve">also </w:t>
      </w:r>
      <w:r w:rsidR="00FB558B">
        <w:t xml:space="preserve">a </w:t>
      </w:r>
      <w:r w:rsidR="00096276" w:rsidRPr="00096276">
        <w:t>feature of the previous Victorian TAFE award</w:t>
      </w:r>
      <w:r w:rsidR="0039625D">
        <w:t xml:space="preserve"> when </w:t>
      </w:r>
      <w:r w:rsidR="00096276" w:rsidRPr="00096276">
        <w:t xml:space="preserve">some senior staff argued </w:t>
      </w:r>
      <w:r w:rsidR="00530563">
        <w:t xml:space="preserve">at the time </w:t>
      </w:r>
      <w:r w:rsidR="00096276" w:rsidRPr="00096276">
        <w:t xml:space="preserve">that they </w:t>
      </w:r>
      <w:r w:rsidR="00DF7713">
        <w:t>obtained</w:t>
      </w:r>
      <w:r w:rsidR="00096276" w:rsidRPr="00096276">
        <w:t xml:space="preserve"> no additional value from staff who attained a higher qualification </w:t>
      </w:r>
      <w:r w:rsidR="0039625D">
        <w:t xml:space="preserve">and their </w:t>
      </w:r>
      <w:r w:rsidR="00096276" w:rsidRPr="00096276">
        <w:t>work essentially remained the same</w:t>
      </w:r>
      <w:r w:rsidR="00635D96">
        <w:t>.</w:t>
      </w:r>
    </w:p>
    <w:p w14:paraId="0BE87A65" w14:textId="3B613667" w:rsidR="00733C17" w:rsidRPr="002C2FD3" w:rsidRDefault="00FB558B" w:rsidP="00733C17">
      <w:pPr>
        <w:pStyle w:val="Text"/>
        <w:rPr>
          <w:spacing w:val="2"/>
        </w:rPr>
      </w:pPr>
      <w:r w:rsidRPr="002C2FD3">
        <w:rPr>
          <w:spacing w:val="2"/>
        </w:rPr>
        <w:t xml:space="preserve">While Smith </w:t>
      </w:r>
      <w:r w:rsidR="009C0B2F" w:rsidRPr="002C2FD3">
        <w:rPr>
          <w:spacing w:val="2"/>
        </w:rPr>
        <w:t>(2019) has</w:t>
      </w:r>
      <w:r w:rsidRPr="002C2FD3">
        <w:rPr>
          <w:spacing w:val="2"/>
        </w:rPr>
        <w:t xml:space="preserve"> argued </w:t>
      </w:r>
      <w:r w:rsidR="009C0B2F" w:rsidRPr="002C2FD3">
        <w:rPr>
          <w:spacing w:val="2"/>
        </w:rPr>
        <w:t xml:space="preserve">persuasively </w:t>
      </w:r>
      <w:r w:rsidRPr="002C2FD3">
        <w:rPr>
          <w:spacing w:val="2"/>
        </w:rPr>
        <w:t xml:space="preserve">that there is clear evidence relating the qualification held </w:t>
      </w:r>
      <w:r w:rsidR="008F1DC9" w:rsidRPr="002C2FD3">
        <w:rPr>
          <w:spacing w:val="2"/>
        </w:rPr>
        <w:t xml:space="preserve">by teachers </w:t>
      </w:r>
      <w:r w:rsidRPr="002C2FD3">
        <w:rPr>
          <w:spacing w:val="2"/>
        </w:rPr>
        <w:t xml:space="preserve">to </w:t>
      </w:r>
      <w:r w:rsidR="008F1DC9" w:rsidRPr="002C2FD3">
        <w:rPr>
          <w:spacing w:val="2"/>
        </w:rPr>
        <w:t xml:space="preserve">their </w:t>
      </w:r>
      <w:r w:rsidRPr="002C2FD3">
        <w:rPr>
          <w:spacing w:val="2"/>
        </w:rPr>
        <w:t>confidence and teaching capability</w:t>
      </w:r>
      <w:r w:rsidR="008F1DC9" w:rsidRPr="002C2FD3">
        <w:rPr>
          <w:spacing w:val="2"/>
        </w:rPr>
        <w:t>,</w:t>
      </w:r>
      <w:r w:rsidRPr="002C2FD3">
        <w:rPr>
          <w:spacing w:val="2"/>
        </w:rPr>
        <w:t xml:space="preserve"> there is also a view that </w:t>
      </w:r>
      <w:r w:rsidR="009C0B2F" w:rsidRPr="002C2FD3">
        <w:rPr>
          <w:spacing w:val="2"/>
        </w:rPr>
        <w:t xml:space="preserve">this relationship is </w:t>
      </w:r>
      <w:r w:rsidR="009C0B2F" w:rsidRPr="002C2FD3">
        <w:rPr>
          <w:spacing w:val="2"/>
        </w:rPr>
        <w:lastRenderedPageBreak/>
        <w:t>more</w:t>
      </w:r>
      <w:r w:rsidR="002C2FD3" w:rsidRPr="002C2FD3">
        <w:rPr>
          <w:spacing w:val="2"/>
        </w:rPr>
        <w:t xml:space="preserve"> </w:t>
      </w:r>
      <w:r w:rsidR="009C0B2F" w:rsidRPr="002C2FD3">
        <w:rPr>
          <w:spacing w:val="2"/>
        </w:rPr>
        <w:t xml:space="preserve">nuanced, with </w:t>
      </w:r>
      <w:r w:rsidRPr="002C2FD3">
        <w:rPr>
          <w:spacing w:val="2"/>
        </w:rPr>
        <w:t xml:space="preserve">those </w:t>
      </w:r>
      <w:r w:rsidR="009C0B2F" w:rsidRPr="002C2FD3">
        <w:rPr>
          <w:spacing w:val="2"/>
        </w:rPr>
        <w:t xml:space="preserve">willing to </w:t>
      </w:r>
      <w:r w:rsidRPr="002C2FD3">
        <w:rPr>
          <w:spacing w:val="2"/>
        </w:rPr>
        <w:t>tak</w:t>
      </w:r>
      <w:r w:rsidR="009C0B2F" w:rsidRPr="002C2FD3">
        <w:rPr>
          <w:spacing w:val="2"/>
        </w:rPr>
        <w:t>e</w:t>
      </w:r>
      <w:r w:rsidRPr="002C2FD3">
        <w:rPr>
          <w:spacing w:val="2"/>
        </w:rPr>
        <w:t xml:space="preserve"> on and attain higher level </w:t>
      </w:r>
      <w:r w:rsidR="009C0B2F" w:rsidRPr="002C2FD3">
        <w:rPr>
          <w:spacing w:val="2"/>
        </w:rPr>
        <w:t xml:space="preserve">teaching </w:t>
      </w:r>
      <w:r w:rsidRPr="002C2FD3">
        <w:rPr>
          <w:spacing w:val="2"/>
        </w:rPr>
        <w:t xml:space="preserve">qualifications </w:t>
      </w:r>
      <w:r w:rsidR="009C0B2F" w:rsidRPr="002C2FD3">
        <w:rPr>
          <w:spacing w:val="2"/>
        </w:rPr>
        <w:t xml:space="preserve">also </w:t>
      </w:r>
      <w:r w:rsidRPr="002C2FD3">
        <w:rPr>
          <w:spacing w:val="2"/>
        </w:rPr>
        <w:t>hav</w:t>
      </w:r>
      <w:r w:rsidR="009C0B2F" w:rsidRPr="002C2FD3">
        <w:rPr>
          <w:spacing w:val="2"/>
        </w:rPr>
        <w:t>ing</w:t>
      </w:r>
      <w:r w:rsidRPr="002C2FD3">
        <w:rPr>
          <w:spacing w:val="2"/>
        </w:rPr>
        <w:t xml:space="preserve"> intrinsic attributes that contribute to their </w:t>
      </w:r>
      <w:r w:rsidR="009C0B2F" w:rsidRPr="002C2FD3">
        <w:rPr>
          <w:spacing w:val="2"/>
        </w:rPr>
        <w:t xml:space="preserve">level of </w:t>
      </w:r>
      <w:r w:rsidRPr="002C2FD3">
        <w:rPr>
          <w:spacing w:val="2"/>
        </w:rPr>
        <w:t>capabilit</w:t>
      </w:r>
      <w:r w:rsidR="009C0B2F" w:rsidRPr="002C2FD3">
        <w:rPr>
          <w:spacing w:val="2"/>
        </w:rPr>
        <w:t>y as</w:t>
      </w:r>
      <w:r w:rsidRPr="002C2FD3">
        <w:rPr>
          <w:spacing w:val="2"/>
        </w:rPr>
        <w:t xml:space="preserve"> a teacher</w:t>
      </w:r>
      <w:r w:rsidR="009C0B2F" w:rsidRPr="002C2FD3">
        <w:rPr>
          <w:spacing w:val="2"/>
        </w:rPr>
        <w:t>.</w:t>
      </w:r>
      <w:r w:rsidR="009F315A" w:rsidRPr="002C2FD3">
        <w:rPr>
          <w:spacing w:val="2"/>
        </w:rPr>
        <w:t xml:space="preserve"> </w:t>
      </w:r>
      <w:r w:rsidR="008F1DC9" w:rsidRPr="002C2FD3">
        <w:rPr>
          <w:spacing w:val="2"/>
        </w:rPr>
        <w:t xml:space="preserve">This is affirmed by </w:t>
      </w:r>
      <w:r w:rsidR="00733C17" w:rsidRPr="002C2FD3">
        <w:rPr>
          <w:spacing w:val="2"/>
        </w:rPr>
        <w:t xml:space="preserve">Hattie (2015) </w:t>
      </w:r>
      <w:r w:rsidR="008F1DC9" w:rsidRPr="002C2FD3">
        <w:rPr>
          <w:spacing w:val="2"/>
        </w:rPr>
        <w:t xml:space="preserve">who </w:t>
      </w:r>
      <w:r w:rsidR="00733C17" w:rsidRPr="002C2FD3">
        <w:rPr>
          <w:spacing w:val="2"/>
        </w:rPr>
        <w:t>writes</w:t>
      </w:r>
      <w:r w:rsidR="008F1DC9" w:rsidRPr="002C2FD3">
        <w:rPr>
          <w:spacing w:val="2"/>
        </w:rPr>
        <w:t xml:space="preserve"> that</w:t>
      </w:r>
      <w:r w:rsidR="00733C17" w:rsidRPr="002C2FD3">
        <w:rPr>
          <w:spacing w:val="2"/>
        </w:rPr>
        <w:t xml:space="preserve">, while teaching methods are important to </w:t>
      </w:r>
      <w:r w:rsidR="00402A37" w:rsidRPr="002C2FD3">
        <w:rPr>
          <w:spacing w:val="2"/>
        </w:rPr>
        <w:t xml:space="preserve">good </w:t>
      </w:r>
      <w:r w:rsidR="008F1DC9" w:rsidRPr="002C2FD3">
        <w:rPr>
          <w:spacing w:val="2"/>
        </w:rPr>
        <w:t xml:space="preserve">experiences and </w:t>
      </w:r>
      <w:r w:rsidR="00733C17" w:rsidRPr="002C2FD3">
        <w:rPr>
          <w:spacing w:val="2"/>
        </w:rPr>
        <w:t>outcomes for students, the attributes of the teaching within these methods are likely to be more so.</w:t>
      </w:r>
    </w:p>
    <w:p w14:paraId="7A1348CC" w14:textId="4E381B2D" w:rsidR="006C5C20" w:rsidRPr="00C72D13" w:rsidRDefault="00733C17" w:rsidP="00C72D13">
      <w:pPr>
        <w:pStyle w:val="Heading2"/>
      </w:pPr>
      <w:bookmarkStart w:id="85" w:name="_Toc62204944"/>
      <w:r w:rsidRPr="00C72D13">
        <w:t xml:space="preserve">What </w:t>
      </w:r>
      <w:r w:rsidR="00402A37" w:rsidRPr="00C72D13">
        <w:t xml:space="preserve">can we learn </w:t>
      </w:r>
      <w:r w:rsidRPr="00C72D13">
        <w:t>about capability frameworks and standards?</w:t>
      </w:r>
      <w:bookmarkEnd w:id="85"/>
      <w:r w:rsidRPr="00C72D13">
        <w:t xml:space="preserve"> </w:t>
      </w:r>
    </w:p>
    <w:p w14:paraId="49868EFC" w14:textId="78FBCE51" w:rsidR="00711603" w:rsidRDefault="006C5C20" w:rsidP="00643991">
      <w:pPr>
        <w:pStyle w:val="Text"/>
      </w:pPr>
      <w:r>
        <w:t xml:space="preserve">This analysis has told us </w:t>
      </w:r>
      <w:r w:rsidR="00733C17">
        <w:t xml:space="preserve">that there are </w:t>
      </w:r>
      <w:r>
        <w:t xml:space="preserve">a range of </w:t>
      </w:r>
      <w:r w:rsidR="00733C17">
        <w:t xml:space="preserve">teacher </w:t>
      </w:r>
      <w:r>
        <w:t xml:space="preserve">capability frameworks </w:t>
      </w:r>
      <w:r w:rsidR="00733C17">
        <w:t xml:space="preserve">and standards across educational sectors </w:t>
      </w:r>
      <w:r>
        <w:t>in Australia</w:t>
      </w:r>
      <w:r w:rsidR="00733C17">
        <w:t xml:space="preserve"> and </w:t>
      </w:r>
      <w:r>
        <w:t xml:space="preserve">internationally that </w:t>
      </w:r>
      <w:r w:rsidR="00402A37">
        <w:t xml:space="preserve">generally </w:t>
      </w:r>
      <w:r w:rsidR="00733C17">
        <w:t xml:space="preserve">agree on </w:t>
      </w:r>
      <w:r>
        <w:t xml:space="preserve">the capabilities </w:t>
      </w:r>
      <w:r w:rsidR="00402A37">
        <w:t xml:space="preserve">professional </w:t>
      </w:r>
      <w:r>
        <w:t>VET teach</w:t>
      </w:r>
      <w:r w:rsidR="00402A37">
        <w:t>ers</w:t>
      </w:r>
      <w:r w:rsidR="008F1DC9">
        <w:t xml:space="preserve"> need to deliver quality outcomes for students</w:t>
      </w:r>
      <w:r>
        <w:t xml:space="preserve">. </w:t>
      </w:r>
      <w:r w:rsidR="00402A37">
        <w:t xml:space="preserve">While some </w:t>
      </w:r>
      <w:r w:rsidR="00733C17">
        <w:t xml:space="preserve">are </w:t>
      </w:r>
      <w:r w:rsidR="00402A37">
        <w:t xml:space="preserve">already </w:t>
      </w:r>
      <w:r w:rsidR="00872B05">
        <w:t xml:space="preserve">in use </w:t>
      </w:r>
      <w:r w:rsidR="00733C17">
        <w:t xml:space="preserve">in </w:t>
      </w:r>
      <w:r w:rsidR="00402A37">
        <w:t xml:space="preserve">Australia as diagnostic tools and guides to advise teachers and their managers on capability development needed at the individual, teaching team or institutional level, there is not a </w:t>
      </w:r>
      <w:r>
        <w:t>national</w:t>
      </w:r>
      <w:r w:rsidR="00402A37">
        <w:t xml:space="preserve">ly agreed definition of professional teaching in VET </w:t>
      </w:r>
      <w:r w:rsidR="006C5290">
        <w:t xml:space="preserve">and what </w:t>
      </w:r>
      <w:r w:rsidR="00402A37">
        <w:t xml:space="preserve">quality </w:t>
      </w:r>
      <w:r w:rsidR="006C5290">
        <w:t>teaching looks like</w:t>
      </w:r>
      <w:r w:rsidR="00402A37">
        <w:t>.</w:t>
      </w:r>
      <w:r>
        <w:t xml:space="preserve"> </w:t>
      </w:r>
    </w:p>
    <w:p w14:paraId="5134E196" w14:textId="1319FCCB" w:rsidR="00DC7D1E" w:rsidRPr="004B1417" w:rsidRDefault="005E4D6F" w:rsidP="00DC7D1E">
      <w:pPr>
        <w:pStyle w:val="Text"/>
        <w:rPr>
          <w:lang w:eastAsia="en-AU"/>
        </w:rPr>
      </w:pPr>
      <w:r w:rsidRPr="005E4D6F">
        <w:t xml:space="preserve">The issue </w:t>
      </w:r>
      <w:r>
        <w:t xml:space="preserve">for </w:t>
      </w:r>
      <w:r w:rsidR="007E09E8">
        <w:t>consideration</w:t>
      </w:r>
      <w:r>
        <w:t xml:space="preserve"> </w:t>
      </w:r>
      <w:r w:rsidRPr="005E4D6F">
        <w:t xml:space="preserve">is whether </w:t>
      </w:r>
      <w:proofErr w:type="gramStart"/>
      <w:r w:rsidR="008F1DC9">
        <w:t>this matters</w:t>
      </w:r>
      <w:proofErr w:type="gramEnd"/>
      <w:r w:rsidR="008F1DC9">
        <w:t xml:space="preserve"> </w:t>
      </w:r>
      <w:r w:rsidR="008E4D82">
        <w:t>and</w:t>
      </w:r>
      <w:r w:rsidR="008F1DC9">
        <w:t xml:space="preserve"> if </w:t>
      </w:r>
      <w:r w:rsidRPr="005E4D6F">
        <w:t xml:space="preserve">there is merit in developing a </w:t>
      </w:r>
      <w:r w:rsidR="00E848C8">
        <w:t xml:space="preserve">set of </w:t>
      </w:r>
      <w:r w:rsidRPr="005E4D6F">
        <w:t>‘core’ capabilit</w:t>
      </w:r>
      <w:r w:rsidR="00E848C8">
        <w:t>ies</w:t>
      </w:r>
      <w:r w:rsidR="005923BB">
        <w:t xml:space="preserve"> </w:t>
      </w:r>
      <w:r w:rsidRPr="005E4D6F">
        <w:t xml:space="preserve">that is </w:t>
      </w:r>
      <w:r w:rsidR="007E09E8">
        <w:t xml:space="preserve">adaptable </w:t>
      </w:r>
      <w:r w:rsidR="008F1DC9">
        <w:t xml:space="preserve">and flexible enough to meet the </w:t>
      </w:r>
      <w:r w:rsidRPr="005E4D6F">
        <w:t>local or particular needs</w:t>
      </w:r>
      <w:r w:rsidR="008F1DC9">
        <w:t xml:space="preserve"> of teachers, students and employers</w:t>
      </w:r>
      <w:r w:rsidRPr="004B1417">
        <w:t xml:space="preserve">. </w:t>
      </w:r>
      <w:r w:rsidR="00DC7D1E" w:rsidRPr="004B1417">
        <w:t>Currently</w:t>
      </w:r>
      <w:r w:rsidR="00903F40">
        <w:t>,</w:t>
      </w:r>
      <w:r w:rsidR="00DC7D1E" w:rsidRPr="004B1417">
        <w:t xml:space="preserve"> the IBSA VET Practitioner Capability Framework and the Australian Professional Standards for Teaching have been and are performing this role, however, for VET at least, an update may be appropriate in a rapidly evolving context.</w:t>
      </w:r>
    </w:p>
    <w:p w14:paraId="4340F056" w14:textId="74BF202A" w:rsidR="005E4D6F" w:rsidRPr="00643991" w:rsidRDefault="005E4D6F" w:rsidP="00F161E7">
      <w:pPr>
        <w:pStyle w:val="Text"/>
      </w:pPr>
    </w:p>
    <w:p w14:paraId="5DC8317F" w14:textId="5D6BB112" w:rsidR="000067CA" w:rsidRDefault="000067CA">
      <w:pPr>
        <w:rPr>
          <w:rFonts w:ascii="Arial" w:hAnsi="Arial" w:cs="Tahoma"/>
          <w:color w:val="000000"/>
          <w:kern w:val="28"/>
          <w:sz w:val="48"/>
          <w:szCs w:val="56"/>
        </w:rPr>
      </w:pPr>
      <w:r>
        <w:rPr>
          <w:rFonts w:ascii="Arial" w:hAnsi="Arial" w:cs="Tahoma"/>
          <w:color w:val="000000"/>
          <w:kern w:val="28"/>
          <w:sz w:val="48"/>
          <w:szCs w:val="56"/>
        </w:rPr>
        <w:br w:type="page"/>
      </w:r>
    </w:p>
    <w:p w14:paraId="048721B1" w14:textId="03F6CF56" w:rsidR="00282B10" w:rsidRDefault="00621C5F" w:rsidP="00282B10">
      <w:pPr>
        <w:pStyle w:val="Heading1"/>
      </w:pPr>
      <w:bookmarkStart w:id="86" w:name="_Toc62204945"/>
      <w:r w:rsidRPr="00621C5F">
        <w:rPr>
          <w:noProof/>
          <w:lang w:eastAsia="en-AU"/>
        </w:rPr>
        <w:lastRenderedPageBreak/>
        <w:drawing>
          <wp:anchor distT="0" distB="791845" distL="114300" distR="114300" simplePos="0" relativeHeight="252022784" behindDoc="0" locked="0" layoutInCell="1" allowOverlap="1" wp14:anchorId="4AB0FA44" wp14:editId="54F5B218">
            <wp:simplePos x="0" y="0"/>
            <wp:positionH relativeFrom="column">
              <wp:posOffset>-635</wp:posOffset>
            </wp:positionH>
            <wp:positionV relativeFrom="paragraph">
              <wp:posOffset>0</wp:posOffset>
            </wp:positionV>
            <wp:extent cx="417195" cy="417195"/>
            <wp:effectExtent l="0" t="0" r="1905" b="1905"/>
            <wp:wrapSquare wrapText="bothSides"/>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Picture 41"/>
                    <pic:cNvPicPr preferRelativeResize="0">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171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B05">
        <w:t xml:space="preserve">Supporting strategies to improve </w:t>
      </w:r>
      <w:r w:rsidR="00D376BC">
        <w:br/>
      </w:r>
      <w:r w:rsidR="00B4543C">
        <w:t>the quality of VET teaching</w:t>
      </w:r>
      <w:r w:rsidR="002F2197">
        <w:t xml:space="preserve"> </w:t>
      </w:r>
      <w:r w:rsidR="00246908">
        <w:t xml:space="preserve">– </w:t>
      </w:r>
      <w:r w:rsidR="002F2197">
        <w:t>stakeholder</w:t>
      </w:r>
      <w:r w:rsidR="005619A4">
        <w:t xml:space="preserve"> </w:t>
      </w:r>
      <w:r w:rsidR="00C52FFF">
        <w:t>views</w:t>
      </w:r>
      <w:bookmarkEnd w:id="86"/>
    </w:p>
    <w:p w14:paraId="7946F76B" w14:textId="7D271618" w:rsidR="00340D93" w:rsidRDefault="00872B05" w:rsidP="006C5290">
      <w:pPr>
        <w:pStyle w:val="Text"/>
      </w:pPr>
      <w:r>
        <w:t>In this section we</w:t>
      </w:r>
      <w:r w:rsidRPr="00872B05">
        <w:t xml:space="preserve"> examine </w:t>
      </w:r>
      <w:r>
        <w:t>the views of stakeholders on</w:t>
      </w:r>
      <w:r w:rsidRPr="00872B05">
        <w:t xml:space="preserve"> the application of capability frameworks and standards</w:t>
      </w:r>
      <w:r>
        <w:t xml:space="preserve"> and </w:t>
      </w:r>
      <w:r w:rsidR="008F1DC9">
        <w:t xml:space="preserve">a range of </w:t>
      </w:r>
      <w:r>
        <w:t>supporting strategies</w:t>
      </w:r>
      <w:r w:rsidR="008F1DC9">
        <w:t xml:space="preserve">; </w:t>
      </w:r>
      <w:r w:rsidR="006C5290" w:rsidRPr="00872B05">
        <w:t>recruitment</w:t>
      </w:r>
      <w:r w:rsidRPr="00872B05">
        <w:t xml:space="preserve"> and selection, registration and accreditation for VET teachers, the appropriate entry</w:t>
      </w:r>
      <w:r w:rsidR="00750CF4">
        <w:t>-level</w:t>
      </w:r>
      <w:r w:rsidRPr="00872B05">
        <w:t xml:space="preserve"> qualification for VET teach</w:t>
      </w:r>
      <w:r w:rsidR="006C5290">
        <w:t>ers</w:t>
      </w:r>
      <w:r w:rsidRPr="00872B05">
        <w:t xml:space="preserve">, </w:t>
      </w:r>
      <w:proofErr w:type="gramStart"/>
      <w:r w:rsidRPr="00872B05">
        <w:t>resourcing</w:t>
      </w:r>
      <w:proofErr w:type="gramEnd"/>
      <w:r w:rsidRPr="00872B05">
        <w:t xml:space="preserve"> and funding </w:t>
      </w:r>
      <w:r w:rsidR="00750CF4">
        <w:t xml:space="preserve">available for </w:t>
      </w:r>
      <w:r w:rsidRPr="00872B05">
        <w:t>PD and other approaches to building a capable teaching workforce.</w:t>
      </w:r>
    </w:p>
    <w:p w14:paraId="16C58A75" w14:textId="5326F32C" w:rsidR="006C5290" w:rsidRDefault="006C5290" w:rsidP="009C7807">
      <w:pPr>
        <w:pStyle w:val="Heading2"/>
      </w:pPr>
      <w:bookmarkStart w:id="87" w:name="_Toc62204946"/>
      <w:r w:rsidRPr="006C5290">
        <w:t>Responsibility for improving the quality of VET teaching</w:t>
      </w:r>
      <w:bookmarkEnd w:id="87"/>
    </w:p>
    <w:p w14:paraId="60CA1C43" w14:textId="2D6E37C6" w:rsidR="00B4543C" w:rsidRDefault="001D44C8" w:rsidP="00B4543C">
      <w:pPr>
        <w:pStyle w:val="Text"/>
      </w:pPr>
      <w:r>
        <w:t>Most s</w:t>
      </w:r>
      <w:r w:rsidR="00B4543C">
        <w:t xml:space="preserve">takeholders </w:t>
      </w:r>
      <w:r w:rsidR="00D06D14">
        <w:t xml:space="preserve">agreed </w:t>
      </w:r>
      <w:r w:rsidR="00B4543C">
        <w:t xml:space="preserve">that responsibility for improving the quality of VET teaching </w:t>
      </w:r>
      <w:r w:rsidR="00D06D14">
        <w:t>must be</w:t>
      </w:r>
      <w:r w:rsidR="00B4543C">
        <w:t xml:space="preserve"> shared by governments, </w:t>
      </w:r>
      <w:proofErr w:type="gramStart"/>
      <w:r w:rsidR="00B4543C">
        <w:t>RTOs</w:t>
      </w:r>
      <w:proofErr w:type="gramEnd"/>
      <w:r w:rsidR="00B4543C">
        <w:t xml:space="preserve"> and </w:t>
      </w:r>
      <w:r w:rsidR="00074DEF">
        <w:t xml:space="preserve">the </w:t>
      </w:r>
      <w:r w:rsidR="00B4543C">
        <w:t xml:space="preserve">individuals themselves, </w:t>
      </w:r>
      <w:r w:rsidR="005131F9">
        <w:t xml:space="preserve">and that </w:t>
      </w:r>
      <w:r w:rsidR="00EA52AC">
        <w:t>the chief executive officers</w:t>
      </w:r>
      <w:r w:rsidR="00B4543C">
        <w:t xml:space="preserve"> </w:t>
      </w:r>
      <w:r w:rsidR="00A65EBA">
        <w:t xml:space="preserve">(CEOs) </w:t>
      </w:r>
      <w:r w:rsidR="00B4543C">
        <w:t xml:space="preserve">of RTOs </w:t>
      </w:r>
      <w:r w:rsidR="005131F9">
        <w:t xml:space="preserve">should </w:t>
      </w:r>
      <w:r w:rsidR="00B4543C">
        <w:t xml:space="preserve">take the lead in driving the process for their institutions. </w:t>
      </w:r>
      <w:r w:rsidR="00262F0E">
        <w:t>One</w:t>
      </w:r>
      <w:r w:rsidR="00B4543C">
        <w:t xml:space="preserve"> view </w:t>
      </w:r>
      <w:r w:rsidR="001708BC">
        <w:t>given was</w:t>
      </w:r>
      <w:r w:rsidR="00B4543C">
        <w:t xml:space="preserve"> that governments (including regulators) should have </w:t>
      </w:r>
      <w:r w:rsidR="007A7BC5">
        <w:t>most</w:t>
      </w:r>
      <w:r w:rsidR="00B4543C">
        <w:t xml:space="preserve"> responsibility for </w:t>
      </w:r>
      <w:r w:rsidR="004109BD">
        <w:t xml:space="preserve">helping </w:t>
      </w:r>
      <w:r w:rsidR="008F1DC9">
        <w:t xml:space="preserve">to </w:t>
      </w:r>
      <w:r w:rsidR="007A7BC5">
        <w:t>improv</w:t>
      </w:r>
      <w:r w:rsidR="004109BD">
        <w:t>e</w:t>
      </w:r>
      <w:r w:rsidR="007A7BC5">
        <w:t xml:space="preserve"> </w:t>
      </w:r>
      <w:r w:rsidR="00B4543C">
        <w:t>quality because</w:t>
      </w:r>
      <w:r w:rsidR="004109BD">
        <w:t>,</w:t>
      </w:r>
      <w:r w:rsidR="00B4543C">
        <w:t xml:space="preserve"> if left to individuals and RTOs, comprehensive</w:t>
      </w:r>
      <w:r w:rsidR="00526B29">
        <w:t xml:space="preserve">, </w:t>
      </w:r>
      <w:proofErr w:type="gramStart"/>
      <w:r w:rsidR="006C5290">
        <w:t>co-ordinated</w:t>
      </w:r>
      <w:proofErr w:type="gramEnd"/>
      <w:r w:rsidR="006C5290">
        <w:t xml:space="preserve"> </w:t>
      </w:r>
      <w:r w:rsidR="00526B29">
        <w:t xml:space="preserve">and high-quality </w:t>
      </w:r>
      <w:r w:rsidR="00B4543C">
        <w:t xml:space="preserve">strategies may not be established. </w:t>
      </w:r>
    </w:p>
    <w:p w14:paraId="796CCC12" w14:textId="55BF3D5C" w:rsidR="00750CF4" w:rsidRDefault="00C60F74" w:rsidP="00750CF4">
      <w:pPr>
        <w:pStyle w:val="Text"/>
      </w:pPr>
      <w:r>
        <w:t xml:space="preserve">Some consider </w:t>
      </w:r>
      <w:r w:rsidR="00F22F36">
        <w:t xml:space="preserve">that </w:t>
      </w:r>
      <w:r w:rsidR="00282B10">
        <w:t xml:space="preserve">VET teachers </w:t>
      </w:r>
      <w:r>
        <w:t xml:space="preserve">should </w:t>
      </w:r>
      <w:r w:rsidR="00282B10">
        <w:t xml:space="preserve">focus </w:t>
      </w:r>
      <w:r w:rsidR="00750CF4">
        <w:t xml:space="preserve">more </w:t>
      </w:r>
      <w:r w:rsidR="00282B10">
        <w:t xml:space="preserve">on </w:t>
      </w:r>
      <w:r w:rsidR="00F22F36">
        <w:t xml:space="preserve">their </w:t>
      </w:r>
      <w:r w:rsidR="00282B10">
        <w:t xml:space="preserve">teaching </w:t>
      </w:r>
      <w:r w:rsidR="00F22F36">
        <w:t xml:space="preserve">role rather than </w:t>
      </w:r>
      <w:r w:rsidR="00B02BA1">
        <w:t xml:space="preserve">deal </w:t>
      </w:r>
      <w:r w:rsidR="00F22F36">
        <w:t xml:space="preserve">with </w:t>
      </w:r>
      <w:r w:rsidR="00B02BA1">
        <w:t>polic</w:t>
      </w:r>
      <w:r w:rsidR="00F22F36">
        <w:t xml:space="preserve">y, </w:t>
      </w:r>
      <w:proofErr w:type="gramStart"/>
      <w:r w:rsidR="00F22F36">
        <w:t>compliance</w:t>
      </w:r>
      <w:proofErr w:type="gramEnd"/>
      <w:r w:rsidR="00687579">
        <w:t xml:space="preserve"> and</w:t>
      </w:r>
      <w:r w:rsidR="008F337C">
        <w:t xml:space="preserve"> </w:t>
      </w:r>
      <w:r w:rsidR="00F22F36">
        <w:t xml:space="preserve">operational </w:t>
      </w:r>
      <w:r w:rsidR="00B02BA1">
        <w:t>processes</w:t>
      </w:r>
      <w:r w:rsidR="001708BC">
        <w:t>;</w:t>
      </w:r>
      <w:r>
        <w:t xml:space="preserve"> however</w:t>
      </w:r>
      <w:r w:rsidR="001708BC">
        <w:t>,</w:t>
      </w:r>
      <w:r>
        <w:t xml:space="preserve"> it is understood that this may not be possible for </w:t>
      </w:r>
      <w:r w:rsidR="00750CF4">
        <w:t xml:space="preserve">many </w:t>
      </w:r>
      <w:r>
        <w:t>RTOs</w:t>
      </w:r>
      <w:r w:rsidR="007E0A01">
        <w:t>,</w:t>
      </w:r>
      <w:r>
        <w:t xml:space="preserve"> where staff </w:t>
      </w:r>
      <w:r w:rsidR="004109BD">
        <w:t>undertake</w:t>
      </w:r>
      <w:r>
        <w:t xml:space="preserve"> multiple</w:t>
      </w:r>
      <w:r w:rsidR="00526B29">
        <w:t xml:space="preserve"> and diverse</w:t>
      </w:r>
      <w:r>
        <w:t xml:space="preserve"> </w:t>
      </w:r>
      <w:r w:rsidR="004109BD">
        <w:t xml:space="preserve">work </w:t>
      </w:r>
      <w:r>
        <w:t>roles</w:t>
      </w:r>
      <w:r w:rsidR="00F22F36">
        <w:t>.</w:t>
      </w:r>
      <w:r w:rsidR="00282B10">
        <w:t xml:space="preserve"> </w:t>
      </w:r>
      <w:r w:rsidR="00F22F36">
        <w:t xml:space="preserve">It is </w:t>
      </w:r>
      <w:r w:rsidR="00282B10">
        <w:t>acknowledge</w:t>
      </w:r>
      <w:r w:rsidR="00F22F36">
        <w:t>d</w:t>
      </w:r>
      <w:r w:rsidR="00282B10">
        <w:t xml:space="preserve"> that</w:t>
      </w:r>
      <w:r w:rsidR="001708BC">
        <w:t>,</w:t>
      </w:r>
      <w:r w:rsidR="00282B10">
        <w:t xml:space="preserve"> </w:t>
      </w:r>
      <w:r w:rsidR="00F22F36">
        <w:t xml:space="preserve">while </w:t>
      </w:r>
      <w:r w:rsidR="00282B10">
        <w:t>teachers do their best</w:t>
      </w:r>
      <w:r w:rsidR="00F22F36">
        <w:t>,</w:t>
      </w:r>
      <w:r w:rsidR="00282B10">
        <w:t xml:space="preserve"> </w:t>
      </w:r>
      <w:r w:rsidR="00F22F36">
        <w:t xml:space="preserve">they </w:t>
      </w:r>
      <w:r w:rsidR="00282B10">
        <w:t xml:space="preserve">are at times constrained by </w:t>
      </w:r>
      <w:r w:rsidR="00F22F36">
        <w:t xml:space="preserve">factors </w:t>
      </w:r>
      <w:r w:rsidR="00282B10">
        <w:t>beyond their control</w:t>
      </w:r>
      <w:r w:rsidR="00F22F36">
        <w:t xml:space="preserve">, </w:t>
      </w:r>
      <w:r>
        <w:t xml:space="preserve">such as undertaking </w:t>
      </w:r>
      <w:r w:rsidR="00F22F36">
        <w:t>tasks unrelated to their role</w:t>
      </w:r>
      <w:r w:rsidR="00903F40">
        <w:t>,</w:t>
      </w:r>
      <w:r w:rsidR="00F22F36">
        <w:t xml:space="preserve"> </w:t>
      </w:r>
      <w:r w:rsidR="001708BC">
        <w:t>but which</w:t>
      </w:r>
      <w:r w:rsidR="00F22F36">
        <w:t xml:space="preserve"> may be important to the institution and to the sector</w:t>
      </w:r>
      <w:r w:rsidR="006C5290">
        <w:t xml:space="preserve"> and the barriers to </w:t>
      </w:r>
      <w:r w:rsidR="00596ABB">
        <w:t xml:space="preserve">quality </w:t>
      </w:r>
      <w:r w:rsidR="006C5290">
        <w:t xml:space="preserve">in </w:t>
      </w:r>
      <w:r w:rsidR="00750CF4">
        <w:t xml:space="preserve">teaching </w:t>
      </w:r>
      <w:r w:rsidR="006C5290">
        <w:t xml:space="preserve">mentioned </w:t>
      </w:r>
      <w:r w:rsidR="006C5290" w:rsidRPr="00973488">
        <w:t>earlier</w:t>
      </w:r>
      <w:r w:rsidR="00E02301">
        <w:t>.</w:t>
      </w:r>
      <w:r w:rsidR="00872B05" w:rsidRPr="00973488">
        <w:t xml:space="preserve"> </w:t>
      </w:r>
    </w:p>
    <w:p w14:paraId="5DCB604C" w14:textId="41BD74B0" w:rsidR="00994136" w:rsidRPr="009C7807" w:rsidRDefault="00994136" w:rsidP="009C7807">
      <w:pPr>
        <w:pStyle w:val="Heading2"/>
      </w:pPr>
      <w:bookmarkStart w:id="88" w:name="_Toc62204947"/>
      <w:r w:rsidRPr="009C7807">
        <w:t>Capability frameworks and standards</w:t>
      </w:r>
      <w:bookmarkEnd w:id="88"/>
    </w:p>
    <w:p w14:paraId="62610A01" w14:textId="792D90A7" w:rsidR="005E4D6F" w:rsidRDefault="00872B05" w:rsidP="005E4D6F">
      <w:pPr>
        <w:pStyle w:val="Text"/>
      </w:pPr>
      <w:r>
        <w:t xml:space="preserve">During our consultations we found that stakeholders value </w:t>
      </w:r>
      <w:r w:rsidRPr="00643991">
        <w:t xml:space="preserve">capability frameworks and professional standards as diagnostic tools for </w:t>
      </w:r>
      <w:r>
        <w:t>teachers</w:t>
      </w:r>
      <w:r w:rsidRPr="00643991">
        <w:t xml:space="preserve"> to use to self-e</w:t>
      </w:r>
      <w:r w:rsidR="00750CF4">
        <w:t xml:space="preserve">valuate their knowledge, skills, </w:t>
      </w:r>
      <w:proofErr w:type="gramStart"/>
      <w:r w:rsidR="00750CF4" w:rsidRPr="00750CF4">
        <w:t>behaviours</w:t>
      </w:r>
      <w:proofErr w:type="gramEnd"/>
      <w:r w:rsidR="00750CF4" w:rsidRPr="00643991">
        <w:t xml:space="preserve"> </w:t>
      </w:r>
      <w:r w:rsidRPr="00643991">
        <w:t xml:space="preserve">and practice in preparation for professional conversations with their managers to establish </w:t>
      </w:r>
      <w:r>
        <w:t xml:space="preserve">PD </w:t>
      </w:r>
      <w:r w:rsidRPr="00643991">
        <w:t>plans.</w:t>
      </w:r>
      <w:r>
        <w:t xml:space="preserve"> </w:t>
      </w:r>
      <w:r w:rsidR="00750CF4" w:rsidRPr="00750CF4">
        <w:t xml:space="preserve">These can be (and are already) used to align the PD needs of individual teachers with their organisation’s strategic requirements. </w:t>
      </w:r>
    </w:p>
    <w:p w14:paraId="01F564BB" w14:textId="77777777" w:rsidR="005E4D6F" w:rsidRDefault="005E4D6F" w:rsidP="005E4D6F">
      <w:pPr>
        <w:pStyle w:val="Text"/>
      </w:pPr>
      <w:r>
        <w:t xml:space="preserve">Although professional standards (as distinct from capability frameworks) </w:t>
      </w:r>
      <w:proofErr w:type="gramStart"/>
      <w:r>
        <w:t>are considered to be</w:t>
      </w:r>
      <w:proofErr w:type="gramEnd"/>
      <w:r>
        <w:t xml:space="preserve"> worthwhile for monitoring teacher performance and for developmental purposes (especially in the schooling sector), the majority of respondents consider them less useful in a complex and diverse context such as the VET sector. Nonetheless, there continues to be some reliance on using the Australian Professional Standards for Teachers as guidelines rather than prescriptions. </w:t>
      </w:r>
    </w:p>
    <w:p w14:paraId="1361F729" w14:textId="4562989F" w:rsidR="00436AC3" w:rsidRDefault="00973488" w:rsidP="00872B05">
      <w:pPr>
        <w:pStyle w:val="Text"/>
      </w:pPr>
      <w:r>
        <w:t>However, w</w:t>
      </w:r>
      <w:r w:rsidR="00750CF4">
        <w:t>e also</w:t>
      </w:r>
      <w:r w:rsidR="00872B05">
        <w:t xml:space="preserve"> </w:t>
      </w:r>
      <w:r w:rsidR="00872B05" w:rsidRPr="002B21E3">
        <w:t>found</w:t>
      </w:r>
      <w:r w:rsidR="00750CF4">
        <w:t xml:space="preserve"> </w:t>
      </w:r>
      <w:r w:rsidR="00872B05" w:rsidRPr="002B21E3">
        <w:t xml:space="preserve">limited support for a </w:t>
      </w:r>
      <w:r w:rsidR="008239D1">
        <w:t xml:space="preserve">prescriptive </w:t>
      </w:r>
      <w:r w:rsidR="00872B05" w:rsidRPr="002B21E3">
        <w:t>national capability framework</w:t>
      </w:r>
      <w:r w:rsidR="005E4D6F" w:rsidRPr="005E4D6F">
        <w:t xml:space="preserve"> or set of professional standards for VET teachers</w:t>
      </w:r>
      <w:r w:rsidR="00F45F40">
        <w:rPr>
          <w:rStyle w:val="FootnoteReference"/>
        </w:rPr>
        <w:footnoteReference w:id="20"/>
      </w:r>
      <w:r w:rsidR="00872B05" w:rsidRPr="002B21E3">
        <w:t>, although there is strong support for them conceptually.</w:t>
      </w:r>
      <w:r w:rsidR="00750CF4">
        <w:t xml:space="preserve"> </w:t>
      </w:r>
      <w:r w:rsidR="005E4D6F">
        <w:t>O</w:t>
      </w:r>
      <w:r w:rsidR="005E4D6F" w:rsidRPr="005E4D6F">
        <w:t xml:space="preserve">pinion is divided with supporters believing it could help to achieve national consistency, while non-supporters (the majority) consider that RTOs should develop their own by drawing on existing frameworks. </w:t>
      </w:r>
      <w:r w:rsidR="005E4D6F" w:rsidRPr="002B21E3">
        <w:t>As exemplified in the words of one educational manager, ‘We have a capability framework [and] don’t need a national one’ (RTO, WA).</w:t>
      </w:r>
      <w:r w:rsidR="005E4D6F">
        <w:t xml:space="preserve"> </w:t>
      </w:r>
    </w:p>
    <w:p w14:paraId="612488B7" w14:textId="48A997EC" w:rsidR="00872B05" w:rsidRDefault="00872B05" w:rsidP="00872B05">
      <w:pPr>
        <w:pStyle w:val="Text"/>
      </w:pPr>
      <w:r w:rsidRPr="002B21E3">
        <w:lastRenderedPageBreak/>
        <w:t xml:space="preserve">The perceived benefits of </w:t>
      </w:r>
      <w:r>
        <w:t>a</w:t>
      </w:r>
      <w:r w:rsidR="00E848C8">
        <w:t xml:space="preserve"> nationally agreed set of capabilities</w:t>
      </w:r>
      <w:r w:rsidR="009B1599">
        <w:t xml:space="preserve"> </w:t>
      </w:r>
      <w:r w:rsidRPr="002B21E3">
        <w:t xml:space="preserve">include improving consistency in the capabilities expected of all teachers nationally and avoiding the need for RTOs to develop their own frameworks (an onerous burden on small RTOs). </w:t>
      </w:r>
      <w:r w:rsidR="00436AC3">
        <w:t xml:space="preserve">An approach based on a </w:t>
      </w:r>
      <w:r w:rsidR="00E848C8">
        <w:t xml:space="preserve">set of </w:t>
      </w:r>
      <w:r w:rsidR="008239D1">
        <w:t xml:space="preserve">core </w:t>
      </w:r>
      <w:r w:rsidR="00E848C8">
        <w:t xml:space="preserve">capabilities </w:t>
      </w:r>
      <w:r w:rsidR="00436AC3">
        <w:t xml:space="preserve">with </w:t>
      </w:r>
      <w:r w:rsidR="00973488">
        <w:t>additions</w:t>
      </w:r>
      <w:r w:rsidR="008D5F64">
        <w:t xml:space="preserve"> and local adaptations </w:t>
      </w:r>
      <w:r w:rsidR="00436AC3">
        <w:t xml:space="preserve">may provide </w:t>
      </w:r>
      <w:r w:rsidR="008239D1">
        <w:t>a way forward</w:t>
      </w:r>
      <w:r w:rsidR="00436AC3">
        <w:t xml:space="preserve">. </w:t>
      </w:r>
    </w:p>
    <w:p w14:paraId="366258F7" w14:textId="02B19231" w:rsidR="00436AC3" w:rsidRDefault="005E4D6F" w:rsidP="005E4D6F">
      <w:pPr>
        <w:pStyle w:val="Text"/>
      </w:pPr>
      <w:r w:rsidRPr="00643991">
        <w:t xml:space="preserve">Stakeholders agreed that </w:t>
      </w:r>
      <w:r>
        <w:t xml:space="preserve">teacher </w:t>
      </w:r>
      <w:r w:rsidRPr="00643991">
        <w:t xml:space="preserve">capability or standards statements can be used to inform the development of measures at the </w:t>
      </w:r>
      <w:r>
        <w:t xml:space="preserve">state-wide or </w:t>
      </w:r>
      <w:r w:rsidRPr="00643991">
        <w:t>local level</w:t>
      </w:r>
      <w:r>
        <w:t>s</w:t>
      </w:r>
      <w:r w:rsidRPr="00643991">
        <w:t xml:space="preserve">, including in </w:t>
      </w:r>
      <w:r>
        <w:t xml:space="preserve">the state-wide industrial agreements that characterise the public provider TAFE, or through individual provider-based </w:t>
      </w:r>
      <w:r w:rsidRPr="00643991">
        <w:t xml:space="preserve">enterprise agreements. The RTOs consulted do not seem to have strict objective measures of performance attached to the frameworks which must be met by all teachers; rather, the practice is to establish a performance review cycle to be followed according to different roles, </w:t>
      </w:r>
      <w:proofErr w:type="gramStart"/>
      <w:r w:rsidRPr="00643991">
        <w:t>responsibilities</w:t>
      </w:r>
      <w:proofErr w:type="gramEnd"/>
      <w:r w:rsidRPr="00643991">
        <w:t xml:space="preserve"> and discipline areas. </w:t>
      </w:r>
    </w:p>
    <w:p w14:paraId="69851804" w14:textId="279CADDA" w:rsidR="005E4D6F" w:rsidRDefault="005E4D6F" w:rsidP="005E4D6F">
      <w:pPr>
        <w:pStyle w:val="Text"/>
      </w:pPr>
      <w:r w:rsidRPr="00643991">
        <w:t xml:space="preserve">Such processes require </w:t>
      </w:r>
      <w:r>
        <w:t xml:space="preserve">teachers </w:t>
      </w:r>
      <w:r w:rsidRPr="00643991">
        <w:t xml:space="preserve">and their business unit managers to jointly develop the objectives </w:t>
      </w:r>
      <w:r>
        <w:t xml:space="preserve">and position descriptions </w:t>
      </w:r>
      <w:r w:rsidRPr="00643991">
        <w:t>that form the basis of the performance review</w:t>
      </w:r>
      <w:r>
        <w:t xml:space="preserve"> process</w:t>
      </w:r>
      <w:r w:rsidRPr="00643991">
        <w:t>. These objectives are based both on the current needs of the business unit</w:t>
      </w:r>
      <w:r w:rsidR="00A93B04">
        <w:t xml:space="preserve"> or teaching team</w:t>
      </w:r>
      <w:r w:rsidRPr="00643991">
        <w:t xml:space="preserve"> (linked to organisational strategic priorities) and the developmental needs of the </w:t>
      </w:r>
      <w:r>
        <w:t xml:space="preserve">individual </w:t>
      </w:r>
      <w:r w:rsidRPr="00643991">
        <w:t>teacher. The capability or standard</w:t>
      </w:r>
      <w:r>
        <w:t>s</w:t>
      </w:r>
      <w:r w:rsidRPr="00643991">
        <w:t xml:space="preserve"> statements can be used as triggers for self-reflection </w:t>
      </w:r>
      <w:proofErr w:type="gramStart"/>
      <w:r w:rsidRPr="00643991">
        <w:t>in order to</w:t>
      </w:r>
      <w:proofErr w:type="gramEnd"/>
      <w:r w:rsidRPr="00643991">
        <w:t xml:space="preserve"> identify teacher strengths and any gaps in knowledge and practice prior to performance development meetings. </w:t>
      </w:r>
    </w:p>
    <w:p w14:paraId="0A608F99" w14:textId="4C7AED28" w:rsidR="00436AC3" w:rsidRDefault="00436AC3" w:rsidP="00436AC3">
      <w:pPr>
        <w:pStyle w:val="Text"/>
      </w:pPr>
      <w:r w:rsidRPr="00E2510F">
        <w:rPr>
          <w:lang w:val="en-US" w:eastAsia="en-AU"/>
        </w:rPr>
        <w:t xml:space="preserve">A cautionary note was sounded by one </w:t>
      </w:r>
      <w:r>
        <w:rPr>
          <w:lang w:val="en-US" w:eastAsia="en-AU"/>
        </w:rPr>
        <w:t xml:space="preserve">stakeholder group </w:t>
      </w:r>
      <w:r w:rsidRPr="00E2510F">
        <w:rPr>
          <w:lang w:val="en-US" w:eastAsia="en-AU"/>
        </w:rPr>
        <w:t xml:space="preserve">who support the use of capability frameworks </w:t>
      </w:r>
      <w:r>
        <w:rPr>
          <w:lang w:val="en-US" w:eastAsia="en-AU"/>
        </w:rPr>
        <w:t xml:space="preserve">if they </w:t>
      </w:r>
      <w:r w:rsidRPr="00E2510F">
        <w:rPr>
          <w:lang w:val="en-US" w:eastAsia="en-AU"/>
        </w:rPr>
        <w:t>are aspirational and advance, rather than merely replicate the existing skills and knowledge of teachers</w:t>
      </w:r>
      <w:r>
        <w:rPr>
          <w:lang w:val="en-US" w:eastAsia="en-AU"/>
        </w:rPr>
        <w:t>. O</w:t>
      </w:r>
      <w:r w:rsidRPr="00E2510F">
        <w:rPr>
          <w:lang w:val="en-US" w:eastAsia="en-AU"/>
        </w:rPr>
        <w:t xml:space="preserve">therwise, they </w:t>
      </w:r>
      <w:r>
        <w:rPr>
          <w:lang w:val="en-US" w:eastAsia="en-AU"/>
        </w:rPr>
        <w:t>can be</w:t>
      </w:r>
      <w:r w:rsidRPr="00E2510F">
        <w:rPr>
          <w:lang w:val="en-US" w:eastAsia="en-AU"/>
        </w:rPr>
        <w:t xml:space="preserve"> a waste of time</w:t>
      </w:r>
      <w:r>
        <w:rPr>
          <w:lang w:val="en-US" w:eastAsia="en-AU"/>
        </w:rPr>
        <w:t xml:space="preserve"> and </w:t>
      </w:r>
      <w:r w:rsidRPr="00E2510F">
        <w:rPr>
          <w:lang w:val="en-US" w:eastAsia="en-AU"/>
        </w:rPr>
        <w:t>an ‘unnecessary imposition’.</w:t>
      </w:r>
      <w:r w:rsidRPr="000A2326">
        <w:t xml:space="preserve"> </w:t>
      </w:r>
      <w:r>
        <w:t xml:space="preserve">They also need to </w:t>
      </w:r>
      <w:r>
        <w:rPr>
          <w:lang w:val="en-US" w:eastAsia="en-AU"/>
        </w:rPr>
        <w:t xml:space="preserve">place sufficient </w:t>
      </w:r>
      <w:r w:rsidRPr="000A2326">
        <w:rPr>
          <w:lang w:val="en-US" w:eastAsia="en-AU"/>
        </w:rPr>
        <w:t xml:space="preserve">attention </w:t>
      </w:r>
      <w:r>
        <w:rPr>
          <w:lang w:val="en-US" w:eastAsia="en-AU"/>
        </w:rPr>
        <w:t xml:space="preserve">to </w:t>
      </w:r>
      <w:r w:rsidRPr="000A2326">
        <w:rPr>
          <w:lang w:val="en-US" w:eastAsia="en-AU"/>
        </w:rPr>
        <w:t xml:space="preserve">evaluating teacher capabilities in their own discipline or industry areas, by comparison with higher education programs. </w:t>
      </w:r>
    </w:p>
    <w:p w14:paraId="64A554AB" w14:textId="29E951C4" w:rsidR="00282B10" w:rsidRDefault="00D87E28" w:rsidP="005E4D6F">
      <w:pPr>
        <w:pStyle w:val="Heading2"/>
      </w:pPr>
      <w:bookmarkStart w:id="89" w:name="_Toc62204948"/>
      <w:r>
        <w:t>Recruitment and selection</w:t>
      </w:r>
      <w:bookmarkEnd w:id="89"/>
      <w:r>
        <w:t xml:space="preserve"> </w:t>
      </w:r>
    </w:p>
    <w:p w14:paraId="2CD072DB" w14:textId="21CDCBDF" w:rsidR="00AA34D9" w:rsidRPr="002676F2" w:rsidRDefault="00282B10" w:rsidP="00282B10">
      <w:pPr>
        <w:pStyle w:val="Text"/>
        <w:rPr>
          <w:strike/>
        </w:rPr>
      </w:pPr>
      <w:r>
        <w:t>Our consultations reveal that</w:t>
      </w:r>
      <w:r w:rsidR="0069564D">
        <w:t>,</w:t>
      </w:r>
      <w:r>
        <w:t xml:space="preserve"> to improve the quality of VET teaching</w:t>
      </w:r>
      <w:r w:rsidR="002B7C6A">
        <w:t>,</w:t>
      </w:r>
      <w:r>
        <w:t xml:space="preserve"> </w:t>
      </w:r>
      <w:r w:rsidR="00DE49FF">
        <w:t xml:space="preserve">the </w:t>
      </w:r>
      <w:r w:rsidR="0069564D">
        <w:t>appropriate</w:t>
      </w:r>
      <w:r w:rsidR="00DE49FF">
        <w:t xml:space="preserve"> people</w:t>
      </w:r>
      <w:r w:rsidR="001708BC">
        <w:t xml:space="preserve"> must be employed</w:t>
      </w:r>
      <w:r w:rsidR="0069564D">
        <w:t>:</w:t>
      </w:r>
      <w:r w:rsidR="00B42CA2">
        <w:t xml:space="preserve"> </w:t>
      </w:r>
      <w:r>
        <w:t xml:space="preserve">those </w:t>
      </w:r>
      <w:r w:rsidR="00DE49FF">
        <w:t xml:space="preserve">with </w:t>
      </w:r>
      <w:r>
        <w:t xml:space="preserve">an interest </w:t>
      </w:r>
      <w:r w:rsidR="00DE49FF">
        <w:t>in</w:t>
      </w:r>
      <w:r w:rsidR="00AA403C">
        <w:t xml:space="preserve">, and even a ‘passion’ for, </w:t>
      </w:r>
      <w:r w:rsidR="00E62924">
        <w:t xml:space="preserve">VET </w:t>
      </w:r>
      <w:r>
        <w:t>teach</w:t>
      </w:r>
      <w:r w:rsidR="002B7C6A">
        <w:t>ing</w:t>
      </w:r>
      <w:r w:rsidR="00AA403C">
        <w:t>. They need</w:t>
      </w:r>
      <w:r>
        <w:t xml:space="preserve"> to acquire the required </w:t>
      </w:r>
      <w:r w:rsidR="00933467">
        <w:t xml:space="preserve">entry-level </w:t>
      </w:r>
      <w:r>
        <w:t>qualification</w:t>
      </w:r>
      <w:r w:rsidR="00AA403C">
        <w:t xml:space="preserve"> if they do not already hold it</w:t>
      </w:r>
      <w:r>
        <w:t xml:space="preserve">, and </w:t>
      </w:r>
      <w:r w:rsidR="00AA403C">
        <w:t>be</w:t>
      </w:r>
      <w:r>
        <w:t xml:space="preserve"> willing </w:t>
      </w:r>
      <w:r w:rsidR="00E62924">
        <w:t>to</w:t>
      </w:r>
      <w:r>
        <w:t xml:space="preserve"> engage in conti</w:t>
      </w:r>
      <w:r w:rsidR="008C223A">
        <w:t>nuing</w:t>
      </w:r>
      <w:r>
        <w:t xml:space="preserve"> professional learning, </w:t>
      </w:r>
      <w:r w:rsidR="002B7C6A">
        <w:t xml:space="preserve">maintain </w:t>
      </w:r>
      <w:r>
        <w:t xml:space="preserve">vocational currency </w:t>
      </w:r>
      <w:r w:rsidR="00DE49FF">
        <w:t xml:space="preserve">and </w:t>
      </w:r>
      <w:r>
        <w:t>continu</w:t>
      </w:r>
      <w:r w:rsidR="002B7C6A">
        <w:t>ally</w:t>
      </w:r>
      <w:r>
        <w:t xml:space="preserve"> develop</w:t>
      </w:r>
      <w:r w:rsidR="00436AC3">
        <w:t xml:space="preserve"> and </w:t>
      </w:r>
      <w:r w:rsidR="00AA403C">
        <w:t>improv</w:t>
      </w:r>
      <w:r w:rsidR="00436AC3">
        <w:t xml:space="preserve">e </w:t>
      </w:r>
      <w:r>
        <w:t>their teaching c</w:t>
      </w:r>
      <w:r w:rsidR="002B7C6A">
        <w:t>apabilities</w:t>
      </w:r>
      <w:r>
        <w:t xml:space="preserve">. </w:t>
      </w:r>
      <w:r w:rsidR="00933467">
        <w:t>These attributes include</w:t>
      </w:r>
      <w:r>
        <w:t xml:space="preserve"> the</w:t>
      </w:r>
      <w:r w:rsidR="00687579">
        <w:t xml:space="preserve"> </w:t>
      </w:r>
      <w:r>
        <w:t>abilit</w:t>
      </w:r>
      <w:r w:rsidR="00DE49FF">
        <w:t>y</w:t>
      </w:r>
      <w:r>
        <w:t xml:space="preserve"> to engage with and communicate </w:t>
      </w:r>
      <w:r w:rsidR="00933467">
        <w:t xml:space="preserve">effectively </w:t>
      </w:r>
      <w:r>
        <w:t xml:space="preserve">with </w:t>
      </w:r>
      <w:r w:rsidR="00DE49FF">
        <w:t xml:space="preserve">student </w:t>
      </w:r>
      <w:r>
        <w:t>cohorts</w:t>
      </w:r>
      <w:r w:rsidR="00DE49FF">
        <w:t xml:space="preserve"> </w:t>
      </w:r>
      <w:r w:rsidR="009D4A48">
        <w:t xml:space="preserve">from </w:t>
      </w:r>
      <w:r w:rsidR="00DE49FF">
        <w:t>diverse</w:t>
      </w:r>
      <w:r w:rsidR="00687579">
        <w:t xml:space="preserve"> </w:t>
      </w:r>
      <w:r>
        <w:t xml:space="preserve">cultural </w:t>
      </w:r>
      <w:r w:rsidR="002B2B0E">
        <w:t xml:space="preserve">and other </w:t>
      </w:r>
      <w:r>
        <w:t>backgrounds</w:t>
      </w:r>
      <w:r w:rsidR="00DE49FF">
        <w:t xml:space="preserve"> and </w:t>
      </w:r>
      <w:r>
        <w:t>with different preferences</w:t>
      </w:r>
      <w:r w:rsidR="00A93B04">
        <w:t xml:space="preserve"> of learning mode</w:t>
      </w:r>
      <w:r w:rsidR="00262F0E">
        <w:t>.</w:t>
      </w:r>
      <w:r w:rsidRPr="002676F2">
        <w:rPr>
          <w:strike/>
        </w:rPr>
        <w:t xml:space="preserve"> </w:t>
      </w:r>
    </w:p>
    <w:p w14:paraId="07887825" w14:textId="440F5BD4" w:rsidR="00E62924" w:rsidRDefault="00AA34D9" w:rsidP="00282B10">
      <w:pPr>
        <w:pStyle w:val="Text"/>
      </w:pPr>
      <w:r>
        <w:t xml:space="preserve">Respondents </w:t>
      </w:r>
      <w:r w:rsidR="008E5ED4">
        <w:t xml:space="preserve">interviewed </w:t>
      </w:r>
      <w:r>
        <w:t>acknowledged that one of the key strengths of the VET system</w:t>
      </w:r>
      <w:r w:rsidDel="00AA34D9">
        <w:t xml:space="preserve"> </w:t>
      </w:r>
      <w:r>
        <w:t xml:space="preserve">is that training is conducted by </w:t>
      </w:r>
      <w:r w:rsidR="00282B10">
        <w:t xml:space="preserve">dual professionals, </w:t>
      </w:r>
      <w:r w:rsidR="007905A6">
        <w:t xml:space="preserve">those </w:t>
      </w:r>
      <w:r>
        <w:t>with both teaching and industry expertise</w:t>
      </w:r>
      <w:r w:rsidR="009D4A48">
        <w:t>. H</w:t>
      </w:r>
      <w:r>
        <w:t xml:space="preserve">owever, </w:t>
      </w:r>
      <w:r w:rsidR="00282B10">
        <w:t xml:space="preserve">some </w:t>
      </w:r>
      <w:r>
        <w:t xml:space="preserve">would like </w:t>
      </w:r>
      <w:r w:rsidR="00282B10">
        <w:t>industry experts</w:t>
      </w:r>
      <w:r w:rsidR="00E62924">
        <w:t xml:space="preserve"> </w:t>
      </w:r>
      <w:r>
        <w:t xml:space="preserve">to </w:t>
      </w:r>
      <w:r w:rsidR="00282B10">
        <w:t xml:space="preserve">self-identify </w:t>
      </w:r>
      <w:r w:rsidR="009C1A1F">
        <w:t xml:space="preserve">primarily </w:t>
      </w:r>
      <w:r w:rsidR="00282B10">
        <w:t xml:space="preserve">as teachers. </w:t>
      </w:r>
      <w:r w:rsidR="00AF74B4">
        <w:t xml:space="preserve">Others argue that having </w:t>
      </w:r>
      <w:r w:rsidR="00A23595">
        <w:t xml:space="preserve">substantial and recent </w:t>
      </w:r>
      <w:r w:rsidR="00AF74B4">
        <w:t xml:space="preserve">industry experience is essential for an individual to be a quality </w:t>
      </w:r>
      <w:r w:rsidR="009D4A48">
        <w:t xml:space="preserve">VET </w:t>
      </w:r>
      <w:r w:rsidR="0034169D">
        <w:t>teacher</w:t>
      </w:r>
      <w:r w:rsidR="00AF74B4">
        <w:t xml:space="preserve">. The challenge is </w:t>
      </w:r>
      <w:r w:rsidR="00282B10">
        <w:t>get</w:t>
      </w:r>
      <w:r w:rsidR="000B6B30">
        <w:t>ting</w:t>
      </w:r>
      <w:r w:rsidR="00282B10">
        <w:t xml:space="preserve"> the balance right, </w:t>
      </w:r>
      <w:r w:rsidR="00AF74B4">
        <w:t xml:space="preserve">by building on that expertise while </w:t>
      </w:r>
      <w:r w:rsidR="009B5A7B">
        <w:t>develop</w:t>
      </w:r>
      <w:r w:rsidR="00AF74B4">
        <w:t xml:space="preserve">ing both the </w:t>
      </w:r>
      <w:r w:rsidR="00282B10">
        <w:t xml:space="preserve">teaching </w:t>
      </w:r>
      <w:r w:rsidR="00AF74B4">
        <w:t xml:space="preserve">skills and essential </w:t>
      </w:r>
      <w:r w:rsidR="009B5A7B">
        <w:t xml:space="preserve">non-teaching </w:t>
      </w:r>
      <w:r w:rsidR="000B6B30">
        <w:t>capabilities</w:t>
      </w:r>
      <w:r w:rsidR="009C1A1F">
        <w:t xml:space="preserve"> and</w:t>
      </w:r>
      <w:r w:rsidR="00C4204A">
        <w:t xml:space="preserve"> maintaining industry currency.</w:t>
      </w:r>
      <w:r w:rsidR="00AA403C">
        <w:t xml:space="preserve"> </w:t>
      </w:r>
      <w:r w:rsidR="00AB6CBD">
        <w:t>The issue of identity for VET teachers is important</w:t>
      </w:r>
      <w:r w:rsidR="00436AC3">
        <w:t>. P</w:t>
      </w:r>
      <w:r w:rsidR="008033A0">
        <w:t>ersonal</w:t>
      </w:r>
      <w:r w:rsidR="00AA403C">
        <w:t xml:space="preserve"> perceptions of self and </w:t>
      </w:r>
      <w:r w:rsidR="008033A0">
        <w:t xml:space="preserve">one’s </w:t>
      </w:r>
      <w:r w:rsidR="00AA403C">
        <w:t>work role affect the extent to which new and even continuing teachers engage with the teaching role</w:t>
      </w:r>
      <w:r w:rsidR="008033A0" w:rsidRPr="008033A0">
        <w:t xml:space="preserve"> </w:t>
      </w:r>
      <w:r w:rsidR="00AB6CBD">
        <w:t xml:space="preserve">and in appropriate CPD </w:t>
      </w:r>
      <w:r w:rsidR="008033A0">
        <w:t>(Guthrie, McNaughton</w:t>
      </w:r>
      <w:r w:rsidR="00482BAF">
        <w:t xml:space="preserve"> and</w:t>
      </w:r>
      <w:r w:rsidR="00445F11">
        <w:t xml:space="preserve"> </w:t>
      </w:r>
      <w:r w:rsidR="008033A0">
        <w:t>Gamlin 2011)</w:t>
      </w:r>
      <w:r w:rsidR="00AA403C">
        <w:t xml:space="preserve">. </w:t>
      </w:r>
    </w:p>
    <w:p w14:paraId="35AE13B1" w14:textId="1C42B4E7" w:rsidR="00282B10" w:rsidRDefault="00C4204A" w:rsidP="00282B10">
      <w:pPr>
        <w:pStyle w:val="Text"/>
      </w:pPr>
      <w:r>
        <w:t>One strategy for attracting industry experts to join the VET teaching workforce</w:t>
      </w:r>
      <w:r w:rsidDel="00C4204A">
        <w:t xml:space="preserve"> </w:t>
      </w:r>
      <w:r>
        <w:t xml:space="preserve">is to engage closely </w:t>
      </w:r>
      <w:r w:rsidR="00D87E28">
        <w:t>with industry to identify potential VET teachers</w:t>
      </w:r>
      <w:r w:rsidR="009B5A7B">
        <w:t>,</w:t>
      </w:r>
      <w:r w:rsidR="00D87E28">
        <w:t xml:space="preserve"> and </w:t>
      </w:r>
      <w:r w:rsidR="001708BC">
        <w:t xml:space="preserve">subsequently </w:t>
      </w:r>
      <w:r w:rsidR="000B6B30">
        <w:t xml:space="preserve">to </w:t>
      </w:r>
      <w:r w:rsidR="00D87E28">
        <w:t>provid</w:t>
      </w:r>
      <w:r w:rsidR="000B6B30">
        <w:t>e</w:t>
      </w:r>
      <w:r w:rsidR="00D87E28">
        <w:t xml:space="preserve"> </w:t>
      </w:r>
      <w:r w:rsidR="009B5A7B">
        <w:t xml:space="preserve">these </w:t>
      </w:r>
      <w:r w:rsidR="00D87E28">
        <w:t xml:space="preserve">candidates with support </w:t>
      </w:r>
      <w:r w:rsidR="001708BC">
        <w:t xml:space="preserve">enabling them </w:t>
      </w:r>
      <w:r w:rsidR="00D87E28">
        <w:t xml:space="preserve">to acquire </w:t>
      </w:r>
      <w:r w:rsidR="00E62924">
        <w:t xml:space="preserve">the </w:t>
      </w:r>
      <w:r w:rsidR="00D87E28">
        <w:t xml:space="preserve">required </w:t>
      </w:r>
      <w:r w:rsidR="009B5A7B">
        <w:t xml:space="preserve">units and </w:t>
      </w:r>
      <w:r w:rsidR="00E62924">
        <w:t xml:space="preserve">skills for entry into the </w:t>
      </w:r>
      <w:r w:rsidR="000B6B30">
        <w:t>profession</w:t>
      </w:r>
      <w:r w:rsidR="009B5A7B">
        <w:t xml:space="preserve"> </w:t>
      </w:r>
      <w:r w:rsidR="000B6B30">
        <w:t xml:space="preserve">and eventually complete </w:t>
      </w:r>
      <w:r w:rsidR="00E62924">
        <w:t xml:space="preserve">the full </w:t>
      </w:r>
      <w:r w:rsidR="00076ECC">
        <w:t>Certificate</w:t>
      </w:r>
      <w:r w:rsidR="00E62924">
        <w:t xml:space="preserve"> IV </w:t>
      </w:r>
      <w:r w:rsidR="00A50B21">
        <w:t xml:space="preserve">in </w:t>
      </w:r>
      <w:r w:rsidR="00F314ED">
        <w:t xml:space="preserve">TAE </w:t>
      </w:r>
      <w:r w:rsidR="00D87E28">
        <w:t>qualification</w:t>
      </w:r>
      <w:r w:rsidR="000B6B30">
        <w:t>.</w:t>
      </w:r>
      <w:r w:rsidR="00D87E28">
        <w:t xml:space="preserve"> </w:t>
      </w:r>
      <w:r w:rsidR="00AB6CBD">
        <w:t>As mentioned earlier, t</w:t>
      </w:r>
      <w:r w:rsidR="003A22B1">
        <w:t xml:space="preserve">he </w:t>
      </w:r>
      <w:r w:rsidR="001C48EC">
        <w:t>initial</w:t>
      </w:r>
      <w:r w:rsidR="00687579">
        <w:t xml:space="preserve"> </w:t>
      </w:r>
      <w:r w:rsidR="003A22B1">
        <w:t>cost of undertaking th</w:t>
      </w:r>
      <w:r w:rsidR="00AB6CBD">
        <w:t xml:space="preserve">is qualification can be </w:t>
      </w:r>
      <w:r w:rsidR="003A22B1">
        <w:t>a distinct barrier for some potential teachers</w:t>
      </w:r>
      <w:r w:rsidR="00A50B21">
        <w:t>,</w:t>
      </w:r>
      <w:r w:rsidR="00180030">
        <w:t xml:space="preserve"> </w:t>
      </w:r>
      <w:r w:rsidR="008A1590">
        <w:t xml:space="preserve">especially those that are casual or part-time, and </w:t>
      </w:r>
      <w:r w:rsidR="00180030">
        <w:t xml:space="preserve">unless there is </w:t>
      </w:r>
      <w:r w:rsidR="00F37CED">
        <w:t xml:space="preserve">RTO </w:t>
      </w:r>
      <w:r w:rsidR="00180030">
        <w:t>support</w:t>
      </w:r>
      <w:r w:rsidR="00C8363F">
        <w:t>.</w:t>
      </w:r>
    </w:p>
    <w:p w14:paraId="2CEBB518" w14:textId="47A743F8" w:rsidR="00D87E28" w:rsidRDefault="000B6B30" w:rsidP="00D87E28">
      <w:pPr>
        <w:pStyle w:val="Text"/>
      </w:pPr>
      <w:r>
        <w:lastRenderedPageBreak/>
        <w:t>Despite the industry-driven nature of VET</w:t>
      </w:r>
      <w:r w:rsidR="001708BC">
        <w:t>,</w:t>
      </w:r>
      <w:r>
        <w:t xml:space="preserve"> </w:t>
      </w:r>
      <w:r w:rsidR="00D87E28">
        <w:t xml:space="preserve">there is no desire </w:t>
      </w:r>
      <w:r w:rsidR="00E62924">
        <w:t xml:space="preserve">among stakeholders </w:t>
      </w:r>
      <w:r w:rsidR="00D87E28">
        <w:t xml:space="preserve">for </w:t>
      </w:r>
      <w:r w:rsidR="009B5A7B">
        <w:t xml:space="preserve">industry </w:t>
      </w:r>
      <w:r>
        <w:t xml:space="preserve">involvement </w:t>
      </w:r>
      <w:r w:rsidR="009B5A7B">
        <w:t xml:space="preserve">in the selection of teachers, </w:t>
      </w:r>
      <w:r>
        <w:t xml:space="preserve">which </w:t>
      </w:r>
      <w:proofErr w:type="gramStart"/>
      <w:r>
        <w:t xml:space="preserve">is </w:t>
      </w:r>
      <w:r w:rsidR="009B5A7B">
        <w:t>considered to be</w:t>
      </w:r>
      <w:proofErr w:type="gramEnd"/>
      <w:r w:rsidR="009B5A7B">
        <w:t xml:space="preserve"> </w:t>
      </w:r>
      <w:r>
        <w:t>the RTO’s</w:t>
      </w:r>
      <w:r w:rsidR="009B5A7B">
        <w:t xml:space="preserve"> </w:t>
      </w:r>
      <w:r w:rsidR="00986D33">
        <w:t xml:space="preserve">role. </w:t>
      </w:r>
      <w:r>
        <w:t>T</w:t>
      </w:r>
      <w:r w:rsidR="00986D33">
        <w:t xml:space="preserve">here </w:t>
      </w:r>
      <w:r w:rsidR="00F314ED">
        <w:t>is</w:t>
      </w:r>
      <w:r>
        <w:t>,</w:t>
      </w:r>
      <w:r w:rsidRPr="000B6B30">
        <w:t xml:space="preserve"> </w:t>
      </w:r>
      <w:r>
        <w:t xml:space="preserve">however, </w:t>
      </w:r>
      <w:r w:rsidR="009B5A7B">
        <w:t>some support</w:t>
      </w:r>
      <w:r w:rsidR="00986D33">
        <w:t xml:space="preserve"> </w:t>
      </w:r>
      <w:r w:rsidR="009B5A7B">
        <w:t xml:space="preserve">for industry </w:t>
      </w:r>
      <w:r w:rsidR="00986D33">
        <w:t xml:space="preserve">to act in an </w:t>
      </w:r>
      <w:r w:rsidR="00D87E28">
        <w:t>advisory capacity</w:t>
      </w:r>
      <w:r w:rsidR="00687579">
        <w:t xml:space="preserve"> </w:t>
      </w:r>
      <w:r>
        <w:t xml:space="preserve">or be </w:t>
      </w:r>
      <w:r w:rsidR="00180030">
        <w:t>part of</w:t>
      </w:r>
      <w:r>
        <w:t xml:space="preserve"> </w:t>
      </w:r>
      <w:r w:rsidR="00E62924">
        <w:t>selection</w:t>
      </w:r>
      <w:r w:rsidR="00D87E28">
        <w:t xml:space="preserve"> panels</w:t>
      </w:r>
      <w:r>
        <w:t xml:space="preserve"> where relevant </w:t>
      </w:r>
      <w:r w:rsidR="00D87E28">
        <w:t>expertise and knowledge</w:t>
      </w:r>
      <w:r w:rsidR="001708BC">
        <w:t xml:space="preserve"> is held</w:t>
      </w:r>
      <w:r w:rsidR="00D87E28">
        <w:t xml:space="preserve">. </w:t>
      </w:r>
    </w:p>
    <w:p w14:paraId="72363288" w14:textId="7D9B7279" w:rsidR="00282B10" w:rsidRDefault="00282B10" w:rsidP="00151926">
      <w:pPr>
        <w:pStyle w:val="Heading2"/>
      </w:pPr>
      <w:bookmarkStart w:id="90" w:name="_Toc62204949"/>
      <w:r>
        <w:t xml:space="preserve">VET </w:t>
      </w:r>
      <w:r w:rsidR="001708BC">
        <w:t>teacher registration</w:t>
      </w:r>
      <w:bookmarkEnd w:id="90"/>
      <w:r w:rsidR="001708BC">
        <w:t xml:space="preserve"> </w:t>
      </w:r>
    </w:p>
    <w:p w14:paraId="70034E04" w14:textId="3BC99E8C" w:rsidR="00950835" w:rsidRDefault="00282B10" w:rsidP="00986D33">
      <w:pPr>
        <w:pStyle w:val="Text"/>
      </w:pPr>
      <w:r>
        <w:t>The</w:t>
      </w:r>
      <w:r w:rsidR="00E62924">
        <w:t>re</w:t>
      </w:r>
      <w:r>
        <w:t xml:space="preserve"> is </w:t>
      </w:r>
      <w:r w:rsidR="001708BC">
        <w:t xml:space="preserve">a </w:t>
      </w:r>
      <w:r>
        <w:t xml:space="preserve">limited appetite </w:t>
      </w:r>
      <w:r w:rsidR="00A50B21">
        <w:t xml:space="preserve">among stakeholders </w:t>
      </w:r>
      <w:r>
        <w:t xml:space="preserve">for implementing mandatory registration </w:t>
      </w:r>
      <w:r w:rsidR="00063805">
        <w:t>of</w:t>
      </w:r>
      <w:r w:rsidR="00E62924">
        <w:t xml:space="preserve"> VET teachers, </w:t>
      </w:r>
      <w:r w:rsidR="00532228">
        <w:t xml:space="preserve">except </w:t>
      </w:r>
      <w:r w:rsidR="00131BA0">
        <w:t>among</w:t>
      </w:r>
      <w:r w:rsidR="00532228">
        <w:t xml:space="preserve"> </w:t>
      </w:r>
      <w:r w:rsidR="00E62924">
        <w:t>a small group</w:t>
      </w:r>
      <w:r w:rsidR="00532228">
        <w:t>.</w:t>
      </w:r>
      <w:r w:rsidR="004C68DB">
        <w:t xml:space="preserve"> </w:t>
      </w:r>
      <w:proofErr w:type="gramStart"/>
      <w:r w:rsidR="00986D33">
        <w:t>The majority of</w:t>
      </w:r>
      <w:proofErr w:type="gramEnd"/>
      <w:r w:rsidR="00986D33">
        <w:t xml:space="preserve"> stakeholders </w:t>
      </w:r>
      <w:r w:rsidR="00532228">
        <w:t xml:space="preserve">consider </w:t>
      </w:r>
      <w:r w:rsidR="00986D33">
        <w:t xml:space="preserve">the benefits questionable and the cost </w:t>
      </w:r>
      <w:r w:rsidR="00532228">
        <w:t xml:space="preserve">for </w:t>
      </w:r>
      <w:r w:rsidR="00986D33">
        <w:t>teachers in a</w:t>
      </w:r>
      <w:r w:rsidR="00532228">
        <w:t xml:space="preserve"> heavily</w:t>
      </w:r>
      <w:r w:rsidR="00986D33">
        <w:t xml:space="preserve"> </w:t>
      </w:r>
      <w:r w:rsidR="00532228">
        <w:t xml:space="preserve">casualised </w:t>
      </w:r>
      <w:r w:rsidR="00986D33">
        <w:t>workforce high</w:t>
      </w:r>
      <w:r w:rsidR="00532228">
        <w:t xml:space="preserve">, </w:t>
      </w:r>
      <w:r w:rsidR="00A50B21">
        <w:t xml:space="preserve">which could </w:t>
      </w:r>
      <w:r w:rsidR="00532228">
        <w:t>potentially</w:t>
      </w:r>
      <w:r w:rsidR="00687579">
        <w:t xml:space="preserve"> </w:t>
      </w:r>
      <w:r w:rsidR="00986D33">
        <w:t>result in teachers exiting the</w:t>
      </w:r>
      <w:r w:rsidR="00687579">
        <w:t xml:space="preserve"> </w:t>
      </w:r>
      <w:r w:rsidR="00532228">
        <w:t>profession</w:t>
      </w:r>
      <w:r w:rsidR="00986D33">
        <w:t xml:space="preserve"> and industry experts </w:t>
      </w:r>
      <w:r w:rsidR="00950835">
        <w:t>being dissuaded from</w:t>
      </w:r>
      <w:r w:rsidR="00687579">
        <w:t xml:space="preserve"> </w:t>
      </w:r>
      <w:r w:rsidR="00532228">
        <w:t>joining</w:t>
      </w:r>
      <w:r w:rsidR="00950835">
        <w:t xml:space="preserve">. </w:t>
      </w:r>
      <w:r w:rsidR="009D4A48" w:rsidRPr="009D4A48">
        <w:t xml:space="preserve">This </w:t>
      </w:r>
      <w:r w:rsidR="009D4A48">
        <w:t xml:space="preserve">feedback </w:t>
      </w:r>
      <w:r w:rsidR="009D4A48" w:rsidRPr="009D4A48">
        <w:t>accords with findi</w:t>
      </w:r>
      <w:r w:rsidR="009D4A48">
        <w:t xml:space="preserve">ngs of Guthrie (2010) and </w:t>
      </w:r>
      <w:proofErr w:type="spellStart"/>
      <w:r w:rsidR="009D4A48" w:rsidRPr="009D4A48">
        <w:t>Wheelahan</w:t>
      </w:r>
      <w:proofErr w:type="spellEnd"/>
      <w:r w:rsidR="009D4A48" w:rsidRPr="009D4A48">
        <w:t xml:space="preserve"> </w:t>
      </w:r>
      <w:r w:rsidR="00482BAF">
        <w:t>and</w:t>
      </w:r>
      <w:r w:rsidR="009D4A48" w:rsidRPr="009D4A48">
        <w:t xml:space="preserve"> Moodie (2011) </w:t>
      </w:r>
      <w:r w:rsidR="009D4A48">
        <w:t xml:space="preserve">after </w:t>
      </w:r>
      <w:r w:rsidR="009D4A48" w:rsidRPr="009D4A48">
        <w:t xml:space="preserve">they examined issues related to the quality </w:t>
      </w:r>
      <w:r w:rsidR="00A65EBA">
        <w:t xml:space="preserve">of VET teaching and PD for </w:t>
      </w:r>
      <w:r w:rsidR="009D4A48" w:rsidRPr="009D4A48">
        <w:t>teachers.</w:t>
      </w:r>
    </w:p>
    <w:p w14:paraId="43351798" w14:textId="1E73B87E" w:rsidR="00950835" w:rsidRDefault="00112B79" w:rsidP="00950835">
      <w:pPr>
        <w:pStyle w:val="Text"/>
      </w:pPr>
      <w:r>
        <w:t>Which agency would oversee such a registration process is t</w:t>
      </w:r>
      <w:r w:rsidR="00563217">
        <w:t>he key concern for many stakeholders</w:t>
      </w:r>
      <w:r>
        <w:t>, along with</w:t>
      </w:r>
      <w:r w:rsidR="00986D33">
        <w:t xml:space="preserve"> </w:t>
      </w:r>
      <w:r w:rsidR="0023215B">
        <w:t>what the</w:t>
      </w:r>
      <w:r w:rsidR="00986D33">
        <w:t xml:space="preserve"> </w:t>
      </w:r>
      <w:r>
        <w:t xml:space="preserve">regulator’s </w:t>
      </w:r>
      <w:r w:rsidR="00F314ED">
        <w:t>expectations</w:t>
      </w:r>
      <w:r w:rsidR="0023215B">
        <w:t xml:space="preserve"> might </w:t>
      </w:r>
      <w:proofErr w:type="gramStart"/>
      <w:r w:rsidR="0023215B">
        <w:t>entail</w:t>
      </w:r>
      <w:r w:rsidR="00986D33">
        <w:t>.</w:t>
      </w:r>
      <w:proofErr w:type="gramEnd"/>
      <w:r w:rsidR="00986D33">
        <w:t xml:space="preserve"> </w:t>
      </w:r>
      <w:r w:rsidR="00950835">
        <w:t>A</w:t>
      </w:r>
      <w:r w:rsidR="00986D33">
        <w:t xml:space="preserve"> view </w:t>
      </w:r>
      <w:r w:rsidR="00950835">
        <w:t xml:space="preserve">was expressed </w:t>
      </w:r>
      <w:r w:rsidR="00986D33">
        <w:t>that</w:t>
      </w:r>
      <w:r>
        <w:t>,</w:t>
      </w:r>
      <w:r w:rsidR="00986D33">
        <w:t xml:space="preserve"> if the system were to </w:t>
      </w:r>
      <w:r w:rsidR="00986D33" w:rsidRPr="00C77C7A">
        <w:t>concentrate on implementing yet another set of</w:t>
      </w:r>
      <w:r w:rsidR="00950835" w:rsidRPr="00C77C7A">
        <w:t xml:space="preserve"> bureaucratic</w:t>
      </w:r>
      <w:r w:rsidR="00986D33" w:rsidRPr="00C77C7A">
        <w:t xml:space="preserve"> requirements</w:t>
      </w:r>
      <w:r w:rsidR="00950835" w:rsidRPr="00C77C7A">
        <w:t>,</w:t>
      </w:r>
      <w:r w:rsidR="00986D33" w:rsidRPr="00C77C7A">
        <w:t xml:space="preserve"> </w:t>
      </w:r>
      <w:r w:rsidR="00E039A5">
        <w:t xml:space="preserve">even more </w:t>
      </w:r>
      <w:r w:rsidR="00986D33" w:rsidRPr="00C77C7A">
        <w:t xml:space="preserve">resources would be </w:t>
      </w:r>
      <w:r w:rsidR="00C77C7A" w:rsidRPr="00C77C7A">
        <w:t>with</w:t>
      </w:r>
      <w:r w:rsidR="00986D33" w:rsidRPr="00C77C7A">
        <w:t>drawn from</w:t>
      </w:r>
      <w:r w:rsidR="00986D33">
        <w:t xml:space="preserve"> those areas </w:t>
      </w:r>
      <w:r w:rsidR="00950835">
        <w:t xml:space="preserve">concerned with </w:t>
      </w:r>
      <w:r w:rsidR="00AF0153">
        <w:t xml:space="preserve">materially </w:t>
      </w:r>
      <w:r w:rsidR="00950835">
        <w:t xml:space="preserve">improving the quality of </w:t>
      </w:r>
      <w:r w:rsidR="00F314ED">
        <w:t xml:space="preserve">VET </w:t>
      </w:r>
      <w:r w:rsidR="00950835">
        <w:t>teaching.</w:t>
      </w:r>
      <w:r w:rsidR="00AB6CBD">
        <w:t xml:space="preserve"> </w:t>
      </w:r>
      <w:r w:rsidR="00950835">
        <w:t>Those who support</w:t>
      </w:r>
      <w:r w:rsidR="00B7713E">
        <w:t xml:space="preserve"> </w:t>
      </w:r>
      <w:r w:rsidR="00950835">
        <w:t xml:space="preserve">mandatory registration </w:t>
      </w:r>
      <w:r w:rsidR="00B7713E">
        <w:t>see</w:t>
      </w:r>
      <w:r w:rsidR="00950835">
        <w:t xml:space="preserve"> </w:t>
      </w:r>
      <w:r>
        <w:t>that it has</w:t>
      </w:r>
      <w:r w:rsidR="00563217">
        <w:t xml:space="preserve"> </w:t>
      </w:r>
      <w:r w:rsidR="00950835">
        <w:t xml:space="preserve">benefits in </w:t>
      </w:r>
      <w:r>
        <w:t xml:space="preserve">terms of </w:t>
      </w:r>
      <w:r w:rsidR="00950835">
        <w:t xml:space="preserve">raising the status of </w:t>
      </w:r>
      <w:r w:rsidR="00563217">
        <w:t>VET teaching</w:t>
      </w:r>
      <w:r>
        <w:t>, given that</w:t>
      </w:r>
      <w:r w:rsidR="00563217">
        <w:t xml:space="preserve"> </w:t>
      </w:r>
      <w:r>
        <w:t>other professions require</w:t>
      </w:r>
      <w:r w:rsidR="00950835">
        <w:t xml:space="preserve"> </w:t>
      </w:r>
      <w:r w:rsidR="00563217">
        <w:t>registration.</w:t>
      </w:r>
      <w:r w:rsidR="00687579">
        <w:t xml:space="preserve"> </w:t>
      </w:r>
      <w:r w:rsidR="00950835">
        <w:t xml:space="preserve">Registration could also be an effective way </w:t>
      </w:r>
      <w:r w:rsidR="00563217">
        <w:t>of maintaining</w:t>
      </w:r>
      <w:r w:rsidR="00687579">
        <w:t xml:space="preserve"> </w:t>
      </w:r>
      <w:r w:rsidR="00950835">
        <w:t xml:space="preserve">records of </w:t>
      </w:r>
      <w:r w:rsidR="00C77C7A">
        <w:t xml:space="preserve">the </w:t>
      </w:r>
      <w:r w:rsidR="009C44C9">
        <w:t xml:space="preserve">PD </w:t>
      </w:r>
      <w:r w:rsidR="00950835">
        <w:t>activities undertaken</w:t>
      </w:r>
      <w:r w:rsidR="00A65EBA">
        <w:t>,</w:t>
      </w:r>
      <w:r w:rsidR="00A65EBA" w:rsidRPr="00A65EBA">
        <w:t xml:space="preserve"> although this is required for regulatory processes </w:t>
      </w:r>
      <w:r w:rsidR="00841F81">
        <w:t xml:space="preserve">at provider level </w:t>
      </w:r>
      <w:r w:rsidR="00A65EBA" w:rsidRPr="00A65EBA">
        <w:t xml:space="preserve">under </w:t>
      </w:r>
      <w:r w:rsidR="00A65EBA">
        <w:t>ASQA’s guidelines (ASQA 2019).</w:t>
      </w:r>
    </w:p>
    <w:p w14:paraId="1ED27014" w14:textId="23FD8127" w:rsidR="00986D33" w:rsidRDefault="00F37CED" w:rsidP="00C8363F">
      <w:pPr>
        <w:pStyle w:val="Text"/>
      </w:pPr>
      <w:bookmarkStart w:id="91" w:name="_Hlk43299726"/>
      <w:r>
        <w:t xml:space="preserve">VET teacher registration is already in place for </w:t>
      </w:r>
      <w:proofErr w:type="spellStart"/>
      <w:r>
        <w:t>TasTAFE</w:t>
      </w:r>
      <w:proofErr w:type="spellEnd"/>
      <w:r>
        <w:t xml:space="preserve"> teachers, who are required to be registered with the Tasmanian Teachers Registration Board (TTRB). However, </w:t>
      </w:r>
      <w:r w:rsidR="008D5F64">
        <w:t xml:space="preserve">VET teachers </w:t>
      </w:r>
      <w:r w:rsidR="00112B79">
        <w:t>and executives in Tasmania c</w:t>
      </w:r>
      <w:r w:rsidR="00986D33">
        <w:t>aution</w:t>
      </w:r>
      <w:r w:rsidR="00112B79">
        <w:t>ed</w:t>
      </w:r>
      <w:r w:rsidR="00986D33">
        <w:t xml:space="preserve"> against </w:t>
      </w:r>
      <w:r w:rsidR="00950835">
        <w:t xml:space="preserve">adopting a system of </w:t>
      </w:r>
      <w:r w:rsidR="00986D33">
        <w:t>mandatory registration</w:t>
      </w:r>
      <w:r w:rsidR="00112B79">
        <w:t>.</w:t>
      </w:r>
      <w:r w:rsidR="00986D33">
        <w:t xml:space="preserve"> According to the </w:t>
      </w:r>
      <w:r w:rsidR="00A65EBA">
        <w:t xml:space="preserve">CEO </w:t>
      </w:r>
      <w:r w:rsidR="00986D33">
        <w:t xml:space="preserve">of </w:t>
      </w:r>
      <w:proofErr w:type="spellStart"/>
      <w:r w:rsidR="00986D33">
        <w:t>T</w:t>
      </w:r>
      <w:r w:rsidR="00563217">
        <w:t>as</w:t>
      </w:r>
      <w:r w:rsidR="00986D33">
        <w:t>TAFE</w:t>
      </w:r>
      <w:proofErr w:type="spellEnd"/>
      <w:r w:rsidR="00563217">
        <w:t>,</w:t>
      </w:r>
      <w:r w:rsidR="00986D33">
        <w:t xml:space="preserve"> the argument that registration is likely to improve </w:t>
      </w:r>
      <w:r w:rsidR="00563217">
        <w:t xml:space="preserve">the image of </w:t>
      </w:r>
      <w:r w:rsidR="00986D33">
        <w:t>VET teacher</w:t>
      </w:r>
      <w:r w:rsidR="00563217">
        <w:t>s</w:t>
      </w:r>
      <w:r w:rsidR="00687579">
        <w:t xml:space="preserve"> </w:t>
      </w:r>
      <w:r w:rsidR="00986D33">
        <w:t>appears to be without merit</w:t>
      </w:r>
      <w:r w:rsidR="003C1568">
        <w:t xml:space="preserve">. </w:t>
      </w:r>
      <w:r w:rsidR="00986D33">
        <w:t>The bureaucracy associated with an additional registration process</w:t>
      </w:r>
      <w:r w:rsidR="00AC2F11">
        <w:t xml:space="preserve">, </w:t>
      </w:r>
      <w:r w:rsidR="009C5AF3">
        <w:t>on top of</w:t>
      </w:r>
      <w:r w:rsidR="00AC2F11">
        <w:t xml:space="preserve"> </w:t>
      </w:r>
      <w:r w:rsidR="00986D33">
        <w:t>teachers meeting ASQA requirements</w:t>
      </w:r>
      <w:r w:rsidR="00AC2F11">
        <w:t>,</w:t>
      </w:r>
      <w:r w:rsidR="00986D33">
        <w:t xml:space="preserve"> has created barriers and inhibited </w:t>
      </w:r>
      <w:r w:rsidR="00BA4521">
        <w:t xml:space="preserve">the </w:t>
      </w:r>
      <w:r w:rsidR="00986D33">
        <w:t>agile recruitment of qualified industry teachers.</w:t>
      </w:r>
      <w:r w:rsidR="003C1568">
        <w:t xml:space="preserve"> </w:t>
      </w:r>
      <w:r w:rsidR="003C1568" w:rsidRPr="003C1568">
        <w:t xml:space="preserve">Although the </w:t>
      </w:r>
      <w:r w:rsidR="007B3769">
        <w:t>TTRB process for</w:t>
      </w:r>
      <w:r w:rsidR="003C1568" w:rsidRPr="003C1568">
        <w:t xml:space="preserve"> character checks is considered worthwhile,</w:t>
      </w:r>
      <w:r w:rsidR="003C1568">
        <w:t xml:space="preserve"> it is felt that there are other simpler and equally effective means that are used by other TAFE institutes. </w:t>
      </w:r>
      <w:r w:rsidR="00986D33">
        <w:t xml:space="preserve">As the CEO of </w:t>
      </w:r>
      <w:proofErr w:type="spellStart"/>
      <w:r w:rsidR="00986D33">
        <w:t>TasTAFE</w:t>
      </w:r>
      <w:proofErr w:type="spellEnd"/>
      <w:r w:rsidR="00986D33">
        <w:t xml:space="preserve"> noted:</w:t>
      </w:r>
    </w:p>
    <w:p w14:paraId="0DC2B061" w14:textId="7B293DE0" w:rsidR="00B7713E" w:rsidRPr="007C2860" w:rsidRDefault="00986D33" w:rsidP="007C2860">
      <w:pPr>
        <w:pStyle w:val="Quote"/>
      </w:pPr>
      <w:r w:rsidRPr="007C2860">
        <w:t xml:space="preserve">The solution to quality in the VET sector is not registration. What we need is to define what quality looks like and set out a path to incentivise provider behaviour to achieve quality outcomes. Increasing red tape in a sector already highly regulated does not raise quality. </w:t>
      </w:r>
    </w:p>
    <w:bookmarkEnd w:id="91"/>
    <w:p w14:paraId="01496727" w14:textId="77777777" w:rsidR="00A50B21" w:rsidRDefault="00A50B21" w:rsidP="00A50B21">
      <w:pPr>
        <w:pStyle w:val="Text"/>
      </w:pPr>
      <w:proofErr w:type="gramStart"/>
      <w:r>
        <w:t>A number of</w:t>
      </w:r>
      <w:proofErr w:type="gramEnd"/>
      <w:r>
        <w:t xml:space="preserve"> the </w:t>
      </w:r>
      <w:proofErr w:type="spellStart"/>
      <w:r>
        <w:t>TasTAFE</w:t>
      </w:r>
      <w:proofErr w:type="spellEnd"/>
      <w:r>
        <w:t xml:space="preserve"> respondents valued teacher registration for the schooling sector but in view of the standards already existing for VET, they felt that it would add an extra burden. </w:t>
      </w:r>
      <w:r w:rsidRPr="00A50B21">
        <w:t xml:space="preserve">Another reason for the perceived lack of success of mandatory registration is that it applies only to the public </w:t>
      </w:r>
      <w:proofErr w:type="gramStart"/>
      <w:r w:rsidRPr="00A50B21">
        <w:t>sector, since</w:t>
      </w:r>
      <w:proofErr w:type="gramEnd"/>
      <w:r w:rsidRPr="00A50B21">
        <w:t xml:space="preserve"> Tasmanian private providers are exempt. </w:t>
      </w:r>
    </w:p>
    <w:p w14:paraId="10619716" w14:textId="4EAC64E0" w:rsidR="00A50B21" w:rsidRDefault="00A50B21" w:rsidP="00A50B21">
      <w:pPr>
        <w:pStyle w:val="Text"/>
      </w:pPr>
      <w:r>
        <w:t xml:space="preserve">However, a voluntary system of accreditation is in place for the national private training sector — the ITECA College of Vocational Education and Training Professionals. Teachers, </w:t>
      </w:r>
      <w:proofErr w:type="gramStart"/>
      <w:r>
        <w:t>assessors</w:t>
      </w:r>
      <w:proofErr w:type="gramEnd"/>
      <w:r>
        <w:t xml:space="preserve"> and managers can apply for membership of the college and, depending on their roles, be given status as Certified Educational Professional or Certified Educational Manager (CEP and CEM respectively). </w:t>
      </w:r>
    </w:p>
    <w:p w14:paraId="4085776A" w14:textId="4F508424" w:rsidR="00282B10" w:rsidRDefault="00D87E28" w:rsidP="00151926">
      <w:pPr>
        <w:pStyle w:val="Heading2"/>
      </w:pPr>
      <w:bookmarkStart w:id="92" w:name="_Toc62204950"/>
      <w:r>
        <w:t>E</w:t>
      </w:r>
      <w:r w:rsidR="00282B10">
        <w:t xml:space="preserve">ntry-level </w:t>
      </w:r>
      <w:r>
        <w:t xml:space="preserve">and other </w:t>
      </w:r>
      <w:r w:rsidR="00AF1155">
        <w:t xml:space="preserve">VET </w:t>
      </w:r>
      <w:r w:rsidR="00A50B21">
        <w:t xml:space="preserve">teaching </w:t>
      </w:r>
      <w:r w:rsidR="00282B10">
        <w:t>qualifications</w:t>
      </w:r>
      <w:bookmarkEnd w:id="92"/>
      <w:r w:rsidR="00566760">
        <w:t xml:space="preserve"> </w:t>
      </w:r>
    </w:p>
    <w:p w14:paraId="3E8A3C21" w14:textId="22E8FAF7" w:rsidR="00A65EBA" w:rsidRDefault="00282B10" w:rsidP="00282B10">
      <w:pPr>
        <w:pStyle w:val="Text"/>
      </w:pPr>
      <w:r>
        <w:t>Support for raising the bar on entry-level qualifications</w:t>
      </w:r>
      <w:r w:rsidR="00E039A5">
        <w:t xml:space="preserve"> above the present Certificate IV</w:t>
      </w:r>
      <w:r>
        <w:t xml:space="preserve"> </w:t>
      </w:r>
      <w:r w:rsidR="00A936F3">
        <w:t xml:space="preserve">in </w:t>
      </w:r>
      <w:r w:rsidR="00A50B21">
        <w:t xml:space="preserve">TAE </w:t>
      </w:r>
      <w:r>
        <w:t>is not widespread</w:t>
      </w:r>
      <w:r w:rsidR="00E37635">
        <w:t xml:space="preserve"> among stakeholders</w:t>
      </w:r>
      <w:r w:rsidR="00151926">
        <w:t xml:space="preserve">. </w:t>
      </w:r>
      <w:r w:rsidR="00EB2B3A">
        <w:t>However, t</w:t>
      </w:r>
      <w:r w:rsidR="007045C5">
        <w:t>here</w:t>
      </w:r>
      <w:r>
        <w:t xml:space="preserve"> is common agreement </w:t>
      </w:r>
      <w:r w:rsidR="00E8202F">
        <w:t xml:space="preserve">that </w:t>
      </w:r>
      <w:r w:rsidR="006603E6">
        <w:t xml:space="preserve">the </w:t>
      </w:r>
      <w:r w:rsidR="00BA4521">
        <w:t>Certificate IV in TAE</w:t>
      </w:r>
      <w:r w:rsidR="00E8202F">
        <w:t xml:space="preserve"> </w:t>
      </w:r>
      <w:r>
        <w:lastRenderedPageBreak/>
        <w:t>needs to be revi</w:t>
      </w:r>
      <w:r w:rsidR="00BA4521">
        <w:t>ewed</w:t>
      </w:r>
      <w:r>
        <w:t xml:space="preserve"> </w:t>
      </w:r>
      <w:r w:rsidR="007C3B95">
        <w:t xml:space="preserve">(but not immediately) </w:t>
      </w:r>
      <w:r w:rsidR="00BA4521">
        <w:t xml:space="preserve">so that it </w:t>
      </w:r>
      <w:r w:rsidR="00EB2B3A">
        <w:t xml:space="preserve">more successfully accommodates </w:t>
      </w:r>
      <w:r w:rsidR="00151926">
        <w:t>the diversity of roles in the sector</w:t>
      </w:r>
      <w:r w:rsidR="007045C5">
        <w:t xml:space="preserve">, including for </w:t>
      </w:r>
      <w:r w:rsidR="0034169D">
        <w:t>teacher</w:t>
      </w:r>
      <w:r w:rsidR="007045C5">
        <w:t xml:space="preserve">s in enterprise RTOs, </w:t>
      </w:r>
      <w:proofErr w:type="gramStart"/>
      <w:r w:rsidR="007045C5">
        <w:t>workplaces</w:t>
      </w:r>
      <w:proofErr w:type="gramEnd"/>
      <w:r w:rsidR="007045C5">
        <w:t xml:space="preserve"> and community organisations.</w:t>
      </w:r>
      <w:r w:rsidR="0024394A">
        <w:t xml:space="preserve"> </w:t>
      </w:r>
      <w:r w:rsidR="00EB2B3A">
        <w:t xml:space="preserve">It was also widely agreed that the current </w:t>
      </w:r>
      <w:r w:rsidR="00F37CED">
        <w:t xml:space="preserve">qualification </w:t>
      </w:r>
      <w:r w:rsidR="00EB2B3A">
        <w:t xml:space="preserve">does not prepare teachers </w:t>
      </w:r>
      <w:r w:rsidR="00EB2B3A" w:rsidRPr="00EB2B3A">
        <w:t xml:space="preserve">to </w:t>
      </w:r>
      <w:r w:rsidR="00EB2B3A" w:rsidRPr="002503E1">
        <w:t>deliver</w:t>
      </w:r>
      <w:r w:rsidR="00EB2B3A">
        <w:t xml:space="preserve"> effectively</w:t>
      </w:r>
      <w:r w:rsidR="002503E1">
        <w:t xml:space="preserve"> to their student</w:t>
      </w:r>
      <w:r w:rsidR="009530DA">
        <w:t>s</w:t>
      </w:r>
      <w:r w:rsidR="00A65EBA" w:rsidRPr="00A65EBA">
        <w:t xml:space="preserve"> and has a chequered history </w:t>
      </w:r>
      <w:r w:rsidR="00E37635">
        <w:t>(</w:t>
      </w:r>
      <w:r w:rsidR="00E37635" w:rsidRPr="004E1315">
        <w:t>Clayton</w:t>
      </w:r>
      <w:r w:rsidR="00127640" w:rsidRPr="004E1315">
        <w:t xml:space="preserve"> 2009</w:t>
      </w:r>
      <w:r w:rsidR="00E37635" w:rsidRPr="004E1315">
        <w:t>;</w:t>
      </w:r>
      <w:r w:rsidR="00E37635">
        <w:t xml:space="preserve"> </w:t>
      </w:r>
      <w:r w:rsidR="00A65EBA" w:rsidRPr="00A65EBA">
        <w:t>Guthrie and Jones</w:t>
      </w:r>
      <w:r w:rsidR="00E37635">
        <w:t xml:space="preserve"> </w:t>
      </w:r>
      <w:r w:rsidR="00A65EBA" w:rsidRPr="00A65EBA">
        <w:t>2018</w:t>
      </w:r>
      <w:r w:rsidR="00E37635">
        <w:t xml:space="preserve">; </w:t>
      </w:r>
      <w:r w:rsidR="00D66418">
        <w:t>Smith</w:t>
      </w:r>
      <w:r w:rsidR="00F37CED">
        <w:t xml:space="preserve"> </w:t>
      </w:r>
      <w:r w:rsidR="00D66418">
        <w:t>2019</w:t>
      </w:r>
      <w:r w:rsidR="00841F81">
        <w:t>)</w:t>
      </w:r>
      <w:r w:rsidR="00EB2B3A">
        <w:t>.</w:t>
      </w:r>
      <w:r w:rsidR="00476B50">
        <w:t xml:space="preserve"> </w:t>
      </w:r>
    </w:p>
    <w:p w14:paraId="24D99EEA" w14:textId="4C6A5059" w:rsidR="00F31B3F" w:rsidRDefault="00EB2B3A" w:rsidP="00282B10">
      <w:pPr>
        <w:pStyle w:val="Text"/>
      </w:pPr>
      <w:r>
        <w:t>S</w:t>
      </w:r>
      <w:r w:rsidR="00476B50">
        <w:t>ome</w:t>
      </w:r>
      <w:r>
        <w:t xml:space="preserve"> </w:t>
      </w:r>
      <w:r w:rsidR="00A65EBA">
        <w:t xml:space="preserve">stakeholders </w:t>
      </w:r>
      <w:r>
        <w:t xml:space="preserve">highlighted the importance of increasing </w:t>
      </w:r>
      <w:r w:rsidR="00476B50">
        <w:t>the rigour of the qualification or introduc</w:t>
      </w:r>
      <w:r>
        <w:t>ing</w:t>
      </w:r>
      <w:r w:rsidR="00476B50">
        <w:t xml:space="preserve"> other requirements that raise the professional knowledge and standing of the VET teacher.</w:t>
      </w:r>
      <w:r w:rsidR="00EF7380">
        <w:t xml:space="preserve"> </w:t>
      </w:r>
      <w:r w:rsidR="00476B50">
        <w:t>Unfortunately, t</w:t>
      </w:r>
      <w:r w:rsidR="0024394A">
        <w:t xml:space="preserve">he upfront cost </w:t>
      </w:r>
      <w:r w:rsidR="00E8202F">
        <w:t xml:space="preserve">of completing or upgrading to the latest </w:t>
      </w:r>
      <w:r w:rsidR="0024394A">
        <w:t xml:space="preserve">qualification is considered a barrier, especially for part-time or casual teachers and </w:t>
      </w:r>
      <w:r w:rsidR="00E8202F">
        <w:t xml:space="preserve">those </w:t>
      </w:r>
      <w:r w:rsidR="0024394A">
        <w:t>from equity groups</w:t>
      </w:r>
      <w:r w:rsidR="00F37CED">
        <w:t>.</w:t>
      </w:r>
      <w:r w:rsidR="00F45F40">
        <w:rPr>
          <w:rStyle w:val="FootnoteReference"/>
        </w:rPr>
        <w:footnoteReference w:id="21"/>
      </w:r>
      <w:r w:rsidR="00F37CED">
        <w:t xml:space="preserve"> The poor and sometimes </w:t>
      </w:r>
      <w:r w:rsidR="008D5F64">
        <w:t xml:space="preserve">questionable </w:t>
      </w:r>
      <w:r w:rsidR="00777631">
        <w:t>delivery of the Certificate IV in TAE by some RTOs</w:t>
      </w:r>
      <w:r w:rsidR="00F37CED">
        <w:t xml:space="preserve"> has </w:t>
      </w:r>
      <w:r w:rsidR="00777631">
        <w:t xml:space="preserve">contributed in part to </w:t>
      </w:r>
      <w:r w:rsidR="00777631" w:rsidRPr="00C323F4">
        <w:t xml:space="preserve">variability in teaching quality </w:t>
      </w:r>
      <w:r w:rsidR="00777631">
        <w:t xml:space="preserve">and made the recognition of </w:t>
      </w:r>
      <w:r w:rsidR="00F37CED">
        <w:t xml:space="preserve">it </w:t>
      </w:r>
      <w:r w:rsidR="00777631">
        <w:t>as the sole qualification for VET teachers a significant policy and regulatory failure (Guthrie and Jones 2018).</w:t>
      </w:r>
      <w:r w:rsidR="006F2B74">
        <w:t xml:space="preserve"> </w:t>
      </w:r>
    </w:p>
    <w:p w14:paraId="6F08AFCF" w14:textId="15E82869" w:rsidR="007C3B95" w:rsidRDefault="00986D33" w:rsidP="00282B10">
      <w:pPr>
        <w:pStyle w:val="Text"/>
      </w:pPr>
      <w:r w:rsidRPr="004C30E4">
        <w:t>Despite</w:t>
      </w:r>
      <w:r w:rsidR="0024394A" w:rsidRPr="004C30E4">
        <w:t xml:space="preserve"> the </w:t>
      </w:r>
      <w:r w:rsidR="00E8202F">
        <w:t xml:space="preserve">limitations of </w:t>
      </w:r>
      <w:r w:rsidR="0024394A" w:rsidRPr="004C30E4">
        <w:t>the Cert</w:t>
      </w:r>
      <w:r w:rsidR="00E8202F">
        <w:t>ificate</w:t>
      </w:r>
      <w:r w:rsidR="0024394A" w:rsidRPr="004C30E4">
        <w:t xml:space="preserve"> IV </w:t>
      </w:r>
      <w:r w:rsidR="009C44C9">
        <w:t xml:space="preserve">in </w:t>
      </w:r>
      <w:r w:rsidR="000F31DA">
        <w:t xml:space="preserve">TAE </w:t>
      </w:r>
      <w:r w:rsidRPr="004C30E4">
        <w:t>qualification</w:t>
      </w:r>
      <w:r w:rsidR="000A76AE">
        <w:t>,</w:t>
      </w:r>
      <w:r w:rsidR="00D32F1C" w:rsidRPr="004C30E4">
        <w:t xml:space="preserve"> </w:t>
      </w:r>
      <w:r w:rsidRPr="004C30E4">
        <w:t>t</w:t>
      </w:r>
      <w:r w:rsidR="00A12635" w:rsidRPr="004C30E4">
        <w:t xml:space="preserve">here is </w:t>
      </w:r>
      <w:r w:rsidR="00C8363F">
        <w:t>widespread</w:t>
      </w:r>
      <w:r w:rsidR="0024394A" w:rsidRPr="004C30E4">
        <w:t xml:space="preserve"> (but not universal) agreement </w:t>
      </w:r>
      <w:r w:rsidR="00EB2B3A">
        <w:t>that it</w:t>
      </w:r>
      <w:r w:rsidR="0024394A" w:rsidRPr="004C30E4">
        <w:t xml:space="preserve"> </w:t>
      </w:r>
      <w:r w:rsidR="006F1656" w:rsidRPr="004C30E4">
        <w:t>remain</w:t>
      </w:r>
      <w:r w:rsidR="00F37CED">
        <w:t xml:space="preserve"> </w:t>
      </w:r>
      <w:r w:rsidR="0024394A" w:rsidRPr="004C30E4">
        <w:t xml:space="preserve">the </w:t>
      </w:r>
      <w:r w:rsidR="00A12635" w:rsidRPr="004C30E4">
        <w:t>basic qualification for entry into</w:t>
      </w:r>
      <w:r w:rsidR="000F31DA">
        <w:t xml:space="preserve"> VET teaching</w:t>
      </w:r>
      <w:r w:rsidR="00EF2A4E" w:rsidRPr="004C30E4">
        <w:t xml:space="preserve">. </w:t>
      </w:r>
      <w:r w:rsidR="006F1656">
        <w:t>However, i</w:t>
      </w:r>
      <w:r w:rsidR="00476B50">
        <w:t xml:space="preserve">t is acknowledged that some VET teachers require </w:t>
      </w:r>
      <w:r w:rsidR="00A65EBA" w:rsidRPr="00A65EBA">
        <w:t xml:space="preserve">specialist qualifications (such as for those offering </w:t>
      </w:r>
      <w:r w:rsidR="009C44C9">
        <w:t>LL&amp;N</w:t>
      </w:r>
      <w:r w:rsidR="000029AF">
        <w:t xml:space="preserve"> </w:t>
      </w:r>
      <w:r w:rsidR="00A65EBA" w:rsidRPr="00A65EBA">
        <w:t xml:space="preserve">support) or </w:t>
      </w:r>
      <w:r w:rsidR="00476B50">
        <w:t>higher</w:t>
      </w:r>
      <w:r w:rsidR="00EB2B3A">
        <w:t>-</w:t>
      </w:r>
      <w:r w:rsidR="00476B50">
        <w:t xml:space="preserve">level </w:t>
      </w:r>
      <w:r w:rsidR="000F31DA">
        <w:t>credential</w:t>
      </w:r>
      <w:r w:rsidR="00476B50">
        <w:t>s because of the level and complexity of the qualifications they deliver</w:t>
      </w:r>
      <w:r w:rsidR="00A65EBA">
        <w:t xml:space="preserve">, such as those delivering </w:t>
      </w:r>
      <w:r w:rsidR="00A65EBA" w:rsidRPr="00A65EBA">
        <w:t xml:space="preserve">the Certificate IV </w:t>
      </w:r>
      <w:r w:rsidR="009C44C9">
        <w:t xml:space="preserve">in </w:t>
      </w:r>
      <w:r w:rsidR="00A65EBA" w:rsidRPr="00A65EBA">
        <w:t xml:space="preserve">TAE </w:t>
      </w:r>
      <w:r w:rsidR="00A65EBA">
        <w:t>who need to have a</w:t>
      </w:r>
      <w:r w:rsidR="00A918FD">
        <w:t xml:space="preserve">t least </w:t>
      </w:r>
      <w:r w:rsidR="00822B9C">
        <w:t>a relevant</w:t>
      </w:r>
      <w:r w:rsidR="00A65EBA">
        <w:t xml:space="preserve"> </w:t>
      </w:r>
      <w:r w:rsidR="00F720C1">
        <w:t>D</w:t>
      </w:r>
      <w:r w:rsidR="00A65EBA">
        <w:t xml:space="preserve">iploma </w:t>
      </w:r>
      <w:r w:rsidR="00A65EBA" w:rsidRPr="00A65EBA">
        <w:t>(ASQA 2019)</w:t>
      </w:r>
      <w:r w:rsidR="00476B50">
        <w:t>.</w:t>
      </w:r>
    </w:p>
    <w:p w14:paraId="08F82411" w14:textId="77777777" w:rsidR="006E225E" w:rsidRDefault="006E225E" w:rsidP="006E225E">
      <w:pPr>
        <w:pStyle w:val="Heading2"/>
      </w:pPr>
      <w:bookmarkStart w:id="93" w:name="_Toc62204951"/>
      <w:r>
        <w:t>A staged approach to teacher development</w:t>
      </w:r>
      <w:bookmarkEnd w:id="93"/>
    </w:p>
    <w:p w14:paraId="03FD1BF9" w14:textId="5FEB054D" w:rsidR="00CD4868" w:rsidRDefault="00777631" w:rsidP="004929F1">
      <w:pPr>
        <w:pStyle w:val="Text"/>
      </w:pPr>
      <w:r>
        <w:t xml:space="preserve">Stakeholders strongly support </w:t>
      </w:r>
      <w:r w:rsidR="006E225E">
        <w:t>a staged approach to teacher development because it enables novice teachers to learn the</w:t>
      </w:r>
      <w:r>
        <w:t>ir</w:t>
      </w:r>
      <w:r w:rsidR="006E225E">
        <w:t xml:space="preserve"> teaching craft </w:t>
      </w:r>
      <w:r>
        <w:t xml:space="preserve">as they </w:t>
      </w:r>
      <w:r w:rsidR="006E225E">
        <w:t xml:space="preserve">move </w:t>
      </w:r>
      <w:r>
        <w:t xml:space="preserve">along </w:t>
      </w:r>
      <w:r w:rsidR="00F37CED">
        <w:t xml:space="preserve">their </w:t>
      </w:r>
      <w:r w:rsidR="006E225E">
        <w:t xml:space="preserve">pathway </w:t>
      </w:r>
      <w:r>
        <w:t xml:space="preserve">to becoming an </w:t>
      </w:r>
      <w:r w:rsidR="006E225E">
        <w:t>accomplished teacher</w:t>
      </w:r>
      <w:r>
        <w:t xml:space="preserve"> and/or </w:t>
      </w:r>
      <w:r w:rsidR="006E225E">
        <w:t>progress</w:t>
      </w:r>
      <w:r w:rsidR="00CD4868">
        <w:t xml:space="preserve"> </w:t>
      </w:r>
      <w:r w:rsidR="006E225E">
        <w:t xml:space="preserve">into leadership or supervisory positions. </w:t>
      </w:r>
      <w:r w:rsidR="00EF2A4E">
        <w:t>A</w:t>
      </w:r>
      <w:r w:rsidR="00476B50">
        <w:t>s previously mentioned, a</w:t>
      </w:r>
      <w:r w:rsidR="00282B10">
        <w:t xml:space="preserve"> staged approach </w:t>
      </w:r>
      <w:r w:rsidR="00CD4868">
        <w:t xml:space="preserve">provides novice </w:t>
      </w:r>
      <w:r w:rsidR="00282B10">
        <w:t xml:space="preserve">teachers with support to progress to higher levels of </w:t>
      </w:r>
      <w:r w:rsidR="00CD4868">
        <w:t xml:space="preserve">teaching </w:t>
      </w:r>
      <w:r w:rsidR="00282B10">
        <w:t>expertise</w:t>
      </w:r>
      <w:r w:rsidR="007045C5">
        <w:t xml:space="preserve">, and </w:t>
      </w:r>
      <w:r w:rsidR="00476B50">
        <w:t xml:space="preserve">to related </w:t>
      </w:r>
      <w:r w:rsidR="007045C5">
        <w:t>career pathways or specialisations</w:t>
      </w:r>
      <w:r w:rsidR="00D32F1C">
        <w:t xml:space="preserve">. </w:t>
      </w:r>
      <w:r w:rsidR="0094265F">
        <w:t xml:space="preserve">The Northern Territory Government’s pilot program ‘Traineeship in the Certificate IV in TAE’ (see </w:t>
      </w:r>
      <w:r w:rsidR="0070149A">
        <w:t xml:space="preserve">appendix </w:t>
      </w:r>
      <w:r w:rsidR="006F2B8E">
        <w:t>5</w:t>
      </w:r>
      <w:r w:rsidR="0094265F">
        <w:t>) shows that a stepped approach can be successful.</w:t>
      </w:r>
      <w:r w:rsidR="009654DC">
        <w:rPr>
          <w:rStyle w:val="FootnoteReference"/>
        </w:rPr>
        <w:footnoteReference w:id="22"/>
      </w:r>
      <w:r w:rsidR="009654DC">
        <w:t xml:space="preserve"> </w:t>
      </w:r>
    </w:p>
    <w:p w14:paraId="55DFA9E7" w14:textId="19DD2369" w:rsidR="004929F1" w:rsidRPr="00354BF7" w:rsidRDefault="004929F1" w:rsidP="004929F1">
      <w:pPr>
        <w:pStyle w:val="Text"/>
      </w:pPr>
      <w:r w:rsidRPr="00354BF7">
        <w:t>Other examples of staged approaches</w:t>
      </w:r>
      <w:r w:rsidR="00E37635" w:rsidRPr="00354BF7">
        <w:t xml:space="preserve"> mentioned by stakeholders</w:t>
      </w:r>
      <w:r w:rsidR="00354BF7" w:rsidRPr="00354BF7">
        <w:t xml:space="preserve"> (and which have strong historical precedent</w:t>
      </w:r>
      <w:r w:rsidR="00354BF7">
        <w:t>s</w:t>
      </w:r>
      <w:r w:rsidR="00354BF7" w:rsidRPr="00354BF7">
        <w:t>)</w:t>
      </w:r>
      <w:r w:rsidRPr="00354BF7">
        <w:t xml:space="preserve"> include the following:</w:t>
      </w:r>
    </w:p>
    <w:p w14:paraId="0085ECB9" w14:textId="6BE64182" w:rsidR="004929F1" w:rsidRPr="00354BF7" w:rsidRDefault="004929F1" w:rsidP="00E049AD">
      <w:pPr>
        <w:pStyle w:val="Dotpoint10"/>
      </w:pPr>
      <w:r w:rsidRPr="00354BF7">
        <w:rPr>
          <w:i/>
          <w:iCs/>
        </w:rPr>
        <w:t>Option 1</w:t>
      </w:r>
      <w:r w:rsidRPr="00354BF7">
        <w:t xml:space="preserve">: </w:t>
      </w:r>
      <w:r w:rsidRPr="00354BF7">
        <w:rPr>
          <w:i/>
          <w:iCs/>
        </w:rPr>
        <w:t>Up-front training for beginning teachers</w:t>
      </w:r>
      <w:r w:rsidRPr="00354BF7">
        <w:t xml:space="preserve"> — this would teach the fundamentals of teaching in the six months prior to commencing the full qualification. The program would include a short and intensive full-time course, covering the basic techniques for conducting a class. It would have the skill set for teaching under supervision</w:t>
      </w:r>
      <w:r w:rsidR="00F45F40" w:rsidRPr="00354BF7">
        <w:rPr>
          <w:rStyle w:val="FootnoteReference"/>
        </w:rPr>
        <w:footnoteReference w:id="23"/>
      </w:r>
      <w:r w:rsidRPr="00354BF7">
        <w:t xml:space="preserve"> embedded within it, enabling beginning teachers to acquire the required knowledge and skill. They would be involved in task-based learning activities (including observations of other teachers) and be paired with a mentor, ensuring they are supported by an accomplished teacher to learn the teaching skills. At the end of six months, the beginning teachers would receive release time to undertake a TAE Diploma or higher-level qualification, earning their qualification and enabling them to work independently. Note that such qualifications may also </w:t>
      </w:r>
      <w:r w:rsidRPr="00354BF7">
        <w:lastRenderedPageBreak/>
        <w:t xml:space="preserve">‘embed’ the Certificate IV </w:t>
      </w:r>
      <w:r w:rsidR="00A936F3" w:rsidRPr="00354BF7">
        <w:t xml:space="preserve">in </w:t>
      </w:r>
      <w:r w:rsidRPr="00354BF7">
        <w:t>TAE in whole or part, enabling the beginning teachers to work independently sooner</w:t>
      </w:r>
      <w:r w:rsidR="00226790" w:rsidRPr="00354BF7">
        <w:t>.</w:t>
      </w:r>
    </w:p>
    <w:p w14:paraId="2CD7149A" w14:textId="55B16873" w:rsidR="007A784C" w:rsidRDefault="004929F1" w:rsidP="00E049AD">
      <w:pPr>
        <w:pStyle w:val="Dotpoint10"/>
      </w:pPr>
      <w:r w:rsidRPr="00354BF7">
        <w:rPr>
          <w:i/>
          <w:iCs/>
        </w:rPr>
        <w:t>Option 2: Teaching under supervision programs</w:t>
      </w:r>
      <w:r w:rsidRPr="00354BF7">
        <w:t xml:space="preserve"> — this option adopts similar concepts to Option 1 but uses internal and external mentors to support the cadet teachers, who work under supervision until they are qualified and capable of working independently. They would be given smaller teaching loads until they become fully fledged teaching professionals. It essentially concentrates on mentoring to assist beginning teachers</w:t>
      </w:r>
      <w:r w:rsidR="0070149A">
        <w:t>.</w:t>
      </w:r>
    </w:p>
    <w:p w14:paraId="523E35E8" w14:textId="30DD4B58" w:rsidR="004929F1" w:rsidRPr="00354BF7" w:rsidRDefault="004929F1" w:rsidP="007A784C">
      <w:pPr>
        <w:pStyle w:val="Dotpoint10"/>
      </w:pPr>
      <w:r w:rsidRPr="007A784C">
        <w:rPr>
          <w:i/>
          <w:iCs/>
        </w:rPr>
        <w:t>Option 3: A ‘master’ teaching model</w:t>
      </w:r>
      <w:r w:rsidRPr="00354BF7">
        <w:t xml:space="preserve"> — in this model teachers with a natural aptitude for teaching would help to inspire and provide support to beginning teachers (both fully qualified and yet to be fully qualified). In essence, this is another form of mentoring, noting that not all experienced teachers are capable of being good mentors.</w:t>
      </w:r>
      <w:r w:rsidR="006E225E" w:rsidRPr="00354BF7">
        <w:rPr>
          <w:rStyle w:val="FootnoteReference"/>
        </w:rPr>
        <w:t xml:space="preserve"> </w:t>
      </w:r>
    </w:p>
    <w:p w14:paraId="53E20EEF" w14:textId="4E50E6FB" w:rsidR="00CD4868" w:rsidRDefault="006E2904" w:rsidP="003B39AF">
      <w:pPr>
        <w:pStyle w:val="Text"/>
      </w:pPr>
      <w:r>
        <w:t xml:space="preserve">A </w:t>
      </w:r>
      <w:r w:rsidR="00822B9C">
        <w:t>C</w:t>
      </w:r>
      <w:r>
        <w:t xml:space="preserve">ertificate III qualification for </w:t>
      </w:r>
      <w:r w:rsidR="0034169D">
        <w:t>teacher</w:t>
      </w:r>
      <w:r>
        <w:t xml:space="preserve">s in industry has also been mooted in some circles, </w:t>
      </w:r>
      <w:r w:rsidR="00573FBA">
        <w:t>an approach that</w:t>
      </w:r>
      <w:r>
        <w:t xml:space="preserve"> would enable industry experts to eventually upgrade to full </w:t>
      </w:r>
      <w:r w:rsidR="0034169D">
        <w:t>teacher</w:t>
      </w:r>
      <w:r>
        <w:t xml:space="preserve"> status with an RTO at a later stage</w:t>
      </w:r>
      <w:r w:rsidR="00822B9C">
        <w:t xml:space="preserve">, but another pathway is through the various skill sets in the </w:t>
      </w:r>
      <w:r w:rsidR="00AA2926">
        <w:t xml:space="preserve">present </w:t>
      </w:r>
      <w:r w:rsidR="00822B9C">
        <w:t>TAE training package</w:t>
      </w:r>
      <w:r w:rsidR="000A76AE">
        <w:t>.</w:t>
      </w:r>
      <w:r w:rsidR="00226790">
        <w:t xml:space="preserve"> </w:t>
      </w:r>
      <w:r w:rsidR="00D32F1C">
        <w:t xml:space="preserve">Such arrangements could </w:t>
      </w:r>
      <w:r w:rsidR="00EF2A4E">
        <w:t xml:space="preserve">help </w:t>
      </w:r>
      <w:r w:rsidR="00CC6CC9">
        <w:t xml:space="preserve">to </w:t>
      </w:r>
      <w:r w:rsidR="00EF2A4E">
        <w:t xml:space="preserve">allay the </w:t>
      </w:r>
      <w:r w:rsidR="007C3B95">
        <w:t xml:space="preserve">concerns </w:t>
      </w:r>
      <w:r w:rsidR="00EF2A4E">
        <w:t xml:space="preserve">of those who see risks in </w:t>
      </w:r>
      <w:r w:rsidR="00573FBA">
        <w:t xml:space="preserve">unnecessarily </w:t>
      </w:r>
      <w:r w:rsidR="00EF2A4E">
        <w:t>raising entry</w:t>
      </w:r>
      <w:r w:rsidR="00573FBA">
        <w:t xml:space="preserve"> requirements</w:t>
      </w:r>
      <w:r w:rsidR="00DF5B4C">
        <w:t xml:space="preserve"> such as </w:t>
      </w:r>
      <w:r w:rsidR="00A63B25">
        <w:t xml:space="preserve">reducing the pool of industry experts willing to join the </w:t>
      </w:r>
      <w:r w:rsidR="006F2B74">
        <w:t xml:space="preserve">VET teaching </w:t>
      </w:r>
      <w:r w:rsidR="00A63B25">
        <w:t>profession</w:t>
      </w:r>
      <w:r w:rsidR="00DF5B4C">
        <w:t>.</w:t>
      </w:r>
    </w:p>
    <w:p w14:paraId="6BAB064F" w14:textId="2E0BA0ED" w:rsidR="003B39AF" w:rsidRDefault="00DF5B4C" w:rsidP="003B39AF">
      <w:pPr>
        <w:pStyle w:val="Text"/>
      </w:pPr>
      <w:r>
        <w:t xml:space="preserve">This could </w:t>
      </w:r>
      <w:r w:rsidR="00D15DF5">
        <w:t>further</w:t>
      </w:r>
      <w:r w:rsidR="00A63B25">
        <w:t xml:space="preserve"> exacerbat</w:t>
      </w:r>
      <w:r>
        <w:t xml:space="preserve">e </w:t>
      </w:r>
      <w:r w:rsidR="00A63B25">
        <w:t xml:space="preserve">current VET teacher shortages, particularly in regional and remote regions and among equity groups, including health workers and artists in </w:t>
      </w:r>
      <w:r w:rsidR="00573FBA">
        <w:t>I</w:t>
      </w:r>
      <w:r w:rsidR="00A63B25">
        <w:t>ndigenous communities</w:t>
      </w:r>
      <w:r w:rsidR="00314EFD">
        <w:rPr>
          <w:rStyle w:val="FootnoteReference"/>
        </w:rPr>
        <w:footnoteReference w:id="24"/>
      </w:r>
      <w:r w:rsidR="00A63B25">
        <w:t>.</w:t>
      </w:r>
      <w:r w:rsidR="00A65EBA">
        <w:t xml:space="preserve"> </w:t>
      </w:r>
      <w:r w:rsidR="00C323F4">
        <w:t>O</w:t>
      </w:r>
      <w:r w:rsidR="00476B50">
        <w:t xml:space="preserve">ther </w:t>
      </w:r>
      <w:r w:rsidR="00D32F1C">
        <w:t xml:space="preserve">suggestions for diversifying the </w:t>
      </w:r>
      <w:r w:rsidR="003B39AF">
        <w:t xml:space="preserve">Certificate IV </w:t>
      </w:r>
      <w:r w:rsidR="00D200A2">
        <w:t xml:space="preserve">in </w:t>
      </w:r>
      <w:r w:rsidR="003B39AF">
        <w:t xml:space="preserve">TAE qualification to </w:t>
      </w:r>
      <w:r w:rsidR="006E2904">
        <w:t xml:space="preserve">cater for </w:t>
      </w:r>
      <w:r w:rsidR="00890C48">
        <w:t>specialisa</w:t>
      </w:r>
      <w:r w:rsidR="000A76AE">
        <w:t>ti</w:t>
      </w:r>
      <w:r w:rsidR="00890C48">
        <w:t xml:space="preserve">ons and </w:t>
      </w:r>
      <w:r w:rsidR="003B39AF">
        <w:t xml:space="preserve">the needs of VET practitioners in different </w:t>
      </w:r>
      <w:r w:rsidR="005F415B">
        <w:t>roles</w:t>
      </w:r>
      <w:r w:rsidR="006E2904">
        <w:t xml:space="preserve"> </w:t>
      </w:r>
      <w:r w:rsidR="003B39AF">
        <w:t>includ</w:t>
      </w:r>
      <w:r w:rsidR="00AF1155">
        <w:t xml:space="preserve">ed </w:t>
      </w:r>
      <w:r w:rsidR="006E2904">
        <w:t>the following options</w:t>
      </w:r>
      <w:r w:rsidR="003B39AF">
        <w:t>:</w:t>
      </w:r>
      <w:r w:rsidR="00316D52">
        <w:t xml:space="preserve"> </w:t>
      </w:r>
    </w:p>
    <w:p w14:paraId="7D9BC41E" w14:textId="4AB1CD2F" w:rsidR="00490B90" w:rsidRPr="00AF1155" w:rsidRDefault="00D15DF5" w:rsidP="00E049AD">
      <w:pPr>
        <w:pStyle w:val="Dotpoint10"/>
      </w:pPr>
      <w:r w:rsidRPr="00AF1155">
        <w:t>d</w:t>
      </w:r>
      <w:r w:rsidR="003B39AF" w:rsidRPr="00AF1155">
        <w:t>irect teaching and assessing</w:t>
      </w:r>
      <w:r w:rsidR="00E7224C">
        <w:t>,</w:t>
      </w:r>
    </w:p>
    <w:p w14:paraId="655FC5EB" w14:textId="47C980C9" w:rsidR="00490B90" w:rsidRPr="00AF1155" w:rsidRDefault="00D15DF5" w:rsidP="00E049AD">
      <w:pPr>
        <w:pStyle w:val="Dotpoint10"/>
      </w:pPr>
      <w:r w:rsidRPr="00AF1155">
        <w:t>t</w:t>
      </w:r>
      <w:r w:rsidR="003B39AF" w:rsidRPr="00AF1155">
        <w:t>eaching only</w:t>
      </w:r>
      <w:r w:rsidR="00E7224C">
        <w:t>,</w:t>
      </w:r>
      <w:r w:rsidR="007C3B95" w:rsidRPr="00AF1155">
        <w:t xml:space="preserve"> </w:t>
      </w:r>
    </w:p>
    <w:p w14:paraId="67828E77" w14:textId="1E3F6C6C" w:rsidR="00490B90" w:rsidRPr="00AF1155" w:rsidRDefault="00D15DF5" w:rsidP="00E049AD">
      <w:pPr>
        <w:pStyle w:val="Dotpoint10"/>
      </w:pPr>
      <w:r w:rsidRPr="00AF1155">
        <w:t>a</w:t>
      </w:r>
      <w:r w:rsidR="003B39AF" w:rsidRPr="00AF1155">
        <w:t>ssessing only</w:t>
      </w:r>
      <w:r w:rsidR="00E7224C">
        <w:t>,</w:t>
      </w:r>
    </w:p>
    <w:p w14:paraId="2183074D" w14:textId="290C1EB2" w:rsidR="00490B90" w:rsidRPr="00AF1155" w:rsidRDefault="00D15DF5" w:rsidP="00E049AD">
      <w:pPr>
        <w:pStyle w:val="Dotpoint10"/>
      </w:pPr>
      <w:r w:rsidRPr="00AF1155">
        <w:t xml:space="preserve">compliance and quality </w:t>
      </w:r>
      <w:r w:rsidR="003B39AF" w:rsidRPr="00AF1155">
        <w:t>assurance</w:t>
      </w:r>
      <w:r w:rsidR="00C323F4" w:rsidRPr="00AF1155">
        <w:t>, and</w:t>
      </w:r>
      <w:r w:rsidR="007C3B95" w:rsidRPr="00AF1155">
        <w:t xml:space="preserve"> </w:t>
      </w:r>
    </w:p>
    <w:p w14:paraId="1DA7AF7E" w14:textId="3A048176" w:rsidR="003B39AF" w:rsidRDefault="00D15DF5" w:rsidP="00E049AD">
      <w:pPr>
        <w:pStyle w:val="Dotpoint10"/>
      </w:pPr>
      <w:r w:rsidRPr="00AF1155">
        <w:t>management and leadership</w:t>
      </w:r>
      <w:r w:rsidR="00713958" w:rsidRPr="00AF1155">
        <w:t>.</w:t>
      </w:r>
    </w:p>
    <w:p w14:paraId="7501C7D0" w14:textId="7137ED4B" w:rsidR="00282B10" w:rsidRPr="00021D90" w:rsidRDefault="00D87E28" w:rsidP="00021D90">
      <w:pPr>
        <w:pStyle w:val="Heading2"/>
      </w:pPr>
      <w:bookmarkStart w:id="94" w:name="_Toc62204952"/>
      <w:r w:rsidRPr="00021D90">
        <w:t>Funding and r</w:t>
      </w:r>
      <w:r w:rsidR="00867994" w:rsidRPr="00021D90">
        <w:t xml:space="preserve">esourcing </w:t>
      </w:r>
      <w:r w:rsidR="00282B10" w:rsidRPr="00021D90">
        <w:t>professional development</w:t>
      </w:r>
      <w:bookmarkEnd w:id="94"/>
      <w:r w:rsidR="00282B10" w:rsidRPr="00021D90">
        <w:t xml:space="preserve"> </w:t>
      </w:r>
    </w:p>
    <w:p w14:paraId="160F96CD" w14:textId="099752B5" w:rsidR="0055389F" w:rsidRPr="009C44C9" w:rsidRDefault="00B4543C" w:rsidP="009B33B1">
      <w:pPr>
        <w:pStyle w:val="Heading3"/>
        <w:spacing w:before="160" w:line="300" w:lineRule="exact"/>
        <w:rPr>
          <w:rFonts w:ascii="Trebuchet MS" w:hAnsi="Trebuchet MS"/>
          <w:sz w:val="19"/>
          <w:szCs w:val="19"/>
        </w:rPr>
      </w:pPr>
      <w:r w:rsidRPr="00AE079F">
        <w:rPr>
          <w:rFonts w:ascii="Trebuchet MS" w:hAnsi="Trebuchet MS"/>
          <w:sz w:val="19"/>
          <w:szCs w:val="19"/>
        </w:rPr>
        <w:t xml:space="preserve">Stakeholders unanimously agree that VET teachers ought to be supported </w:t>
      </w:r>
      <w:r w:rsidR="00AA0674">
        <w:rPr>
          <w:rFonts w:ascii="Trebuchet MS" w:hAnsi="Trebuchet MS"/>
          <w:sz w:val="19"/>
          <w:szCs w:val="19"/>
        </w:rPr>
        <w:t xml:space="preserve">to undertake </w:t>
      </w:r>
      <w:r w:rsidR="00AF1155">
        <w:rPr>
          <w:rFonts w:ascii="Trebuchet MS" w:hAnsi="Trebuchet MS"/>
          <w:sz w:val="19"/>
          <w:szCs w:val="19"/>
        </w:rPr>
        <w:t xml:space="preserve">PD </w:t>
      </w:r>
      <w:r w:rsidRPr="00AE079F">
        <w:rPr>
          <w:rFonts w:ascii="Trebuchet MS" w:hAnsi="Trebuchet MS"/>
          <w:sz w:val="19"/>
          <w:szCs w:val="19"/>
        </w:rPr>
        <w:t>throughout the</w:t>
      </w:r>
      <w:r w:rsidR="006236F3" w:rsidRPr="00AE079F">
        <w:rPr>
          <w:rFonts w:ascii="Trebuchet MS" w:hAnsi="Trebuchet MS"/>
          <w:sz w:val="19"/>
          <w:szCs w:val="19"/>
        </w:rPr>
        <w:t>ir</w:t>
      </w:r>
      <w:r w:rsidRPr="00AE079F">
        <w:rPr>
          <w:rFonts w:ascii="Trebuchet MS" w:hAnsi="Trebuchet MS"/>
          <w:sz w:val="19"/>
          <w:szCs w:val="19"/>
        </w:rPr>
        <w:t xml:space="preserve"> </w:t>
      </w:r>
      <w:r w:rsidR="006236F3" w:rsidRPr="00AE079F">
        <w:rPr>
          <w:rFonts w:ascii="Trebuchet MS" w:hAnsi="Trebuchet MS"/>
          <w:sz w:val="19"/>
          <w:szCs w:val="19"/>
        </w:rPr>
        <w:t xml:space="preserve">teaching careers. </w:t>
      </w:r>
      <w:r w:rsidRPr="00AE079F">
        <w:rPr>
          <w:rFonts w:ascii="Trebuchet MS" w:hAnsi="Trebuchet MS"/>
          <w:sz w:val="19"/>
          <w:szCs w:val="19"/>
        </w:rPr>
        <w:t xml:space="preserve">They also agree on the need for systematic approaches to teacher preparation, mentoring and </w:t>
      </w:r>
      <w:r w:rsidR="00220D05">
        <w:rPr>
          <w:rFonts w:ascii="Trebuchet MS" w:hAnsi="Trebuchet MS"/>
          <w:sz w:val="19"/>
          <w:szCs w:val="19"/>
        </w:rPr>
        <w:t>C</w:t>
      </w:r>
      <w:r w:rsidR="00220D05" w:rsidRPr="00220D05">
        <w:rPr>
          <w:rFonts w:ascii="Trebuchet MS" w:hAnsi="Trebuchet MS"/>
          <w:sz w:val="19"/>
          <w:szCs w:val="19"/>
        </w:rPr>
        <w:t>PD</w:t>
      </w:r>
      <w:r w:rsidR="006236F3" w:rsidRPr="00AE079F">
        <w:rPr>
          <w:rFonts w:ascii="Trebuchet MS" w:hAnsi="Trebuchet MS"/>
          <w:sz w:val="19"/>
          <w:szCs w:val="19"/>
        </w:rPr>
        <w:t xml:space="preserve">, including </w:t>
      </w:r>
      <w:r w:rsidR="001D2BDC" w:rsidRPr="00AE079F">
        <w:rPr>
          <w:rFonts w:ascii="Trebuchet MS" w:hAnsi="Trebuchet MS"/>
          <w:sz w:val="19"/>
          <w:szCs w:val="19"/>
        </w:rPr>
        <w:t xml:space="preserve">strengthening the formal requirements for teachers to engage in </w:t>
      </w:r>
      <w:r w:rsidR="00220D05" w:rsidRPr="00220D05">
        <w:rPr>
          <w:rFonts w:ascii="Trebuchet MS" w:hAnsi="Trebuchet MS"/>
          <w:sz w:val="19"/>
          <w:szCs w:val="19"/>
        </w:rPr>
        <w:t>PD</w:t>
      </w:r>
      <w:r w:rsidR="001D2BDC" w:rsidRPr="00AE079F">
        <w:rPr>
          <w:rFonts w:ascii="Trebuchet MS" w:hAnsi="Trebuchet MS"/>
          <w:sz w:val="19"/>
          <w:szCs w:val="19"/>
        </w:rPr>
        <w:t xml:space="preserve">, </w:t>
      </w:r>
      <w:r w:rsidR="006236F3" w:rsidRPr="00AE079F">
        <w:rPr>
          <w:rFonts w:ascii="Trebuchet MS" w:hAnsi="Trebuchet MS"/>
          <w:sz w:val="19"/>
          <w:szCs w:val="19"/>
        </w:rPr>
        <w:t xml:space="preserve">and </w:t>
      </w:r>
      <w:r w:rsidR="00EF2A4E" w:rsidRPr="00AE079F">
        <w:rPr>
          <w:rFonts w:ascii="Trebuchet MS" w:hAnsi="Trebuchet MS"/>
          <w:sz w:val="19"/>
          <w:szCs w:val="19"/>
        </w:rPr>
        <w:t xml:space="preserve">setting </w:t>
      </w:r>
      <w:r w:rsidR="008F1C3E" w:rsidRPr="00AE079F">
        <w:rPr>
          <w:rFonts w:ascii="Trebuchet MS" w:hAnsi="Trebuchet MS"/>
          <w:sz w:val="19"/>
          <w:szCs w:val="19"/>
        </w:rPr>
        <w:t xml:space="preserve">PD </w:t>
      </w:r>
      <w:r w:rsidR="001D2BDC" w:rsidRPr="00AE079F">
        <w:rPr>
          <w:rFonts w:ascii="Trebuchet MS" w:hAnsi="Trebuchet MS"/>
          <w:sz w:val="19"/>
          <w:szCs w:val="19"/>
        </w:rPr>
        <w:t xml:space="preserve">objectives </w:t>
      </w:r>
      <w:r w:rsidR="00EF2A4E" w:rsidRPr="00AE079F">
        <w:rPr>
          <w:rFonts w:ascii="Trebuchet MS" w:hAnsi="Trebuchet MS"/>
          <w:sz w:val="19"/>
          <w:szCs w:val="19"/>
        </w:rPr>
        <w:t>i</w:t>
      </w:r>
      <w:r w:rsidR="001D2BDC" w:rsidRPr="00AE079F">
        <w:rPr>
          <w:rFonts w:ascii="Trebuchet MS" w:hAnsi="Trebuchet MS"/>
          <w:sz w:val="19"/>
          <w:szCs w:val="19"/>
        </w:rPr>
        <w:t xml:space="preserve">n individual performance review </w:t>
      </w:r>
      <w:r w:rsidR="00EF2A4E" w:rsidRPr="00AE079F">
        <w:rPr>
          <w:rFonts w:ascii="Trebuchet MS" w:hAnsi="Trebuchet MS"/>
          <w:sz w:val="19"/>
          <w:szCs w:val="19"/>
        </w:rPr>
        <w:t xml:space="preserve">development </w:t>
      </w:r>
      <w:r w:rsidR="001D2BDC" w:rsidRPr="00AE079F">
        <w:rPr>
          <w:rFonts w:ascii="Trebuchet MS" w:hAnsi="Trebuchet MS"/>
          <w:sz w:val="19"/>
          <w:szCs w:val="19"/>
        </w:rPr>
        <w:t xml:space="preserve">plans. </w:t>
      </w:r>
      <w:r w:rsidR="000C3AF5" w:rsidRPr="00AE079F">
        <w:rPr>
          <w:rFonts w:ascii="Trebuchet MS" w:hAnsi="Trebuchet MS"/>
          <w:sz w:val="19"/>
          <w:szCs w:val="19"/>
        </w:rPr>
        <w:t xml:space="preserve">There is also strong support for implementing </w:t>
      </w:r>
      <w:r w:rsidRPr="00AE079F">
        <w:rPr>
          <w:rFonts w:ascii="Trebuchet MS" w:hAnsi="Trebuchet MS"/>
          <w:sz w:val="19"/>
          <w:szCs w:val="19"/>
        </w:rPr>
        <w:t>or further</w:t>
      </w:r>
      <w:r w:rsidR="001A24E1" w:rsidRPr="00AE079F">
        <w:rPr>
          <w:rFonts w:ascii="Trebuchet MS" w:hAnsi="Trebuchet MS"/>
          <w:sz w:val="19"/>
          <w:szCs w:val="19"/>
        </w:rPr>
        <w:t xml:space="preserve"> expanding</w:t>
      </w:r>
      <w:r w:rsidRPr="00AE079F">
        <w:rPr>
          <w:rFonts w:ascii="Trebuchet MS" w:hAnsi="Trebuchet MS"/>
          <w:sz w:val="19"/>
          <w:szCs w:val="19"/>
        </w:rPr>
        <w:t xml:space="preserve"> </w:t>
      </w:r>
      <w:r w:rsidR="000C3AF5" w:rsidRPr="00AE079F">
        <w:rPr>
          <w:rFonts w:ascii="Trebuchet MS" w:hAnsi="Trebuchet MS"/>
          <w:sz w:val="19"/>
          <w:szCs w:val="19"/>
        </w:rPr>
        <w:t xml:space="preserve">programs to enable VET teachers to </w:t>
      </w:r>
      <w:r w:rsidR="006205B5" w:rsidRPr="00AE079F">
        <w:rPr>
          <w:rFonts w:ascii="Trebuchet MS" w:hAnsi="Trebuchet MS"/>
          <w:sz w:val="19"/>
          <w:szCs w:val="19"/>
        </w:rPr>
        <w:t xml:space="preserve">maintain </w:t>
      </w:r>
      <w:r w:rsidR="000C3AF5" w:rsidRPr="00AE079F">
        <w:rPr>
          <w:rFonts w:ascii="Trebuchet MS" w:hAnsi="Trebuchet MS"/>
          <w:sz w:val="19"/>
          <w:szCs w:val="19"/>
        </w:rPr>
        <w:t>their industry currency and update both their vocational and pedagogical skills.</w:t>
      </w:r>
      <w:r w:rsidR="004E2E15" w:rsidRPr="00AE079F">
        <w:rPr>
          <w:rFonts w:ascii="Trebuchet MS" w:hAnsi="Trebuchet MS"/>
          <w:sz w:val="19"/>
          <w:szCs w:val="19"/>
        </w:rPr>
        <w:t xml:space="preserve"> </w:t>
      </w:r>
      <w:r w:rsidR="00254C57" w:rsidRPr="00254C57">
        <w:rPr>
          <w:rFonts w:ascii="Trebuchet MS" w:hAnsi="Trebuchet MS"/>
          <w:sz w:val="19"/>
          <w:szCs w:val="19"/>
        </w:rPr>
        <w:t xml:space="preserve">Finding the right balance here is one of the major challenges for the sector (Guthrie, 2010). </w:t>
      </w:r>
    </w:p>
    <w:p w14:paraId="2F07D11D" w14:textId="77777777" w:rsidR="00A00901" w:rsidRDefault="00A00901">
      <w:pPr>
        <w:spacing w:before="0" w:line="240" w:lineRule="auto"/>
        <w:rPr>
          <w:color w:val="000000"/>
          <w:szCs w:val="20"/>
          <w:lang w:eastAsia="en-US"/>
        </w:rPr>
      </w:pPr>
      <w:r>
        <w:br w:type="page"/>
      </w:r>
    </w:p>
    <w:p w14:paraId="46448892" w14:textId="637F8B17" w:rsidR="001D2BDC" w:rsidRPr="00021D90" w:rsidRDefault="004E2E15" w:rsidP="00E049AD">
      <w:pPr>
        <w:pStyle w:val="Dotpoint10"/>
        <w:numPr>
          <w:ilvl w:val="0"/>
          <w:numId w:val="0"/>
        </w:numPr>
      </w:pPr>
      <w:r>
        <w:lastRenderedPageBreak/>
        <w:t>Stakeholders a</w:t>
      </w:r>
      <w:r w:rsidR="001D2BDC">
        <w:t xml:space="preserve">lso universally support the need </w:t>
      </w:r>
      <w:r w:rsidR="00EF2A4E">
        <w:t xml:space="preserve">to have adequate </w:t>
      </w:r>
      <w:r w:rsidR="001D2BDC">
        <w:t xml:space="preserve">time and </w:t>
      </w:r>
      <w:r w:rsidR="00EF2A4E">
        <w:t>funding</w:t>
      </w:r>
      <w:r w:rsidR="001D2BDC">
        <w:t xml:space="preserve"> </w:t>
      </w:r>
      <w:r>
        <w:t xml:space="preserve">allocated </w:t>
      </w:r>
      <w:r w:rsidR="001D2BDC">
        <w:t xml:space="preserve">for </w:t>
      </w:r>
      <w:r>
        <w:t xml:space="preserve">PD </w:t>
      </w:r>
      <w:r w:rsidR="001D2BDC">
        <w:t xml:space="preserve">activities. </w:t>
      </w:r>
      <w:r w:rsidR="008F1C3E">
        <w:t xml:space="preserve">Suggestions were made for such funding to apply to </w:t>
      </w:r>
      <w:r w:rsidR="001D2BDC">
        <w:t>opportunities for teachers to:</w:t>
      </w:r>
    </w:p>
    <w:p w14:paraId="4E381A7C" w14:textId="58E2306E" w:rsidR="001D2BDC" w:rsidRPr="00AF1155" w:rsidRDefault="001D2BDC" w:rsidP="00E049AD">
      <w:pPr>
        <w:pStyle w:val="Dotpoint10"/>
      </w:pPr>
      <w:r w:rsidRPr="00AF1155">
        <w:t>attend conferences</w:t>
      </w:r>
      <w:r w:rsidR="00920E52" w:rsidRPr="00AF1155">
        <w:t xml:space="preserve"> where they can </w:t>
      </w:r>
      <w:r w:rsidR="006205B5" w:rsidRPr="00AF1155">
        <w:t xml:space="preserve">hear </w:t>
      </w:r>
      <w:r w:rsidRPr="00AF1155">
        <w:t>and share learnings about policy and practice and to share information with colleagues on their return</w:t>
      </w:r>
      <w:r w:rsidR="004E2E15" w:rsidRPr="00AF1155">
        <w:t>, and</w:t>
      </w:r>
    </w:p>
    <w:p w14:paraId="6F49241E" w14:textId="113473CA" w:rsidR="000C3AF5" w:rsidRDefault="001D2BDC" w:rsidP="00E049AD">
      <w:pPr>
        <w:pStyle w:val="Dotpoint10"/>
      </w:pPr>
      <w:r w:rsidRPr="00AF1155">
        <w:t xml:space="preserve">collaborate with colleagues in professional learning groups or communities </w:t>
      </w:r>
      <w:r w:rsidR="000C3AF5" w:rsidRPr="00AF1155">
        <w:t xml:space="preserve">of practice to share </w:t>
      </w:r>
      <w:r w:rsidRPr="00AF1155">
        <w:t>information and expertise on new methodologies</w:t>
      </w:r>
      <w:r w:rsidR="00076ECC" w:rsidRPr="00AF1155">
        <w:t xml:space="preserve">, </w:t>
      </w:r>
      <w:r w:rsidRPr="00AF1155">
        <w:t>teaching and assessment tools and resources</w:t>
      </w:r>
      <w:r w:rsidR="006205B5" w:rsidRPr="00AF1155">
        <w:t>, and various</w:t>
      </w:r>
      <w:r w:rsidR="006205B5" w:rsidRPr="00021D90">
        <w:t xml:space="preserve"> student issues.</w:t>
      </w:r>
    </w:p>
    <w:p w14:paraId="6CDA036C" w14:textId="2FD3839A" w:rsidR="00CD4868" w:rsidRPr="00AF1155" w:rsidRDefault="00CD4868" w:rsidP="00226790">
      <w:pPr>
        <w:pStyle w:val="Heading3"/>
        <w:spacing w:before="160" w:line="300" w:lineRule="exact"/>
        <w:rPr>
          <w:rFonts w:ascii="Trebuchet MS" w:hAnsi="Trebuchet MS"/>
          <w:sz w:val="19"/>
          <w:szCs w:val="19"/>
        </w:rPr>
      </w:pPr>
      <w:r w:rsidRPr="00AF1155">
        <w:rPr>
          <w:rFonts w:ascii="Trebuchet MS" w:hAnsi="Trebuchet MS"/>
          <w:sz w:val="19"/>
          <w:szCs w:val="19"/>
        </w:rPr>
        <w:t>However, evidence from Schubert</w:t>
      </w:r>
      <w:r>
        <w:rPr>
          <w:rFonts w:ascii="Trebuchet MS" w:hAnsi="Trebuchet MS"/>
          <w:sz w:val="19"/>
          <w:szCs w:val="19"/>
        </w:rPr>
        <w:t xml:space="preserve">’s </w:t>
      </w:r>
      <w:r w:rsidRPr="00AF1155">
        <w:rPr>
          <w:rFonts w:ascii="Trebuchet MS" w:hAnsi="Trebuchet MS"/>
          <w:sz w:val="19"/>
          <w:szCs w:val="19"/>
        </w:rPr>
        <w:t xml:space="preserve">(2016) </w:t>
      </w:r>
      <w:r>
        <w:rPr>
          <w:rFonts w:ascii="Trebuchet MS" w:hAnsi="Trebuchet MS"/>
          <w:sz w:val="19"/>
          <w:szCs w:val="19"/>
        </w:rPr>
        <w:t xml:space="preserve">keynote conference presentation </w:t>
      </w:r>
      <w:r w:rsidR="00445F11" w:rsidRPr="00AF1155">
        <w:rPr>
          <w:rFonts w:ascii="Trebuchet MS" w:hAnsi="Trebuchet MS"/>
          <w:sz w:val="19"/>
          <w:szCs w:val="19"/>
        </w:rPr>
        <w:t>suggests</w:t>
      </w:r>
      <w:r w:rsidRPr="00AF1155">
        <w:rPr>
          <w:rFonts w:ascii="Trebuchet MS" w:hAnsi="Trebuchet MS"/>
          <w:sz w:val="19"/>
          <w:szCs w:val="19"/>
        </w:rPr>
        <w:t xml:space="preserve"> that other approaches may be more effective.</w:t>
      </w:r>
    </w:p>
    <w:p w14:paraId="5BFD4CC2" w14:textId="39C53784" w:rsidR="003900C4" w:rsidRPr="00A10C2D" w:rsidRDefault="00220D05" w:rsidP="003900C4">
      <w:pPr>
        <w:spacing w:after="120"/>
        <w:rPr>
          <w:szCs w:val="19"/>
          <w:lang w:eastAsia="en-US"/>
        </w:rPr>
      </w:pPr>
      <w:r>
        <w:rPr>
          <w:szCs w:val="19"/>
        </w:rPr>
        <w:t xml:space="preserve">Stakeholder </w:t>
      </w:r>
      <w:r w:rsidR="002C7570">
        <w:rPr>
          <w:szCs w:val="19"/>
        </w:rPr>
        <w:t xml:space="preserve">consensus </w:t>
      </w:r>
      <w:r w:rsidR="00254C57">
        <w:rPr>
          <w:szCs w:val="19"/>
        </w:rPr>
        <w:t xml:space="preserve">that </w:t>
      </w:r>
      <w:r w:rsidR="002C7570">
        <w:rPr>
          <w:szCs w:val="19"/>
        </w:rPr>
        <w:t xml:space="preserve">adequate </w:t>
      </w:r>
      <w:r w:rsidR="00845CF6" w:rsidRPr="00845CF6">
        <w:rPr>
          <w:szCs w:val="19"/>
        </w:rPr>
        <w:t xml:space="preserve">funds and resources for </w:t>
      </w:r>
      <w:r w:rsidR="00845CF6">
        <w:rPr>
          <w:szCs w:val="19"/>
        </w:rPr>
        <w:t xml:space="preserve">PD </w:t>
      </w:r>
      <w:r w:rsidR="002C7570">
        <w:rPr>
          <w:szCs w:val="19"/>
        </w:rPr>
        <w:t xml:space="preserve">for teachers </w:t>
      </w:r>
      <w:r w:rsidR="00254C57">
        <w:rPr>
          <w:szCs w:val="19"/>
        </w:rPr>
        <w:t xml:space="preserve">is of </w:t>
      </w:r>
      <w:r w:rsidR="00AF1155">
        <w:rPr>
          <w:szCs w:val="19"/>
        </w:rPr>
        <w:t xml:space="preserve">utmost </w:t>
      </w:r>
      <w:r w:rsidR="00254C57">
        <w:rPr>
          <w:szCs w:val="19"/>
        </w:rPr>
        <w:t xml:space="preserve">importance follows </w:t>
      </w:r>
      <w:r w:rsidR="00CF15A6">
        <w:rPr>
          <w:szCs w:val="19"/>
        </w:rPr>
        <w:t xml:space="preserve">the </w:t>
      </w:r>
      <w:r w:rsidR="00261ED7" w:rsidRPr="00AE079F">
        <w:rPr>
          <w:szCs w:val="19"/>
        </w:rPr>
        <w:t>declin</w:t>
      </w:r>
      <w:r w:rsidR="00DF5B4C">
        <w:rPr>
          <w:szCs w:val="19"/>
        </w:rPr>
        <w:t xml:space="preserve">e </w:t>
      </w:r>
      <w:r w:rsidR="002C7570">
        <w:rPr>
          <w:szCs w:val="19"/>
        </w:rPr>
        <w:t xml:space="preserve">in </w:t>
      </w:r>
      <w:r w:rsidR="007942DC">
        <w:rPr>
          <w:szCs w:val="19"/>
        </w:rPr>
        <w:t xml:space="preserve">overall VET </w:t>
      </w:r>
      <w:r w:rsidR="002C7570">
        <w:rPr>
          <w:szCs w:val="19"/>
        </w:rPr>
        <w:t>funding</w:t>
      </w:r>
      <w:r w:rsidR="007942DC">
        <w:rPr>
          <w:szCs w:val="19"/>
        </w:rPr>
        <w:t>, particularly</w:t>
      </w:r>
      <w:r w:rsidR="002C7570">
        <w:rPr>
          <w:szCs w:val="19"/>
        </w:rPr>
        <w:t xml:space="preserve"> </w:t>
      </w:r>
      <w:r w:rsidR="008C36C2">
        <w:rPr>
          <w:szCs w:val="19"/>
        </w:rPr>
        <w:t xml:space="preserve">at </w:t>
      </w:r>
      <w:r w:rsidR="00261ED7" w:rsidRPr="00AE079F">
        <w:rPr>
          <w:szCs w:val="19"/>
        </w:rPr>
        <w:t>state</w:t>
      </w:r>
      <w:r w:rsidR="008C36C2">
        <w:rPr>
          <w:szCs w:val="19"/>
        </w:rPr>
        <w:t xml:space="preserve"> levels </w:t>
      </w:r>
      <w:r w:rsidR="007942DC" w:rsidRPr="00C63C48">
        <w:rPr>
          <w:szCs w:val="19"/>
        </w:rPr>
        <w:t>(Hurley and van Dyke 2019)</w:t>
      </w:r>
      <w:r w:rsidR="007942DC">
        <w:rPr>
          <w:szCs w:val="19"/>
        </w:rPr>
        <w:t xml:space="preserve"> </w:t>
      </w:r>
      <w:proofErr w:type="gramStart"/>
      <w:r w:rsidR="007942DC">
        <w:rPr>
          <w:szCs w:val="19"/>
        </w:rPr>
        <w:t>and also</w:t>
      </w:r>
      <w:proofErr w:type="gramEnd"/>
      <w:r w:rsidR="007942DC">
        <w:rPr>
          <w:szCs w:val="19"/>
        </w:rPr>
        <w:t xml:space="preserve"> specifically for CPD </w:t>
      </w:r>
      <w:r w:rsidR="00EC160D">
        <w:rPr>
          <w:szCs w:val="19"/>
        </w:rPr>
        <w:t>(</w:t>
      </w:r>
      <w:r w:rsidR="00822B9C">
        <w:rPr>
          <w:szCs w:val="19"/>
        </w:rPr>
        <w:t xml:space="preserve">Guthrie </w:t>
      </w:r>
      <w:r w:rsidR="009B778C">
        <w:rPr>
          <w:szCs w:val="19"/>
        </w:rPr>
        <w:t>and</w:t>
      </w:r>
      <w:r w:rsidR="00822B9C">
        <w:rPr>
          <w:szCs w:val="19"/>
        </w:rPr>
        <w:t xml:space="preserve"> Jones 2018; </w:t>
      </w:r>
      <w:r w:rsidR="00EC160D">
        <w:rPr>
          <w:szCs w:val="19"/>
        </w:rPr>
        <w:t xml:space="preserve">Smith, </w:t>
      </w:r>
      <w:r w:rsidR="00EC160D" w:rsidRPr="007942DC">
        <w:rPr>
          <w:szCs w:val="19"/>
        </w:rPr>
        <w:t>2019</w:t>
      </w:r>
      <w:r w:rsidR="008C36C2" w:rsidRPr="007942DC">
        <w:rPr>
          <w:szCs w:val="19"/>
        </w:rPr>
        <w:t>)</w:t>
      </w:r>
      <w:r w:rsidR="002C7570" w:rsidRPr="007942DC">
        <w:rPr>
          <w:szCs w:val="19"/>
        </w:rPr>
        <w:t xml:space="preserve">. </w:t>
      </w:r>
      <w:r w:rsidR="003900C4" w:rsidRPr="007942DC">
        <w:rPr>
          <w:szCs w:val="19"/>
        </w:rPr>
        <w:t>Our</w:t>
      </w:r>
      <w:r w:rsidR="003900C4" w:rsidRPr="00A10C2D">
        <w:rPr>
          <w:szCs w:val="19"/>
        </w:rPr>
        <w:t xml:space="preserve"> consultations reveal a strong desire for the return of national PD programs (</w:t>
      </w:r>
      <w:proofErr w:type="gramStart"/>
      <w:r w:rsidR="003900C4" w:rsidRPr="00A10C2D">
        <w:rPr>
          <w:szCs w:val="19"/>
        </w:rPr>
        <w:t>similar to</w:t>
      </w:r>
      <w:proofErr w:type="gramEnd"/>
      <w:r w:rsidR="003900C4" w:rsidRPr="00A10C2D">
        <w:rPr>
          <w:szCs w:val="19"/>
        </w:rPr>
        <w:t xml:space="preserve"> Reframing the Future and the National VET E-Learning Strategy), which bring teachers together to share learnings about VET policy, teaching and assessment and online learning; the latter being particularly relevant in the COVID-19 context. </w:t>
      </w:r>
    </w:p>
    <w:p w14:paraId="0E6BA904" w14:textId="77777777" w:rsidR="000067CA" w:rsidRPr="00C72D13" w:rsidRDefault="000067CA" w:rsidP="00C72D13">
      <w:pPr>
        <w:pStyle w:val="Heading3"/>
      </w:pPr>
      <w:r w:rsidRPr="00C72D13">
        <w:t>The use of peer observations and mentoring for reflections on performance</w:t>
      </w:r>
    </w:p>
    <w:p w14:paraId="533FBFB7" w14:textId="5DEFA4A8" w:rsidR="000067CA" w:rsidRDefault="000067CA" w:rsidP="000067CA">
      <w:pPr>
        <w:pStyle w:val="Text"/>
      </w:pPr>
      <w:r>
        <w:t>Our study found that the use of peer observation and mentoring of teacher practice to help teachers recognise their strengths and identify areas for development is strongly supported by participants, even though there is a view that some teachers may feel threatened by the concept. Such practices are not new and are already common practice in some institutions — through teaching course practicums and programs for teachers working under supervision, informally in team-teaching environments and where teachers share common spaces. Applicants seeking promotion positions in some places also need to be observed by peers. There are, however, no references to the need for peer observation or mentoring in the RTO Standards</w:t>
      </w:r>
      <w:r w:rsidR="00311BDA">
        <w:t xml:space="preserve"> </w:t>
      </w:r>
      <w:r>
        <w:t>(ASQA, 2019)</w:t>
      </w:r>
      <w:r w:rsidR="00311BDA">
        <w:t xml:space="preserve">, but there are in </w:t>
      </w:r>
      <w:proofErr w:type="gramStart"/>
      <w:r w:rsidR="00311BDA">
        <w:t>a number of</w:t>
      </w:r>
      <w:proofErr w:type="gramEnd"/>
      <w:r w:rsidR="00311BDA">
        <w:t xml:space="preserve"> the TAFE teaching awards we have cited</w:t>
      </w:r>
      <w:r>
        <w:t>.</w:t>
      </w:r>
    </w:p>
    <w:p w14:paraId="4FAAB156" w14:textId="77E1532B" w:rsidR="000067CA" w:rsidRDefault="000067CA" w:rsidP="000067CA">
      <w:pPr>
        <w:pStyle w:val="Text"/>
      </w:pPr>
      <w:r>
        <w:t xml:space="preserve">A culture of collegiality and trust is essential for peer observation or mentoring to be successful: teachers being observed or mentored need to feel comfortable about reflecting on their practice and addressing areas for development while maximising their strengths. The use of peer observation for the purposes of performance review is not supported. Teachers can also learn from their observations of others, </w:t>
      </w:r>
      <w:proofErr w:type="gramStart"/>
      <w:r>
        <w:t>in particular from</w:t>
      </w:r>
      <w:proofErr w:type="gramEnd"/>
      <w:r>
        <w:t xml:space="preserve"> accomplished teachers who are effective presenters and communicators. </w:t>
      </w:r>
    </w:p>
    <w:p w14:paraId="6262129F" w14:textId="14454802" w:rsidR="000067CA" w:rsidRDefault="000067CA" w:rsidP="000067CA">
      <w:pPr>
        <w:pStyle w:val="Text"/>
      </w:pPr>
      <w:r>
        <w:t>One</w:t>
      </w:r>
      <w:r w:rsidRPr="00EE1A64">
        <w:t xml:space="preserve"> of the critical issues is the development of skills in peer observation and mentoring so that that the process is as effective as possible as well as </w:t>
      </w:r>
      <w:r>
        <w:t xml:space="preserve">the observing </w:t>
      </w:r>
      <w:r w:rsidRPr="00EE1A64">
        <w:t>mentors having the time release necessary to provide the necessary support to their</w:t>
      </w:r>
      <w:r>
        <w:t xml:space="preserve"> </w:t>
      </w:r>
      <w:r w:rsidRPr="00EE1A64">
        <w:t>mentees (Francisco</w:t>
      </w:r>
      <w:r>
        <w:t>,</w:t>
      </w:r>
      <w:r w:rsidRPr="00EE1A64">
        <w:t xml:space="preserve"> 2007).</w:t>
      </w:r>
      <w:r w:rsidR="00311BDA">
        <w:t xml:space="preserve"> They may also need training to undertake this role.</w:t>
      </w:r>
    </w:p>
    <w:p w14:paraId="1A2B33C2" w14:textId="5A4BB1F8" w:rsidR="00282B10" w:rsidRPr="00C72D13" w:rsidRDefault="00181AB0" w:rsidP="00C72D13">
      <w:pPr>
        <w:pStyle w:val="Heading2"/>
      </w:pPr>
      <w:bookmarkStart w:id="95" w:name="_Toc62204953"/>
      <w:r w:rsidRPr="00C72D13">
        <w:t>Attracting and b</w:t>
      </w:r>
      <w:r w:rsidR="00362945" w:rsidRPr="00C72D13">
        <w:t xml:space="preserve">uilding </w:t>
      </w:r>
      <w:r w:rsidR="00073757" w:rsidRPr="00C72D13">
        <w:t>a capable workforce</w:t>
      </w:r>
      <w:bookmarkEnd w:id="95"/>
      <w:r w:rsidR="00073757" w:rsidRPr="00C72D13">
        <w:t xml:space="preserve"> </w:t>
      </w:r>
    </w:p>
    <w:p w14:paraId="066D690E" w14:textId="59FD2519" w:rsidR="00282B10" w:rsidRPr="00021D90" w:rsidRDefault="00D06D14" w:rsidP="00021D90">
      <w:pPr>
        <w:pStyle w:val="Text"/>
      </w:pPr>
      <w:r w:rsidRPr="00021D90">
        <w:t>Stakeholders offered t</w:t>
      </w:r>
      <w:r w:rsidR="00282B10" w:rsidRPr="00021D90">
        <w:t xml:space="preserve">he </w:t>
      </w:r>
      <w:r w:rsidR="000A76AE" w:rsidRPr="00021D90">
        <w:t xml:space="preserve">following suggestions </w:t>
      </w:r>
      <w:r w:rsidR="00713958" w:rsidRPr="00021D90">
        <w:t>on</w:t>
      </w:r>
      <w:r w:rsidR="005133C6" w:rsidRPr="00021D90">
        <w:t xml:space="preserve"> how to </w:t>
      </w:r>
      <w:r w:rsidR="00181AB0" w:rsidRPr="00021D90">
        <w:t xml:space="preserve">attract and </w:t>
      </w:r>
      <w:r w:rsidR="005133C6" w:rsidRPr="00021D90">
        <w:t>build a capable VET workforce</w:t>
      </w:r>
      <w:r w:rsidR="000A76AE" w:rsidRPr="00021D90">
        <w:t>:</w:t>
      </w:r>
    </w:p>
    <w:p w14:paraId="323C74C4" w14:textId="5EF08AA1" w:rsidR="00C8363F" w:rsidRPr="00E049AD" w:rsidRDefault="00B206C4" w:rsidP="00E049AD">
      <w:pPr>
        <w:pStyle w:val="Dotpoint10"/>
      </w:pPr>
      <w:r w:rsidRPr="00E049AD">
        <w:t xml:space="preserve">Removing the burden of </w:t>
      </w:r>
      <w:r w:rsidR="00867994" w:rsidRPr="00E049AD">
        <w:t>heavy workloads</w:t>
      </w:r>
      <w:r w:rsidR="00822B9C" w:rsidRPr="00E049AD">
        <w:t xml:space="preserve">, </w:t>
      </w:r>
      <w:r w:rsidR="00867994" w:rsidRPr="00E049AD">
        <w:t xml:space="preserve">including the </w:t>
      </w:r>
      <w:r w:rsidR="001A24E1" w:rsidRPr="00E049AD">
        <w:t>requirement</w:t>
      </w:r>
      <w:r w:rsidR="00867994" w:rsidRPr="00E049AD">
        <w:t xml:space="preserve"> to address multiple administrative</w:t>
      </w:r>
      <w:r w:rsidR="00282B10" w:rsidRPr="00E049AD">
        <w:t xml:space="preserve"> duties, </w:t>
      </w:r>
      <w:r w:rsidR="0029124C" w:rsidRPr="00E049AD">
        <w:t xml:space="preserve">time-consuming </w:t>
      </w:r>
      <w:r w:rsidR="00867994" w:rsidRPr="00E049AD">
        <w:t xml:space="preserve">compliance </w:t>
      </w:r>
      <w:r w:rsidR="0029124C" w:rsidRPr="00E049AD">
        <w:t>documentation</w:t>
      </w:r>
      <w:r w:rsidR="00822B9C" w:rsidRPr="00E049AD">
        <w:t xml:space="preserve"> (Guy 2020)</w:t>
      </w:r>
      <w:r w:rsidR="00867994" w:rsidRPr="00E049AD">
        <w:t xml:space="preserve">, </w:t>
      </w:r>
      <w:r w:rsidR="00282B10" w:rsidRPr="00E049AD">
        <w:t xml:space="preserve">and </w:t>
      </w:r>
      <w:r w:rsidR="003F405F" w:rsidRPr="00E049AD">
        <w:t xml:space="preserve">the </w:t>
      </w:r>
      <w:r w:rsidR="0029124C" w:rsidRPr="00E049AD">
        <w:t xml:space="preserve">cost and </w:t>
      </w:r>
      <w:r w:rsidR="00A936F3" w:rsidRPr="00E049AD">
        <w:t>e</w:t>
      </w:r>
      <w:r w:rsidR="0029124C" w:rsidRPr="00E049AD">
        <w:t xml:space="preserve">ffort </w:t>
      </w:r>
      <w:r w:rsidR="003F405F" w:rsidRPr="00E049AD">
        <w:t>of</w:t>
      </w:r>
      <w:r w:rsidR="0029124C" w:rsidRPr="00E049AD">
        <w:t xml:space="preserve"> upgrading the </w:t>
      </w:r>
      <w:r w:rsidR="00DF5B4C" w:rsidRPr="00E049AD">
        <w:t>Certificate IV in</w:t>
      </w:r>
      <w:r w:rsidR="00A936F3" w:rsidRPr="00E049AD">
        <w:t xml:space="preserve"> </w:t>
      </w:r>
      <w:r w:rsidR="0029124C" w:rsidRPr="00E049AD">
        <w:t>TAE qualification</w:t>
      </w:r>
      <w:r w:rsidR="006F59A6" w:rsidRPr="00E049AD">
        <w:t xml:space="preserve"> (Guthrie &amp; Every 2013)</w:t>
      </w:r>
      <w:r w:rsidR="00E7224C">
        <w:t>,</w:t>
      </w:r>
    </w:p>
    <w:p w14:paraId="4AA73973" w14:textId="44E03D31" w:rsidR="00282B10" w:rsidRPr="00E049AD" w:rsidRDefault="00867994" w:rsidP="00E049AD">
      <w:pPr>
        <w:pStyle w:val="Dotpoint10"/>
      </w:pPr>
      <w:r w:rsidRPr="00E049AD">
        <w:t>Recognis</w:t>
      </w:r>
      <w:r w:rsidR="0029124C" w:rsidRPr="00E049AD">
        <w:t>ing</w:t>
      </w:r>
      <w:r w:rsidRPr="00E049AD">
        <w:t xml:space="preserve"> </w:t>
      </w:r>
      <w:r w:rsidR="003F405F" w:rsidRPr="00E049AD">
        <w:t xml:space="preserve">that a </w:t>
      </w:r>
      <w:r w:rsidRPr="00E049AD">
        <w:t xml:space="preserve">strength of the </w:t>
      </w:r>
      <w:r w:rsidR="003F405F" w:rsidRPr="00E049AD">
        <w:t xml:space="preserve">VET </w:t>
      </w:r>
      <w:r w:rsidRPr="00E049AD">
        <w:t xml:space="preserve">system </w:t>
      </w:r>
      <w:r w:rsidR="003F405F" w:rsidRPr="00E049AD">
        <w:t xml:space="preserve">is that VET </w:t>
      </w:r>
      <w:r w:rsidR="0034169D" w:rsidRPr="00E049AD">
        <w:t>teacher</w:t>
      </w:r>
      <w:r w:rsidR="003F405F" w:rsidRPr="00E049AD">
        <w:t>s are dual professionals (</w:t>
      </w:r>
      <w:r w:rsidR="001A24E1" w:rsidRPr="00E049AD">
        <w:t>that is,</w:t>
      </w:r>
      <w:r w:rsidR="003F405F" w:rsidRPr="00E049AD">
        <w:t xml:space="preserve"> both </w:t>
      </w:r>
      <w:r w:rsidR="001A24E1" w:rsidRPr="00E049AD">
        <w:t xml:space="preserve">an </w:t>
      </w:r>
      <w:r w:rsidR="003F405F" w:rsidRPr="00E049AD">
        <w:t xml:space="preserve">industry expert and </w:t>
      </w:r>
      <w:r w:rsidR="001A24E1" w:rsidRPr="00E049AD">
        <w:t xml:space="preserve">a </w:t>
      </w:r>
      <w:r w:rsidR="003F405F" w:rsidRPr="00E049AD">
        <w:t>teacher)</w:t>
      </w:r>
      <w:r w:rsidR="00900A15" w:rsidRPr="00E049AD">
        <w:t xml:space="preserve">. </w:t>
      </w:r>
      <w:r w:rsidR="0029124C" w:rsidRPr="00E049AD">
        <w:t xml:space="preserve">This </w:t>
      </w:r>
      <w:r w:rsidR="003F405F" w:rsidRPr="00E049AD">
        <w:t xml:space="preserve">can involve </w:t>
      </w:r>
      <w:r w:rsidR="0029124C" w:rsidRPr="00E049AD">
        <w:t xml:space="preserve">establishing </w:t>
      </w:r>
      <w:r w:rsidRPr="00E049AD">
        <w:t xml:space="preserve">support strategies to </w:t>
      </w:r>
      <w:r w:rsidR="00BC043C" w:rsidRPr="00E049AD">
        <w:t>help</w:t>
      </w:r>
      <w:r w:rsidR="003F405F" w:rsidRPr="00E049AD">
        <w:t xml:space="preserve"> industry experts</w:t>
      </w:r>
      <w:r w:rsidR="00BC043C" w:rsidRPr="00E049AD">
        <w:t xml:space="preserve"> become </w:t>
      </w:r>
      <w:r w:rsidR="000D5128" w:rsidRPr="00E049AD">
        <w:t>accomplished</w:t>
      </w:r>
      <w:r w:rsidR="00BC043C" w:rsidRPr="00E049AD">
        <w:t xml:space="preserve"> teachers</w:t>
      </w:r>
      <w:r w:rsidR="003F405F" w:rsidRPr="00E049AD">
        <w:t xml:space="preserve"> and assist experienced teachers </w:t>
      </w:r>
      <w:r w:rsidR="004857FE" w:rsidRPr="00E049AD">
        <w:t>to</w:t>
      </w:r>
      <w:r w:rsidR="003F405F" w:rsidRPr="00E049AD">
        <w:t xml:space="preserve"> maintain industry </w:t>
      </w:r>
      <w:r w:rsidR="003F405F" w:rsidRPr="00E049AD">
        <w:lastRenderedPageBreak/>
        <w:t>currency</w:t>
      </w:r>
      <w:r w:rsidRPr="00E049AD">
        <w:t xml:space="preserve">. </w:t>
      </w:r>
      <w:r w:rsidR="000D5128" w:rsidRPr="00E049AD">
        <w:t>D</w:t>
      </w:r>
      <w:r w:rsidR="00282B10" w:rsidRPr="00E049AD">
        <w:t>evelop</w:t>
      </w:r>
      <w:r w:rsidRPr="00E049AD">
        <w:t>ing</w:t>
      </w:r>
      <w:r w:rsidR="00282B10" w:rsidRPr="00E049AD">
        <w:t xml:space="preserve"> </w:t>
      </w:r>
      <w:r w:rsidR="003926CE" w:rsidRPr="00E049AD">
        <w:t xml:space="preserve">and maintaining </w:t>
      </w:r>
      <w:r w:rsidR="00282B10" w:rsidRPr="00E049AD">
        <w:t xml:space="preserve">close relationships with employers </w:t>
      </w:r>
      <w:r w:rsidR="000D5128" w:rsidRPr="00E049AD">
        <w:t>to</w:t>
      </w:r>
      <w:r w:rsidR="00282B10" w:rsidRPr="00E049AD">
        <w:t xml:space="preserve"> identify </w:t>
      </w:r>
      <w:r w:rsidR="000D5128" w:rsidRPr="00E049AD">
        <w:t xml:space="preserve">industry experts with </w:t>
      </w:r>
      <w:r w:rsidR="00282B10" w:rsidRPr="00E049AD">
        <w:t xml:space="preserve">the potential and willingness to become </w:t>
      </w:r>
      <w:r w:rsidR="0029124C" w:rsidRPr="00E049AD">
        <w:t>VET teachers</w:t>
      </w:r>
      <w:r w:rsidR="000D5128" w:rsidRPr="00E049AD">
        <w:t xml:space="preserve"> is a starting point.</w:t>
      </w:r>
      <w:r w:rsidRPr="00E049AD">
        <w:t xml:space="preserve"> </w:t>
      </w:r>
      <w:r w:rsidR="0036744B" w:rsidRPr="00E049AD">
        <w:t xml:space="preserve">However, a particular challenge </w:t>
      </w:r>
      <w:r w:rsidR="00997145" w:rsidRPr="00E049AD">
        <w:t xml:space="preserve">is </w:t>
      </w:r>
      <w:r w:rsidR="0036744B" w:rsidRPr="00E049AD">
        <w:t>attract</w:t>
      </w:r>
      <w:r w:rsidR="00997145" w:rsidRPr="00E049AD">
        <w:t>ing</w:t>
      </w:r>
      <w:r w:rsidR="0036744B" w:rsidRPr="00E049AD">
        <w:t xml:space="preserve"> industry experts from high paying occupations</w:t>
      </w:r>
      <w:r w:rsidR="006A29FF" w:rsidRPr="00E049AD">
        <w:t xml:space="preserve"> to teaching roles</w:t>
      </w:r>
      <w:r w:rsidR="009A1B63" w:rsidRPr="00E049AD">
        <w:t>, which may be lower paid</w:t>
      </w:r>
      <w:r w:rsidR="00E7224C">
        <w:t>,</w:t>
      </w:r>
    </w:p>
    <w:p w14:paraId="783C0190" w14:textId="11A299EC" w:rsidR="003B7D6C" w:rsidRPr="00E049AD" w:rsidRDefault="00282B10" w:rsidP="00E049AD">
      <w:pPr>
        <w:pStyle w:val="Dotpoint10"/>
      </w:pPr>
      <w:r w:rsidRPr="00E049AD">
        <w:t>Promot</w:t>
      </w:r>
      <w:r w:rsidR="00276A27" w:rsidRPr="00E049AD">
        <w:t>ing</w:t>
      </w:r>
      <w:r w:rsidRPr="00E049AD">
        <w:t xml:space="preserve"> the </w:t>
      </w:r>
      <w:r w:rsidR="00B206C4" w:rsidRPr="00E049AD">
        <w:t xml:space="preserve">positive aspects of VET teaching, including the </w:t>
      </w:r>
      <w:r w:rsidR="00867994" w:rsidRPr="00E049AD">
        <w:t>relatively good employment</w:t>
      </w:r>
      <w:r w:rsidRPr="00E049AD">
        <w:t xml:space="preserve"> conditions</w:t>
      </w:r>
      <w:r w:rsidR="004C341A" w:rsidRPr="00E049AD">
        <w:t xml:space="preserve">, work-life </w:t>
      </w:r>
      <w:proofErr w:type="gramStart"/>
      <w:r w:rsidR="00997145" w:rsidRPr="00E049AD">
        <w:t>balance</w:t>
      </w:r>
      <w:proofErr w:type="gramEnd"/>
      <w:r w:rsidR="004C341A" w:rsidRPr="00E049AD">
        <w:t xml:space="preserve"> and</w:t>
      </w:r>
      <w:r w:rsidR="003F405F" w:rsidRPr="00E049AD">
        <w:t xml:space="preserve"> </w:t>
      </w:r>
      <w:r w:rsidR="004C341A" w:rsidRPr="00E049AD">
        <w:t xml:space="preserve">higher level of pay for those coming from </w:t>
      </w:r>
      <w:r w:rsidR="0036744B" w:rsidRPr="00E049AD">
        <w:t xml:space="preserve">industries and occupations where wages </w:t>
      </w:r>
      <w:r w:rsidR="00997145" w:rsidRPr="00E049AD">
        <w:t xml:space="preserve">are </w:t>
      </w:r>
      <w:r w:rsidR="0036744B" w:rsidRPr="00E049AD">
        <w:t xml:space="preserve">much lower. </w:t>
      </w:r>
      <w:r w:rsidR="00854C49" w:rsidRPr="00E049AD">
        <w:t>Offering salary</w:t>
      </w:r>
      <w:r w:rsidR="00BC76B2" w:rsidRPr="00E049AD">
        <w:t>-</w:t>
      </w:r>
      <w:r w:rsidR="00854C49" w:rsidRPr="00E049AD">
        <w:t>sacrificing incentives for teachers to upgrade their qualification</w:t>
      </w:r>
      <w:r w:rsidR="000D5128" w:rsidRPr="00E049AD">
        <w:t>s (s</w:t>
      </w:r>
      <w:r w:rsidR="00C34A93" w:rsidRPr="00E049AD">
        <w:t>uch as</w:t>
      </w:r>
      <w:r w:rsidR="000D5128" w:rsidRPr="00E049AD">
        <w:t xml:space="preserve"> to the </w:t>
      </w:r>
      <w:r w:rsidR="00854C49" w:rsidRPr="00E049AD">
        <w:t>Diploma</w:t>
      </w:r>
      <w:r w:rsidR="00822B9C" w:rsidRPr="00E049AD">
        <w:t xml:space="preserve"> of VET</w:t>
      </w:r>
      <w:r w:rsidR="006F59A6" w:rsidRPr="00E049AD">
        <w:t xml:space="preserve"> or </w:t>
      </w:r>
      <w:r w:rsidR="009B778C" w:rsidRPr="00E049AD">
        <w:t>higher-level</w:t>
      </w:r>
      <w:r w:rsidR="006F59A6" w:rsidRPr="00E049AD">
        <w:t xml:space="preserve"> qualifications</w:t>
      </w:r>
      <w:r w:rsidR="000D5128" w:rsidRPr="00E049AD">
        <w:t>)</w:t>
      </w:r>
      <w:r w:rsidR="003B7D6C" w:rsidRPr="00E049AD">
        <w:t xml:space="preserve"> </w:t>
      </w:r>
      <w:r w:rsidR="00854C49" w:rsidRPr="00E049AD">
        <w:t xml:space="preserve">and </w:t>
      </w:r>
      <w:r w:rsidR="000D5128" w:rsidRPr="00E049AD">
        <w:t xml:space="preserve">providing them with </w:t>
      </w:r>
      <w:r w:rsidR="00854C49" w:rsidRPr="00E049AD">
        <w:t xml:space="preserve">study leave </w:t>
      </w:r>
      <w:r w:rsidR="000D5128" w:rsidRPr="00E049AD">
        <w:t>to do so may also be attractive incentives</w:t>
      </w:r>
      <w:r w:rsidR="009D394D" w:rsidRPr="00E049AD">
        <w:t xml:space="preserve">, and </w:t>
      </w:r>
    </w:p>
    <w:p w14:paraId="0946A582" w14:textId="65E48283" w:rsidR="00E026B9" w:rsidRPr="00E049AD" w:rsidRDefault="00DC39D7" w:rsidP="00E049AD">
      <w:pPr>
        <w:pStyle w:val="Dotpoint10"/>
      </w:pPr>
      <w:r w:rsidRPr="00E049AD">
        <w:t>E</w:t>
      </w:r>
      <w:r w:rsidR="00631C8F" w:rsidRPr="00E049AD">
        <w:t xml:space="preserve">stablishing </w:t>
      </w:r>
      <w:r w:rsidR="00C34A93" w:rsidRPr="00E049AD">
        <w:t xml:space="preserve">a range of </w:t>
      </w:r>
      <w:r w:rsidR="00631C8F" w:rsidRPr="00E049AD">
        <w:t xml:space="preserve">career path options, </w:t>
      </w:r>
      <w:r w:rsidR="000D5128" w:rsidRPr="00E049AD">
        <w:t>including</w:t>
      </w:r>
      <w:r w:rsidR="00631C8F" w:rsidRPr="00E049AD">
        <w:t xml:space="preserve"> specialisations</w:t>
      </w:r>
      <w:r w:rsidR="00C34A93" w:rsidRPr="00E049AD">
        <w:t>, to support</w:t>
      </w:r>
      <w:r w:rsidR="00276A27" w:rsidRPr="00E049AD">
        <w:t xml:space="preserve"> teachers </w:t>
      </w:r>
      <w:r w:rsidR="00C34A93" w:rsidRPr="00E049AD">
        <w:t xml:space="preserve">who </w:t>
      </w:r>
      <w:r w:rsidR="00276A27" w:rsidRPr="00E049AD">
        <w:t xml:space="preserve">wish to </w:t>
      </w:r>
      <w:r w:rsidR="00C34A93" w:rsidRPr="00E049AD">
        <w:t xml:space="preserve">continue </w:t>
      </w:r>
      <w:r w:rsidR="00631C8F" w:rsidRPr="00E049AD">
        <w:t>teaching, or mov</w:t>
      </w:r>
      <w:r w:rsidR="00C34A93" w:rsidRPr="00E049AD">
        <w:t>e</w:t>
      </w:r>
      <w:r w:rsidR="00631C8F" w:rsidRPr="00E049AD">
        <w:t xml:space="preserve"> into supervisory, mentoring or leadership positions</w:t>
      </w:r>
      <w:r w:rsidR="00282B10" w:rsidRPr="00E049AD">
        <w:t>.</w:t>
      </w:r>
      <w:r w:rsidR="00770018" w:rsidRPr="00E049AD">
        <w:t xml:space="preserve"> </w:t>
      </w:r>
      <w:r w:rsidR="00CF15A6" w:rsidRPr="00E049AD">
        <w:t xml:space="preserve">This supports </w:t>
      </w:r>
      <w:r w:rsidR="00E026B9" w:rsidRPr="00E049AD">
        <w:t xml:space="preserve">Simons et al. </w:t>
      </w:r>
      <w:r w:rsidR="00921A32">
        <w:t>(</w:t>
      </w:r>
      <w:r w:rsidR="00E026B9" w:rsidRPr="00E049AD">
        <w:t>2009)</w:t>
      </w:r>
      <w:r w:rsidR="009A36CD" w:rsidRPr="00E049AD">
        <w:t xml:space="preserve"> </w:t>
      </w:r>
      <w:r w:rsidR="00CF15A6" w:rsidRPr="00E049AD">
        <w:t xml:space="preserve">view that </w:t>
      </w:r>
      <w:r w:rsidR="00986F3D" w:rsidRPr="00E049AD">
        <w:t xml:space="preserve">CPD </w:t>
      </w:r>
      <w:r w:rsidR="00CF15A6" w:rsidRPr="00E049AD">
        <w:t xml:space="preserve">should support </w:t>
      </w:r>
      <w:r w:rsidR="00144B08" w:rsidRPr="00E049AD">
        <w:t xml:space="preserve">all VET </w:t>
      </w:r>
      <w:r w:rsidR="00E026B9" w:rsidRPr="00E049AD">
        <w:t xml:space="preserve">staff </w:t>
      </w:r>
      <w:r w:rsidR="00CF15A6" w:rsidRPr="00E049AD">
        <w:t xml:space="preserve">to </w:t>
      </w:r>
      <w:r w:rsidR="00E026B9" w:rsidRPr="00E049AD">
        <w:t xml:space="preserve">enhance their career(s) </w:t>
      </w:r>
      <w:r w:rsidR="00CF15A6" w:rsidRPr="00E049AD">
        <w:t xml:space="preserve">by </w:t>
      </w:r>
      <w:r w:rsidR="00E026B9" w:rsidRPr="00E049AD">
        <w:t xml:space="preserve">attaining the type and quality of work and working life they want. </w:t>
      </w:r>
      <w:r w:rsidR="00770018" w:rsidRPr="00E049AD">
        <w:t xml:space="preserve">However, there </w:t>
      </w:r>
      <w:r w:rsidR="00E026B9" w:rsidRPr="00E049AD">
        <w:t xml:space="preserve">are </w:t>
      </w:r>
      <w:r w:rsidR="00770018" w:rsidRPr="00E049AD">
        <w:t>problems</w:t>
      </w:r>
      <w:r w:rsidR="00E026B9" w:rsidRPr="00E049AD">
        <w:t xml:space="preserve"> with this</w:t>
      </w:r>
      <w:r w:rsidR="00770018" w:rsidRPr="00E049AD">
        <w:t xml:space="preserve"> approach</w:t>
      </w:r>
      <w:r w:rsidR="0072124C" w:rsidRPr="00E049AD">
        <w:t xml:space="preserve">, particularly </w:t>
      </w:r>
      <w:r w:rsidR="00CF15A6" w:rsidRPr="00E049AD">
        <w:t xml:space="preserve">when </w:t>
      </w:r>
      <w:r w:rsidR="00E026B9" w:rsidRPr="00E049AD">
        <w:t>job</w:t>
      </w:r>
      <w:r w:rsidR="0072124C" w:rsidRPr="00E049AD">
        <w:t xml:space="preserve"> or </w:t>
      </w:r>
      <w:r w:rsidR="00E026B9" w:rsidRPr="00E049AD">
        <w:t xml:space="preserve">role-specific training with </w:t>
      </w:r>
      <w:r w:rsidR="0072124C" w:rsidRPr="00E049AD">
        <w:t>‘</w:t>
      </w:r>
      <w:r w:rsidR="00E026B9" w:rsidRPr="00E049AD">
        <w:t>immediate and direct benefit to the current employer</w:t>
      </w:r>
      <w:r w:rsidR="0072124C" w:rsidRPr="00E049AD">
        <w:t xml:space="preserve">’ </w:t>
      </w:r>
      <w:r w:rsidR="00E026B9" w:rsidRPr="00E049AD">
        <w:t>is needed</w:t>
      </w:r>
      <w:r w:rsidR="0072124C" w:rsidRPr="00E049AD">
        <w:t xml:space="preserve"> and becomes ‘</w:t>
      </w:r>
      <w:r w:rsidR="00E026B9" w:rsidRPr="00E049AD">
        <w:t>overly focused</w:t>
      </w:r>
      <w:r w:rsidR="0072124C" w:rsidRPr="00E049AD">
        <w:t>’</w:t>
      </w:r>
      <w:r w:rsidR="00E026B9" w:rsidRPr="00E049AD">
        <w:t xml:space="preserve"> on gap training</w:t>
      </w:r>
      <w:r w:rsidR="0072124C" w:rsidRPr="00E049AD">
        <w:t xml:space="preserve"> and </w:t>
      </w:r>
      <w:r w:rsidR="00E026B9" w:rsidRPr="00E049AD">
        <w:t xml:space="preserve">maintaining the status quo at the </w:t>
      </w:r>
      <w:r w:rsidR="0072124C" w:rsidRPr="00E049AD">
        <w:t xml:space="preserve">expense of </w:t>
      </w:r>
      <w:r w:rsidR="00E026B9" w:rsidRPr="00E049AD">
        <w:t>mor</w:t>
      </w:r>
      <w:r w:rsidR="002F1C37" w:rsidRPr="00E049AD">
        <w:t xml:space="preserve">e </w:t>
      </w:r>
      <w:r w:rsidR="00E026B9" w:rsidRPr="00E049AD">
        <w:t>innovative and flexible approaches</w:t>
      </w:r>
      <w:r w:rsidR="00770018" w:rsidRPr="00E049AD">
        <w:t xml:space="preserve"> </w:t>
      </w:r>
      <w:r w:rsidR="0072124C" w:rsidRPr="00E049AD">
        <w:t xml:space="preserve">(Ibid., </w:t>
      </w:r>
      <w:r w:rsidR="00ED5705">
        <w:t>p.</w:t>
      </w:r>
      <w:r w:rsidR="0072124C" w:rsidRPr="00E049AD">
        <w:t>10).</w:t>
      </w:r>
    </w:p>
    <w:p w14:paraId="266E405E" w14:textId="41ED351F" w:rsidR="00770018" w:rsidRPr="009C7807" w:rsidRDefault="00770018" w:rsidP="009C7807">
      <w:pPr>
        <w:pStyle w:val="Heading2"/>
      </w:pPr>
      <w:bookmarkStart w:id="96" w:name="_Toc62204954"/>
      <w:r w:rsidRPr="009C7807">
        <w:t>Case studies of teacher professional development</w:t>
      </w:r>
      <w:bookmarkEnd w:id="96"/>
      <w:r w:rsidRPr="009C7807">
        <w:t xml:space="preserve"> </w:t>
      </w:r>
    </w:p>
    <w:p w14:paraId="7186BA54" w14:textId="56374B37" w:rsidR="00877561" w:rsidRDefault="00877561" w:rsidP="00877561">
      <w:pPr>
        <w:pStyle w:val="Text"/>
      </w:pPr>
      <w:r w:rsidRPr="002D1A7B">
        <w:t xml:space="preserve">The case studies </w:t>
      </w:r>
      <w:r>
        <w:t>analysed for this study (</w:t>
      </w:r>
      <w:r w:rsidR="009D394D">
        <w:t xml:space="preserve">and </w:t>
      </w:r>
      <w:r w:rsidR="00986F3D">
        <w:t xml:space="preserve">provided in </w:t>
      </w:r>
      <w:r w:rsidR="0070149A">
        <w:t xml:space="preserve">appendix </w:t>
      </w:r>
      <w:r w:rsidR="006F2B8E">
        <w:t>5</w:t>
      </w:r>
      <w:r>
        <w:t xml:space="preserve">) </w:t>
      </w:r>
      <w:r w:rsidRPr="002D1A7B">
        <w:t>describe</w:t>
      </w:r>
      <w:r>
        <w:t xml:space="preserve"> examples of provider – and </w:t>
      </w:r>
      <w:r w:rsidRPr="002D1A7B">
        <w:t xml:space="preserve">state and territory-based </w:t>
      </w:r>
      <w:r w:rsidR="00BD131F">
        <w:t xml:space="preserve">pilot </w:t>
      </w:r>
      <w:r w:rsidRPr="002D1A7B">
        <w:t>PD programs</w:t>
      </w:r>
      <w:r>
        <w:t xml:space="preserve"> for VET teachers</w:t>
      </w:r>
      <w:r w:rsidR="0072124C">
        <w:t xml:space="preserve"> and </w:t>
      </w:r>
      <w:r>
        <w:t>include:</w:t>
      </w:r>
    </w:p>
    <w:p w14:paraId="46C379F9" w14:textId="7FA795BD" w:rsidR="00877561" w:rsidRPr="00186E2B" w:rsidRDefault="00877561" w:rsidP="00C72D13">
      <w:pPr>
        <w:pStyle w:val="Dotpoint2"/>
        <w:numPr>
          <w:ilvl w:val="0"/>
          <w:numId w:val="20"/>
        </w:numPr>
        <w:rPr>
          <w:szCs w:val="19"/>
        </w:rPr>
      </w:pPr>
      <w:r w:rsidRPr="00877561">
        <w:t>The Professional Educator College Pilot (</w:t>
      </w:r>
      <w:r>
        <w:t xml:space="preserve">Chisholm Institute, </w:t>
      </w:r>
      <w:r w:rsidRPr="00877561">
        <w:t>Victoria)</w:t>
      </w:r>
      <w:r w:rsidR="00986F3D">
        <w:t xml:space="preserve">: a </w:t>
      </w:r>
      <w:r w:rsidR="00BD131F">
        <w:t xml:space="preserve">government funded </w:t>
      </w:r>
      <w:r w:rsidR="00424FC5">
        <w:t xml:space="preserve">program </w:t>
      </w:r>
      <w:r w:rsidR="00BA40E6">
        <w:t>c</w:t>
      </w:r>
      <w:r w:rsidR="00E848C8">
        <w:t xml:space="preserve">onducted </w:t>
      </w:r>
      <w:r w:rsidR="00BD131F">
        <w:t xml:space="preserve">in </w:t>
      </w:r>
      <w:r w:rsidR="00424FC5">
        <w:t>six TAFE institutes in Victoria</w:t>
      </w:r>
      <w:r w:rsidR="00770018">
        <w:t>,</w:t>
      </w:r>
      <w:r w:rsidR="00424FC5">
        <w:t xml:space="preserve"> including Chisholm as the lead institute</w:t>
      </w:r>
      <w:r w:rsidR="0072124C">
        <w:t xml:space="preserve"> that is</w:t>
      </w:r>
      <w:r w:rsidR="00986F3D">
        <w:t xml:space="preserve"> aimed at </w:t>
      </w:r>
      <w:r w:rsidR="00BA40E6">
        <w:t xml:space="preserve">developing </w:t>
      </w:r>
      <w:r w:rsidR="00424FC5">
        <w:t>teaching excellence</w:t>
      </w:r>
      <w:r w:rsidR="00986F3D">
        <w:t>. S</w:t>
      </w:r>
      <w:r w:rsidR="00BD131F" w:rsidRPr="00BD131F">
        <w:t xml:space="preserve">ystems </w:t>
      </w:r>
      <w:r w:rsidR="00986F3D">
        <w:t xml:space="preserve">are in place </w:t>
      </w:r>
      <w:r w:rsidR="00BD131F">
        <w:t xml:space="preserve">to </w:t>
      </w:r>
      <w:r w:rsidR="00BD131F" w:rsidRPr="00BD131F">
        <w:t>support t</w:t>
      </w:r>
      <w:r w:rsidR="00BD131F">
        <w:t xml:space="preserve">eachers </w:t>
      </w:r>
      <w:r w:rsidR="0072124C">
        <w:t xml:space="preserve">to </w:t>
      </w:r>
      <w:r w:rsidR="00986F3D">
        <w:t xml:space="preserve">plan and </w:t>
      </w:r>
      <w:r w:rsidR="00BD131F">
        <w:t xml:space="preserve">undertake </w:t>
      </w:r>
      <w:r w:rsidR="00BD131F" w:rsidRPr="00BD131F">
        <w:t xml:space="preserve">PD </w:t>
      </w:r>
      <w:r w:rsidR="00986F3D">
        <w:t>in line with the ‘</w:t>
      </w:r>
      <w:r w:rsidR="00986F3D" w:rsidRPr="00986F3D">
        <w:t>Chisholm Educator Excellence Framework</w:t>
      </w:r>
      <w:r w:rsidR="00986F3D">
        <w:t xml:space="preserve">’ and to </w:t>
      </w:r>
      <w:r w:rsidR="00BD131F" w:rsidRPr="00BD131F">
        <w:t>track their progress</w:t>
      </w:r>
      <w:r w:rsidR="00BD131F">
        <w:t xml:space="preserve"> through an </w:t>
      </w:r>
      <w:r w:rsidR="00BD131F" w:rsidRPr="00BD131F">
        <w:t xml:space="preserve">online app. </w:t>
      </w:r>
      <w:r w:rsidR="00986F3D" w:rsidRPr="00186E2B">
        <w:rPr>
          <w:szCs w:val="19"/>
        </w:rPr>
        <w:t>As they progress, t</w:t>
      </w:r>
      <w:r w:rsidR="00BD131F" w:rsidRPr="00186E2B">
        <w:rPr>
          <w:szCs w:val="19"/>
        </w:rPr>
        <w:t xml:space="preserve">eachers are allocated PD </w:t>
      </w:r>
      <w:r w:rsidR="00BA40E6" w:rsidRPr="00186E2B">
        <w:rPr>
          <w:szCs w:val="19"/>
        </w:rPr>
        <w:t>points which</w:t>
      </w:r>
      <w:r w:rsidR="00BD131F" w:rsidRPr="00186E2B">
        <w:rPr>
          <w:szCs w:val="19"/>
        </w:rPr>
        <w:t xml:space="preserve"> count towards an ‘Educator Passport’.</w:t>
      </w:r>
    </w:p>
    <w:p w14:paraId="494731E2" w14:textId="4FAFAC7D" w:rsidR="00877561" w:rsidRPr="00877561" w:rsidRDefault="00877561" w:rsidP="00C72D13">
      <w:pPr>
        <w:pStyle w:val="Dotpoint2"/>
        <w:numPr>
          <w:ilvl w:val="0"/>
          <w:numId w:val="20"/>
        </w:numPr>
      </w:pPr>
      <w:r w:rsidRPr="00877561">
        <w:t>TAE40116 Traineeship Pilot (</w:t>
      </w:r>
      <w:r>
        <w:t xml:space="preserve">Charles Darwin University, </w:t>
      </w:r>
      <w:r w:rsidRPr="00877561">
        <w:t>Northern Territory)</w:t>
      </w:r>
      <w:r w:rsidR="004929F1">
        <w:t xml:space="preserve">. </w:t>
      </w:r>
      <w:r w:rsidR="009D394D">
        <w:t>This is a</w:t>
      </w:r>
      <w:r w:rsidR="00BD131F">
        <w:t xml:space="preserve">lso </w:t>
      </w:r>
      <w:r w:rsidR="00986F3D">
        <w:t xml:space="preserve">a </w:t>
      </w:r>
      <w:r w:rsidR="00BD131F">
        <w:t>government-funded</w:t>
      </w:r>
      <w:r w:rsidR="00986F3D">
        <w:t xml:space="preserve"> project</w:t>
      </w:r>
      <w:r w:rsidR="009D394D">
        <w:t xml:space="preserve"> </w:t>
      </w:r>
      <w:r w:rsidR="00BD131F">
        <w:t>target</w:t>
      </w:r>
      <w:r w:rsidR="003D0F86">
        <w:t>ing</w:t>
      </w:r>
      <w:r w:rsidR="00BD131F">
        <w:t xml:space="preserve"> new VET teachers in a traineeship</w:t>
      </w:r>
      <w:r w:rsidR="004908C1">
        <w:t xml:space="preserve"> arrangement with an RTO</w:t>
      </w:r>
      <w:r w:rsidR="00BD131F">
        <w:t xml:space="preserve">. </w:t>
      </w:r>
      <w:r w:rsidR="00BA40E6">
        <w:t>Potential t</w:t>
      </w:r>
      <w:r w:rsidR="00BD131F">
        <w:t>eachers sign up with an RTO (maximum of two per RTO</w:t>
      </w:r>
      <w:r w:rsidR="001C53F0">
        <w:t>s</w:t>
      </w:r>
      <w:r w:rsidR="00BD131F">
        <w:t xml:space="preserve">) </w:t>
      </w:r>
      <w:r w:rsidR="00BA40E6">
        <w:t xml:space="preserve">after they </w:t>
      </w:r>
      <w:r w:rsidR="004929F1" w:rsidRPr="004929F1">
        <w:t>complet</w:t>
      </w:r>
      <w:r w:rsidR="00BA40E6">
        <w:t>e</w:t>
      </w:r>
      <w:r w:rsidR="004929F1" w:rsidRPr="004929F1">
        <w:t xml:space="preserve"> the Enterprise Trainer — skill set</w:t>
      </w:r>
      <w:r w:rsidR="00BD131F">
        <w:t>. This</w:t>
      </w:r>
      <w:r w:rsidR="00BA40E6">
        <w:t xml:space="preserve"> </w:t>
      </w:r>
      <w:r w:rsidR="004929F1" w:rsidRPr="004929F1">
        <w:t xml:space="preserve">enables </w:t>
      </w:r>
      <w:r w:rsidR="00C62BD4">
        <w:t xml:space="preserve">them </w:t>
      </w:r>
      <w:r w:rsidR="004929F1" w:rsidRPr="004929F1">
        <w:t>to commence teaching under supervision</w:t>
      </w:r>
      <w:r w:rsidR="00BD131F">
        <w:t xml:space="preserve"> </w:t>
      </w:r>
      <w:r w:rsidR="00C62BD4">
        <w:t xml:space="preserve">and </w:t>
      </w:r>
      <w:r w:rsidR="00BD131F">
        <w:t xml:space="preserve">complete the Certificate IV </w:t>
      </w:r>
      <w:r w:rsidR="00A936F3">
        <w:t xml:space="preserve">in </w:t>
      </w:r>
      <w:r w:rsidR="00445F11">
        <w:t>TAE</w:t>
      </w:r>
      <w:r w:rsidR="00445F11" w:rsidDel="00C62BD4">
        <w:t>.</w:t>
      </w:r>
    </w:p>
    <w:p w14:paraId="200B6A02" w14:textId="211EA1A4" w:rsidR="00877561" w:rsidRDefault="00877561" w:rsidP="00C72D13">
      <w:pPr>
        <w:pStyle w:val="Dotpoint2"/>
        <w:numPr>
          <w:ilvl w:val="0"/>
          <w:numId w:val="20"/>
        </w:numPr>
      </w:pPr>
      <w:r w:rsidRPr="00877561">
        <w:t>Regional Development of VET Teaching Capability Pilot (</w:t>
      </w:r>
      <w:proofErr w:type="spellStart"/>
      <w:r w:rsidR="00F45510">
        <w:t>Tas</w:t>
      </w:r>
      <w:r>
        <w:t>TAFE</w:t>
      </w:r>
      <w:proofErr w:type="spellEnd"/>
      <w:r>
        <w:t xml:space="preserve">, </w:t>
      </w:r>
      <w:r w:rsidRPr="00877561">
        <w:t>Tasmania</w:t>
      </w:r>
      <w:r>
        <w:t>)</w:t>
      </w:r>
      <w:r w:rsidR="004908C1">
        <w:t xml:space="preserve">; a </w:t>
      </w:r>
      <w:r w:rsidR="00172A75" w:rsidRPr="00172A75">
        <w:t xml:space="preserve">pilot </w:t>
      </w:r>
      <w:r w:rsidR="004908C1">
        <w:t xml:space="preserve">program that is </w:t>
      </w:r>
      <w:r w:rsidR="00172A75" w:rsidRPr="00172A75">
        <w:t xml:space="preserve">part of the Tasmanian Government’s Workforce Development Program which aims to build VET teaching capacity for industries of regional priority on the West Coast of Tasmania. </w:t>
      </w:r>
      <w:r w:rsidR="00C62BD4">
        <w:t>D</w:t>
      </w:r>
      <w:r w:rsidR="00172A75">
        <w:t>elivered through a partnership between West Coast Council and TASTAFE</w:t>
      </w:r>
      <w:r w:rsidR="00C62BD4">
        <w:t xml:space="preserve">, this program </w:t>
      </w:r>
      <w:r w:rsidR="00445F11">
        <w:t>aims to</w:t>
      </w:r>
      <w:r w:rsidR="00172A75">
        <w:t xml:space="preserve"> attract industry professionals into VET teaching in areas of skill need and support them to achieve the Certificate IV </w:t>
      </w:r>
      <w:r w:rsidR="00A936F3">
        <w:t xml:space="preserve">in </w:t>
      </w:r>
      <w:r w:rsidR="00172A75">
        <w:t xml:space="preserve">TAE through a blended learning approach. </w:t>
      </w:r>
    </w:p>
    <w:p w14:paraId="5CB053BA" w14:textId="52F07234" w:rsidR="008B57A2" w:rsidRDefault="00877561" w:rsidP="008B57A2">
      <w:pPr>
        <w:pStyle w:val="Text"/>
      </w:pPr>
      <w:r>
        <w:t>At the time of consultation</w:t>
      </w:r>
      <w:r w:rsidR="00C62BD4" w:rsidRPr="00C62BD4">
        <w:t xml:space="preserve"> </w:t>
      </w:r>
      <w:r w:rsidR="00C62BD4">
        <w:t>prior to the COVID-19 pandemic</w:t>
      </w:r>
      <w:r>
        <w:t xml:space="preserve">, the </w:t>
      </w:r>
      <w:r w:rsidRPr="00107095">
        <w:t xml:space="preserve">first two </w:t>
      </w:r>
      <w:r w:rsidR="00C62BD4">
        <w:t xml:space="preserve">cases </w:t>
      </w:r>
      <w:r w:rsidRPr="00107095">
        <w:t>had completed their first trials, and the third had undertaken initial recruitment and program design.</w:t>
      </w:r>
      <w:bookmarkStart w:id="97" w:name="_Toc19804894"/>
    </w:p>
    <w:p w14:paraId="3F6A91E1" w14:textId="4594132C" w:rsidR="003F627F" w:rsidRDefault="00172A75" w:rsidP="008B57A2">
      <w:pPr>
        <w:pStyle w:val="Text"/>
      </w:pPr>
      <w:r>
        <w:t xml:space="preserve">The three case studies are informative because </w:t>
      </w:r>
      <w:r w:rsidR="00770018" w:rsidRPr="00770018">
        <w:t xml:space="preserve">they </w:t>
      </w:r>
      <w:r w:rsidR="004908C1">
        <w:t xml:space="preserve">incorporate </w:t>
      </w:r>
      <w:r w:rsidR="003F627F">
        <w:t xml:space="preserve">stakeholder ideas </w:t>
      </w:r>
      <w:r>
        <w:t>to improve the quality of teaching. For example</w:t>
      </w:r>
      <w:r w:rsidR="003F627F">
        <w:t>:</w:t>
      </w:r>
    </w:p>
    <w:p w14:paraId="1C7AF426" w14:textId="4E2EDB9C" w:rsidR="003F627F" w:rsidRPr="00E049AD" w:rsidRDefault="00172A75" w:rsidP="00E049AD">
      <w:pPr>
        <w:pStyle w:val="Dotpoint10"/>
      </w:pPr>
      <w:r w:rsidRPr="00E049AD">
        <w:t xml:space="preserve">the </w:t>
      </w:r>
      <w:r w:rsidR="00424FC5" w:rsidRPr="00E049AD">
        <w:t xml:space="preserve">first two </w:t>
      </w:r>
      <w:r w:rsidRPr="00E049AD">
        <w:t xml:space="preserve">cases </w:t>
      </w:r>
      <w:r w:rsidR="00424FC5" w:rsidRPr="00E049AD">
        <w:t xml:space="preserve">are based on </w:t>
      </w:r>
      <w:r w:rsidRPr="00E049AD">
        <w:t xml:space="preserve">a localised teacher capability framework which provides a roadmap for </w:t>
      </w:r>
      <w:r w:rsidR="00424FC5" w:rsidRPr="00E049AD">
        <w:t xml:space="preserve">teachers </w:t>
      </w:r>
      <w:r w:rsidRPr="00E049AD">
        <w:t xml:space="preserve">and their managers </w:t>
      </w:r>
      <w:r w:rsidR="00424FC5" w:rsidRPr="00E049AD">
        <w:t xml:space="preserve">to </w:t>
      </w:r>
      <w:r w:rsidRPr="00E049AD">
        <w:t xml:space="preserve">plan PD and </w:t>
      </w:r>
      <w:r w:rsidR="00424FC5" w:rsidRPr="00E049AD">
        <w:t xml:space="preserve">assess </w:t>
      </w:r>
      <w:r w:rsidRPr="00E049AD">
        <w:t>progress</w:t>
      </w:r>
      <w:r w:rsidR="00281C11" w:rsidRPr="00E049AD">
        <w:t xml:space="preserve">. They also provide a common language for describing teaching practice (Denning, </w:t>
      </w:r>
      <w:r w:rsidR="00B61EC3" w:rsidRPr="00E049AD">
        <w:t>2015)</w:t>
      </w:r>
      <w:r w:rsidR="00C62BD4" w:rsidRPr="00E049AD">
        <w:t xml:space="preserve"> and a vis</w:t>
      </w:r>
      <w:r w:rsidR="00F45510" w:rsidRPr="00E049AD">
        <w:t>i</w:t>
      </w:r>
      <w:r w:rsidR="00C62BD4" w:rsidRPr="00E049AD">
        <w:t>on of what quality teaching looks like</w:t>
      </w:r>
      <w:r w:rsidR="00B61EC3" w:rsidRPr="00E049AD">
        <w:t xml:space="preserve"> </w:t>
      </w:r>
    </w:p>
    <w:p w14:paraId="6CDFC13B" w14:textId="54B09C7D" w:rsidR="003F627F" w:rsidRPr="00E049AD" w:rsidRDefault="003F627F" w:rsidP="00E049AD">
      <w:pPr>
        <w:pStyle w:val="Dotpoint10"/>
      </w:pPr>
      <w:r w:rsidRPr="00E049AD">
        <w:lastRenderedPageBreak/>
        <w:t>the second case</w:t>
      </w:r>
      <w:r w:rsidR="00172A75" w:rsidRPr="00E049AD">
        <w:t xml:space="preserve"> demonstrate</w:t>
      </w:r>
      <w:r w:rsidRPr="00E049AD">
        <w:t>s</w:t>
      </w:r>
      <w:r w:rsidR="00172A75" w:rsidRPr="00E049AD">
        <w:t xml:space="preserve"> a </w:t>
      </w:r>
      <w:r w:rsidRPr="00E049AD">
        <w:t>staged</w:t>
      </w:r>
      <w:r w:rsidR="004908C1" w:rsidRPr="00E049AD">
        <w:t xml:space="preserve"> </w:t>
      </w:r>
      <w:r w:rsidR="00172A75" w:rsidRPr="00E049AD">
        <w:t xml:space="preserve">model of learning where teachers learn on-the-job </w:t>
      </w:r>
      <w:r w:rsidRPr="00E049AD">
        <w:t xml:space="preserve">with </w:t>
      </w:r>
      <w:r w:rsidR="00BA40E6" w:rsidRPr="00E049AD">
        <w:t xml:space="preserve">the </w:t>
      </w:r>
      <w:r w:rsidRPr="00E049AD">
        <w:t xml:space="preserve">support </w:t>
      </w:r>
      <w:r w:rsidR="00BA40E6" w:rsidRPr="00E049AD">
        <w:t xml:space="preserve">of </w:t>
      </w:r>
      <w:r w:rsidRPr="00E049AD">
        <w:t>mentors,</w:t>
      </w:r>
      <w:r w:rsidR="009D394D" w:rsidRPr="00E049AD">
        <w:t xml:space="preserve"> and</w:t>
      </w:r>
    </w:p>
    <w:p w14:paraId="665FFE96" w14:textId="167049DE" w:rsidR="0065191A" w:rsidRPr="00E049AD" w:rsidRDefault="003F627F" w:rsidP="00E049AD">
      <w:pPr>
        <w:pStyle w:val="Dotpoint10"/>
      </w:pPr>
      <w:r w:rsidRPr="00E049AD">
        <w:t>the third case demonstrates approaches to attract industry professional</w:t>
      </w:r>
      <w:r w:rsidR="009D394D" w:rsidRPr="00E049AD">
        <w:t>s</w:t>
      </w:r>
      <w:r w:rsidRPr="00E049AD">
        <w:t xml:space="preserve"> into VET teaching</w:t>
      </w:r>
      <w:r w:rsidR="00BA40E6" w:rsidRPr="00E049AD">
        <w:t>, also</w:t>
      </w:r>
      <w:r w:rsidR="00B11348" w:rsidRPr="00E049AD">
        <w:t xml:space="preserve"> </w:t>
      </w:r>
      <w:r w:rsidR="00BA40E6" w:rsidRPr="00E049AD">
        <w:t xml:space="preserve">with </w:t>
      </w:r>
      <w:r w:rsidR="00B11348" w:rsidRPr="00E049AD">
        <w:t>ongoing mentoring support</w:t>
      </w:r>
      <w:r w:rsidR="004908C1" w:rsidRPr="00E049AD">
        <w:t>.</w:t>
      </w:r>
    </w:p>
    <w:p w14:paraId="1937F210" w14:textId="4DCDF630" w:rsidR="009435E7" w:rsidDel="00F161E7" w:rsidRDefault="004908C1" w:rsidP="00E049AD">
      <w:pPr>
        <w:pStyle w:val="Text"/>
      </w:pPr>
      <w:r>
        <w:t xml:space="preserve">While </w:t>
      </w:r>
      <w:r w:rsidR="003D0F86">
        <w:t xml:space="preserve">some are </w:t>
      </w:r>
      <w:r>
        <w:t>still in the pilot stage</w:t>
      </w:r>
      <w:r w:rsidR="003D0F86">
        <w:t xml:space="preserve"> at the time of writing</w:t>
      </w:r>
      <w:r>
        <w:t xml:space="preserve">, all three </w:t>
      </w:r>
      <w:r w:rsidR="0065191A" w:rsidRPr="004908C1">
        <w:t xml:space="preserve">cases demonstrate how </w:t>
      </w:r>
      <w:r>
        <w:t xml:space="preserve">localised </w:t>
      </w:r>
      <w:r w:rsidR="0065191A" w:rsidRPr="004908C1">
        <w:t xml:space="preserve">opportunities for PD at RTO level can be </w:t>
      </w:r>
      <w:r>
        <w:t xml:space="preserve">effective </w:t>
      </w:r>
      <w:r w:rsidR="0065191A" w:rsidRPr="004908C1">
        <w:t xml:space="preserve">when adequate government funding is available. </w:t>
      </w:r>
      <w:r w:rsidR="00B11348">
        <w:t>Notabl</w:t>
      </w:r>
      <w:r w:rsidR="0065191A">
        <w:t>y</w:t>
      </w:r>
      <w:r w:rsidR="00B11348">
        <w:t xml:space="preserve">, </w:t>
      </w:r>
      <w:r>
        <w:t xml:space="preserve">they also </w:t>
      </w:r>
      <w:r w:rsidR="00B11348">
        <w:t xml:space="preserve">adopt an applied, work-based learning model </w:t>
      </w:r>
      <w:r w:rsidR="00BA40E6">
        <w:t>wh</w:t>
      </w:r>
      <w:r w:rsidR="0065191A">
        <w:t xml:space="preserve">ere teachers develop </w:t>
      </w:r>
      <w:r w:rsidR="00BA40E6">
        <w:t>knowledge and capabilities on-the-job</w:t>
      </w:r>
      <w:r w:rsidR="001A5A14">
        <w:t xml:space="preserve">. This </w:t>
      </w:r>
      <w:r>
        <w:t xml:space="preserve">enables </w:t>
      </w:r>
      <w:r w:rsidR="001A5A14">
        <w:t xml:space="preserve">them </w:t>
      </w:r>
      <w:r w:rsidR="0065191A">
        <w:t xml:space="preserve">to </w:t>
      </w:r>
      <w:r w:rsidR="00BA40E6">
        <w:t xml:space="preserve">apply </w:t>
      </w:r>
      <w:r w:rsidR="00B61EC3">
        <w:t>theoretical aspects of teaching in</w:t>
      </w:r>
      <w:r w:rsidR="0065191A">
        <w:t xml:space="preserve"> </w:t>
      </w:r>
      <w:r w:rsidR="00B61EC3">
        <w:t xml:space="preserve">practice </w:t>
      </w:r>
      <w:r w:rsidR="00BA40E6">
        <w:t xml:space="preserve">and learn </w:t>
      </w:r>
      <w:r>
        <w:t>through</w:t>
      </w:r>
      <w:r w:rsidR="00BA40E6">
        <w:t xml:space="preserve"> </w:t>
      </w:r>
      <w:r w:rsidR="001A5A14">
        <w:t>self-</w:t>
      </w:r>
      <w:r w:rsidR="00BA40E6">
        <w:t xml:space="preserve">reflection </w:t>
      </w:r>
      <w:r w:rsidR="001A5A14">
        <w:t xml:space="preserve">and </w:t>
      </w:r>
      <w:r w:rsidR="00BA40E6">
        <w:t>feedback from others</w:t>
      </w:r>
      <w:r w:rsidR="00B61EC3">
        <w:t xml:space="preserve">. </w:t>
      </w:r>
      <w:bookmarkStart w:id="98" w:name="_Toc19804898"/>
      <w:bookmarkStart w:id="99" w:name="_Hlk38967449"/>
      <w:bookmarkEnd w:id="97"/>
      <w:r w:rsidR="009435E7" w:rsidDel="00F161E7">
        <w:br w:type="page"/>
      </w:r>
    </w:p>
    <w:p w14:paraId="3B34A18C" w14:textId="29BC794E" w:rsidR="009435E7" w:rsidRPr="005619A4" w:rsidRDefault="009435E7" w:rsidP="00BA40E6">
      <w:pPr>
        <w:pStyle w:val="Text"/>
        <w:spacing w:before="0" w:line="240" w:lineRule="auto"/>
        <w:ind w:left="709" w:hanging="709"/>
        <w:rPr>
          <w:rStyle w:val="Heading1Char"/>
        </w:rPr>
      </w:pPr>
      <w:r>
        <w:rPr>
          <w:rFonts w:ascii="Arial" w:hAnsi="Arial" w:cs="Tahoma"/>
          <w:noProof/>
          <w:color w:val="000000"/>
          <w:kern w:val="28"/>
          <w:sz w:val="48"/>
          <w:szCs w:val="56"/>
          <w:lang w:eastAsia="en-AU"/>
        </w:rPr>
        <w:lastRenderedPageBreak/>
        <w:drawing>
          <wp:anchor distT="0" distB="540385" distL="114300" distR="114300" simplePos="0" relativeHeight="252029952" behindDoc="0" locked="0" layoutInCell="1" allowOverlap="1" wp14:anchorId="4586DAD9" wp14:editId="3ED652E3">
            <wp:simplePos x="0" y="0"/>
            <wp:positionH relativeFrom="column">
              <wp:posOffset>12065</wp:posOffset>
            </wp:positionH>
            <wp:positionV relativeFrom="paragraph">
              <wp:posOffset>0</wp:posOffset>
            </wp:positionV>
            <wp:extent cx="413385" cy="413385"/>
            <wp:effectExtent l="0" t="0" r="5715" b="571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rot="16200000">
                      <a:off x="0" y="0"/>
                      <a:ext cx="413385" cy="413385"/>
                    </a:xfrm>
                    <a:prstGeom prst="rect">
                      <a:avLst/>
                    </a:prstGeom>
                    <a:noFill/>
                  </pic:spPr>
                </pic:pic>
              </a:graphicData>
            </a:graphic>
            <wp14:sizeRelH relativeFrom="margin">
              <wp14:pctWidth>0</wp14:pctWidth>
            </wp14:sizeRelH>
            <wp14:sizeRelV relativeFrom="margin">
              <wp14:pctHeight>0</wp14:pctHeight>
            </wp14:sizeRelV>
          </wp:anchor>
        </w:drawing>
      </w:r>
      <w:bookmarkStart w:id="100" w:name="_Toc62204955"/>
      <w:r w:rsidR="004908C1" w:rsidRPr="005619A4">
        <w:rPr>
          <w:rStyle w:val="Heading1Char"/>
        </w:rPr>
        <w:t>Moving forward: w</w:t>
      </w:r>
      <w:r w:rsidRPr="005619A4">
        <w:rPr>
          <w:rStyle w:val="Heading1Char"/>
        </w:rPr>
        <w:t xml:space="preserve">hat can we learn about </w:t>
      </w:r>
      <w:r w:rsidR="00BA40E6" w:rsidRPr="005619A4">
        <w:rPr>
          <w:rStyle w:val="Heading1Char"/>
        </w:rPr>
        <w:t xml:space="preserve">improving </w:t>
      </w:r>
      <w:r w:rsidR="009B33B1" w:rsidRPr="005619A4">
        <w:rPr>
          <w:rStyle w:val="Heading1Char"/>
        </w:rPr>
        <w:t xml:space="preserve">the quality of </w:t>
      </w:r>
      <w:r w:rsidRPr="005619A4">
        <w:rPr>
          <w:rStyle w:val="Heading1Char"/>
        </w:rPr>
        <w:t>VET teaching?</w:t>
      </w:r>
      <w:bookmarkEnd w:id="100"/>
    </w:p>
    <w:p w14:paraId="31A59086" w14:textId="69295B7F" w:rsidR="00BA40E6" w:rsidRDefault="00076815">
      <w:pPr>
        <w:pStyle w:val="Text"/>
      </w:pPr>
      <w:r>
        <w:t xml:space="preserve">The views of VET stakeholders </w:t>
      </w:r>
      <w:r w:rsidR="00254C57">
        <w:t xml:space="preserve">reported in this study </w:t>
      </w:r>
      <w:r>
        <w:t xml:space="preserve">affirm </w:t>
      </w:r>
      <w:proofErr w:type="gramStart"/>
      <w:r>
        <w:t>a number of</w:t>
      </w:r>
      <w:proofErr w:type="gramEnd"/>
      <w:r>
        <w:t xml:space="preserve"> </w:t>
      </w:r>
      <w:r w:rsidR="001512F6">
        <w:t xml:space="preserve">the </w:t>
      </w:r>
      <w:r>
        <w:t xml:space="preserve">factors </w:t>
      </w:r>
      <w:r w:rsidR="001512F6">
        <w:t xml:space="preserve">that </w:t>
      </w:r>
      <w:r>
        <w:t xml:space="preserve">facilitate quality teaching in VET </w:t>
      </w:r>
      <w:r w:rsidR="00107095">
        <w:t xml:space="preserve">and </w:t>
      </w:r>
      <w:r w:rsidR="001A5A14">
        <w:t xml:space="preserve">contribute to raising </w:t>
      </w:r>
      <w:r w:rsidR="00BA40E6">
        <w:t xml:space="preserve">overall </w:t>
      </w:r>
      <w:r>
        <w:t xml:space="preserve">quality across the sector. </w:t>
      </w:r>
      <w:r w:rsidR="002A4FFB">
        <w:t>Their</w:t>
      </w:r>
      <w:r w:rsidR="00107095">
        <w:t xml:space="preserve"> </w:t>
      </w:r>
      <w:r w:rsidR="00D331E0">
        <w:t xml:space="preserve">concerns </w:t>
      </w:r>
      <w:r>
        <w:t xml:space="preserve">are mostly centred on </w:t>
      </w:r>
      <w:r w:rsidRPr="00076815">
        <w:t>teacher qualifications, induction and ongoing support</w:t>
      </w:r>
      <w:r>
        <w:t xml:space="preserve"> programs</w:t>
      </w:r>
      <w:r w:rsidRPr="00076815">
        <w:t xml:space="preserve">, </w:t>
      </w:r>
      <w:r>
        <w:t>investment in CPD</w:t>
      </w:r>
      <w:r w:rsidR="00D331E0">
        <w:t xml:space="preserve"> and </w:t>
      </w:r>
      <w:r w:rsidRPr="00076815">
        <w:t xml:space="preserve">employment </w:t>
      </w:r>
      <w:r>
        <w:t xml:space="preserve">and </w:t>
      </w:r>
      <w:r w:rsidR="00445F11">
        <w:t>the cultural</w:t>
      </w:r>
      <w:r>
        <w:t xml:space="preserve"> </w:t>
      </w:r>
      <w:r w:rsidRPr="00076815">
        <w:t>conditions</w:t>
      </w:r>
      <w:r w:rsidR="00D331E0">
        <w:t xml:space="preserve"> within RTOs</w:t>
      </w:r>
      <w:r>
        <w:t xml:space="preserve">. </w:t>
      </w:r>
      <w:r w:rsidR="00107095">
        <w:t xml:space="preserve">When </w:t>
      </w:r>
      <w:r>
        <w:t xml:space="preserve">these factors are not optimal, </w:t>
      </w:r>
      <w:r w:rsidR="00E7675B">
        <w:t>or not present</w:t>
      </w:r>
      <w:r w:rsidR="00254C57">
        <w:t xml:space="preserve"> at all</w:t>
      </w:r>
      <w:r w:rsidR="00E7675B">
        <w:t xml:space="preserve">, </w:t>
      </w:r>
      <w:r>
        <w:t xml:space="preserve">they </w:t>
      </w:r>
      <w:r w:rsidR="00107095">
        <w:t xml:space="preserve">can </w:t>
      </w:r>
      <w:r>
        <w:t>inhibit teaching quality</w:t>
      </w:r>
      <w:r w:rsidR="00E7675B">
        <w:t xml:space="preserve"> and </w:t>
      </w:r>
      <w:r w:rsidR="00107095">
        <w:t xml:space="preserve">adversely </w:t>
      </w:r>
      <w:r w:rsidR="00220D05">
        <w:t>affect</w:t>
      </w:r>
      <w:r w:rsidR="00E7675B">
        <w:t xml:space="preserve"> the sector’s performance. </w:t>
      </w:r>
      <w:r w:rsidR="00706F76" w:rsidRPr="00706F76">
        <w:t>None of these factors are new</w:t>
      </w:r>
      <w:r w:rsidR="001A5A14">
        <w:t xml:space="preserve">. They </w:t>
      </w:r>
      <w:r w:rsidR="00706F76" w:rsidRPr="00706F76">
        <w:t xml:space="preserve">have been issues of concern </w:t>
      </w:r>
      <w:r w:rsidR="00706F76">
        <w:t xml:space="preserve">in the sector </w:t>
      </w:r>
      <w:r w:rsidR="00706F76" w:rsidRPr="00706F76">
        <w:t xml:space="preserve">for many years (Clayton and Guthrie, 2013) and, as this study shows, </w:t>
      </w:r>
      <w:r w:rsidR="001A5A14">
        <w:t xml:space="preserve">remain </w:t>
      </w:r>
      <w:r w:rsidR="00706F76" w:rsidRPr="00706F76">
        <w:t xml:space="preserve">front </w:t>
      </w:r>
      <w:r w:rsidR="001A5A14">
        <w:t xml:space="preserve">and foremost </w:t>
      </w:r>
      <w:r w:rsidR="00706F76" w:rsidRPr="00706F76">
        <w:t xml:space="preserve">in </w:t>
      </w:r>
      <w:r w:rsidR="001A5A14" w:rsidRPr="00706F76">
        <w:t>stakeholde</w:t>
      </w:r>
      <w:r w:rsidR="001A5A14">
        <w:t>rs’</w:t>
      </w:r>
      <w:r w:rsidR="00706F76" w:rsidRPr="00706F76">
        <w:t xml:space="preserve"> minds. </w:t>
      </w:r>
    </w:p>
    <w:p w14:paraId="550A5A7B" w14:textId="771B1E01" w:rsidR="00D76246" w:rsidRPr="00C72D13" w:rsidRDefault="00A27FD3" w:rsidP="00C72D13">
      <w:pPr>
        <w:pStyle w:val="Heading2"/>
      </w:pPr>
      <w:bookmarkStart w:id="101" w:name="_Toc62204956"/>
      <w:r w:rsidRPr="00C72D13">
        <w:t>Summarising the f</w:t>
      </w:r>
      <w:r w:rsidR="00706F76" w:rsidRPr="00C72D13">
        <w:t xml:space="preserve">actors that inhibit and enable </w:t>
      </w:r>
      <w:r w:rsidR="00D76246" w:rsidRPr="00C72D13">
        <w:t>t</w:t>
      </w:r>
      <w:r w:rsidR="0065191A" w:rsidRPr="00C72D13">
        <w:t xml:space="preserve">eaching </w:t>
      </w:r>
      <w:r w:rsidR="00D76246" w:rsidRPr="00C72D13">
        <w:t>quality</w:t>
      </w:r>
      <w:bookmarkEnd w:id="101"/>
      <w:r w:rsidR="00D76246" w:rsidRPr="00C72D13">
        <w:t xml:space="preserve"> </w:t>
      </w:r>
    </w:p>
    <w:p w14:paraId="2BBAA197" w14:textId="72A80A86" w:rsidR="00D76246" w:rsidRDefault="001A5A14" w:rsidP="00D76246">
      <w:pPr>
        <w:pStyle w:val="Text"/>
      </w:pPr>
      <w:r>
        <w:t xml:space="preserve">The main </w:t>
      </w:r>
      <w:r w:rsidR="00D76246">
        <w:t xml:space="preserve">factors </w:t>
      </w:r>
      <w:r w:rsidR="00706F76">
        <w:t xml:space="preserve">inhibiting </w:t>
      </w:r>
      <w:r w:rsidR="00D76246">
        <w:t>the quality of teaching in VET</w:t>
      </w:r>
      <w:r>
        <w:t xml:space="preserve"> </w:t>
      </w:r>
      <w:r w:rsidR="00D76246">
        <w:t>include</w:t>
      </w:r>
      <w:r w:rsidR="002A4FFB">
        <w:t>:</w:t>
      </w:r>
      <w:r w:rsidR="00D76246">
        <w:t xml:space="preserve"> the status of VET and its flow-on implications for the status of VET teachers, the funding available to support teacher development (including to back-fill teachers undertaking PD), participation by part-time and casual teachers in CPD and other learning opportunities</w:t>
      </w:r>
      <w:r>
        <w:t xml:space="preserve">, </w:t>
      </w:r>
      <w:r w:rsidR="00D76246">
        <w:t>and difficulties attracting industry professionals into teaching roles.</w:t>
      </w:r>
      <w:r w:rsidR="00CF2A25">
        <w:t xml:space="preserve"> </w:t>
      </w:r>
      <w:r w:rsidR="00D76246">
        <w:t xml:space="preserve">We also heard that heavy workloads for VET teachers </w:t>
      </w:r>
      <w:r w:rsidR="00706F76">
        <w:t xml:space="preserve">reduce </w:t>
      </w:r>
      <w:r w:rsidR="00D76246">
        <w:t xml:space="preserve">time </w:t>
      </w:r>
      <w:r>
        <w:t xml:space="preserve">for them </w:t>
      </w:r>
      <w:r w:rsidR="00706F76">
        <w:t xml:space="preserve">to </w:t>
      </w:r>
      <w:r w:rsidR="00D76246">
        <w:t>reflect</w:t>
      </w:r>
      <w:r w:rsidR="00706F76">
        <w:t xml:space="preserve"> on </w:t>
      </w:r>
      <w:r w:rsidR="0065191A">
        <w:t xml:space="preserve">and </w:t>
      </w:r>
      <w:r w:rsidR="00D76246">
        <w:t>evaluat</w:t>
      </w:r>
      <w:r w:rsidR="00706F76">
        <w:t xml:space="preserve">e </w:t>
      </w:r>
      <w:r w:rsidR="00D76246">
        <w:t xml:space="preserve">the impact of </w:t>
      </w:r>
      <w:r w:rsidR="00706F76">
        <w:t xml:space="preserve">their </w:t>
      </w:r>
      <w:r w:rsidR="00D76246">
        <w:t>teaching</w:t>
      </w:r>
      <w:r w:rsidR="00D76246" w:rsidRPr="00082D65">
        <w:t xml:space="preserve"> </w:t>
      </w:r>
      <w:r w:rsidR="00D76246">
        <w:t xml:space="preserve">on student learning. </w:t>
      </w:r>
      <w:r>
        <w:t xml:space="preserve">They </w:t>
      </w:r>
      <w:r w:rsidR="00D76246">
        <w:t xml:space="preserve">also reduce </w:t>
      </w:r>
      <w:r w:rsidR="0065191A">
        <w:t xml:space="preserve">the </w:t>
      </w:r>
      <w:r w:rsidR="00D76246">
        <w:t xml:space="preserve">available time for maintaining industry currency. </w:t>
      </w:r>
    </w:p>
    <w:p w14:paraId="7904F3E7" w14:textId="0A0043CE" w:rsidR="00D76246" w:rsidRPr="00E25CF8" w:rsidRDefault="0065191A" w:rsidP="00D76246">
      <w:pPr>
        <w:pStyle w:val="Text"/>
      </w:pPr>
      <w:r>
        <w:t xml:space="preserve">Factors that </w:t>
      </w:r>
      <w:r w:rsidR="000C5C8D">
        <w:t xml:space="preserve">enable and facilitate </w:t>
      </w:r>
      <w:r>
        <w:t xml:space="preserve">teaching quality </w:t>
      </w:r>
      <w:r w:rsidR="00D76246">
        <w:t>include:</w:t>
      </w:r>
    </w:p>
    <w:p w14:paraId="4E0DD10A" w14:textId="57125FBB" w:rsidR="00D76246" w:rsidRDefault="0065191A" w:rsidP="00E049AD">
      <w:pPr>
        <w:pStyle w:val="Dotpoint10"/>
      </w:pPr>
      <w:r>
        <w:t xml:space="preserve">A </w:t>
      </w:r>
      <w:r w:rsidR="00D76246">
        <w:t xml:space="preserve">shared </w:t>
      </w:r>
      <w:r w:rsidR="00D76246" w:rsidRPr="00806827">
        <w:t xml:space="preserve">responsibility for improving the quality </w:t>
      </w:r>
      <w:r w:rsidR="00D76246">
        <w:t>of VET</w:t>
      </w:r>
      <w:r w:rsidR="00D76246" w:rsidRPr="00806827">
        <w:t xml:space="preserve"> </w:t>
      </w:r>
      <w:r>
        <w:t xml:space="preserve">teaching </w:t>
      </w:r>
      <w:r w:rsidR="00D76246" w:rsidRPr="00806827">
        <w:t xml:space="preserve">by governments, </w:t>
      </w:r>
      <w:proofErr w:type="gramStart"/>
      <w:r w:rsidR="00D76246" w:rsidRPr="00806827">
        <w:t>RTOs</w:t>
      </w:r>
      <w:proofErr w:type="gramEnd"/>
      <w:r w:rsidR="00D76246" w:rsidRPr="00806827">
        <w:t xml:space="preserve"> and </w:t>
      </w:r>
      <w:r w:rsidR="00D76246">
        <w:t>teachers, with C</w:t>
      </w:r>
      <w:r w:rsidR="00D76246" w:rsidRPr="00806827">
        <w:t xml:space="preserve">EOs of RTOs </w:t>
      </w:r>
      <w:r w:rsidR="00D76246">
        <w:t xml:space="preserve">taking the </w:t>
      </w:r>
      <w:r w:rsidR="00D76246" w:rsidRPr="00806827">
        <w:t xml:space="preserve">lead </w:t>
      </w:r>
      <w:r w:rsidR="00D76246">
        <w:t xml:space="preserve">to drive quality improvement </w:t>
      </w:r>
      <w:r w:rsidR="00D76246" w:rsidRPr="00806827">
        <w:t>process</w:t>
      </w:r>
      <w:r w:rsidR="00D76246">
        <w:t>es</w:t>
      </w:r>
      <w:r w:rsidR="00D76246" w:rsidRPr="00806827">
        <w:t xml:space="preserve"> </w:t>
      </w:r>
      <w:r w:rsidR="00D76246">
        <w:t xml:space="preserve">in </w:t>
      </w:r>
      <w:r w:rsidR="00D76246" w:rsidRPr="00806827">
        <w:t>their institutions.</w:t>
      </w:r>
      <w:r>
        <w:t xml:space="preserve"> </w:t>
      </w:r>
    </w:p>
    <w:p w14:paraId="7C525A62" w14:textId="33A8AC65" w:rsidR="00D76246" w:rsidRDefault="00D76246" w:rsidP="00E049AD">
      <w:pPr>
        <w:pStyle w:val="Dotpoint10"/>
      </w:pPr>
      <w:r>
        <w:t xml:space="preserve">Providing centralised, well-funded </w:t>
      </w:r>
      <w:r w:rsidR="0065191A">
        <w:t>C</w:t>
      </w:r>
      <w:r>
        <w:t>PD systems for VET teachers at state</w:t>
      </w:r>
      <w:r w:rsidR="00BE088C">
        <w:t>/territory</w:t>
      </w:r>
      <w:r>
        <w:t xml:space="preserve"> and national levels. It is clear from stakeholder feedback and the case studies that centralised PD systems are highly regarded</w:t>
      </w:r>
      <w:r w:rsidR="002212E1" w:rsidRPr="002212E1">
        <w:t xml:space="preserve"> </w:t>
      </w:r>
      <w:r w:rsidR="002212E1">
        <w:t xml:space="preserve">and need to </w:t>
      </w:r>
      <w:r w:rsidR="002212E1" w:rsidRPr="002212E1">
        <w:t xml:space="preserve">accommodate diversity in </w:t>
      </w:r>
      <w:r w:rsidR="000C5C8D">
        <w:t xml:space="preserve">industry specialisations, </w:t>
      </w:r>
      <w:r w:rsidR="002212E1" w:rsidRPr="002212E1">
        <w:t>teaching contexts and student groups</w:t>
      </w:r>
      <w:r w:rsidR="002212E1">
        <w:t xml:space="preserve">. </w:t>
      </w:r>
      <w:r>
        <w:t>Enabling factors of successful PD systems include:</w:t>
      </w:r>
    </w:p>
    <w:p w14:paraId="42452C9C" w14:textId="49C58BD4" w:rsidR="002212E1" w:rsidRPr="00E049AD" w:rsidRDefault="00745EAF" w:rsidP="00543A1E">
      <w:pPr>
        <w:pStyle w:val="Dotpoint2"/>
      </w:pPr>
      <w:r>
        <w:t>s</w:t>
      </w:r>
      <w:r w:rsidRPr="00E049AD">
        <w:t xml:space="preserve">taged </w:t>
      </w:r>
      <w:r w:rsidR="002212E1" w:rsidRPr="00E049AD">
        <w:t xml:space="preserve">approaches to </w:t>
      </w:r>
      <w:r w:rsidR="000C5C8D" w:rsidRPr="00E049AD">
        <w:t>teacher development</w:t>
      </w:r>
      <w:r w:rsidR="00BE088C" w:rsidRPr="00E049AD">
        <w:t>,</w:t>
      </w:r>
      <w:r w:rsidR="000C5C8D" w:rsidRPr="00E049AD">
        <w:t xml:space="preserve"> including </w:t>
      </w:r>
      <w:r w:rsidR="002212E1" w:rsidRPr="00E049AD">
        <w:t>qualifications</w:t>
      </w:r>
      <w:r w:rsidR="00E7224C">
        <w:t>,</w:t>
      </w:r>
    </w:p>
    <w:p w14:paraId="2BFC4370" w14:textId="4D032578" w:rsidR="0065191A" w:rsidRPr="00E049AD" w:rsidRDefault="00745EAF" w:rsidP="00543A1E">
      <w:pPr>
        <w:pStyle w:val="Dotpoint2"/>
      </w:pPr>
      <w:r>
        <w:t>a</w:t>
      </w:r>
      <w:r w:rsidRPr="00E049AD">
        <w:t xml:space="preserve">llocating </w:t>
      </w:r>
      <w:r w:rsidR="002212E1" w:rsidRPr="00E049AD">
        <w:t xml:space="preserve">enough </w:t>
      </w:r>
      <w:r w:rsidR="0065191A" w:rsidRPr="00E049AD">
        <w:t xml:space="preserve">time for teachers to engage in </w:t>
      </w:r>
      <w:r w:rsidR="00CF2A25" w:rsidRPr="00E049AD">
        <w:t>CPD</w:t>
      </w:r>
      <w:r w:rsidR="007B2D65" w:rsidRPr="00E049AD">
        <w:t xml:space="preserve">, </w:t>
      </w:r>
      <w:r w:rsidR="0065191A" w:rsidRPr="00E049AD">
        <w:t xml:space="preserve">professional </w:t>
      </w:r>
      <w:r w:rsidR="002212E1" w:rsidRPr="00E049AD">
        <w:t>inquiry</w:t>
      </w:r>
      <w:r w:rsidR="00CF2A25" w:rsidRPr="00E049AD">
        <w:t xml:space="preserve">, the </w:t>
      </w:r>
      <w:r w:rsidR="0065191A" w:rsidRPr="00E049AD">
        <w:t xml:space="preserve">evaluation </w:t>
      </w:r>
      <w:r w:rsidR="001A5A14" w:rsidRPr="00E049AD">
        <w:t xml:space="preserve">of teaching </w:t>
      </w:r>
      <w:r w:rsidR="0065191A" w:rsidRPr="00E049AD">
        <w:t>and industry currency</w:t>
      </w:r>
      <w:r w:rsidR="00E7224C">
        <w:t>,</w:t>
      </w:r>
    </w:p>
    <w:p w14:paraId="7E6260C1" w14:textId="1E80AC68" w:rsidR="00D76246" w:rsidRPr="00E049AD" w:rsidRDefault="00745EAF" w:rsidP="00543A1E">
      <w:pPr>
        <w:pStyle w:val="Dotpoint2"/>
      </w:pPr>
      <w:r>
        <w:t>b</w:t>
      </w:r>
      <w:r w:rsidRPr="00E049AD">
        <w:t xml:space="preserve">road </w:t>
      </w:r>
      <w:r w:rsidR="002212E1" w:rsidRPr="00E049AD">
        <w:t>a</w:t>
      </w:r>
      <w:r w:rsidR="00D76246" w:rsidRPr="00E049AD">
        <w:t>ccess to PD for teachers</w:t>
      </w:r>
      <w:r w:rsidR="002212E1" w:rsidRPr="00E049AD">
        <w:t>, especially those</w:t>
      </w:r>
      <w:r w:rsidR="00D76246" w:rsidRPr="00E049AD">
        <w:t xml:space="preserve"> in regional areas </w:t>
      </w:r>
      <w:r w:rsidR="001A5A14" w:rsidRPr="00E049AD">
        <w:t xml:space="preserve">and </w:t>
      </w:r>
      <w:r w:rsidR="00CF2A25" w:rsidRPr="00E049AD">
        <w:t xml:space="preserve">in </w:t>
      </w:r>
      <w:r w:rsidR="001A5A14" w:rsidRPr="00E049AD">
        <w:t xml:space="preserve">casual and part-time </w:t>
      </w:r>
      <w:r w:rsidR="00CF2A25" w:rsidRPr="00E049AD">
        <w:t xml:space="preserve">roles </w:t>
      </w:r>
      <w:r w:rsidR="002212E1" w:rsidRPr="00E049AD">
        <w:t>who may find it difficult to access face-to-face sessions (online alternatives)</w:t>
      </w:r>
      <w:r w:rsidR="00E7224C">
        <w:t>,</w:t>
      </w:r>
      <w:r w:rsidR="002212E1" w:rsidRPr="00E049AD">
        <w:t xml:space="preserve"> </w:t>
      </w:r>
    </w:p>
    <w:p w14:paraId="1F26C653" w14:textId="562F72F4" w:rsidR="00D76246" w:rsidRPr="00FA653A" w:rsidRDefault="00745EAF" w:rsidP="00543A1E">
      <w:pPr>
        <w:pStyle w:val="Dotpoint2"/>
      </w:pPr>
      <w:r>
        <w:t>m</w:t>
      </w:r>
      <w:r w:rsidRPr="00FA653A">
        <w:t xml:space="preserve">entoring </w:t>
      </w:r>
      <w:r w:rsidR="00D76246" w:rsidRPr="00FA653A">
        <w:t xml:space="preserve">support by experienced VET teachers, </w:t>
      </w:r>
      <w:r w:rsidR="00CF2A25" w:rsidRPr="00FA653A">
        <w:t xml:space="preserve">who have </w:t>
      </w:r>
      <w:r w:rsidR="00D76246" w:rsidRPr="00FA653A">
        <w:t>appropriate training</w:t>
      </w:r>
      <w:r w:rsidR="00E7224C">
        <w:t>,</w:t>
      </w:r>
    </w:p>
    <w:p w14:paraId="2D931B85" w14:textId="1CB4FB57" w:rsidR="00D76246" w:rsidRPr="00E049AD" w:rsidRDefault="00745EAF" w:rsidP="00543A1E">
      <w:pPr>
        <w:pStyle w:val="Dotpoint2"/>
      </w:pPr>
      <w:r>
        <w:t>p</w:t>
      </w:r>
      <w:r w:rsidRPr="00E049AD">
        <w:t xml:space="preserve">eer </w:t>
      </w:r>
      <w:r w:rsidR="00D76246" w:rsidRPr="00E049AD">
        <w:t>observation and teaching practicum</w:t>
      </w:r>
      <w:r w:rsidR="002212E1" w:rsidRPr="00E049AD">
        <w:t xml:space="preserve"> activities</w:t>
      </w:r>
      <w:r w:rsidR="00D76246" w:rsidRPr="00E049AD">
        <w:t xml:space="preserve">, with appropriate </w:t>
      </w:r>
      <w:r w:rsidR="002212E1" w:rsidRPr="00E049AD">
        <w:t>PD for prospective observers</w:t>
      </w:r>
      <w:r w:rsidR="00CF2A25" w:rsidRPr="00E049AD">
        <w:t xml:space="preserve"> and</w:t>
      </w:r>
      <w:r w:rsidR="00D76246" w:rsidRPr="00E049AD">
        <w:t xml:space="preserve"> guidelines to assist observational and feedback process</w:t>
      </w:r>
      <w:r w:rsidR="002212E1" w:rsidRPr="00E049AD">
        <w:t>es</w:t>
      </w:r>
      <w:r w:rsidR="00E7224C">
        <w:t>,</w:t>
      </w:r>
    </w:p>
    <w:p w14:paraId="7F938E16" w14:textId="2818086F" w:rsidR="00D76246" w:rsidRPr="00E049AD" w:rsidRDefault="00745EAF" w:rsidP="00543A1E">
      <w:pPr>
        <w:pStyle w:val="Dotpoint2"/>
      </w:pPr>
      <w:r>
        <w:t>c</w:t>
      </w:r>
      <w:r w:rsidRPr="00E049AD">
        <w:t xml:space="preserve">ommunities </w:t>
      </w:r>
      <w:r w:rsidR="00D76246" w:rsidRPr="00E049AD">
        <w:t xml:space="preserve">of Practice focused on </w:t>
      </w:r>
      <w:proofErr w:type="gramStart"/>
      <w:r w:rsidR="00D76246" w:rsidRPr="00E049AD">
        <w:t>particular</w:t>
      </w:r>
      <w:r w:rsidR="007B2D65" w:rsidRPr="00E049AD">
        <w:t xml:space="preserve"> </w:t>
      </w:r>
      <w:r w:rsidR="00D76246" w:rsidRPr="00E049AD">
        <w:t>teaching</w:t>
      </w:r>
      <w:proofErr w:type="gramEnd"/>
      <w:r w:rsidR="00D76246" w:rsidRPr="00E049AD">
        <w:t>, assessment and learner support issues</w:t>
      </w:r>
      <w:r w:rsidR="000E06D6" w:rsidRPr="00E049AD">
        <w:t xml:space="preserve"> and </w:t>
      </w:r>
      <w:r w:rsidR="002212E1" w:rsidRPr="00E049AD">
        <w:t>industry disciplines</w:t>
      </w:r>
      <w:r w:rsidR="00E7224C">
        <w:t>,</w:t>
      </w:r>
    </w:p>
    <w:p w14:paraId="66DEB695" w14:textId="5D967349" w:rsidR="00D76246" w:rsidRPr="00E049AD" w:rsidRDefault="00745EAF" w:rsidP="00543A1E">
      <w:pPr>
        <w:pStyle w:val="Dotpoint2"/>
      </w:pPr>
      <w:r>
        <w:t>p</w:t>
      </w:r>
      <w:r w:rsidRPr="00E049AD">
        <w:t xml:space="preserve">rograms </w:t>
      </w:r>
      <w:r w:rsidR="00D76246" w:rsidRPr="00E049AD">
        <w:t xml:space="preserve">closely linked to industry specialisations to </w:t>
      </w:r>
      <w:r w:rsidR="00CF2A25" w:rsidRPr="00E049AD">
        <w:t xml:space="preserve">support </w:t>
      </w:r>
      <w:r w:rsidR="00D76246" w:rsidRPr="00E049AD">
        <w:t xml:space="preserve">teachers </w:t>
      </w:r>
      <w:r w:rsidR="00CF2A25" w:rsidRPr="00E049AD">
        <w:t xml:space="preserve">to develop </w:t>
      </w:r>
      <w:r w:rsidR="00D76246" w:rsidRPr="00E049AD">
        <w:t xml:space="preserve">teaching approaches appropriate to learner needs in </w:t>
      </w:r>
      <w:r w:rsidR="000E06D6" w:rsidRPr="00E049AD">
        <w:t>a</w:t>
      </w:r>
      <w:r w:rsidR="00CF2A25" w:rsidRPr="00E049AD">
        <w:t xml:space="preserve">n </w:t>
      </w:r>
      <w:r w:rsidR="00D76246" w:rsidRPr="00E049AD">
        <w:t>industry sector</w:t>
      </w:r>
      <w:r w:rsidR="00A27FD3" w:rsidRPr="00E049AD">
        <w:t xml:space="preserve">, and </w:t>
      </w:r>
    </w:p>
    <w:p w14:paraId="090F66B9" w14:textId="6FD19B79" w:rsidR="00D57745" w:rsidRDefault="00745EAF" w:rsidP="00543A1E">
      <w:pPr>
        <w:pStyle w:val="Dotpoint2"/>
      </w:pPr>
      <w:r>
        <w:t>a</w:t>
      </w:r>
      <w:r w:rsidRPr="00E049AD">
        <w:t>pplied</w:t>
      </w:r>
      <w:r w:rsidR="000C5C8D" w:rsidRPr="00E049AD">
        <w:t>, w</w:t>
      </w:r>
      <w:r w:rsidR="00D76246" w:rsidRPr="00E049AD">
        <w:t xml:space="preserve">ork-based models </w:t>
      </w:r>
      <w:r w:rsidR="000C5C8D" w:rsidRPr="00E049AD">
        <w:t>of learnin</w:t>
      </w:r>
      <w:r w:rsidR="000E06D6" w:rsidRPr="00E049AD">
        <w:t xml:space="preserve">g. </w:t>
      </w:r>
    </w:p>
    <w:p w14:paraId="3D7573DB" w14:textId="38DDE540" w:rsidR="00706F76" w:rsidRDefault="000C5C8D" w:rsidP="00C42ED2">
      <w:pPr>
        <w:pStyle w:val="Dotpoint10"/>
      </w:pPr>
      <w:r>
        <w:lastRenderedPageBreak/>
        <w:t>A strong focus and commitment to staff development by managers and leaders</w:t>
      </w:r>
      <w:r w:rsidRPr="000C5C8D">
        <w:t xml:space="preserve"> </w:t>
      </w:r>
      <w:r>
        <w:t>of RTO</w:t>
      </w:r>
      <w:r w:rsidR="00706F76">
        <w:t>,</w:t>
      </w:r>
      <w:r w:rsidR="00A27FD3">
        <w:t xml:space="preserve"> and</w:t>
      </w:r>
    </w:p>
    <w:p w14:paraId="2EE46C99" w14:textId="29993E0F" w:rsidR="00D76246" w:rsidRDefault="00706F76" w:rsidP="00C42ED2">
      <w:pPr>
        <w:pStyle w:val="Dotpoint10"/>
      </w:pPr>
      <w:r>
        <w:t xml:space="preserve">Funding </w:t>
      </w:r>
      <w:r w:rsidR="000C5C8D" w:rsidRPr="000C5C8D">
        <w:t xml:space="preserve">models </w:t>
      </w:r>
      <w:r>
        <w:t xml:space="preserve">that </w:t>
      </w:r>
      <w:r w:rsidR="000C5C8D" w:rsidRPr="000C5C8D">
        <w:t xml:space="preserve">allow sufficient resources for </w:t>
      </w:r>
      <w:r>
        <w:t xml:space="preserve">RTOs </w:t>
      </w:r>
      <w:r w:rsidR="000C5C8D" w:rsidRPr="000C5C8D">
        <w:t xml:space="preserve">to invest in </w:t>
      </w:r>
      <w:r>
        <w:t xml:space="preserve">teacher </w:t>
      </w:r>
      <w:r w:rsidR="000C5C8D" w:rsidRPr="000C5C8D">
        <w:t>CPD</w:t>
      </w:r>
      <w:r w:rsidR="00BE088C">
        <w:t>,</w:t>
      </w:r>
      <w:r w:rsidR="000C5C8D" w:rsidRPr="000C5C8D">
        <w:t xml:space="preserve"> </w:t>
      </w:r>
      <w:r>
        <w:t xml:space="preserve">including </w:t>
      </w:r>
      <w:r w:rsidR="00BE088C">
        <w:t xml:space="preserve">in </w:t>
      </w:r>
      <w:r>
        <w:t xml:space="preserve">a </w:t>
      </w:r>
      <w:r w:rsidR="000C5C8D" w:rsidRPr="000C5C8D">
        <w:t xml:space="preserve">comprehensive </w:t>
      </w:r>
      <w:r>
        <w:t xml:space="preserve">range of </w:t>
      </w:r>
      <w:r w:rsidR="00BE088C">
        <w:t xml:space="preserve">teacher </w:t>
      </w:r>
      <w:r w:rsidR="000C5C8D" w:rsidRPr="000C5C8D">
        <w:t>support services.</w:t>
      </w:r>
    </w:p>
    <w:p w14:paraId="3B02CFD3" w14:textId="77777777" w:rsidR="003D0F86" w:rsidRPr="00C42ED2" w:rsidRDefault="003D0F86" w:rsidP="003D0F86">
      <w:pPr>
        <w:pStyle w:val="Dotpoint10"/>
        <w:numPr>
          <w:ilvl w:val="0"/>
          <w:numId w:val="0"/>
        </w:numPr>
      </w:pPr>
      <w:r w:rsidRPr="00C42ED2">
        <w:t xml:space="preserve">Finally, we suggest that the higher education sector be encouraged to re-enter the VET teacher development market using blended delivery approaches and a focus on smaller micro-credentials or skill sets that can be scaled-up to a teaching qualification for post-initial qualifications (Guthrie &amp; Jones 2018). Smaller units of learning for teachers seeking higher qualifications (above the Certificate IV and Diploma courses) could make them more attractive to both RTOs and teachers and support a staged approach to teacher development. This may mean that universities initially need to work collectively, given the loss of VET teaching capacity and expertise over recent years (Guthrie &amp; Every 2013). Alternatively, the arrangement could involve partnerships between VET and higher education institutions. We also suggest that micro-credentials or skill sets be investigated further to determine their effectiveness as a scaled pathway to a higher teaching qualification post the achievement of initial qualifications. </w:t>
      </w:r>
    </w:p>
    <w:p w14:paraId="5DDC3446" w14:textId="26F89A9F" w:rsidR="009530A1" w:rsidRPr="009B1599" w:rsidRDefault="003D0F86" w:rsidP="009B1599">
      <w:pPr>
        <w:sectPr w:rsidR="009530A1" w:rsidRPr="009B1599" w:rsidSect="002C2FD3">
          <w:headerReference w:type="even" r:id="rId43"/>
          <w:footerReference w:type="even" r:id="rId44"/>
          <w:footerReference w:type="default" r:id="rId45"/>
          <w:headerReference w:type="first" r:id="rId46"/>
          <w:pgSz w:w="11907" w:h="16840" w:code="9"/>
          <w:pgMar w:top="1276" w:right="1418" w:bottom="992" w:left="1418" w:header="709" w:footer="556" w:gutter="0"/>
          <w:cols w:space="708"/>
          <w:docGrid w:linePitch="360"/>
        </w:sectPr>
      </w:pPr>
      <w:r>
        <w:t xml:space="preserve">Like the stakeholders we interviewed, we are mixed on the issue of teacher registration, but on balance feel that it may not be warranted at this point. </w:t>
      </w:r>
    </w:p>
    <w:p w14:paraId="67B30661" w14:textId="53B3AED8" w:rsidR="00B64D1D" w:rsidRPr="00021D90" w:rsidRDefault="00CA1159" w:rsidP="00021D90">
      <w:pPr>
        <w:pStyle w:val="Heading1"/>
      </w:pPr>
      <w:bookmarkStart w:id="102" w:name="_Toc62204957"/>
      <w:r w:rsidRPr="00BE5DCB">
        <w:rPr>
          <w:noProof/>
          <w:lang w:eastAsia="en-AU"/>
        </w:rPr>
        <w:lastRenderedPageBreak/>
        <w:drawing>
          <wp:anchor distT="0" distB="0" distL="114300" distR="114300" simplePos="0" relativeHeight="252026880" behindDoc="0" locked="0" layoutInCell="1" allowOverlap="1" wp14:anchorId="75DC054F" wp14:editId="6174A777">
            <wp:simplePos x="0" y="0"/>
            <wp:positionH relativeFrom="column">
              <wp:posOffset>3175</wp:posOffset>
            </wp:positionH>
            <wp:positionV relativeFrom="paragraph">
              <wp:posOffset>486</wp:posOffset>
            </wp:positionV>
            <wp:extent cx="417600" cy="417600"/>
            <wp:effectExtent l="0" t="0" r="1905" b="1905"/>
            <wp:wrapSquare wrapText="bothSides"/>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P:\PublicationComponents\Icons\ExecutiveSummary.emf"/>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417600" cy="4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D1D" w:rsidRPr="00021D90">
        <w:t>References</w:t>
      </w:r>
      <w:bookmarkEnd w:id="98"/>
      <w:bookmarkEnd w:id="102"/>
    </w:p>
    <w:p w14:paraId="53FEC28A" w14:textId="2E37C523" w:rsidR="00283FD2" w:rsidRDefault="00283FD2" w:rsidP="00854E87">
      <w:pPr>
        <w:pStyle w:val="References"/>
      </w:pPr>
      <w:r>
        <w:t>Australian Institute of Teaching and School Leadership 2011</w:t>
      </w:r>
      <w:r w:rsidR="0008148A">
        <w:t>,</w:t>
      </w:r>
      <w:r>
        <w:t xml:space="preserve"> </w:t>
      </w:r>
      <w:r w:rsidRPr="00D57745">
        <w:rPr>
          <w:i/>
          <w:iCs/>
        </w:rPr>
        <w:t>Australian Professional Standards for Teaching</w:t>
      </w:r>
      <w:r>
        <w:t>, viewed July 2019, &lt;</w:t>
      </w:r>
      <w:hyperlink r:id="rId47" w:history="1">
        <w:r w:rsidRPr="007C65E3">
          <w:rPr>
            <w:rStyle w:val="Hyperlink"/>
            <w:sz w:val="18"/>
          </w:rPr>
          <w:t>https://www.aitsl.edu.au/docs/default-source/national-policy-framework/australian-professional-standards-for-teachers.pdf?sfvrsn=5800f33c_64</w:t>
        </w:r>
      </w:hyperlink>
      <w:r>
        <w:t>&gt;</w:t>
      </w:r>
      <w:r w:rsidR="004314C1">
        <w:t>.</w:t>
      </w:r>
    </w:p>
    <w:p w14:paraId="0D2FAFEC" w14:textId="2503F025" w:rsidR="00543A1E" w:rsidRDefault="00543A1E" w:rsidP="00854E87">
      <w:pPr>
        <w:pStyle w:val="References"/>
      </w:pPr>
      <w:r>
        <w:t xml:space="preserve">Australian Productivity Commission 2011, </w:t>
      </w:r>
      <w:r w:rsidRPr="00D163BA">
        <w:rPr>
          <w:i/>
          <w:iCs/>
        </w:rPr>
        <w:t xml:space="preserve">Australian vocational </w:t>
      </w:r>
      <w:proofErr w:type="gramStart"/>
      <w:r w:rsidRPr="00D163BA">
        <w:rPr>
          <w:i/>
          <w:iCs/>
        </w:rPr>
        <w:t>education</w:t>
      </w:r>
      <w:proofErr w:type="gramEnd"/>
      <w:r w:rsidRPr="00D163BA">
        <w:rPr>
          <w:i/>
          <w:iCs/>
        </w:rPr>
        <w:t xml:space="preserve"> and training workforce: research report</w:t>
      </w:r>
      <w:r>
        <w:t xml:space="preserve">, viewed </w:t>
      </w:r>
      <w:r w:rsidR="00854E87">
        <w:t>January</w:t>
      </w:r>
      <w:r>
        <w:t xml:space="preserve"> 20</w:t>
      </w:r>
      <w:r w:rsidR="00854E87">
        <w:t>2</w:t>
      </w:r>
      <w:r>
        <w:t xml:space="preserve">1, </w:t>
      </w:r>
      <w:r w:rsidRPr="006614B6">
        <w:t>&lt;http://www.pc.gov.au/inquiries/completed/education-workforce-vocational/report&gt;</w:t>
      </w:r>
      <w:r>
        <w:t>.</w:t>
      </w:r>
      <w:r w:rsidRPr="006614B6">
        <w:t xml:space="preserve"> </w:t>
      </w:r>
    </w:p>
    <w:p w14:paraId="389C7748" w14:textId="158F139A" w:rsidR="00857B8A" w:rsidRDefault="00857B8A" w:rsidP="00854E87">
      <w:pPr>
        <w:pStyle w:val="References"/>
      </w:pPr>
      <w:r>
        <w:t xml:space="preserve">Australian Skills Quality Authority 2015, </w:t>
      </w:r>
      <w:r w:rsidRPr="00D57745">
        <w:rPr>
          <w:i/>
          <w:iCs/>
        </w:rPr>
        <w:t>Standards for Registered Training Organisations 2015</w:t>
      </w:r>
      <w:r>
        <w:t>, viewed July 2019, &lt;</w:t>
      </w:r>
      <w:r w:rsidRPr="00857B8A">
        <w:t>https://www.asqa.gov.au/standards</w:t>
      </w:r>
      <w:r>
        <w:t>&gt;</w:t>
      </w:r>
      <w:r w:rsidR="004314C1">
        <w:t>.</w:t>
      </w:r>
    </w:p>
    <w:p w14:paraId="74863762" w14:textId="20F8A1FB" w:rsidR="00220D05" w:rsidRDefault="00D027AF" w:rsidP="00854E87">
      <w:pPr>
        <w:pStyle w:val="References"/>
      </w:pPr>
      <w:r>
        <w:t>——</w:t>
      </w:r>
      <w:r w:rsidR="00220D05">
        <w:t xml:space="preserve">2019, </w:t>
      </w:r>
      <w:r w:rsidR="00220D05" w:rsidRPr="00D57745">
        <w:rPr>
          <w:i/>
          <w:iCs/>
        </w:rPr>
        <w:t>Users’ guide to the Standards for Registered Training Organisations (RTOs) 2015, version 2.2</w:t>
      </w:r>
      <w:r w:rsidR="00220D05" w:rsidRPr="00EE1A64">
        <w:t xml:space="preserve">, Australian Skills Quality Authority, </w:t>
      </w:r>
      <w:r w:rsidR="00D57745">
        <w:t>&lt;</w:t>
      </w:r>
      <w:r w:rsidR="00854E87" w:rsidRPr="00854E87">
        <w:t xml:space="preserve"> https://www.asqa.gov.au/sites/default/files/2020-01/users_guide_to_the_standards_for_registered_training_organisations_rtos_2015_v2-2_0.pdf</w:t>
      </w:r>
      <w:r w:rsidR="00854E87">
        <w:t>&gt;</w:t>
      </w:r>
      <w:r w:rsidR="00220D05" w:rsidRPr="00EE1A64">
        <w:t>.</w:t>
      </w:r>
    </w:p>
    <w:p w14:paraId="74BCA1D3" w14:textId="66AFB157" w:rsidR="00AF5275" w:rsidRDefault="00AF5275" w:rsidP="00854E87">
      <w:pPr>
        <w:pStyle w:val="References"/>
      </w:pPr>
      <w:r>
        <w:t>Boyer, E</w:t>
      </w:r>
      <w:r w:rsidR="002926BD">
        <w:t xml:space="preserve">. </w:t>
      </w:r>
      <w:r>
        <w:t>L</w:t>
      </w:r>
      <w:r w:rsidR="00D27F57">
        <w:t>,</w:t>
      </w:r>
      <w:r>
        <w:t xml:space="preserve"> </w:t>
      </w:r>
      <w:r w:rsidRPr="00AF5275">
        <w:t>1997</w:t>
      </w:r>
      <w:r>
        <w:t xml:space="preserve">, </w:t>
      </w:r>
      <w:r w:rsidRPr="00D163BA">
        <w:rPr>
          <w:i/>
          <w:iCs/>
        </w:rPr>
        <w:t xml:space="preserve">Scholarship reconsidered: </w:t>
      </w:r>
      <w:r w:rsidR="00D163BA" w:rsidRPr="00D163BA">
        <w:rPr>
          <w:i/>
          <w:iCs/>
        </w:rPr>
        <w:t>p</w:t>
      </w:r>
      <w:r w:rsidRPr="00D163BA">
        <w:rPr>
          <w:i/>
          <w:iCs/>
        </w:rPr>
        <w:t>riorities of the professoriate</w:t>
      </w:r>
      <w:r w:rsidR="00D163BA">
        <w:t>,</w:t>
      </w:r>
      <w:r w:rsidRPr="00AF5275">
        <w:t xml:space="preserve"> </w:t>
      </w:r>
      <w:r w:rsidR="00D163BA" w:rsidRPr="00AF5275">
        <w:t>Jossey-Bass</w:t>
      </w:r>
      <w:r w:rsidR="00D163BA">
        <w:t>,</w:t>
      </w:r>
      <w:r w:rsidR="00D163BA" w:rsidRPr="00AF5275">
        <w:t xml:space="preserve"> </w:t>
      </w:r>
      <w:r w:rsidRPr="00AF5275">
        <w:t>San Francisco.</w:t>
      </w:r>
    </w:p>
    <w:p w14:paraId="771C2DFF" w14:textId="3F132D83" w:rsidR="009D4A48" w:rsidRDefault="009D4A48" w:rsidP="00854E87">
      <w:pPr>
        <w:pStyle w:val="References"/>
      </w:pPr>
      <w:r>
        <w:t xml:space="preserve">Callan, V, Mitchell, J, Clayton, B &amp; Smith, L 2007, 'Approaches for sustaining and building management and leadership capability in VET providers', </w:t>
      </w:r>
      <w:r w:rsidR="00507ED4">
        <w:t>NCVER</w:t>
      </w:r>
      <w:r>
        <w:t>, Adelaide.</w:t>
      </w:r>
    </w:p>
    <w:p w14:paraId="08C6D965" w14:textId="77777777" w:rsidR="00543A1E" w:rsidRPr="009C520B" w:rsidRDefault="00543A1E" w:rsidP="00854E87">
      <w:pPr>
        <w:pStyle w:val="References"/>
        <w:rPr>
          <w:lang w:val="en-US"/>
        </w:rPr>
      </w:pPr>
      <w:r w:rsidRPr="009C520B">
        <w:t xml:space="preserve">Clayton, B 2009 </w:t>
      </w:r>
      <w:r>
        <w:rPr>
          <w:lang w:val="en-US"/>
        </w:rPr>
        <w:t xml:space="preserve">'Practitioner experiences and expectations with the Certificate IV in Training and Assessment (TAA40104): a discussion of the issues', NCVER, Adelaide. </w:t>
      </w:r>
    </w:p>
    <w:p w14:paraId="5EDDD470" w14:textId="31C78595" w:rsidR="00507ED4" w:rsidRDefault="009D4A48" w:rsidP="00854E87">
      <w:pPr>
        <w:pStyle w:val="References"/>
      </w:pPr>
      <w:r>
        <w:t xml:space="preserve">Clayton, B, Fisher, T, Harris, R, Bateman, A &amp; Brown, M 2008, 'A study in difference: structures and cultures in Australian registered training organisations', </w:t>
      </w:r>
      <w:r w:rsidR="00507ED4">
        <w:t>NCVER</w:t>
      </w:r>
      <w:r>
        <w:t>, Adelaide.</w:t>
      </w:r>
      <w:r w:rsidR="00A10C2D">
        <w:t xml:space="preserve"> </w:t>
      </w:r>
    </w:p>
    <w:p w14:paraId="4E4EB874" w14:textId="77777777" w:rsidR="00543A1E" w:rsidRDefault="00543A1E" w:rsidP="00854E87">
      <w:pPr>
        <w:pStyle w:val="References"/>
      </w:pPr>
      <w:r w:rsidRPr="004E6E35">
        <w:t xml:space="preserve">Clayton, B </w:t>
      </w:r>
      <w:r>
        <w:t>&amp;</w:t>
      </w:r>
      <w:r w:rsidRPr="004E6E35">
        <w:t xml:space="preserve"> Guthrie, H 2013</w:t>
      </w:r>
      <w:r>
        <w:t>,</w:t>
      </w:r>
      <w:r w:rsidRPr="004E6E35">
        <w:t xml:space="preserve"> Tell me the old, old story or new messages? Five decades of inquiry into the VET teacher development. In: AVETRE Conference 2013, 3 Apr 2013 - 5 Apr 2013, Fremantle, Perth.</w:t>
      </w:r>
    </w:p>
    <w:p w14:paraId="3CA8957B" w14:textId="721A80F8" w:rsidR="008152E3" w:rsidRDefault="008152E3" w:rsidP="00854E87">
      <w:pPr>
        <w:pStyle w:val="References"/>
      </w:pPr>
      <w:r>
        <w:t xml:space="preserve">Clayton B, Jonas P, Harding R, Harris M, </w:t>
      </w:r>
      <w:r w:rsidR="003F00EC">
        <w:t xml:space="preserve">&amp; </w:t>
      </w:r>
      <w:r>
        <w:t>Toze M 201</w:t>
      </w:r>
      <w:r w:rsidR="003F00EC">
        <w:t>3,</w:t>
      </w:r>
      <w:r>
        <w:t xml:space="preserve"> </w:t>
      </w:r>
      <w:r w:rsidRPr="00310D9A">
        <w:rPr>
          <w:i/>
          <w:iCs/>
        </w:rPr>
        <w:t xml:space="preserve">Industry currency and professional obsolescence: what can industry tell </w:t>
      </w:r>
      <w:proofErr w:type="gramStart"/>
      <w:r w:rsidRPr="00310D9A">
        <w:rPr>
          <w:i/>
          <w:iCs/>
        </w:rPr>
        <w:t>us?</w:t>
      </w:r>
      <w:r w:rsidR="001B0139">
        <w:rPr>
          <w:i/>
          <w:iCs/>
        </w:rPr>
        <w:t>,</w:t>
      </w:r>
      <w:proofErr w:type="gramEnd"/>
      <w:r>
        <w:t xml:space="preserve"> </w:t>
      </w:r>
      <w:r w:rsidR="00507ED4">
        <w:t>NCVER</w:t>
      </w:r>
      <w:r>
        <w:t>, Adelaide</w:t>
      </w:r>
    </w:p>
    <w:p w14:paraId="019A42EA" w14:textId="4CEDA24F" w:rsidR="00B64D1D" w:rsidRDefault="00B64D1D" w:rsidP="00854E87">
      <w:pPr>
        <w:pStyle w:val="References"/>
      </w:pPr>
      <w:r>
        <w:t xml:space="preserve">Clinton, J, Anderson, M, Dawson, G, Dawson, A, Bolton, S &amp; Mason, R 2017, </w:t>
      </w:r>
      <w:r w:rsidRPr="00245F4F">
        <w:rPr>
          <w:i/>
          <w:iCs/>
        </w:rPr>
        <w:t xml:space="preserve">Teacher effectiveness systems, </w:t>
      </w:r>
      <w:proofErr w:type="gramStart"/>
      <w:r w:rsidRPr="00245F4F">
        <w:rPr>
          <w:i/>
          <w:iCs/>
        </w:rPr>
        <w:t>frameworks</w:t>
      </w:r>
      <w:proofErr w:type="gramEnd"/>
      <w:r w:rsidRPr="00245F4F">
        <w:rPr>
          <w:i/>
          <w:iCs/>
        </w:rPr>
        <w:t xml:space="preserve"> and measures: a review</w:t>
      </w:r>
      <w:r>
        <w:t>, Centre for Program Evaluation, University of Melbourne, Melbourne, viewed 30 Jul</w:t>
      </w:r>
      <w:r w:rsidR="00245F4F">
        <w:t>y</w:t>
      </w:r>
      <w:r>
        <w:t xml:space="preserve"> 2019, &lt;https://docs.education.gov.au/node/43311&gt;.</w:t>
      </w:r>
    </w:p>
    <w:p w14:paraId="1605AD1B" w14:textId="6DD01808" w:rsidR="00B64D1D" w:rsidRDefault="00B64D1D" w:rsidP="00854E87">
      <w:pPr>
        <w:pStyle w:val="References"/>
      </w:pPr>
      <w:r>
        <w:t xml:space="preserve">Corbel, C, </w:t>
      </w:r>
      <w:proofErr w:type="spellStart"/>
      <w:r>
        <w:t>Wheelahan</w:t>
      </w:r>
      <w:proofErr w:type="spellEnd"/>
      <w:r>
        <w:t xml:space="preserve">, L, Forward, P &amp; Darwin, S 2014, </w:t>
      </w:r>
      <w:r w:rsidRPr="00245F4F">
        <w:rPr>
          <w:i/>
          <w:iCs/>
        </w:rPr>
        <w:t>Building future capabilities for vocational education: why high-level teaching qualifications matter for TAFE teachers</w:t>
      </w:r>
      <w:r>
        <w:t>, Australian Education Union, Southbank, viewed 23 Jul</w:t>
      </w:r>
      <w:r w:rsidR="00245F4F">
        <w:t>y</w:t>
      </w:r>
      <w:r>
        <w:t xml:space="preserve"> 2019,</w:t>
      </w:r>
      <w:r w:rsidR="007E67FE">
        <w:t xml:space="preserve"> </w:t>
      </w:r>
      <w:r>
        <w:t>&lt;http://www.aeufederal.org.au/application/files/9214/4538/1999/BuildingFutureCapabilities</w:t>
      </w:r>
      <w:r w:rsidR="007E67FE">
        <w:br/>
      </w:r>
      <w:r>
        <w:t>2014.pdf&gt;.</w:t>
      </w:r>
    </w:p>
    <w:p w14:paraId="2BDF607C" w14:textId="38641230" w:rsidR="008904AA" w:rsidRDefault="00776551" w:rsidP="00854E87">
      <w:pPr>
        <w:pStyle w:val="References"/>
      </w:pPr>
      <w:r>
        <w:t xml:space="preserve">Danielson, C 2007, </w:t>
      </w:r>
      <w:r w:rsidRPr="00121C2C">
        <w:rPr>
          <w:i/>
          <w:iCs/>
        </w:rPr>
        <w:t xml:space="preserve">Framework for </w:t>
      </w:r>
      <w:r w:rsidR="00121C2C" w:rsidRPr="00121C2C">
        <w:rPr>
          <w:i/>
          <w:iCs/>
        </w:rPr>
        <w:t>t</w:t>
      </w:r>
      <w:r w:rsidRPr="00121C2C">
        <w:rPr>
          <w:i/>
          <w:iCs/>
        </w:rPr>
        <w:t>eaching</w:t>
      </w:r>
      <w:r>
        <w:t xml:space="preserve">, viewed July 2019, </w:t>
      </w:r>
      <w:r w:rsidR="006B0EEE">
        <w:t>&lt;</w:t>
      </w:r>
      <w:hyperlink r:id="rId48" w:history="1">
        <w:r w:rsidR="006B0EEE" w:rsidRPr="00C2580D">
          <w:rPr>
            <w:rStyle w:val="Hyperlink"/>
            <w:sz w:val="18"/>
          </w:rPr>
          <w:t>https://humanresources.dearbornschools.org/wp-content/uploads/sites/103/2013/09/FFT-Smart-Card.pdf</w:t>
        </w:r>
      </w:hyperlink>
      <w:r w:rsidR="006B0EEE">
        <w:rPr>
          <w:rStyle w:val="Hyperlink"/>
          <w:sz w:val="18"/>
        </w:rPr>
        <w:t>&gt;.</w:t>
      </w:r>
    </w:p>
    <w:p w14:paraId="7690632B" w14:textId="0C4340E9" w:rsidR="008904AA" w:rsidRDefault="00D27F57" w:rsidP="00854E87">
      <w:pPr>
        <w:pStyle w:val="References"/>
      </w:pPr>
      <w:r>
        <w:t>——</w:t>
      </w:r>
      <w:r w:rsidR="008904AA">
        <w:t>2014, Framework for Teaching, viewed January 2020,</w:t>
      </w:r>
      <w:r w:rsidR="00507ED4">
        <w:t xml:space="preserve"> </w:t>
      </w:r>
      <w:r w:rsidR="008904AA">
        <w:t>&lt;</w:t>
      </w:r>
      <w:hyperlink r:id="rId49" w:history="1">
        <w:r w:rsidR="008904AA" w:rsidRPr="00B321C0">
          <w:rPr>
            <w:rStyle w:val="Hyperlink"/>
            <w:sz w:val="18"/>
          </w:rPr>
          <w:t>https://education.ky.gov/teachers/PGES/TPGES/Documents/Kentucky%20Framework%20for%20Teaching.pdf</w:t>
        </w:r>
      </w:hyperlink>
      <w:r w:rsidR="008904AA">
        <w:t>&gt;</w:t>
      </w:r>
      <w:r w:rsidR="006B0EEE">
        <w:t>.</w:t>
      </w:r>
    </w:p>
    <w:p w14:paraId="72CEA1B7" w14:textId="50941888" w:rsidR="00FB4802" w:rsidRDefault="00FB4802" w:rsidP="00854E87">
      <w:pPr>
        <w:pStyle w:val="References"/>
      </w:pPr>
      <w:proofErr w:type="spellStart"/>
      <w:r>
        <w:t>Deschepper</w:t>
      </w:r>
      <w:proofErr w:type="spellEnd"/>
      <w:r>
        <w:t xml:space="preserve"> Consulting </w:t>
      </w:r>
      <w:r w:rsidR="00245F4F">
        <w:t>&amp;</w:t>
      </w:r>
      <w:r>
        <w:t xml:space="preserve"> DESTE Consulting Services 2018, </w:t>
      </w:r>
      <w:r w:rsidR="00201FED" w:rsidRPr="00713958">
        <w:t>‘</w:t>
      </w:r>
      <w:r w:rsidRPr="00713958">
        <w:t>Professional Educator College Pilot Prog</w:t>
      </w:r>
      <w:r w:rsidR="0038355B" w:rsidRPr="00713958">
        <w:t>r</w:t>
      </w:r>
      <w:r w:rsidRPr="00713958">
        <w:t xml:space="preserve">am, </w:t>
      </w:r>
      <w:r w:rsidR="00201FED" w:rsidRPr="00713958">
        <w:t xml:space="preserve">evaluation report </w:t>
      </w:r>
      <w:r w:rsidRPr="00713958">
        <w:t>1 and 2</w:t>
      </w:r>
      <w:r w:rsidR="00201FED">
        <w:t>’, Melbourne.</w:t>
      </w:r>
    </w:p>
    <w:p w14:paraId="5C7DF62B" w14:textId="507910BB" w:rsidR="009C520B" w:rsidRDefault="009C520B" w:rsidP="00854E87">
      <w:pPr>
        <w:pStyle w:val="References"/>
      </w:pPr>
      <w:r w:rsidRPr="009C520B">
        <w:t>Dickie, M, Eccles, C, FitzGerald, I, McDonald, R, Cully, M, Blythe, A, Stanwick, J &amp; Brooks, L 2004, 'Enhancing the capability of VET professionals project: final report (incorporating data analysis and literature review)', ANTA, Brisbane.</w:t>
      </w:r>
    </w:p>
    <w:p w14:paraId="6CC993D2" w14:textId="453A75EA" w:rsidR="0049673B" w:rsidRDefault="0049673B" w:rsidP="00854E87">
      <w:pPr>
        <w:pStyle w:val="References"/>
      </w:pPr>
      <w:r>
        <w:t>Education and Training F</w:t>
      </w:r>
      <w:r w:rsidR="00632ED6">
        <w:t>o</w:t>
      </w:r>
      <w:r>
        <w:t>undation</w:t>
      </w:r>
      <w:r w:rsidR="00B053A8">
        <w:t xml:space="preserve"> </w:t>
      </w:r>
      <w:r w:rsidR="00C47E23">
        <w:t>2014,</w:t>
      </w:r>
      <w:r w:rsidR="00B053A8">
        <w:t xml:space="preserve"> </w:t>
      </w:r>
      <w:r w:rsidR="000717F7">
        <w:rPr>
          <w:i/>
          <w:iCs/>
        </w:rPr>
        <w:t xml:space="preserve">Professional </w:t>
      </w:r>
      <w:r w:rsidR="00B13470">
        <w:rPr>
          <w:i/>
          <w:iCs/>
        </w:rPr>
        <w:t xml:space="preserve">standards for teachers and </w:t>
      </w:r>
      <w:r w:rsidR="0034169D">
        <w:rPr>
          <w:i/>
          <w:iCs/>
        </w:rPr>
        <w:t>teacher</w:t>
      </w:r>
      <w:r w:rsidR="00B13470">
        <w:rPr>
          <w:i/>
          <w:iCs/>
        </w:rPr>
        <w:t xml:space="preserve">s in </w:t>
      </w:r>
      <w:r w:rsidR="007F7DF8">
        <w:rPr>
          <w:i/>
          <w:iCs/>
        </w:rPr>
        <w:t>e</w:t>
      </w:r>
      <w:r w:rsidR="00B13470">
        <w:rPr>
          <w:i/>
          <w:iCs/>
        </w:rPr>
        <w:t>ducation and t</w:t>
      </w:r>
      <w:r w:rsidR="007F7DF8">
        <w:rPr>
          <w:i/>
          <w:iCs/>
        </w:rPr>
        <w:t xml:space="preserve">raining, </w:t>
      </w:r>
      <w:r w:rsidR="007F7DF8">
        <w:t>ETF, London, viewed 4 February 2020, &lt;</w:t>
      </w:r>
      <w:r w:rsidR="007F7DF8" w:rsidRPr="007F7DF8">
        <w:t>https://www.et-foundation.co.uk/wp-content/uploads/2014/05/ETF_Professional_Standards_Digital_FINAL.pdf</w:t>
      </w:r>
      <w:r w:rsidR="007F7DF8">
        <w:t>&gt;.</w:t>
      </w:r>
    </w:p>
    <w:p w14:paraId="44B7DF0E" w14:textId="60934176" w:rsidR="00BC043C" w:rsidRDefault="00D027AF" w:rsidP="00854E87">
      <w:pPr>
        <w:pStyle w:val="References"/>
      </w:pPr>
      <w:r>
        <w:t>——</w:t>
      </w:r>
      <w:r w:rsidR="00882603">
        <w:t>2018</w:t>
      </w:r>
      <w:r w:rsidR="00EA7C06">
        <w:t>,</w:t>
      </w:r>
      <w:r w:rsidR="00882603">
        <w:t xml:space="preserve"> </w:t>
      </w:r>
      <w:r w:rsidR="00882603" w:rsidRPr="00EA7C06">
        <w:rPr>
          <w:i/>
          <w:iCs/>
        </w:rPr>
        <w:t xml:space="preserve">Achieving </w:t>
      </w:r>
      <w:r w:rsidR="00EA7C06" w:rsidRPr="00EA7C06">
        <w:rPr>
          <w:i/>
          <w:iCs/>
        </w:rPr>
        <w:t>professional potential: p</w:t>
      </w:r>
      <w:r w:rsidR="00882603" w:rsidRPr="00EA7C06">
        <w:rPr>
          <w:i/>
          <w:iCs/>
        </w:rPr>
        <w:t xml:space="preserve">rofessional standards </w:t>
      </w:r>
      <w:r w:rsidR="00EA7C06" w:rsidRPr="00EA7C06">
        <w:rPr>
          <w:i/>
          <w:iCs/>
        </w:rPr>
        <w:t>f</w:t>
      </w:r>
      <w:r w:rsidR="00882603" w:rsidRPr="00EA7C06">
        <w:rPr>
          <w:i/>
          <w:iCs/>
        </w:rPr>
        <w:t>ramework for</w:t>
      </w:r>
      <w:r w:rsidR="00882603">
        <w:t xml:space="preserve"> </w:t>
      </w:r>
      <w:r w:rsidR="00882603">
        <w:rPr>
          <w:i/>
          <w:iCs/>
        </w:rPr>
        <w:t xml:space="preserve">teachers and </w:t>
      </w:r>
      <w:r w:rsidR="0034169D">
        <w:rPr>
          <w:i/>
          <w:iCs/>
        </w:rPr>
        <w:t>teacher</w:t>
      </w:r>
      <w:r w:rsidR="00882603">
        <w:rPr>
          <w:i/>
          <w:iCs/>
        </w:rPr>
        <w:t>s in education and training</w:t>
      </w:r>
      <w:r w:rsidR="00882603">
        <w:t>, viewed May 2020</w:t>
      </w:r>
      <w:r w:rsidR="00882603" w:rsidRPr="007E67FE">
        <w:t>, &lt;</w:t>
      </w:r>
      <w:hyperlink r:id="rId50" w:history="1">
        <w:r w:rsidR="006B0EEE" w:rsidRPr="00C2580D">
          <w:rPr>
            <w:rStyle w:val="Hyperlink"/>
            <w:sz w:val="18"/>
          </w:rPr>
          <w:t>https://www.et-foundation.co.uk/wp-content/uploads/2018/07/ETF_Professional_Standards_Framework_Spreads_Web.pdf</w:t>
        </w:r>
      </w:hyperlink>
      <w:r w:rsidR="00882603" w:rsidRPr="007E67FE">
        <w:t>&gt;</w:t>
      </w:r>
    </w:p>
    <w:p w14:paraId="55171879" w14:textId="7DA4536E" w:rsidR="003C030E" w:rsidRPr="007E67FE" w:rsidRDefault="003C030E" w:rsidP="00854E87">
      <w:pPr>
        <w:pStyle w:val="References"/>
      </w:pPr>
      <w:r w:rsidRPr="003C030E">
        <w:t>Fleming, P 1978, 'Formal preparation of TAFE teachers in Australia: a report to the Council by the Staff Development Advisory Committee [Fleming report]', Australian Government Publishing Service, Canberra.</w:t>
      </w:r>
    </w:p>
    <w:p w14:paraId="6868941D" w14:textId="77777777" w:rsidR="00C47B81" w:rsidRDefault="00EE1A64" w:rsidP="00854E87">
      <w:pPr>
        <w:pStyle w:val="References"/>
      </w:pPr>
      <w:r>
        <w:t>Francisco, S 2007, 'Mentoring TAFE teachers: support, challenge, vision, and trust', paper presented at the 10th Australian Vocational Education and Training Research Association Conference, viewed 06 Oct 2020, &lt;https://www.avetra.org.au/pages/conference-archives-2007.html&gt;.</w:t>
      </w:r>
    </w:p>
    <w:p w14:paraId="6E95B84D" w14:textId="77777777" w:rsidR="001B0139" w:rsidRDefault="00C47B81" w:rsidP="00854E87">
      <w:pPr>
        <w:pStyle w:val="References"/>
        <w:rPr>
          <w:rFonts w:cs="Helvetica"/>
          <w:szCs w:val="18"/>
          <w:lang w:val="en-US"/>
        </w:rPr>
      </w:pPr>
      <w:proofErr w:type="spellStart"/>
      <w:r w:rsidRPr="00C47B81">
        <w:t>Goe</w:t>
      </w:r>
      <w:proofErr w:type="spellEnd"/>
      <w:r w:rsidRPr="00C47B81">
        <w:t xml:space="preserve"> L &amp; Stickler LM, 2008, </w:t>
      </w:r>
      <w:r w:rsidRPr="00507ED4">
        <w:rPr>
          <w:i/>
          <w:iCs/>
        </w:rPr>
        <w:t>Teacher quality and student achievement</w:t>
      </w:r>
      <w:r w:rsidRPr="00C47B81">
        <w:t>, viewed June 2019, ETS, &lt;https://files.eric.ed.gov/fulltext/ED520769.pdf&gt;</w:t>
      </w:r>
      <w:r w:rsidR="001B0139" w:rsidRPr="002B14EF">
        <w:rPr>
          <w:rFonts w:cs="Helvetica"/>
          <w:szCs w:val="18"/>
          <w:lang w:val="en-US"/>
        </w:rPr>
        <w:t>.</w:t>
      </w:r>
      <w:r w:rsidR="001B0139">
        <w:rPr>
          <w:rFonts w:cs="Helvetica"/>
          <w:szCs w:val="18"/>
          <w:lang w:val="en-US"/>
        </w:rPr>
        <w:t xml:space="preserve"> </w:t>
      </w:r>
    </w:p>
    <w:p w14:paraId="7EFD4FC8" w14:textId="00CC4AF4" w:rsidR="006F134B" w:rsidRDefault="002B14EF" w:rsidP="00854E87">
      <w:pPr>
        <w:pStyle w:val="References"/>
        <w:rPr>
          <w:rFonts w:cs="Helvetica"/>
          <w:szCs w:val="18"/>
          <w:lang w:val="en-US"/>
        </w:rPr>
      </w:pPr>
      <w:r w:rsidRPr="002B14EF">
        <w:rPr>
          <w:rFonts w:cs="Helvetica"/>
          <w:szCs w:val="18"/>
          <w:lang w:val="en-US"/>
        </w:rPr>
        <w:t xml:space="preserve">Griffin, T 2017, </w:t>
      </w:r>
      <w:r w:rsidRPr="00507ED4">
        <w:rPr>
          <w:rFonts w:cs="Helvetica"/>
          <w:i/>
          <w:iCs/>
          <w:szCs w:val="18"/>
          <w:lang w:val="en-US"/>
        </w:rPr>
        <w:t>Are we all speaking the same language? Understanding ‘quality’ in the VET sector</w:t>
      </w:r>
      <w:r w:rsidRPr="002B14EF">
        <w:rPr>
          <w:rFonts w:cs="Helvetica"/>
          <w:szCs w:val="18"/>
          <w:lang w:val="en-US"/>
        </w:rPr>
        <w:t xml:space="preserve">, </w:t>
      </w:r>
      <w:r w:rsidR="00507ED4">
        <w:t>NCVER</w:t>
      </w:r>
      <w:r w:rsidRPr="002B14EF">
        <w:rPr>
          <w:rFonts w:cs="Helvetica"/>
          <w:szCs w:val="18"/>
          <w:lang w:val="en-US"/>
        </w:rPr>
        <w:t>, Adelaide.</w:t>
      </w:r>
      <w:r w:rsidR="006F134B">
        <w:rPr>
          <w:rFonts w:cs="Helvetica"/>
          <w:szCs w:val="18"/>
          <w:lang w:val="en-US"/>
        </w:rPr>
        <w:t xml:space="preserve"> </w:t>
      </w:r>
    </w:p>
    <w:p w14:paraId="3884B75E" w14:textId="77777777" w:rsidR="00507ED4" w:rsidRDefault="001A2AA2" w:rsidP="00854E87">
      <w:pPr>
        <w:pStyle w:val="References"/>
        <w:rPr>
          <w:rFonts w:cs="Helvetica"/>
          <w:szCs w:val="18"/>
          <w:lang w:val="en-US"/>
        </w:rPr>
      </w:pPr>
      <w:r w:rsidRPr="00AE079F">
        <w:rPr>
          <w:rFonts w:cs="Helvetica"/>
          <w:szCs w:val="18"/>
          <w:lang w:val="en-US"/>
        </w:rPr>
        <w:t>Guthrie, H</w:t>
      </w:r>
      <w:r w:rsidR="00EE1A64">
        <w:rPr>
          <w:rFonts w:cs="Helvetica"/>
          <w:szCs w:val="18"/>
          <w:lang w:val="en-US"/>
        </w:rPr>
        <w:t>.</w:t>
      </w:r>
      <w:r w:rsidRPr="00AE079F">
        <w:rPr>
          <w:rFonts w:cs="Helvetica"/>
          <w:szCs w:val="18"/>
          <w:lang w:val="en-US"/>
        </w:rPr>
        <w:t xml:space="preserve"> 2010, </w:t>
      </w:r>
      <w:r w:rsidRPr="00AE079F">
        <w:rPr>
          <w:rFonts w:cs="Helvetica"/>
          <w:i/>
          <w:iCs/>
          <w:szCs w:val="18"/>
          <w:lang w:val="en-US"/>
        </w:rPr>
        <w:t>Professional development in the vocational education and training workforce</w:t>
      </w:r>
      <w:r w:rsidRPr="00AE079F">
        <w:rPr>
          <w:rFonts w:cs="Helvetica"/>
          <w:szCs w:val="18"/>
          <w:lang w:val="en-US"/>
        </w:rPr>
        <w:t xml:space="preserve">, </w:t>
      </w:r>
      <w:r w:rsidR="00507ED4">
        <w:t>NCVER</w:t>
      </w:r>
      <w:r w:rsidRPr="00AE079F">
        <w:rPr>
          <w:rFonts w:cs="Helvetica"/>
          <w:szCs w:val="18"/>
          <w:lang w:val="en-US"/>
        </w:rPr>
        <w:t>, Adelaide</w:t>
      </w:r>
    </w:p>
    <w:p w14:paraId="2D44DAF9" w14:textId="20B928F0" w:rsidR="00E875B5" w:rsidRPr="00854E87" w:rsidRDefault="006B19B6" w:rsidP="00854E87">
      <w:pPr>
        <w:pStyle w:val="References"/>
      </w:pPr>
      <w:r w:rsidRPr="00854E87">
        <w:t xml:space="preserve">Guthrie, H &amp; Clayton B </w:t>
      </w:r>
      <w:r w:rsidR="0060121C" w:rsidRPr="00854E87">
        <w:t>2010, Building capability in vocational education and training providers: The TAFE cut, NCVER, Adelaide</w:t>
      </w:r>
      <w:r w:rsidR="00A10C2D" w:rsidRPr="00854E87">
        <w:t>.</w:t>
      </w:r>
    </w:p>
    <w:p w14:paraId="1E58C82D" w14:textId="77777777" w:rsidR="009F1DFD" w:rsidRDefault="009F1DFD">
      <w:pPr>
        <w:spacing w:before="0" w:line="240" w:lineRule="auto"/>
        <w:rPr>
          <w:sz w:val="18"/>
          <w:szCs w:val="20"/>
          <w:lang w:eastAsia="en-US"/>
        </w:rPr>
      </w:pPr>
      <w:r>
        <w:br w:type="page"/>
      </w:r>
    </w:p>
    <w:p w14:paraId="63A34057" w14:textId="2F48FE84" w:rsidR="00F043DA" w:rsidRDefault="00D027AF" w:rsidP="00854E87">
      <w:pPr>
        <w:pStyle w:val="References"/>
        <w:rPr>
          <w:szCs w:val="18"/>
          <w:lang w:val="en-US"/>
        </w:rPr>
      </w:pPr>
      <w:r>
        <w:lastRenderedPageBreak/>
        <w:t>——</w:t>
      </w:r>
      <w:r w:rsidR="00F043DA" w:rsidRPr="00AE079F">
        <w:rPr>
          <w:szCs w:val="18"/>
          <w:lang w:val="en-US"/>
        </w:rPr>
        <w:t>2012, 'An association for VET’s professionals: what’s the story?', paper presented at the 15th Australian Vocational Education and Training Research Association Conference.</w:t>
      </w:r>
    </w:p>
    <w:p w14:paraId="5A14791F" w14:textId="2D49E025" w:rsidR="00D027AF" w:rsidRDefault="00D027AF" w:rsidP="00854E87">
      <w:pPr>
        <w:pStyle w:val="References"/>
      </w:pPr>
      <w:r>
        <w:t>——2018</w:t>
      </w:r>
      <w:r w:rsidRPr="009C520B">
        <w:t>, 'VET policy: processes, stakeholders and issues', LH Martin Institute, University of Melbourne, Melbourne, viewed 19 Oct 2020, &lt;https://melbourne-cshe.unimelb.edu.au/__data/assets/pdf_file/0004/2845777/Final_Guthrie-and-Clayton-paper_030818.pdf&gt;.</w:t>
      </w:r>
    </w:p>
    <w:p w14:paraId="73E44B88" w14:textId="77777777" w:rsidR="00D027AF" w:rsidRDefault="00D027AF" w:rsidP="00854E87">
      <w:pPr>
        <w:pStyle w:val="References"/>
        <w:rPr>
          <w:lang w:val="en-US"/>
        </w:rPr>
      </w:pPr>
      <w:r w:rsidRPr="00AE079F">
        <w:rPr>
          <w:lang w:val="en-US"/>
        </w:rPr>
        <w:t>Guthrie, H</w:t>
      </w:r>
      <w:r>
        <w:rPr>
          <w:lang w:val="en-US"/>
        </w:rPr>
        <w:t xml:space="preserve"> &amp;</w:t>
      </w:r>
      <w:r w:rsidRPr="00AE079F">
        <w:rPr>
          <w:lang w:val="en-US"/>
        </w:rPr>
        <w:t xml:space="preserve"> Every, P 2013, </w:t>
      </w:r>
      <w:r w:rsidRPr="00AE079F">
        <w:rPr>
          <w:i/>
          <w:iCs/>
          <w:lang w:val="en-US"/>
        </w:rPr>
        <w:t xml:space="preserve">VET teacher, trainer and assessor capabilities, </w:t>
      </w:r>
      <w:proofErr w:type="gramStart"/>
      <w:r w:rsidRPr="00AE079F">
        <w:rPr>
          <w:i/>
          <w:iCs/>
          <w:lang w:val="en-US"/>
        </w:rPr>
        <w:t>qualifications</w:t>
      </w:r>
      <w:proofErr w:type="gramEnd"/>
      <w:r w:rsidRPr="00AE079F">
        <w:rPr>
          <w:i/>
          <w:iCs/>
          <w:lang w:val="en-US"/>
        </w:rPr>
        <w:t xml:space="preserve"> and development: issues and options</w:t>
      </w:r>
      <w:r w:rsidRPr="00AE079F">
        <w:rPr>
          <w:lang w:val="en-US"/>
        </w:rPr>
        <w:t>, National Skills Standards Council, Melbourne.</w:t>
      </w:r>
    </w:p>
    <w:p w14:paraId="183298BE" w14:textId="77777777" w:rsidR="00D027AF" w:rsidRDefault="00D027AF" w:rsidP="00854E87">
      <w:pPr>
        <w:pStyle w:val="References"/>
      </w:pPr>
      <w:r>
        <w:t>Guthrie, H &amp; Harris, R</w:t>
      </w:r>
      <w:r w:rsidRPr="002C0D4C">
        <w:t xml:space="preserve"> 2018, 'VET practitioner education in Australia: issues and approaches', in S McGrath, M Mulder, J Papier &amp; R </w:t>
      </w:r>
      <w:proofErr w:type="spellStart"/>
      <w:r w:rsidRPr="002C0D4C">
        <w:t>Suart</w:t>
      </w:r>
      <w:proofErr w:type="spellEnd"/>
      <w:r w:rsidRPr="002C0D4C">
        <w:t xml:space="preserve"> (eds), </w:t>
      </w:r>
      <w:r w:rsidRPr="00310D9A">
        <w:rPr>
          <w:i/>
          <w:iCs/>
        </w:rPr>
        <w:t>Handbook of vocational education and training: developments in the changing world of work: volume 2</w:t>
      </w:r>
      <w:r w:rsidRPr="002C0D4C">
        <w:t>, Springer Nature Switzerland, Cham, pp.1787–1805.</w:t>
      </w:r>
    </w:p>
    <w:p w14:paraId="681A8012" w14:textId="77777777" w:rsidR="00D027AF" w:rsidRDefault="00D027AF" w:rsidP="00854E87">
      <w:pPr>
        <w:pStyle w:val="References"/>
      </w:pPr>
      <w:r w:rsidRPr="00A05225">
        <w:t>Guthrie, H</w:t>
      </w:r>
      <w:r>
        <w:t xml:space="preserve"> &amp; </w:t>
      </w:r>
      <w:r w:rsidRPr="00A05225">
        <w:t>Jones, A 2018, 'How can VET teacher education and development be improved?', LH Martin Institute, University of Melbourne, Melbourne, viewed 19 Oct 2020, &lt;https://melbourne-cshe.unimelb.edu.au/__data/assets/pdf_file/0009/2854287/VET-teaching-paper_Guthrie_Jones.pdf&gt;.</w:t>
      </w:r>
    </w:p>
    <w:p w14:paraId="35C0D61F" w14:textId="6B5BAB61" w:rsidR="00AA403C" w:rsidRPr="00E25CF8" w:rsidRDefault="00E875B5" w:rsidP="00854E87">
      <w:pPr>
        <w:pStyle w:val="References"/>
        <w:rPr>
          <w:lang w:val="en-US"/>
        </w:rPr>
      </w:pPr>
      <w:r>
        <w:rPr>
          <w:lang w:val="en-US"/>
        </w:rPr>
        <w:t xml:space="preserve">Guthrie, H, McNaughton, A &amp; Gamlin, T 2011, </w:t>
      </w:r>
      <w:r w:rsidRPr="00310D9A">
        <w:rPr>
          <w:i/>
          <w:iCs/>
          <w:lang w:val="en-US"/>
        </w:rPr>
        <w:t>Initial training for VET teachers: a portrait within a larger canvas</w:t>
      </w:r>
      <w:r>
        <w:rPr>
          <w:lang w:val="en-US"/>
        </w:rPr>
        <w:t xml:space="preserve">, NCVER, Adelaide. </w:t>
      </w:r>
    </w:p>
    <w:p w14:paraId="670022B5" w14:textId="19F55438" w:rsidR="002C168A" w:rsidRPr="00C94F56" w:rsidRDefault="002926BD" w:rsidP="00854E87">
      <w:pPr>
        <w:pStyle w:val="References"/>
      </w:pPr>
      <w:r w:rsidRPr="00C94F56">
        <w:t>Guy</w:t>
      </w:r>
      <w:r w:rsidR="00B50916" w:rsidRPr="00C94F56">
        <w:t xml:space="preserve">, </w:t>
      </w:r>
      <w:r w:rsidR="00DA7EF0" w:rsidRPr="00C94F56">
        <w:t>J</w:t>
      </w:r>
      <w:r w:rsidR="00B50916" w:rsidRPr="00C94F56">
        <w:t xml:space="preserve"> 2020</w:t>
      </w:r>
      <w:r w:rsidR="007B5847" w:rsidRPr="00C94F56">
        <w:t>,</w:t>
      </w:r>
      <w:r w:rsidR="006A343F" w:rsidRPr="00C94F56">
        <w:t xml:space="preserve"> State of our TAFE</w:t>
      </w:r>
      <w:r w:rsidR="007B5847" w:rsidRPr="00C94F56">
        <w:t>s</w:t>
      </w:r>
      <w:r w:rsidR="006A343F" w:rsidRPr="00C94F56">
        <w:t xml:space="preserve"> survey, A wake up call for government, Australian TAFE Teacher 54/1 Autumn, </w:t>
      </w:r>
      <w:r w:rsidR="00745EAF">
        <w:br/>
      </w:r>
      <w:r w:rsidR="006A343F" w:rsidRPr="00C94F56">
        <w:t>pp 14-17</w:t>
      </w:r>
      <w:r w:rsidR="00745EAF">
        <w:t>.</w:t>
      </w:r>
    </w:p>
    <w:p w14:paraId="436E1F5B" w14:textId="59F578B8" w:rsidR="002C168A" w:rsidRPr="00C94F56" w:rsidRDefault="00545A03" w:rsidP="00854E87">
      <w:pPr>
        <w:pStyle w:val="References"/>
      </w:pPr>
      <w:r w:rsidRPr="00C94F56">
        <w:rPr>
          <w:lang w:val="en-US"/>
        </w:rPr>
        <w:t xml:space="preserve">Hall, W, Hayton, G, </w:t>
      </w:r>
      <w:proofErr w:type="spellStart"/>
      <w:r w:rsidRPr="00C94F56">
        <w:rPr>
          <w:lang w:val="en-US"/>
        </w:rPr>
        <w:t>Mageean</w:t>
      </w:r>
      <w:proofErr w:type="spellEnd"/>
      <w:r w:rsidRPr="00C94F56">
        <w:rPr>
          <w:lang w:val="en-US"/>
        </w:rPr>
        <w:t>, P &amp; Scarfe,</w:t>
      </w:r>
      <w:r w:rsidR="00C94F56" w:rsidRPr="00C94F56">
        <w:rPr>
          <w:lang w:val="en-US"/>
        </w:rPr>
        <w:t xml:space="preserve"> </w:t>
      </w:r>
      <w:r w:rsidRPr="00C94F56">
        <w:rPr>
          <w:lang w:val="en-US"/>
        </w:rPr>
        <w:t xml:space="preserve">J 1990, </w:t>
      </w:r>
      <w:r w:rsidRPr="00310D9A">
        <w:rPr>
          <w:i/>
          <w:iCs/>
          <w:lang w:val="en-US"/>
        </w:rPr>
        <w:t xml:space="preserve">National review of TAFE teacher preparation and development: stages 1A and </w:t>
      </w:r>
      <w:r w:rsidRPr="00310D9A">
        <w:t>1B</w:t>
      </w:r>
      <w:r w:rsidRPr="00310D9A">
        <w:rPr>
          <w:i/>
          <w:iCs/>
          <w:lang w:val="en-US"/>
        </w:rPr>
        <w:t>, skills and competencies</w:t>
      </w:r>
      <w:r w:rsidRPr="00C94F56">
        <w:rPr>
          <w:lang w:val="en-US"/>
        </w:rPr>
        <w:t xml:space="preserve">, TAFE National Centre for Research and Development, Adelaide. </w:t>
      </w:r>
    </w:p>
    <w:p w14:paraId="25715B56" w14:textId="77777777" w:rsidR="00D027AF" w:rsidRPr="00C94F56" w:rsidRDefault="00D027AF" w:rsidP="00854E87">
      <w:pPr>
        <w:pStyle w:val="References"/>
      </w:pPr>
      <w:r w:rsidRPr="00C94F56">
        <w:t>Harris, R 2015, ‘Quality in the Australian VET sector: what has been happening’, International Journal of Training Research, viewed September 2019, vol.13, no.1, pp.13—64.</w:t>
      </w:r>
    </w:p>
    <w:p w14:paraId="36962DC8" w14:textId="410B8992" w:rsidR="00D027AF" w:rsidRDefault="00D027AF" w:rsidP="00854E87">
      <w:pPr>
        <w:pStyle w:val="References"/>
      </w:pPr>
      <w:r>
        <w:t xml:space="preserve">—— </w:t>
      </w:r>
      <w:r w:rsidRPr="002C168A">
        <w:t xml:space="preserve">2020, </w:t>
      </w:r>
      <w:r w:rsidRPr="00507ED4">
        <w:rPr>
          <w:i/>
          <w:iCs/>
        </w:rPr>
        <w:t>Landmarks in the development of the VET workforce: an overview</w:t>
      </w:r>
      <w:r w:rsidRPr="002C168A">
        <w:t>, unpublished. viewed 06 Oct 2020, &lt;https://www.voced.edu.au/vet-knowledge-bank-landmark-documents-vet-workforce-historical-overview&gt;.</w:t>
      </w:r>
    </w:p>
    <w:p w14:paraId="765DC498" w14:textId="76AC34EE" w:rsidR="00D027AF" w:rsidRDefault="00AC594A" w:rsidP="00854E87">
      <w:pPr>
        <w:pStyle w:val="References"/>
        <w:rPr>
          <w:color w:val="C00000"/>
          <w:shd w:val="clear" w:color="auto" w:fill="FFFFFF"/>
        </w:rPr>
      </w:pPr>
      <w:r w:rsidRPr="00C94F56">
        <w:rPr>
          <w:lang w:eastAsia="zh-CN"/>
        </w:rPr>
        <w:t xml:space="preserve">Harris, R, Simons, M, Hill, D, Smith, E, Pearce, R, Blakely, J, Choy, S &amp; </w:t>
      </w:r>
      <w:proofErr w:type="spellStart"/>
      <w:r w:rsidRPr="00C94F56">
        <w:rPr>
          <w:lang w:eastAsia="zh-CN"/>
        </w:rPr>
        <w:t>Snewin</w:t>
      </w:r>
      <w:proofErr w:type="spellEnd"/>
      <w:r w:rsidRPr="00C94F56">
        <w:rPr>
          <w:lang w:eastAsia="zh-CN"/>
        </w:rPr>
        <w:t xml:space="preserve">, D 2001, </w:t>
      </w:r>
      <w:r w:rsidRPr="00C94F56">
        <w:rPr>
          <w:i/>
          <w:iCs/>
        </w:rPr>
        <w:t xml:space="preserve">The changing role of staff </w:t>
      </w:r>
      <w:r w:rsidRPr="00A10C2D">
        <w:t>development</w:t>
      </w:r>
      <w:r w:rsidRPr="00C94F56">
        <w:rPr>
          <w:i/>
          <w:iCs/>
        </w:rPr>
        <w:t xml:space="preserve"> for teachers and trainers in vocational and training</w:t>
      </w:r>
      <w:r w:rsidRPr="00C94F56">
        <w:t xml:space="preserve">, </w:t>
      </w:r>
      <w:r w:rsidR="00507ED4">
        <w:t>NCVER</w:t>
      </w:r>
      <w:r w:rsidRPr="00C94F56">
        <w:t>, Adelaide, viewed October 2020</w:t>
      </w:r>
      <w:r w:rsidR="00745EAF">
        <w:t>,</w:t>
      </w:r>
      <w:r w:rsidR="00DC6FA9" w:rsidRPr="00C94F56">
        <w:t xml:space="preserve"> </w:t>
      </w:r>
      <w:r w:rsidRPr="00C94F56">
        <w:t>&lt;</w:t>
      </w:r>
      <w:r w:rsidR="007B22D1" w:rsidRPr="007B22D1">
        <w:t xml:space="preserve"> https://www.ncver.edu.au/research-and-statistics/publications/all-publications/the-changing-role-of-staff-development-for-teachers-and-trainers-in-vocational-education-and-training</w:t>
      </w:r>
      <w:r w:rsidRPr="00C94F56">
        <w:t>&gt;.</w:t>
      </w:r>
    </w:p>
    <w:p w14:paraId="0DF442E9" w14:textId="20EE707A" w:rsidR="002C168A" w:rsidRPr="00C94F56" w:rsidRDefault="006B19B6" w:rsidP="00854E87">
      <w:pPr>
        <w:pStyle w:val="References"/>
      </w:pPr>
      <w:r w:rsidRPr="00C94F56">
        <w:t>Harris, R, Clayton, B, &amp; Chappell, C 2007,</w:t>
      </w:r>
      <w:r w:rsidRPr="00C94F56">
        <w:rPr>
          <w:rStyle w:val="apple-converted-space"/>
        </w:rPr>
        <w:t> </w:t>
      </w:r>
      <w:r w:rsidR="00DC6FA9" w:rsidRPr="00C94F56">
        <w:t>Supporting vocational education and training providers in building capability for the future: Research overview</w:t>
      </w:r>
      <w:r w:rsidRPr="00C94F56">
        <w:t>, NCVER, Adelaide.</w:t>
      </w:r>
    </w:p>
    <w:p w14:paraId="0E5E21B2" w14:textId="77777777" w:rsidR="00507ED4" w:rsidRDefault="00EE1A64" w:rsidP="00854E87">
      <w:pPr>
        <w:pStyle w:val="References"/>
      </w:pPr>
      <w:r>
        <w:t>Hattie, J 2003</w:t>
      </w:r>
      <w:r w:rsidR="0057562D">
        <w:t>,</w:t>
      </w:r>
      <w:r w:rsidRPr="00157E45">
        <w:t xml:space="preserve"> </w:t>
      </w:r>
      <w:hyperlink r:id="rId51" w:history="1">
        <w:r w:rsidRPr="00507ED4">
          <w:rPr>
            <w:rStyle w:val="Hyperlink"/>
            <w:i/>
            <w:iCs/>
          </w:rPr>
          <w:t>Teachers make a difference: What is the research evidence</w:t>
        </w:r>
      </w:hyperlink>
      <w:r w:rsidRPr="00507ED4">
        <w:rPr>
          <w:i/>
          <w:iCs/>
        </w:rPr>
        <w:t>?</w:t>
      </w:r>
      <w:r w:rsidRPr="00157E45">
        <w:t xml:space="preserve"> Paper presented at the Building Teacher Quality: What does the research tell us ACER Research Conference, Melbourne, Australia. </w:t>
      </w:r>
      <w:r>
        <w:t>Access Date: 25 September 2020.</w:t>
      </w:r>
    </w:p>
    <w:p w14:paraId="741EDA3C" w14:textId="1246EF4D" w:rsidR="00507ED4" w:rsidRDefault="00D027AF" w:rsidP="00854E87">
      <w:pPr>
        <w:pStyle w:val="References"/>
        <w:rPr>
          <w:lang w:val="en-US"/>
        </w:rPr>
      </w:pPr>
      <w:r>
        <w:t>——</w:t>
      </w:r>
      <w:r w:rsidR="00EE1A64" w:rsidRPr="009B1599">
        <w:t>2015</w:t>
      </w:r>
      <w:r w:rsidR="0057562D" w:rsidRPr="009B1599">
        <w:t xml:space="preserve">, </w:t>
      </w:r>
      <w:hyperlink r:id="rId52" w:history="1">
        <w:r w:rsidR="00EE1A64" w:rsidRPr="009B1599">
          <w:t>The Applicability of Visible Learning to Higher Education</w:t>
        </w:r>
      </w:hyperlink>
      <w:r w:rsidR="00EE1A64" w:rsidRPr="009B1599">
        <w:t xml:space="preserve">. </w:t>
      </w:r>
      <w:r w:rsidR="00EE1A64" w:rsidRPr="009B1599">
        <w:rPr>
          <w:i/>
          <w:iCs/>
        </w:rPr>
        <w:t>Scholarship of Teaching and Learning in Psychology, 2015, Vol. 1, No. 1, 79 –91</w:t>
      </w:r>
      <w:r w:rsidR="00EE1A64" w:rsidRPr="009B1599">
        <w:t xml:space="preserve">. Access Date: 26 September 2020. </w:t>
      </w:r>
      <w:r w:rsidR="00444C1F" w:rsidRPr="009B1599">
        <w:t xml:space="preserve">Hodge, S </w:t>
      </w:r>
      <w:r w:rsidR="009C520B" w:rsidRPr="009B1599">
        <w:t>2014, 'Interpreting competencies in Australian vocational education and training: practices and issues', NCVER, Adelaide.</w:t>
      </w:r>
    </w:p>
    <w:p w14:paraId="550C050B" w14:textId="77777777" w:rsidR="00543A1E" w:rsidRDefault="00543A1E" w:rsidP="00854E87">
      <w:pPr>
        <w:pStyle w:val="References"/>
      </w:pPr>
      <w:r w:rsidRPr="00C94F56">
        <w:t>Hodge, S 2020,</w:t>
      </w:r>
      <w:r w:rsidRPr="00507ED4">
        <w:rPr>
          <w:i/>
          <w:iCs/>
        </w:rPr>
        <w:t>Training and assessment in key landmark documents: an overview</w:t>
      </w:r>
      <w:r w:rsidRPr="00C94F56">
        <w:t xml:space="preserve">, </w:t>
      </w:r>
      <w:proofErr w:type="spellStart"/>
      <w:r w:rsidRPr="00C94F56">
        <w:t>VOCEDPlus</w:t>
      </w:r>
      <w:proofErr w:type="spellEnd"/>
      <w:r w:rsidRPr="00C94F56">
        <w:t xml:space="preserve"> Landmark documents, Historical overviews: Training and assessment at </w:t>
      </w:r>
      <w:r>
        <w:t>&lt;</w:t>
      </w:r>
      <w:hyperlink r:id="rId53" w:history="1">
        <w:r w:rsidRPr="00151144">
          <w:rPr>
            <w:rStyle w:val="Hyperlink"/>
            <w:sz w:val="18"/>
          </w:rPr>
          <w:t>https://www.voced.edu.au/vet-knowledge-bank-landmark-documents-training-and-assesment-historical-overview</w:t>
        </w:r>
      </w:hyperlink>
      <w:r>
        <w:rPr>
          <w:rStyle w:val="Hyperlink"/>
          <w:sz w:val="18"/>
        </w:rPr>
        <w:t>&gt;.</w:t>
      </w:r>
    </w:p>
    <w:p w14:paraId="0388D6FD" w14:textId="463DA89C" w:rsidR="00507ED4" w:rsidRDefault="00C94F56" w:rsidP="00854E87">
      <w:pPr>
        <w:pStyle w:val="References"/>
      </w:pPr>
      <w:r w:rsidRPr="00C94F56">
        <w:t xml:space="preserve">Hodge, S &amp; Guthrie, H 2019, Moving beyond training packages: first steps. Presentation at AVETRA conference, 2019. </w:t>
      </w:r>
      <w:r w:rsidR="00507ED4">
        <w:t>&lt;</w:t>
      </w:r>
      <w:hyperlink r:id="rId54" w:history="1">
        <w:r w:rsidR="00507ED4" w:rsidRPr="00151144">
          <w:rPr>
            <w:rStyle w:val="Hyperlink"/>
            <w:sz w:val="18"/>
          </w:rPr>
          <w:t>https://www.voced.edu.au/content/ngv%3A85202</w:t>
        </w:r>
      </w:hyperlink>
      <w:r w:rsidR="00507ED4">
        <w:rPr>
          <w:rStyle w:val="Hyperlink"/>
          <w:sz w:val="18"/>
        </w:rPr>
        <w:t>&gt;.</w:t>
      </w:r>
    </w:p>
    <w:p w14:paraId="77CAB9E3" w14:textId="374A2EE1" w:rsidR="00507ED4" w:rsidRDefault="00872F06" w:rsidP="00854E87">
      <w:pPr>
        <w:pStyle w:val="References"/>
      </w:pPr>
      <w:r w:rsidRPr="00872F06">
        <w:t xml:space="preserve">Hurley, P &amp; Van Dyke, N 2019, </w:t>
      </w:r>
      <w:r w:rsidRPr="00507ED4">
        <w:rPr>
          <w:i/>
          <w:iCs/>
        </w:rPr>
        <w:t>Australian investment in education: vocational education and training</w:t>
      </w:r>
      <w:r w:rsidRPr="00872F06">
        <w:t>. Mitchell Institute, Melbourne.</w:t>
      </w:r>
    </w:p>
    <w:p w14:paraId="6B7FA09A" w14:textId="1A412623" w:rsidR="00507ED4" w:rsidRDefault="00FB4802" w:rsidP="00854E87">
      <w:pPr>
        <w:pStyle w:val="References"/>
      </w:pPr>
      <w:r w:rsidRPr="00C94F56">
        <w:t xml:space="preserve">Ithaca Group 2013, </w:t>
      </w:r>
      <w:r w:rsidRPr="00507ED4">
        <w:rPr>
          <w:i/>
          <w:iCs/>
        </w:rPr>
        <w:t xml:space="preserve">Professional </w:t>
      </w:r>
      <w:r w:rsidR="00A75343" w:rsidRPr="00507ED4">
        <w:rPr>
          <w:i/>
          <w:iCs/>
        </w:rPr>
        <w:t>standards for vocational education and training practitioners</w:t>
      </w:r>
      <w:r w:rsidR="00A75343" w:rsidRPr="00C94F56">
        <w:t xml:space="preserve">, discussion paper </w:t>
      </w:r>
      <w:r w:rsidRPr="00C94F56">
        <w:t>prepared for Queensland College of Teachers</w:t>
      </w:r>
      <w:r w:rsidR="00A75343" w:rsidRPr="00C94F56">
        <w:t>, Brisbane.</w:t>
      </w:r>
    </w:p>
    <w:p w14:paraId="6466C420" w14:textId="77777777" w:rsidR="00507ED4" w:rsidRDefault="006175D5" w:rsidP="00854E87">
      <w:pPr>
        <w:pStyle w:val="References"/>
      </w:pPr>
      <w:r w:rsidRPr="00C94F56">
        <w:t xml:space="preserve">Innovation and Business Skills Australia </w:t>
      </w:r>
      <w:r w:rsidR="00D35102" w:rsidRPr="00C94F56">
        <w:t xml:space="preserve">(IBSA) </w:t>
      </w:r>
      <w:r w:rsidRPr="00C94F56">
        <w:t xml:space="preserve">2013, </w:t>
      </w:r>
      <w:r w:rsidRPr="00507ED4">
        <w:rPr>
          <w:i/>
          <w:iCs/>
        </w:rPr>
        <w:t>VET Practitioner Capability Framework</w:t>
      </w:r>
      <w:r w:rsidRPr="00C94F56">
        <w:t>, viewed July 2019,</w:t>
      </w:r>
      <w:r w:rsidR="00D35102" w:rsidRPr="00C94F56">
        <w:t xml:space="preserve"> </w:t>
      </w:r>
      <w:r w:rsidRPr="00C94F56">
        <w:t>&lt;</w:t>
      </w:r>
      <w:hyperlink r:id="rId55" w:history="1">
        <w:r w:rsidRPr="00C94F56">
          <w:t>https://www.dtwd.wa.gov.au/sites/default/files/uploads/vet-capability-framework-implementation-guide.pdf</w:t>
        </w:r>
      </w:hyperlink>
      <w:r w:rsidRPr="00C94F56">
        <w:t>&gt;</w:t>
      </w:r>
      <w:r w:rsidR="00D35102" w:rsidRPr="00C94F56">
        <w:t>.</w:t>
      </w:r>
    </w:p>
    <w:p w14:paraId="1F16A884" w14:textId="77777777" w:rsidR="00507ED4" w:rsidRDefault="00695DB4" w:rsidP="00854E87">
      <w:pPr>
        <w:pStyle w:val="References"/>
        <w:rPr>
          <w:rStyle w:val="Hyperlink"/>
          <w:sz w:val="18"/>
        </w:rPr>
      </w:pPr>
      <w:r>
        <w:t>Independent Tertiary Education Council Australia</w:t>
      </w:r>
      <w:r w:rsidRPr="00695DB4">
        <w:t xml:space="preserve"> </w:t>
      </w:r>
      <w:r w:rsidR="00CA090A">
        <w:t>(</w:t>
      </w:r>
      <w:r>
        <w:t>ITECA</w:t>
      </w:r>
      <w:r w:rsidR="00CA090A">
        <w:t>)</w:t>
      </w:r>
      <w:r w:rsidR="00BB41FA">
        <w:t xml:space="preserve"> </w:t>
      </w:r>
      <w:r w:rsidR="00876DC8">
        <w:t xml:space="preserve">2019, </w:t>
      </w:r>
      <w:r w:rsidR="00F76FD1">
        <w:t>‘</w:t>
      </w:r>
      <w:r w:rsidR="00876DC8" w:rsidRPr="00713958">
        <w:t>ITECA College of Vocational Education and Training Professionals</w:t>
      </w:r>
      <w:r w:rsidR="00F76FD1">
        <w:t>’</w:t>
      </w:r>
      <w:r w:rsidR="00876DC8">
        <w:t xml:space="preserve">, viewed </w:t>
      </w:r>
      <w:r w:rsidR="0009527C">
        <w:t>January 2020</w:t>
      </w:r>
      <w:r w:rsidR="00876DC8">
        <w:t xml:space="preserve">, </w:t>
      </w:r>
      <w:r w:rsidR="00F76FD1">
        <w:t>&lt;</w:t>
      </w:r>
      <w:hyperlink r:id="rId56" w:history="1">
        <w:r w:rsidR="00F17DF9" w:rsidRPr="00025570">
          <w:rPr>
            <w:rStyle w:val="Hyperlink"/>
            <w:sz w:val="18"/>
          </w:rPr>
          <w:t>https://www.iteca.edu.au/ITECA-College</w:t>
        </w:r>
      </w:hyperlink>
      <w:r w:rsidR="00F76FD1">
        <w:rPr>
          <w:rStyle w:val="Hyperlink"/>
          <w:sz w:val="18"/>
        </w:rPr>
        <w:t>&gt;.</w:t>
      </w:r>
    </w:p>
    <w:p w14:paraId="55E94224" w14:textId="77777777" w:rsidR="00507ED4" w:rsidRDefault="005506DE" w:rsidP="00854E87">
      <w:pPr>
        <w:pStyle w:val="References"/>
        <w:rPr>
          <w:rFonts w:ascii="Times New Roman" w:hAnsi="Times New Roman"/>
          <w:sz w:val="24"/>
        </w:rPr>
      </w:pPr>
      <w:r>
        <w:t>J</w:t>
      </w:r>
      <w:r w:rsidRPr="005506DE">
        <w:t>oyce, S. 2019,</w:t>
      </w:r>
      <w:r w:rsidR="002C168A">
        <w:t xml:space="preserve"> </w:t>
      </w:r>
      <w:r w:rsidRPr="005506DE">
        <w:t>Strengthening Skills, Expert Review of Australia’s Vocational Education and Training System, Commonwealth of Australia, Department of the Prime Minister and Cabinet.</w:t>
      </w:r>
    </w:p>
    <w:p w14:paraId="103694CD" w14:textId="77777777" w:rsidR="00507ED4" w:rsidRDefault="001F4762" w:rsidP="00854E87">
      <w:pPr>
        <w:pStyle w:val="References"/>
        <w:rPr>
          <w:lang w:val="en-US"/>
        </w:rPr>
      </w:pPr>
      <w:r>
        <w:rPr>
          <w:lang w:val="en-US"/>
        </w:rPr>
        <w:t xml:space="preserve">Knight, G, White, I &amp; Granfield, P 2020, </w:t>
      </w:r>
      <w:r w:rsidRPr="00310D9A">
        <w:rPr>
          <w:i/>
          <w:iCs/>
          <w:lang w:val="en-US"/>
        </w:rPr>
        <w:t xml:space="preserve">Understanding the Australian vocational </w:t>
      </w:r>
      <w:proofErr w:type="gramStart"/>
      <w:r w:rsidRPr="00310D9A">
        <w:rPr>
          <w:i/>
          <w:iCs/>
          <w:lang w:val="en-US"/>
        </w:rPr>
        <w:t>education</w:t>
      </w:r>
      <w:proofErr w:type="gramEnd"/>
      <w:r w:rsidRPr="00310D9A">
        <w:rPr>
          <w:i/>
          <w:iCs/>
          <w:lang w:val="en-US"/>
        </w:rPr>
        <w:t xml:space="preserve"> and training workforce</w:t>
      </w:r>
      <w:r>
        <w:rPr>
          <w:lang w:val="en-US"/>
        </w:rPr>
        <w:t>, NCVER, Adelaide, viewed 06 Oct 2020, &lt;https://www.ncver.edu.au/research-and-statistics/publications/all-publications/understanding-the-australian-vocational-education-and-training-workforce&gt;.</w:t>
      </w:r>
    </w:p>
    <w:p w14:paraId="6FEDEEA5" w14:textId="77777777" w:rsidR="00507ED4" w:rsidRDefault="00B64D1D" w:rsidP="00854E87">
      <w:pPr>
        <w:pStyle w:val="References"/>
      </w:pPr>
      <w:r>
        <w:t xml:space="preserve">Lester, S </w:t>
      </w:r>
      <w:r w:rsidR="00882603">
        <w:t>2014</w:t>
      </w:r>
      <w:r>
        <w:t xml:space="preserve">, </w:t>
      </w:r>
      <w:r w:rsidR="007E52E4" w:rsidRPr="00713958">
        <w:t>‘</w:t>
      </w:r>
      <w:r w:rsidRPr="00713958">
        <w:t>Professional standards, competence and capability</w:t>
      </w:r>
      <w:r w:rsidR="007E52E4">
        <w:t>’</w:t>
      </w:r>
      <w:r>
        <w:t>, Stan Lester Developments, Taunton, viewed 30 Jul</w:t>
      </w:r>
      <w:r w:rsidR="007E52E4">
        <w:t>y</w:t>
      </w:r>
      <w:r>
        <w:t xml:space="preserve"> 2019, &lt;https://www.semanticscholar.org/paper/Professional-standards%2C-competence-and-capability-Lester/e5f876b2843eadc820e3846501aa13c497d7d66d&gt;.</w:t>
      </w:r>
    </w:p>
    <w:p w14:paraId="1035A045" w14:textId="77777777" w:rsidR="00F043DA" w:rsidRDefault="005506DE" w:rsidP="00854E87">
      <w:pPr>
        <w:pStyle w:val="References"/>
      </w:pPr>
      <w:r w:rsidRPr="00C94F56">
        <w:t>Lucas, B. &amp; Claxton, G. 2013, Pedagogic leadership Creating cultures and practices for outstanding vocational learning, Centre for Real-World Learning, University of Winchester, United Kingdom, published by 157 Group, October 2013.</w:t>
      </w:r>
    </w:p>
    <w:p w14:paraId="72776C14" w14:textId="6342B8E3" w:rsidR="00854E87" w:rsidRPr="00854E87" w:rsidRDefault="00854E87" w:rsidP="00854E87">
      <w:pPr>
        <w:pStyle w:val="References"/>
      </w:pPr>
      <w:r>
        <w:br w:type="page"/>
      </w:r>
      <w:r w:rsidR="005506DE" w:rsidRPr="00C94F56">
        <w:lastRenderedPageBreak/>
        <w:t>Mlotkowski, P. &amp; Guthrie, H (2008),</w:t>
      </w:r>
      <w:r w:rsidR="00F90038">
        <w:t xml:space="preserve"> </w:t>
      </w:r>
      <w:r w:rsidR="005506DE" w:rsidRPr="00F90038">
        <w:rPr>
          <w:i/>
          <w:iCs/>
        </w:rPr>
        <w:t>Getting the measure of the VET professional: An update</w:t>
      </w:r>
      <w:r w:rsidR="005506DE" w:rsidRPr="00C94F56">
        <w:t xml:space="preserve">, in Guthrie, H (ed.) Vocational Education and Training Workforce Data 2008: A Compendium, </w:t>
      </w:r>
      <w:r w:rsidR="00507ED4">
        <w:t>NCVER</w:t>
      </w:r>
      <w:r w:rsidR="005506DE" w:rsidRPr="00C94F56">
        <w:t>, Adelaide.</w:t>
      </w:r>
    </w:p>
    <w:p w14:paraId="27584646" w14:textId="77777777" w:rsidR="00854E87" w:rsidRDefault="00E85225" w:rsidP="00854E87">
      <w:pPr>
        <w:pStyle w:val="References"/>
      </w:pPr>
      <w:r>
        <w:t xml:space="preserve">OECD 2009, </w:t>
      </w:r>
      <w:r w:rsidRPr="00856579">
        <w:rPr>
          <w:i/>
          <w:iCs/>
        </w:rPr>
        <w:t xml:space="preserve">Teacher </w:t>
      </w:r>
      <w:r w:rsidR="007E52E4" w:rsidRPr="00856579">
        <w:rPr>
          <w:i/>
          <w:iCs/>
        </w:rPr>
        <w:t>evaluation: a conceptual framework and examples of country practices</w:t>
      </w:r>
      <w:r w:rsidR="000C12A9">
        <w:t>, viewed July 2019,</w:t>
      </w:r>
      <w:r w:rsidR="007E67FE">
        <w:t xml:space="preserve"> </w:t>
      </w:r>
      <w:r w:rsidR="007E52E4">
        <w:t>&lt;</w:t>
      </w:r>
      <w:r w:rsidR="000C12A9" w:rsidRPr="000C12A9">
        <w:t>https://www.academia.edu/4474610/Teacher_Evaluation_A_Conceptual_Framework_and_examples_of_Country_Practices</w:t>
      </w:r>
      <w:r w:rsidR="000C12A9">
        <w:t>&gt;</w:t>
      </w:r>
      <w:r w:rsidR="007E52E4">
        <w:t>.</w:t>
      </w:r>
    </w:p>
    <w:p w14:paraId="7C92F15B" w14:textId="77777777" w:rsidR="00854E87" w:rsidRDefault="00D027AF" w:rsidP="00854E87">
      <w:pPr>
        <w:pStyle w:val="References"/>
      </w:pPr>
      <w:r>
        <w:t xml:space="preserve">—— </w:t>
      </w:r>
      <w:r w:rsidR="00761A6C">
        <w:t xml:space="preserve">2011. </w:t>
      </w:r>
      <w:r w:rsidR="00761A6C" w:rsidRPr="00F043DA">
        <w:rPr>
          <w:i/>
          <w:iCs/>
        </w:rPr>
        <w:t>Building a High-Quality Teaching Profession, Lessons from around the world</w:t>
      </w:r>
      <w:r w:rsidR="00761A6C">
        <w:t>, viewed October 2020</w:t>
      </w:r>
      <w:r w:rsidR="00745EAF">
        <w:t>,</w:t>
      </w:r>
      <w:r w:rsidR="00761A6C">
        <w:t xml:space="preserve"> </w:t>
      </w:r>
      <w:r w:rsidR="00F043DA">
        <w:t>&lt;</w:t>
      </w:r>
      <w:hyperlink r:id="rId57" w:history="1">
        <w:r w:rsidR="00761A6C" w:rsidRPr="0099258A">
          <w:rPr>
            <w:rStyle w:val="Hyperlink"/>
            <w:sz w:val="18"/>
          </w:rPr>
          <w:t>http://www.oecd.org/education/school/programmeforinternationalstudentassessmentpisa/buildingahigh-qualityteachingprofessionlessonsfromaroundtheworld.htm</w:t>
        </w:r>
      </w:hyperlink>
      <w:r w:rsidR="00F043DA">
        <w:t>&gt;.</w:t>
      </w:r>
    </w:p>
    <w:p w14:paraId="7B515325" w14:textId="77777777" w:rsidR="00854E87" w:rsidRDefault="009C520B" w:rsidP="00854E87">
      <w:pPr>
        <w:pStyle w:val="References"/>
      </w:pPr>
      <w:r w:rsidRPr="009C520B">
        <w:t>Open Training and Education Network 1992, 'Staffing TAFE for the 21st century - phase 1', VEETAC Working Party on TAFE Staffing Issues, Melbourne.</w:t>
      </w:r>
    </w:p>
    <w:p w14:paraId="2E123DF4" w14:textId="77777777" w:rsidR="00854E87" w:rsidRDefault="00B64D1D" w:rsidP="00854E87">
      <w:pPr>
        <w:pStyle w:val="References"/>
        <w:rPr>
          <w:rStyle w:val="Hyperlink"/>
          <w:sz w:val="18"/>
          <w:szCs w:val="18"/>
        </w:rPr>
      </w:pPr>
      <w:r w:rsidRPr="001B0139">
        <w:rPr>
          <w:spacing w:val="-2"/>
          <w:szCs w:val="18"/>
        </w:rPr>
        <w:t xml:space="preserve">Precision Consultancy 2011, </w:t>
      </w:r>
      <w:r w:rsidR="007E52E4" w:rsidRPr="001B0139">
        <w:rPr>
          <w:spacing w:val="-2"/>
          <w:szCs w:val="18"/>
        </w:rPr>
        <w:t>‘</w:t>
      </w:r>
      <w:r w:rsidRPr="001B0139">
        <w:rPr>
          <w:spacing w:val="-2"/>
          <w:szCs w:val="18"/>
        </w:rPr>
        <w:t>A capability framework for the VET sector: a proposed approach: discussion paper prepared for IBSA</w:t>
      </w:r>
      <w:r w:rsidR="007E52E4" w:rsidRPr="001B0139">
        <w:rPr>
          <w:spacing w:val="-2"/>
          <w:szCs w:val="18"/>
        </w:rPr>
        <w:t>’</w:t>
      </w:r>
      <w:r w:rsidRPr="001B0139">
        <w:rPr>
          <w:spacing w:val="-2"/>
          <w:szCs w:val="18"/>
        </w:rPr>
        <w:t>, Precision Consultancy, Melbourne, viewed 18 Jul</w:t>
      </w:r>
      <w:r w:rsidR="007E52E4" w:rsidRPr="001B0139">
        <w:rPr>
          <w:spacing w:val="-2"/>
          <w:szCs w:val="18"/>
        </w:rPr>
        <w:t>y</w:t>
      </w:r>
      <w:r w:rsidR="009D4A48" w:rsidRPr="001B0139">
        <w:rPr>
          <w:spacing w:val="-2"/>
          <w:szCs w:val="18"/>
        </w:rPr>
        <w:t xml:space="preserve"> 2019, </w:t>
      </w:r>
      <w:r w:rsidR="00F043DA" w:rsidRPr="001B0139">
        <w:rPr>
          <w:spacing w:val="-2"/>
          <w:szCs w:val="18"/>
        </w:rPr>
        <w:t>&lt;</w:t>
      </w:r>
      <w:hyperlink r:id="rId58" w:history="1">
        <w:r w:rsidR="00F043DA" w:rsidRPr="001B0139">
          <w:rPr>
            <w:rStyle w:val="Hyperlink"/>
            <w:spacing w:val="-2"/>
            <w:sz w:val="18"/>
            <w:szCs w:val="18"/>
          </w:rPr>
          <w:t>http://hdl.voced.edu.au/10707/516572</w:t>
        </w:r>
      </w:hyperlink>
      <w:r w:rsidR="00F043DA" w:rsidRPr="001B0139">
        <w:rPr>
          <w:rStyle w:val="Hyperlink"/>
          <w:spacing w:val="-2"/>
          <w:sz w:val="18"/>
          <w:szCs w:val="18"/>
        </w:rPr>
        <w:t>&gt;</w:t>
      </w:r>
      <w:r w:rsidR="00F043DA">
        <w:rPr>
          <w:rStyle w:val="Hyperlink"/>
          <w:sz w:val="18"/>
          <w:szCs w:val="18"/>
        </w:rPr>
        <w:t>.</w:t>
      </w:r>
    </w:p>
    <w:p w14:paraId="49C5331A" w14:textId="1D6AC508" w:rsidR="00854E87" w:rsidRDefault="00256DFD" w:rsidP="00854E87">
      <w:pPr>
        <w:pStyle w:val="References"/>
      </w:pPr>
      <w:r w:rsidRPr="00A52D85">
        <w:rPr>
          <w:noProof/>
        </w:rPr>
        <w:t xml:space="preserve">Schubert, R 2016, </w:t>
      </w:r>
      <w:r w:rsidRPr="00A52D85">
        <w:rPr>
          <w:i/>
          <w:iCs/>
          <w:noProof/>
          <w:shd w:val="clear" w:color="auto" w:fill="FFFFFF"/>
        </w:rPr>
        <w:t>Putting a stake in the ground: Quality Teaching in VET</w:t>
      </w:r>
      <w:r w:rsidRPr="00A52D85">
        <w:rPr>
          <w:noProof/>
          <w:shd w:val="clear" w:color="auto" w:fill="FFFFFF"/>
        </w:rPr>
        <w:t>, Keynote address, AVETRA 19</w:t>
      </w:r>
      <w:r w:rsidRPr="00A52D85">
        <w:rPr>
          <w:noProof/>
          <w:shd w:val="clear" w:color="auto" w:fill="FFFFFF"/>
          <w:vertAlign w:val="superscript"/>
        </w:rPr>
        <w:t>th</w:t>
      </w:r>
      <w:r w:rsidRPr="00A52D85">
        <w:rPr>
          <w:noProof/>
          <w:shd w:val="clear" w:color="auto" w:fill="FFFFFF"/>
        </w:rPr>
        <w:t xml:space="preserve"> Annual conference, Putting VET Research to Work, </w:t>
      </w:r>
      <w:hyperlink r:id="rId59" w:history="1">
        <w:r w:rsidR="00854E87" w:rsidRPr="00457C19">
          <w:rPr>
            <w:rStyle w:val="Hyperlink"/>
            <w:noProof/>
            <w:sz w:val="18"/>
            <w:shd w:val="clear" w:color="auto" w:fill="FFFFFF"/>
          </w:rPr>
          <w:t>https://avetra.org.au/pages/conference-archives-2016.html</w:t>
        </w:r>
      </w:hyperlink>
    </w:p>
    <w:p w14:paraId="1D9005BE" w14:textId="77777777" w:rsidR="00854E87" w:rsidRDefault="00083D2F" w:rsidP="00854E87">
      <w:pPr>
        <w:pStyle w:val="References"/>
      </w:pPr>
      <w:r w:rsidRPr="00C94F56">
        <w:t xml:space="preserve">Simons, M, Harris, R, </w:t>
      </w:r>
      <w:proofErr w:type="spellStart"/>
      <w:r w:rsidRPr="00C94F56">
        <w:t>Pudney</w:t>
      </w:r>
      <w:proofErr w:type="spellEnd"/>
      <w:r w:rsidRPr="00C94F56">
        <w:t xml:space="preserve">, V &amp; Clayton, B 2009, </w:t>
      </w:r>
      <w:r w:rsidRPr="00F043DA">
        <w:rPr>
          <w:i/>
          <w:iCs/>
        </w:rPr>
        <w:t xml:space="preserve">Careers in vocational education and training: what are they really </w:t>
      </w:r>
      <w:proofErr w:type="gramStart"/>
      <w:r w:rsidRPr="00F043DA">
        <w:rPr>
          <w:i/>
          <w:iCs/>
        </w:rPr>
        <w:t>like?</w:t>
      </w:r>
      <w:r w:rsidRPr="00C94F56">
        <w:t>,</w:t>
      </w:r>
      <w:proofErr w:type="gramEnd"/>
      <w:r w:rsidRPr="00C94F56">
        <w:t xml:space="preserve"> NCVER, Adelaide.</w:t>
      </w:r>
    </w:p>
    <w:p w14:paraId="5589AFF1" w14:textId="77777777" w:rsidR="00854E87" w:rsidRDefault="001B0139" w:rsidP="00854E87">
      <w:pPr>
        <w:pStyle w:val="References"/>
        <w:rPr>
          <w:szCs w:val="18"/>
        </w:rPr>
      </w:pPr>
      <w:r w:rsidRPr="00AE079F">
        <w:rPr>
          <w:szCs w:val="18"/>
        </w:rPr>
        <w:t>Smith, A</w:t>
      </w:r>
      <w:r>
        <w:rPr>
          <w:szCs w:val="18"/>
        </w:rPr>
        <w:t xml:space="preserve"> &amp;</w:t>
      </w:r>
      <w:r w:rsidRPr="00AE079F">
        <w:rPr>
          <w:szCs w:val="18"/>
        </w:rPr>
        <w:t xml:space="preserve"> Hawke, G 2008, </w:t>
      </w:r>
      <w:r w:rsidRPr="00310D9A">
        <w:rPr>
          <w:i/>
          <w:iCs/>
          <w:szCs w:val="18"/>
        </w:rPr>
        <w:t>Human resource management in Australian registered training organisations</w:t>
      </w:r>
      <w:r w:rsidRPr="00AE079F">
        <w:rPr>
          <w:szCs w:val="18"/>
        </w:rPr>
        <w:t>, NCVER, Adelaide.</w:t>
      </w:r>
    </w:p>
    <w:p w14:paraId="53032427" w14:textId="77777777" w:rsidR="00854E87" w:rsidRDefault="009D4A48" w:rsidP="00854E87">
      <w:pPr>
        <w:pStyle w:val="References"/>
      </w:pPr>
      <w:r w:rsidRPr="00C94F56">
        <w:t>Smith, E 2019</w:t>
      </w:r>
      <w:r w:rsidR="003002B1" w:rsidRPr="00C94F56">
        <w:t>,</w:t>
      </w:r>
      <w:r w:rsidRPr="00C94F56">
        <w:t xml:space="preserve"> </w:t>
      </w:r>
      <w:r w:rsidRPr="00F043DA">
        <w:rPr>
          <w:i/>
          <w:iCs/>
        </w:rPr>
        <w:t>The importance of VET teacher professionalism: An Australian case study</w:t>
      </w:r>
      <w:r w:rsidRPr="00C94F56">
        <w:t xml:space="preserve">. In </w:t>
      </w:r>
      <w:proofErr w:type="gramStart"/>
      <w:r w:rsidRPr="008D4F2C">
        <w:t>The</w:t>
      </w:r>
      <w:proofErr w:type="gramEnd"/>
      <w:r w:rsidRPr="008D4F2C">
        <w:t xml:space="preserve"> International Handbook of Education for the Changing World of Work</w:t>
      </w:r>
      <w:r w:rsidRPr="00C94F56">
        <w:t>. edited by S. McGrath, J. Papier, M. Mulder &amp; R. Stuart, Springer.</w:t>
      </w:r>
    </w:p>
    <w:p w14:paraId="322CAF3D" w14:textId="77777777" w:rsidR="00854E87" w:rsidRDefault="00251E09" w:rsidP="00854E87">
      <w:pPr>
        <w:pStyle w:val="References"/>
        <w:rPr>
          <w:szCs w:val="18"/>
          <w:lang w:val="en-US"/>
        </w:rPr>
      </w:pPr>
      <w:r w:rsidRPr="00AE079F">
        <w:t>Smith</w:t>
      </w:r>
      <w:r w:rsidRPr="00AE079F">
        <w:rPr>
          <w:szCs w:val="18"/>
          <w:lang w:val="en-US"/>
        </w:rPr>
        <w:t xml:space="preserve">, E, Hodge, S &amp; Yasukawa, K 2015, 'VET teacher education in Australian universities: who are the students and what are their views about their courses?', </w:t>
      </w:r>
      <w:r w:rsidRPr="00AE079F">
        <w:rPr>
          <w:i/>
          <w:iCs/>
          <w:szCs w:val="18"/>
          <w:lang w:val="en-US"/>
        </w:rPr>
        <w:t>Research in Post-compulsory Education</w:t>
      </w:r>
      <w:r w:rsidRPr="00AE079F">
        <w:rPr>
          <w:szCs w:val="18"/>
          <w:lang w:val="en-US"/>
        </w:rPr>
        <w:t>, vol.20, no.4, pp.419–433.</w:t>
      </w:r>
    </w:p>
    <w:p w14:paraId="2BCC900C" w14:textId="77777777" w:rsidR="00854E87" w:rsidRDefault="00BB01E2" w:rsidP="00854E87">
      <w:pPr>
        <w:pStyle w:val="References"/>
        <w:rPr>
          <w:szCs w:val="18"/>
        </w:rPr>
      </w:pPr>
      <w:r w:rsidRPr="00AE079F">
        <w:rPr>
          <w:rFonts w:cs="Helvetica"/>
          <w:szCs w:val="18"/>
          <w:lang w:val="en-US"/>
        </w:rPr>
        <w:t>Smith, E</w:t>
      </w:r>
      <w:r w:rsidR="00142F4F">
        <w:rPr>
          <w:rFonts w:cs="Helvetica"/>
          <w:szCs w:val="18"/>
          <w:lang w:val="en-US"/>
        </w:rPr>
        <w:t xml:space="preserve"> &amp;</w:t>
      </w:r>
      <w:r w:rsidRPr="00AE079F">
        <w:rPr>
          <w:rFonts w:cs="Helvetica"/>
          <w:szCs w:val="18"/>
          <w:lang w:val="en-US"/>
        </w:rPr>
        <w:t xml:space="preserve"> Yasukawa, K 2017, 'What makes a good VET </w:t>
      </w:r>
      <w:proofErr w:type="gramStart"/>
      <w:r w:rsidRPr="00AE079F">
        <w:rPr>
          <w:rFonts w:cs="Helvetica"/>
          <w:szCs w:val="18"/>
          <w:lang w:val="en-US"/>
        </w:rPr>
        <w:t>teacher?:</w:t>
      </w:r>
      <w:proofErr w:type="gramEnd"/>
      <w:r w:rsidRPr="00AE079F">
        <w:rPr>
          <w:rFonts w:cs="Helvetica"/>
          <w:szCs w:val="18"/>
          <w:lang w:val="en-US"/>
        </w:rPr>
        <w:t xml:space="preserve"> views of Australian VET teachers and students', </w:t>
      </w:r>
      <w:r w:rsidRPr="00AE079F">
        <w:rPr>
          <w:rFonts w:cs="Helvetica"/>
          <w:i/>
          <w:iCs/>
          <w:szCs w:val="18"/>
          <w:lang w:val="en-US"/>
        </w:rPr>
        <w:t>International Journal of Training Research</w:t>
      </w:r>
      <w:r w:rsidRPr="00AE079F">
        <w:rPr>
          <w:rFonts w:cs="Helvetica"/>
          <w:szCs w:val="18"/>
          <w:lang w:val="en-US"/>
        </w:rPr>
        <w:t>, vol.15, no.1, pp.23–40.</w:t>
      </w:r>
    </w:p>
    <w:p w14:paraId="22143C1B" w14:textId="0E2EA48B" w:rsidR="00854E87" w:rsidRDefault="00FB420C" w:rsidP="00854E87">
      <w:pPr>
        <w:pStyle w:val="References"/>
      </w:pPr>
      <w:r w:rsidRPr="007E67FE">
        <w:t>Rasmussen, C 2016,</w:t>
      </w:r>
      <w:r w:rsidRPr="00F043DA">
        <w:rPr>
          <w:i/>
          <w:iCs/>
        </w:rPr>
        <w:t xml:space="preserve"> Improving the quality, capability and status of the VET teacher workforce</w:t>
      </w:r>
      <w:r w:rsidRPr="007E67FE">
        <w:t>, International Specialised Skills Institute Fellowship report, International Specialised Skills Institute, Melbourne, viewed 22 July 2019, &lt;</w:t>
      </w:r>
      <w:r w:rsidR="00854E87" w:rsidRPr="00854E87">
        <w:t>https://www.issinstitute.org.au/wp-content/uploads/2016/10/Rasmussen-Final-LowRes.pdf</w:t>
      </w:r>
      <w:r w:rsidRPr="007E67FE">
        <w:t>&gt;.</w:t>
      </w:r>
    </w:p>
    <w:p w14:paraId="27E685FC" w14:textId="77777777" w:rsidR="00854E87" w:rsidRDefault="003002B1" w:rsidP="00854E87">
      <w:pPr>
        <w:pStyle w:val="References"/>
      </w:pPr>
      <w:r>
        <w:t xml:space="preserve">Tuck, J &amp; Smith, E 2017, </w:t>
      </w:r>
      <w:r>
        <w:rPr>
          <w:i/>
          <w:iCs/>
        </w:rPr>
        <w:t>VET teachers’ and trainers’ participation in professional development: a national overview</w:t>
      </w:r>
      <w:r>
        <w:t>, AVETRA, Sydney. paper presented at the 20th Australian Vocational Education and Training Research Association Conference</w:t>
      </w:r>
      <w:r w:rsidR="00D027AF">
        <w:t>.</w:t>
      </w:r>
    </w:p>
    <w:p w14:paraId="2CBDF173" w14:textId="77777777" w:rsidR="00854E87" w:rsidRDefault="008152E3" w:rsidP="00854E87">
      <w:pPr>
        <w:pStyle w:val="References"/>
      </w:pPr>
      <w:r>
        <w:t xml:space="preserve">Toze M </w:t>
      </w:r>
      <w:r w:rsidR="003F00EC">
        <w:t>&amp;</w:t>
      </w:r>
      <w:r>
        <w:t xml:space="preserve"> Tierney S 2010</w:t>
      </w:r>
      <w:r w:rsidR="003F00EC">
        <w:t>,</w:t>
      </w:r>
      <w:r>
        <w:t xml:space="preserve"> </w:t>
      </w:r>
      <w:r w:rsidRPr="00310D9A">
        <w:rPr>
          <w:i/>
          <w:iCs/>
        </w:rPr>
        <w:t>Keeping it real: industry currency of trainers in Queensland</w:t>
      </w:r>
      <w:r>
        <w:t>. Department of Education and Training, Brisbane</w:t>
      </w:r>
      <w:r w:rsidR="00A10C2D">
        <w:t>.</w:t>
      </w:r>
    </w:p>
    <w:p w14:paraId="357A8D2D" w14:textId="77777777" w:rsidR="00854E87" w:rsidRDefault="00FB4802" w:rsidP="00854E87">
      <w:pPr>
        <w:pStyle w:val="References"/>
        <w:rPr>
          <w:rStyle w:val="Hyperlink"/>
          <w:sz w:val="18"/>
        </w:rPr>
      </w:pPr>
      <w:r w:rsidRPr="007E67FE">
        <w:t>Tyler</w:t>
      </w:r>
      <w:r w:rsidR="00C76484" w:rsidRPr="007E67FE">
        <w:t>,</w:t>
      </w:r>
      <w:r w:rsidRPr="007E67FE">
        <w:t xml:space="preserve"> M &amp; Dymock</w:t>
      </w:r>
      <w:r w:rsidR="00C76484" w:rsidRPr="007E67FE">
        <w:t>,</w:t>
      </w:r>
      <w:r w:rsidRPr="007E67FE">
        <w:t xml:space="preserve"> D 2017</w:t>
      </w:r>
      <w:r w:rsidR="007E67FE">
        <w:rPr>
          <w:i/>
          <w:iCs/>
        </w:rPr>
        <w:t>,</w:t>
      </w:r>
      <w:r w:rsidRPr="007E67FE">
        <w:rPr>
          <w:i/>
          <w:iCs/>
        </w:rPr>
        <w:t xml:space="preserve"> Continuing professional development for a diverse VET practitioner workforce</w:t>
      </w:r>
      <w:r w:rsidRPr="007E67FE">
        <w:t xml:space="preserve">, NCVER, Adelaide, viewed </w:t>
      </w:r>
      <w:r w:rsidR="00E85225" w:rsidRPr="007E67FE">
        <w:t>S</w:t>
      </w:r>
      <w:r w:rsidRPr="007E67FE">
        <w:t>eptem</w:t>
      </w:r>
      <w:r w:rsidR="00CE3F0E" w:rsidRPr="007E67FE">
        <w:t>b</w:t>
      </w:r>
      <w:r w:rsidRPr="007E67FE">
        <w:t>er 2019</w:t>
      </w:r>
      <w:r w:rsidR="00E85225" w:rsidRPr="007E67FE">
        <w:t xml:space="preserve">, </w:t>
      </w:r>
      <w:r w:rsidR="00C76484" w:rsidRPr="007E67FE">
        <w:t>&lt;</w:t>
      </w:r>
      <w:hyperlink r:id="rId60" w:history="1">
        <w:r w:rsidR="00C76484" w:rsidRPr="007E67FE">
          <w:rPr>
            <w:rStyle w:val="Hyperlink"/>
            <w:sz w:val="18"/>
          </w:rPr>
          <w:t>https://www.ncver.edu.au/__data/assets/pdf_file/0036/496944/Continuing-professional-development.pdf</w:t>
        </w:r>
      </w:hyperlink>
      <w:r w:rsidR="00C76484" w:rsidRPr="007E67FE">
        <w:t>&gt;</w:t>
      </w:r>
      <w:r w:rsidR="00C76484" w:rsidRPr="007E67FE">
        <w:rPr>
          <w:rStyle w:val="Hyperlink"/>
          <w:sz w:val="18"/>
        </w:rPr>
        <w:t>.</w:t>
      </w:r>
    </w:p>
    <w:p w14:paraId="1A1943C2" w14:textId="77777777" w:rsidR="00854E87" w:rsidRDefault="00CF2A25" w:rsidP="00854E87">
      <w:pPr>
        <w:pStyle w:val="References"/>
        <w:rPr>
          <w:rStyle w:val="Hyperlink"/>
          <w:sz w:val="18"/>
        </w:rPr>
      </w:pPr>
      <w:proofErr w:type="spellStart"/>
      <w:r w:rsidRPr="00CF2A25">
        <w:rPr>
          <w:rStyle w:val="Hyperlink"/>
          <w:sz w:val="18"/>
        </w:rPr>
        <w:t>Marope</w:t>
      </w:r>
      <w:proofErr w:type="spellEnd"/>
      <w:r w:rsidRPr="00CF2A25">
        <w:rPr>
          <w:rStyle w:val="Hyperlink"/>
          <w:sz w:val="18"/>
        </w:rPr>
        <w:t xml:space="preserve">, PTM, </w:t>
      </w:r>
      <w:proofErr w:type="spellStart"/>
      <w:r w:rsidRPr="00CF2A25">
        <w:rPr>
          <w:rStyle w:val="Hyperlink"/>
          <w:sz w:val="18"/>
        </w:rPr>
        <w:t>Chakroun</w:t>
      </w:r>
      <w:proofErr w:type="spellEnd"/>
      <w:r w:rsidRPr="00CF2A25">
        <w:rPr>
          <w:rStyle w:val="Hyperlink"/>
          <w:sz w:val="18"/>
        </w:rPr>
        <w:t>, B &amp; and Holmes, K, 2015, Unleashing the Potential: Transforming Technical and Vocational Education and Training, United Nations Educational, Scientific and Cultural Organization, Paris.</w:t>
      </w:r>
    </w:p>
    <w:p w14:paraId="19C648BC" w14:textId="77777777" w:rsidR="00854E87" w:rsidRDefault="00267D2F" w:rsidP="00854E87">
      <w:pPr>
        <w:pStyle w:val="References"/>
        <w:rPr>
          <w:rStyle w:val="Hyperlink"/>
          <w:sz w:val="18"/>
        </w:rPr>
      </w:pPr>
      <w:r w:rsidRPr="007E67FE">
        <w:rPr>
          <w:rStyle w:val="Hyperlink"/>
          <w:sz w:val="18"/>
        </w:rPr>
        <w:t xml:space="preserve">Victorian TAFE Association </w:t>
      </w:r>
      <w:r w:rsidR="005979F8" w:rsidRPr="007E67FE">
        <w:rPr>
          <w:rStyle w:val="Hyperlink"/>
          <w:sz w:val="18"/>
        </w:rPr>
        <w:t>2018, ‘</w:t>
      </w:r>
      <w:r w:rsidR="00F51A6C" w:rsidRPr="007E67FE">
        <w:rPr>
          <w:rStyle w:val="Hyperlink"/>
          <w:sz w:val="18"/>
        </w:rPr>
        <w:t>Victorian TAFE Teaching Staff Agreement 2018</w:t>
      </w:r>
      <w:r w:rsidR="005979F8" w:rsidRPr="007E67FE">
        <w:rPr>
          <w:rStyle w:val="Hyperlink"/>
          <w:sz w:val="18"/>
        </w:rPr>
        <w:t>’</w:t>
      </w:r>
      <w:r w:rsidR="00F51A6C" w:rsidRPr="007E67FE">
        <w:rPr>
          <w:rStyle w:val="Hyperlink"/>
          <w:sz w:val="18"/>
        </w:rPr>
        <w:t>, viewed July 2019, &lt;</w:t>
      </w:r>
      <w:hyperlink r:id="rId61" w:history="1">
        <w:r w:rsidR="00F51A6C" w:rsidRPr="007E67FE">
          <w:rPr>
            <w:rStyle w:val="Hyperlink"/>
            <w:sz w:val="18"/>
          </w:rPr>
          <w:t>https://www.vta.vic.edu.au/employment-relations/victorian-tafe-teaching-staff-agreement-2018</w:t>
        </w:r>
      </w:hyperlink>
      <w:r w:rsidR="00F51A6C" w:rsidRPr="007E67FE">
        <w:rPr>
          <w:rStyle w:val="CommentReference"/>
          <w:szCs w:val="20"/>
        </w:rPr>
        <w:t>&gt;</w:t>
      </w:r>
      <w:r w:rsidR="005979F8" w:rsidRPr="007E67FE">
        <w:rPr>
          <w:rStyle w:val="CommentReference"/>
          <w:szCs w:val="20"/>
        </w:rPr>
        <w:t>.</w:t>
      </w:r>
    </w:p>
    <w:p w14:paraId="073CE0F0" w14:textId="77777777" w:rsidR="00854E87" w:rsidRDefault="009D4A48" w:rsidP="00854E87">
      <w:pPr>
        <w:pStyle w:val="References"/>
      </w:pPr>
      <w:r>
        <w:t>VTA 2018</w:t>
      </w:r>
      <w:r w:rsidR="003002B1">
        <w:t>,</w:t>
      </w:r>
      <w:r>
        <w:t xml:space="preserve"> </w:t>
      </w:r>
      <w:hyperlink r:id="rId62" w:history="1">
        <w:r w:rsidRPr="00F90038">
          <w:rPr>
            <w:rStyle w:val="Hyperlink"/>
            <w:i/>
            <w:iCs/>
            <w:sz w:val="18"/>
          </w:rPr>
          <w:t>Victorian TAFE Teaching Staff Agreement 2018. Implementation guide: A guide for teachers 2018-2019</w:t>
        </w:r>
      </w:hyperlink>
      <w:r w:rsidRPr="00F90038">
        <w:rPr>
          <w:i/>
          <w:iCs/>
        </w:rPr>
        <w:t>.</w:t>
      </w:r>
      <w:r>
        <w:t xml:space="preserve"> Victorian TAFE Association, Melbourne.</w:t>
      </w:r>
    </w:p>
    <w:p w14:paraId="5F2B7B35" w14:textId="77777777" w:rsidR="00854E87" w:rsidRDefault="00444C1F" w:rsidP="00854E87">
      <w:pPr>
        <w:pStyle w:val="References"/>
        <w:rPr>
          <w:lang w:val="en-US"/>
        </w:rPr>
      </w:pPr>
      <w:r>
        <w:t xml:space="preserve">Walker </w:t>
      </w:r>
      <w:r w:rsidR="00FB3F50">
        <w:t>R</w:t>
      </w:r>
      <w:r>
        <w:t xml:space="preserve"> 2012</w:t>
      </w:r>
      <w:r w:rsidR="00BD1605">
        <w:rPr>
          <w:rFonts w:ascii="Calibri" w:hAnsi="Calibri" w:cs="Calibri"/>
          <w:sz w:val="20"/>
        </w:rPr>
        <w:t xml:space="preserve"> </w:t>
      </w:r>
      <w:r w:rsidR="00FB3F50" w:rsidRPr="00FB3F50">
        <w:rPr>
          <w:rFonts w:ascii="Calibri" w:hAnsi="Calibri" w:cs="Calibri"/>
          <w:i/>
          <w:iCs/>
          <w:sz w:val="20"/>
        </w:rPr>
        <w:t>A quality teaching and learning framework for community colleges</w:t>
      </w:r>
      <w:r w:rsidR="00FB3F50" w:rsidRPr="00FB3F50">
        <w:rPr>
          <w:rFonts w:ascii="Calibri" w:hAnsi="Calibri" w:cs="Calibri"/>
          <w:sz w:val="20"/>
        </w:rPr>
        <w:t xml:space="preserve">. </w:t>
      </w:r>
      <w:r w:rsidR="00BD1605">
        <w:rPr>
          <w:lang w:val="en-US"/>
        </w:rPr>
        <w:t xml:space="preserve">Walker, R 2012, 'A quality teaching and learning framework for community colleges', paper presented at the 15th Australian Vocational Education and Training Research Association Conference, viewed 19 Oct 2020, </w:t>
      </w:r>
      <w:r w:rsidR="00F043DA">
        <w:rPr>
          <w:lang w:val="en-US"/>
        </w:rPr>
        <w:t>&lt;</w:t>
      </w:r>
      <w:hyperlink r:id="rId63" w:history="1">
        <w:r w:rsidR="00F043DA" w:rsidRPr="00151144">
          <w:rPr>
            <w:rStyle w:val="Hyperlink"/>
            <w:sz w:val="18"/>
            <w:lang w:val="en-US"/>
          </w:rPr>
          <w:t>https://www.avetra.org.au/pages/conference-archives-2012.html</w:t>
        </w:r>
      </w:hyperlink>
      <w:r w:rsidR="00F043DA">
        <w:rPr>
          <w:rStyle w:val="Hyperlink"/>
          <w:sz w:val="18"/>
          <w:lang w:val="en-US"/>
        </w:rPr>
        <w:t>&gt;.</w:t>
      </w:r>
    </w:p>
    <w:p w14:paraId="6C15D529" w14:textId="106A7587" w:rsidR="007415C1" w:rsidRDefault="00603FA2" w:rsidP="00854E87">
      <w:pPr>
        <w:pStyle w:val="References"/>
      </w:pPr>
      <w:proofErr w:type="spellStart"/>
      <w:r w:rsidRPr="007E67FE">
        <w:t>Wheelahan</w:t>
      </w:r>
      <w:proofErr w:type="spellEnd"/>
      <w:r w:rsidR="00C76484" w:rsidRPr="007E67FE">
        <w:t>,</w:t>
      </w:r>
      <w:r w:rsidRPr="007E67FE">
        <w:t xml:space="preserve"> L </w:t>
      </w:r>
      <w:r w:rsidR="00C76484" w:rsidRPr="007E67FE">
        <w:t>&amp;</w:t>
      </w:r>
      <w:r w:rsidRPr="007E67FE">
        <w:t xml:space="preserve"> Moodie</w:t>
      </w:r>
      <w:r w:rsidR="00C76484" w:rsidRPr="007E67FE">
        <w:t>,</w:t>
      </w:r>
      <w:r w:rsidR="009D4A48">
        <w:t xml:space="preserve"> G 2011</w:t>
      </w:r>
      <w:r w:rsidRPr="007E67FE">
        <w:rPr>
          <w:i/>
          <w:iCs/>
        </w:rPr>
        <w:t>, The quality of tea</w:t>
      </w:r>
      <w:r w:rsidR="00CE3F0E" w:rsidRPr="007E67FE">
        <w:rPr>
          <w:i/>
          <w:iCs/>
        </w:rPr>
        <w:t>c</w:t>
      </w:r>
      <w:r w:rsidRPr="007E67FE">
        <w:rPr>
          <w:i/>
          <w:iCs/>
        </w:rPr>
        <w:t>hing in VET</w:t>
      </w:r>
      <w:r w:rsidRPr="007E67FE">
        <w:t>, viewed July 2019, &lt;https://www.academia.edu/431404/Wheelahan_Leesa_and_Moodie_Gavin_2010_The_quality_of_teaching_in_VET_Final_report_and_recommendations_produced_for_the_Quality_of_Teaching_in_VET_project_Australian_College_of_Educators</w:t>
      </w:r>
      <w:r w:rsidR="00F043DA">
        <w:t>&gt;</w:t>
      </w:r>
      <w:r w:rsidR="005979F8" w:rsidRPr="007E67FE">
        <w:t>.</w:t>
      </w:r>
      <w:bookmarkEnd w:id="58"/>
      <w:bookmarkEnd w:id="59"/>
      <w:bookmarkEnd w:id="60"/>
      <w:bookmarkEnd w:id="99"/>
    </w:p>
    <w:p w14:paraId="2B2B0D36" w14:textId="77777777" w:rsidR="00603A38" w:rsidRDefault="00603A38">
      <w:pPr>
        <w:rPr>
          <w:sz w:val="18"/>
        </w:rPr>
      </w:pPr>
      <w:r>
        <w:rPr>
          <w:sz w:val="18"/>
        </w:rPr>
        <w:br w:type="page"/>
      </w:r>
    </w:p>
    <w:p w14:paraId="70664499" w14:textId="31AE36CD" w:rsidR="00603A38" w:rsidRPr="00220D05" w:rsidRDefault="00603A38" w:rsidP="00603A38">
      <w:pPr>
        <w:pStyle w:val="Heading1"/>
        <w:rPr>
          <w:sz w:val="40"/>
          <w:szCs w:val="40"/>
        </w:rPr>
      </w:pPr>
      <w:bookmarkStart w:id="103" w:name="_Toc62204958"/>
      <w:bookmarkStart w:id="104" w:name="_Toc54104351"/>
      <w:r w:rsidRPr="00220D05">
        <w:rPr>
          <w:sz w:val="40"/>
          <w:szCs w:val="40"/>
        </w:rPr>
        <w:lastRenderedPageBreak/>
        <w:t>A</w:t>
      </w:r>
      <w:r w:rsidR="00AC6672">
        <w:rPr>
          <w:sz w:val="40"/>
          <w:szCs w:val="40"/>
        </w:rPr>
        <w:t>ppendix</w:t>
      </w:r>
      <w:r w:rsidRPr="00220D05">
        <w:rPr>
          <w:sz w:val="40"/>
          <w:szCs w:val="40"/>
        </w:rPr>
        <w:t xml:space="preserve"> 1: List of participating stakeholders</w:t>
      </w:r>
      <w:bookmarkEnd w:id="103"/>
      <w:r w:rsidRPr="00220D05">
        <w:rPr>
          <w:sz w:val="40"/>
          <w:szCs w:val="40"/>
        </w:rPr>
        <w:t xml:space="preserve"> </w:t>
      </w:r>
      <w:bookmarkEnd w:id="104"/>
    </w:p>
    <w:p w14:paraId="4921CAFA" w14:textId="77777777" w:rsidR="00603A38" w:rsidRPr="002931FA" w:rsidRDefault="00603A38" w:rsidP="00603A38">
      <w:pPr>
        <w:autoSpaceDE w:val="0"/>
        <w:autoSpaceDN w:val="0"/>
        <w:adjustRightInd w:val="0"/>
        <w:rPr>
          <w:szCs w:val="19"/>
        </w:rPr>
      </w:pPr>
      <w:r w:rsidRPr="002931FA">
        <w:rPr>
          <w:rFonts w:cs="Trebuchet MS"/>
          <w:color w:val="000000"/>
          <w:szCs w:val="19"/>
        </w:rPr>
        <w:t xml:space="preserve">The following stakeholders were consulted for </w:t>
      </w:r>
      <w:r w:rsidRPr="002931FA">
        <w:rPr>
          <w:szCs w:val="19"/>
        </w:rPr>
        <w:t xml:space="preserve">this study: </w:t>
      </w:r>
    </w:p>
    <w:p w14:paraId="066D00CA" w14:textId="77777777" w:rsidR="00603A38" w:rsidRPr="002931FA" w:rsidRDefault="00603A38" w:rsidP="00C42ED2">
      <w:pPr>
        <w:pStyle w:val="Dotpoint10"/>
      </w:pPr>
      <w:r w:rsidRPr="002931FA">
        <w:t xml:space="preserve">CEOs </w:t>
      </w:r>
      <w:proofErr w:type="gramStart"/>
      <w:r w:rsidRPr="002931FA">
        <w:t>of:</w:t>
      </w:r>
      <w:proofErr w:type="gramEnd"/>
      <w:r w:rsidRPr="002931FA">
        <w:t xml:space="preserve"> the VET Development Centre (VDC), TAFE Directors Australia (TDA), Independent Tertiary Education Council Australia (ITECA), and the then President of the Victorian TAFE Association (VTA),</w:t>
      </w:r>
    </w:p>
    <w:p w14:paraId="1EC3ED8C" w14:textId="77777777" w:rsidR="00603A38" w:rsidRPr="002931FA" w:rsidRDefault="00603A38" w:rsidP="00C42ED2">
      <w:pPr>
        <w:pStyle w:val="Dotpoint10"/>
      </w:pPr>
      <w:r w:rsidRPr="002931FA">
        <w:t xml:space="preserve">Teachers, senior teachers, educational </w:t>
      </w:r>
      <w:proofErr w:type="gramStart"/>
      <w:r w:rsidRPr="002931FA">
        <w:t>managers</w:t>
      </w:r>
      <w:proofErr w:type="gramEnd"/>
      <w:r w:rsidRPr="002931FA">
        <w:t xml:space="preserve"> and senior executives from RTOs from different jurisdictions, and members of the Victorian TAFE Association’s TAFE Leaders Network, </w:t>
      </w:r>
    </w:p>
    <w:p w14:paraId="5D7CD51F" w14:textId="77777777" w:rsidR="00603A38" w:rsidRPr="002931FA" w:rsidRDefault="00603A38" w:rsidP="00C42ED2">
      <w:pPr>
        <w:pStyle w:val="Dotpoint10"/>
      </w:pPr>
      <w:r w:rsidRPr="002931FA">
        <w:t xml:space="preserve">Members of the Education Industry Reference Committee of the Australian Industry Skills Commission, </w:t>
      </w:r>
    </w:p>
    <w:p w14:paraId="1908E81F" w14:textId="77777777" w:rsidR="00603A38" w:rsidRPr="002931FA" w:rsidRDefault="00603A38" w:rsidP="00C42ED2">
      <w:pPr>
        <w:pStyle w:val="Dotpoint10"/>
      </w:pPr>
      <w:r w:rsidRPr="002931FA">
        <w:t xml:space="preserve">Members and officers of the Australian Education Union (AEU) in Victoria, the Australian Capital Territory, New South </w:t>
      </w:r>
      <w:proofErr w:type="gramStart"/>
      <w:r w:rsidRPr="002931FA">
        <w:t>Wales</w:t>
      </w:r>
      <w:proofErr w:type="gramEnd"/>
      <w:r w:rsidRPr="002931FA">
        <w:t xml:space="preserve"> and Tasmania, </w:t>
      </w:r>
    </w:p>
    <w:p w14:paraId="05BDA948" w14:textId="77777777" w:rsidR="00603A38" w:rsidRPr="002931FA" w:rsidRDefault="00603A38" w:rsidP="00C42ED2">
      <w:pPr>
        <w:pStyle w:val="Dotpoint10"/>
      </w:pPr>
      <w:r w:rsidRPr="002931FA">
        <w:t xml:space="preserve">Officers from two responding regulators (Australian Skills Quality Authority and the Western Australian Training and Accreditation Council), and </w:t>
      </w:r>
    </w:p>
    <w:p w14:paraId="5813F596" w14:textId="0B097332" w:rsidR="00603A38" w:rsidRPr="002931FA" w:rsidRDefault="00603A38" w:rsidP="00C42ED2">
      <w:pPr>
        <w:pStyle w:val="Dotpoint10"/>
      </w:pPr>
      <w:r w:rsidRPr="002931FA">
        <w:t>Members of the Australian Council of Deans of Education Vocational Education Group (ACDEVEG)</w:t>
      </w:r>
      <w:r w:rsidR="00543A1E">
        <w:t>.</w:t>
      </w:r>
      <w:r w:rsidRPr="002931FA">
        <w:t xml:space="preserve"> </w:t>
      </w:r>
    </w:p>
    <w:p w14:paraId="00952E8A" w14:textId="1DCC3C43" w:rsidR="00DA221F" w:rsidRDefault="00603A38" w:rsidP="00DA221F">
      <w:pPr>
        <w:pStyle w:val="Heading1"/>
      </w:pPr>
      <w:r>
        <w:br w:type="page"/>
      </w:r>
      <w:bookmarkStart w:id="105" w:name="_Toc62204959"/>
      <w:r w:rsidR="00DA221F">
        <w:lastRenderedPageBreak/>
        <w:t>Appendix 2</w:t>
      </w:r>
      <w:r w:rsidR="0070149A">
        <w:t>:</w:t>
      </w:r>
      <w:r w:rsidR="00DA221F">
        <w:t xml:space="preserve"> Methodology</w:t>
      </w:r>
      <w:bookmarkEnd w:id="105"/>
    </w:p>
    <w:p w14:paraId="76272132" w14:textId="77777777" w:rsidR="00DA221F" w:rsidRDefault="00DA221F" w:rsidP="00DA221F">
      <w:pPr>
        <w:pStyle w:val="Text"/>
      </w:pPr>
      <w:r>
        <w:t xml:space="preserve">To develop a better understanding of the factors impacting on the quality of teaching in VET, this study set out to address the following research questions: </w:t>
      </w:r>
    </w:p>
    <w:p w14:paraId="56317CCA" w14:textId="77777777" w:rsidR="00DA221F" w:rsidRDefault="00DA221F" w:rsidP="00C72D13">
      <w:pPr>
        <w:pStyle w:val="Text"/>
        <w:numPr>
          <w:ilvl w:val="0"/>
          <w:numId w:val="19"/>
        </w:numPr>
        <w:spacing w:before="120"/>
      </w:pPr>
      <w:r>
        <w:t xml:space="preserve">Are there agreed attributes of VET teaching quality in Australia? </w:t>
      </w:r>
    </w:p>
    <w:p w14:paraId="438D3FE7" w14:textId="7D6ADE71" w:rsidR="00DA221F" w:rsidRDefault="00DA221F" w:rsidP="00C72D13">
      <w:pPr>
        <w:pStyle w:val="Text"/>
        <w:numPr>
          <w:ilvl w:val="1"/>
          <w:numId w:val="19"/>
        </w:numPr>
        <w:spacing w:before="0"/>
      </w:pPr>
      <w:r>
        <w:t>What is the extent of agreement about the current measures and their development</w:t>
      </w:r>
      <w:r w:rsidR="00EA0A98">
        <w:t>?</w:t>
      </w:r>
    </w:p>
    <w:p w14:paraId="1CD957B0" w14:textId="77777777" w:rsidR="00DA221F" w:rsidRPr="00B62607" w:rsidRDefault="00DA221F" w:rsidP="00C72D13">
      <w:pPr>
        <w:numPr>
          <w:ilvl w:val="1"/>
          <w:numId w:val="19"/>
        </w:numPr>
        <w:spacing w:before="0" w:after="120"/>
        <w:rPr>
          <w:szCs w:val="20"/>
          <w:lang w:eastAsia="en-US"/>
        </w:rPr>
      </w:pPr>
      <w:r w:rsidRPr="00B62607">
        <w:rPr>
          <w:szCs w:val="20"/>
          <w:lang w:eastAsia="en-US"/>
        </w:rPr>
        <w:t>How can the quality of VET teaching be measured against an agreed (capability) framework?</w:t>
      </w:r>
    </w:p>
    <w:p w14:paraId="5905BB73" w14:textId="77777777" w:rsidR="00DA221F" w:rsidRDefault="00DA221F" w:rsidP="00C72D13">
      <w:pPr>
        <w:pStyle w:val="Text"/>
        <w:numPr>
          <w:ilvl w:val="0"/>
          <w:numId w:val="19"/>
        </w:numPr>
        <w:spacing w:before="0"/>
      </w:pPr>
      <w:r>
        <w:t xml:space="preserve">What strategies are effective to improve the quality of VET teaching? </w:t>
      </w:r>
    </w:p>
    <w:p w14:paraId="4BF513AD" w14:textId="77777777" w:rsidR="00DA221F" w:rsidRDefault="00DA221F" w:rsidP="00C72D13">
      <w:pPr>
        <w:pStyle w:val="Text"/>
        <w:numPr>
          <w:ilvl w:val="1"/>
          <w:numId w:val="19"/>
        </w:numPr>
        <w:spacing w:before="0"/>
      </w:pPr>
      <w:r>
        <w:t>Are these strategies sufficient to attract and develop a capable VET teaching workforce? If not, what supporting strategies are required to address the barriers to improving the quality of VET teaching?</w:t>
      </w:r>
    </w:p>
    <w:p w14:paraId="1400B914" w14:textId="77777777" w:rsidR="00DA221F" w:rsidRDefault="00DA221F" w:rsidP="00C72D13">
      <w:pPr>
        <w:pStyle w:val="Text"/>
        <w:numPr>
          <w:ilvl w:val="0"/>
          <w:numId w:val="19"/>
        </w:numPr>
        <w:spacing w:before="120"/>
      </w:pPr>
      <w:r>
        <w:t xml:space="preserve">Who is, or should be, responsible for implementing those strategies? </w:t>
      </w:r>
    </w:p>
    <w:p w14:paraId="7AC8F6F3" w14:textId="77777777" w:rsidR="00DA221F" w:rsidRDefault="00DA221F" w:rsidP="00DA221F">
      <w:pPr>
        <w:pStyle w:val="Text"/>
      </w:pPr>
      <w:r>
        <w:t xml:space="preserve">The methodology involved a literature review, an environmental scan of current teaching capability </w:t>
      </w:r>
      <w:r w:rsidRPr="008A11F5">
        <w:t>frameworks and standards</w:t>
      </w:r>
      <w:r>
        <w:t xml:space="preserve"> in VET, </w:t>
      </w:r>
      <w:proofErr w:type="gramStart"/>
      <w:r>
        <w:t>schools</w:t>
      </w:r>
      <w:proofErr w:type="gramEnd"/>
      <w:r>
        <w:t xml:space="preserve"> and higher education in Australia and internationally, a series of interviews with key stakeholders to canvass their views on a range of topics relating to quality teaching and three pilot case studies of VET teacher development. The interview topics included:</w:t>
      </w:r>
    </w:p>
    <w:p w14:paraId="0AB6BB72" w14:textId="27D9462C" w:rsidR="00DA221F" w:rsidRPr="003B10CB" w:rsidRDefault="00DA221F" w:rsidP="00C42ED2">
      <w:pPr>
        <w:pStyle w:val="Dotpoint10"/>
      </w:pPr>
      <w:r w:rsidRPr="003B10CB">
        <w:t>issues and concerns about the quality of VET teaching</w:t>
      </w:r>
      <w:r w:rsidR="00EA0A98">
        <w:t>,</w:t>
      </w:r>
      <w:r w:rsidRPr="003B10CB">
        <w:t xml:space="preserve"> </w:t>
      </w:r>
    </w:p>
    <w:p w14:paraId="1F41BEEF" w14:textId="43940353" w:rsidR="00DA221F" w:rsidRPr="003B10CB" w:rsidRDefault="00DA221F" w:rsidP="00C42ED2">
      <w:pPr>
        <w:pStyle w:val="Dotpoint10"/>
      </w:pPr>
      <w:r w:rsidRPr="003B10CB">
        <w:t>strategies and support mechanisms for improving quality in VET teaching</w:t>
      </w:r>
      <w:r w:rsidR="00EA0A98">
        <w:t>,</w:t>
      </w:r>
      <w:r w:rsidRPr="003B10CB">
        <w:t xml:space="preserve"> </w:t>
      </w:r>
    </w:p>
    <w:p w14:paraId="3846AB58" w14:textId="33513ED6" w:rsidR="00DA221F" w:rsidRPr="003B10CB" w:rsidRDefault="00DA221F" w:rsidP="00C42ED2">
      <w:pPr>
        <w:pStyle w:val="Dotpoint10"/>
      </w:pPr>
      <w:r w:rsidRPr="003B10CB">
        <w:t>responsibility for the quality of VET teaching</w:t>
      </w:r>
      <w:r w:rsidR="00EA0A98">
        <w:t>,</w:t>
      </w:r>
      <w:r w:rsidRPr="003B10CB">
        <w:t xml:space="preserve"> </w:t>
      </w:r>
    </w:p>
    <w:p w14:paraId="0A28249E" w14:textId="0352BD5E" w:rsidR="00DA221F" w:rsidRPr="003B10CB" w:rsidRDefault="00DA221F" w:rsidP="00C42ED2">
      <w:pPr>
        <w:pStyle w:val="Dotpoint10"/>
      </w:pPr>
      <w:r w:rsidRPr="003B10CB">
        <w:t>registration and accreditation for VET teacher</w:t>
      </w:r>
      <w:r>
        <w:t>s</w:t>
      </w:r>
      <w:r w:rsidR="00EA0A98">
        <w:t>,</w:t>
      </w:r>
    </w:p>
    <w:p w14:paraId="4111661D" w14:textId="4CD2AA5F" w:rsidR="00DA221F" w:rsidRPr="003B10CB" w:rsidRDefault="00DA221F" w:rsidP="00C42ED2">
      <w:pPr>
        <w:pStyle w:val="Dotpoint10"/>
      </w:pPr>
      <w:r w:rsidRPr="003B10CB">
        <w:t>the risks and benefits of increasing entry requirements</w:t>
      </w:r>
      <w:r w:rsidR="00EA0A98">
        <w:t>,</w:t>
      </w:r>
      <w:r w:rsidRPr="003B10CB">
        <w:t xml:space="preserve"> </w:t>
      </w:r>
    </w:p>
    <w:p w14:paraId="53874086" w14:textId="64AB51AF" w:rsidR="00DA221F" w:rsidRPr="003B10CB" w:rsidRDefault="00DA221F" w:rsidP="00C42ED2">
      <w:pPr>
        <w:pStyle w:val="Dotpoint10"/>
      </w:pPr>
      <w:r w:rsidRPr="003B10CB">
        <w:t>the role of industry in recruitment and selection</w:t>
      </w:r>
      <w:r w:rsidR="00EA0A98">
        <w:t>,</w:t>
      </w:r>
      <w:r w:rsidRPr="003B10CB">
        <w:t xml:space="preserve"> </w:t>
      </w:r>
    </w:p>
    <w:p w14:paraId="06C3344B" w14:textId="32197F1C" w:rsidR="00DA221F" w:rsidRPr="003B10CB" w:rsidRDefault="00DA221F" w:rsidP="00C42ED2">
      <w:pPr>
        <w:pStyle w:val="Dotpoint10"/>
      </w:pPr>
      <w:r w:rsidRPr="003B10CB">
        <w:t>the use of peer observations to improve teacher practice</w:t>
      </w:r>
      <w:r w:rsidR="00EA0A98">
        <w:t>,</w:t>
      </w:r>
    </w:p>
    <w:p w14:paraId="09B9CC09" w14:textId="77777777" w:rsidR="00DA221F" w:rsidRPr="003B10CB" w:rsidRDefault="00DA221F" w:rsidP="00C42ED2">
      <w:pPr>
        <w:pStyle w:val="Dotpoint10"/>
      </w:pPr>
      <w:r w:rsidRPr="003B10CB">
        <w:t>the merits and challenges of implementing frameworks and standards</w:t>
      </w:r>
      <w:r>
        <w:t>, and</w:t>
      </w:r>
      <w:r w:rsidRPr="003B10CB">
        <w:t xml:space="preserve"> </w:t>
      </w:r>
    </w:p>
    <w:p w14:paraId="37D51DE2" w14:textId="77777777" w:rsidR="00DA221F" w:rsidRPr="003B10CB" w:rsidRDefault="00DA221F" w:rsidP="00C42ED2">
      <w:pPr>
        <w:pStyle w:val="Dotpoint10"/>
      </w:pPr>
      <w:r w:rsidRPr="003B10CB">
        <w:t xml:space="preserve">barriers and facilitators to attracting and developing a capable workforce. </w:t>
      </w:r>
    </w:p>
    <w:p w14:paraId="05E82BD1" w14:textId="77777777" w:rsidR="00DA221F" w:rsidRDefault="00DA221F" w:rsidP="00DA221F">
      <w:pPr>
        <w:pStyle w:val="Text"/>
      </w:pPr>
      <w:r>
        <w:t xml:space="preserve">Data collected from the environmental scan was obtained using two </w:t>
      </w:r>
      <w:r w:rsidRPr="006B64F9">
        <w:t xml:space="preserve">search engines, GOOGLE (advanced search) and </w:t>
      </w:r>
      <w:proofErr w:type="spellStart"/>
      <w:r w:rsidRPr="006B64F9">
        <w:t>VOCEDp</w:t>
      </w:r>
      <w:r>
        <w:t>lus</w:t>
      </w:r>
      <w:proofErr w:type="spellEnd"/>
      <w:r>
        <w:t xml:space="preserve"> (expert search) to identify, analyse and compare </w:t>
      </w:r>
      <w:r w:rsidRPr="006B64F9">
        <w:t xml:space="preserve">frameworks and standards </w:t>
      </w:r>
      <w:r>
        <w:t xml:space="preserve">and the capabilities they describe for teachers </w:t>
      </w:r>
      <w:r w:rsidRPr="00C02294">
        <w:t>in a range of educational contexts.</w:t>
      </w:r>
    </w:p>
    <w:p w14:paraId="36E593B2" w14:textId="77777777" w:rsidR="00DA221F" w:rsidRDefault="00DA221F" w:rsidP="00DA221F">
      <w:pPr>
        <w:pStyle w:val="Text"/>
      </w:pPr>
      <w:r>
        <w:t>Qualitative data were obtained through the interviews and analysed to identify general themes, trends and issues pertaining to the topics and the interventions and initiatives that might effectively address variability in the quality of teaching.</w:t>
      </w:r>
      <w:r w:rsidRPr="006B64F9">
        <w:t xml:space="preserve"> </w:t>
      </w:r>
    </w:p>
    <w:p w14:paraId="46AEE8E9" w14:textId="205FD1EF" w:rsidR="00603A38" w:rsidRDefault="00603A38" w:rsidP="00DA221F">
      <w:pPr>
        <w:sectPr w:rsidR="00603A38" w:rsidSect="002C2FD3">
          <w:pgSz w:w="11907" w:h="16840" w:code="9"/>
          <w:pgMar w:top="232" w:right="1276" w:bottom="851" w:left="1276" w:header="709" w:footer="556" w:gutter="0"/>
          <w:cols w:space="708"/>
          <w:docGrid w:linePitch="360"/>
        </w:sectPr>
      </w:pPr>
    </w:p>
    <w:p w14:paraId="628C30CC" w14:textId="21054144" w:rsidR="00F90038" w:rsidRDefault="00522B2E" w:rsidP="005A4D54">
      <w:pPr>
        <w:pStyle w:val="Heading1"/>
        <w:spacing w:after="120"/>
        <w:ind w:left="-425"/>
      </w:pPr>
      <w:bookmarkStart w:id="106" w:name="_Toc62204960"/>
      <w:bookmarkStart w:id="107" w:name="_Toc54104352"/>
      <w:r>
        <w:lastRenderedPageBreak/>
        <w:t>A</w:t>
      </w:r>
      <w:r w:rsidR="00AC6672">
        <w:t>ppendix</w:t>
      </w:r>
      <w:r>
        <w:t xml:space="preserve"> </w:t>
      </w:r>
      <w:r w:rsidR="00AE4274">
        <w:t>3</w:t>
      </w:r>
      <w:bookmarkEnd w:id="106"/>
    </w:p>
    <w:p w14:paraId="0711A6F3" w14:textId="2F9D9679" w:rsidR="00C91736" w:rsidRPr="00D02571" w:rsidRDefault="00F90038" w:rsidP="005A4D54">
      <w:pPr>
        <w:pStyle w:val="Tabletitle"/>
        <w:spacing w:before="120"/>
        <w:ind w:left="426"/>
      </w:pPr>
      <w:bookmarkStart w:id="108" w:name="_Toc62205206"/>
      <w:r w:rsidRPr="00D02571">
        <w:t>Table 3</w:t>
      </w:r>
      <w:r w:rsidR="00D02571" w:rsidRPr="00D02571">
        <w:tab/>
      </w:r>
      <w:r w:rsidR="00D02571" w:rsidRPr="00D02571">
        <w:tab/>
      </w:r>
      <w:r w:rsidR="00D02571" w:rsidRPr="00D02571">
        <w:tab/>
      </w:r>
      <w:r w:rsidR="00522B2E" w:rsidRPr="00D02571">
        <w:t>Key features of frameworks and standards</w:t>
      </w:r>
      <w:r w:rsidR="00A2524F" w:rsidRPr="00D02571">
        <w:t>: common elements</w:t>
      </w:r>
      <w:bookmarkEnd w:id="107"/>
      <w:r w:rsidR="00B827E2">
        <w:t xml:space="preserve"> drawn from the key headings of the capability frameworks examined</w:t>
      </w:r>
      <w:bookmarkEnd w:id="108"/>
      <w:r w:rsidR="00522B2E" w:rsidRPr="00D02571">
        <w:t xml:space="preserve"> </w:t>
      </w:r>
    </w:p>
    <w:tbl>
      <w:tblPr>
        <w:tblW w:w="15452" w:type="dxa"/>
        <w:tblInd w:w="-426" w:type="dxa"/>
        <w:tblLayout w:type="fixed"/>
        <w:tblCellMar>
          <w:left w:w="68" w:type="dxa"/>
          <w:right w:w="68" w:type="dxa"/>
        </w:tblCellMar>
        <w:tblLook w:val="04A0" w:firstRow="1" w:lastRow="0" w:firstColumn="1" w:lastColumn="0" w:noHBand="0" w:noVBand="1"/>
      </w:tblPr>
      <w:tblGrid>
        <w:gridCol w:w="1904"/>
        <w:gridCol w:w="1895"/>
        <w:gridCol w:w="1749"/>
        <w:gridCol w:w="1273"/>
        <w:gridCol w:w="2061"/>
        <w:gridCol w:w="1258"/>
        <w:gridCol w:w="1672"/>
        <w:gridCol w:w="1302"/>
        <w:gridCol w:w="1172"/>
        <w:gridCol w:w="1166"/>
      </w:tblGrid>
      <w:tr w:rsidR="00522B2E" w:rsidRPr="004E7DC1" w14:paraId="05EC0322" w14:textId="77777777" w:rsidTr="00CA369A">
        <w:trPr>
          <w:trHeight w:val="510"/>
          <w:tblHeader/>
        </w:trPr>
        <w:tc>
          <w:tcPr>
            <w:tcW w:w="1904" w:type="dxa"/>
            <w:tcBorders>
              <w:top w:val="single" w:sz="8" w:space="0" w:color="auto"/>
              <w:left w:val="nil"/>
              <w:bottom w:val="single" w:sz="8" w:space="0" w:color="auto"/>
              <w:right w:val="nil"/>
            </w:tcBorders>
            <w:shd w:val="clear" w:color="auto" w:fill="auto"/>
            <w:noWrap/>
            <w:vAlign w:val="center"/>
            <w:hideMark/>
          </w:tcPr>
          <w:p w14:paraId="02E01B94" w14:textId="77777777" w:rsidR="00522B2E" w:rsidRPr="004E7DC1" w:rsidRDefault="00522B2E" w:rsidP="000067CA">
            <w:pPr>
              <w:rPr>
                <w:rFonts w:ascii="Arial" w:hAnsi="Arial" w:cs="Arial"/>
                <w:b/>
                <w:bCs/>
                <w:color w:val="000000"/>
                <w:sz w:val="15"/>
                <w:szCs w:val="15"/>
                <w:lang w:eastAsia="en-AU"/>
              </w:rPr>
            </w:pPr>
            <w:r w:rsidRPr="004E7DC1">
              <w:rPr>
                <w:rFonts w:ascii="Arial" w:hAnsi="Arial" w:cs="Arial"/>
                <w:b/>
                <w:bCs/>
                <w:color w:val="000000"/>
                <w:sz w:val="15"/>
                <w:szCs w:val="15"/>
                <w:lang w:eastAsia="en-AU"/>
              </w:rPr>
              <w:t> </w:t>
            </w:r>
          </w:p>
        </w:tc>
        <w:tc>
          <w:tcPr>
            <w:tcW w:w="1895" w:type="dxa"/>
            <w:tcBorders>
              <w:top w:val="single" w:sz="8" w:space="0" w:color="auto"/>
              <w:left w:val="nil"/>
              <w:bottom w:val="single" w:sz="8" w:space="0" w:color="auto"/>
              <w:right w:val="nil"/>
            </w:tcBorders>
            <w:shd w:val="clear" w:color="auto" w:fill="auto"/>
            <w:vAlign w:val="center"/>
            <w:hideMark/>
          </w:tcPr>
          <w:p w14:paraId="6A8EADD7" w14:textId="77777777" w:rsidR="00522B2E" w:rsidRPr="00F90038" w:rsidRDefault="00522B2E" w:rsidP="000067CA">
            <w:pPr>
              <w:pStyle w:val="Tabletext"/>
              <w:rPr>
                <w:b/>
                <w:bCs/>
                <w:sz w:val="15"/>
                <w:szCs w:val="15"/>
                <w:lang w:eastAsia="en-AU"/>
              </w:rPr>
            </w:pPr>
            <w:r w:rsidRPr="00F90038">
              <w:rPr>
                <w:b/>
                <w:bCs/>
                <w:sz w:val="15"/>
                <w:szCs w:val="15"/>
                <w:lang w:eastAsia="en-AU"/>
              </w:rPr>
              <w:t>Professional knowledge and practice</w:t>
            </w:r>
          </w:p>
        </w:tc>
        <w:tc>
          <w:tcPr>
            <w:tcW w:w="1749" w:type="dxa"/>
            <w:tcBorders>
              <w:top w:val="single" w:sz="8" w:space="0" w:color="auto"/>
              <w:left w:val="nil"/>
              <w:bottom w:val="single" w:sz="8" w:space="0" w:color="auto"/>
              <w:right w:val="nil"/>
            </w:tcBorders>
            <w:shd w:val="clear" w:color="auto" w:fill="auto"/>
            <w:vAlign w:val="center"/>
            <w:hideMark/>
          </w:tcPr>
          <w:p w14:paraId="7EB01055" w14:textId="77777777" w:rsidR="00522B2E" w:rsidRPr="00F90038" w:rsidRDefault="00522B2E" w:rsidP="000067CA">
            <w:pPr>
              <w:pStyle w:val="Tabletext"/>
              <w:rPr>
                <w:b/>
                <w:bCs/>
                <w:sz w:val="15"/>
                <w:szCs w:val="15"/>
                <w:lang w:eastAsia="en-AU"/>
              </w:rPr>
            </w:pPr>
            <w:r w:rsidRPr="00F90038">
              <w:rPr>
                <w:b/>
                <w:bCs/>
                <w:sz w:val="15"/>
                <w:szCs w:val="15"/>
                <w:lang w:eastAsia="en-AU"/>
              </w:rPr>
              <w:t>Engagement and collaboration</w:t>
            </w:r>
          </w:p>
        </w:tc>
        <w:tc>
          <w:tcPr>
            <w:tcW w:w="1273" w:type="dxa"/>
            <w:tcBorders>
              <w:top w:val="single" w:sz="8" w:space="0" w:color="auto"/>
              <w:left w:val="nil"/>
              <w:bottom w:val="single" w:sz="8" w:space="0" w:color="auto"/>
              <w:right w:val="nil"/>
            </w:tcBorders>
            <w:shd w:val="clear" w:color="auto" w:fill="auto"/>
            <w:vAlign w:val="center"/>
            <w:hideMark/>
          </w:tcPr>
          <w:p w14:paraId="436F8E0E" w14:textId="77777777" w:rsidR="00522B2E" w:rsidRPr="00F90038" w:rsidRDefault="00522B2E" w:rsidP="000067CA">
            <w:pPr>
              <w:pStyle w:val="Tabletext"/>
              <w:rPr>
                <w:b/>
                <w:bCs/>
                <w:sz w:val="15"/>
                <w:szCs w:val="15"/>
                <w:lang w:eastAsia="en-AU"/>
              </w:rPr>
            </w:pPr>
            <w:r w:rsidRPr="00F90038">
              <w:rPr>
                <w:b/>
                <w:bCs/>
                <w:sz w:val="15"/>
                <w:szCs w:val="15"/>
                <w:lang w:eastAsia="en-AU"/>
              </w:rPr>
              <w:t>Quality processes and compliance</w:t>
            </w:r>
          </w:p>
        </w:tc>
        <w:tc>
          <w:tcPr>
            <w:tcW w:w="2061" w:type="dxa"/>
            <w:tcBorders>
              <w:top w:val="single" w:sz="8" w:space="0" w:color="auto"/>
              <w:left w:val="nil"/>
              <w:bottom w:val="single" w:sz="8" w:space="0" w:color="auto"/>
              <w:right w:val="nil"/>
            </w:tcBorders>
            <w:shd w:val="clear" w:color="auto" w:fill="auto"/>
            <w:vAlign w:val="center"/>
            <w:hideMark/>
          </w:tcPr>
          <w:p w14:paraId="29A98E9F" w14:textId="77777777" w:rsidR="00522B2E" w:rsidRPr="00F90038" w:rsidRDefault="00522B2E" w:rsidP="000067CA">
            <w:pPr>
              <w:pStyle w:val="Tabletext"/>
              <w:rPr>
                <w:b/>
                <w:bCs/>
                <w:sz w:val="15"/>
                <w:szCs w:val="15"/>
                <w:lang w:eastAsia="en-AU"/>
              </w:rPr>
            </w:pPr>
            <w:r w:rsidRPr="00F90038">
              <w:rPr>
                <w:b/>
                <w:bCs/>
                <w:sz w:val="15"/>
                <w:szCs w:val="15"/>
                <w:lang w:eastAsia="en-AU"/>
              </w:rPr>
              <w:t>Creating inclusive and safe learning environment</w:t>
            </w:r>
          </w:p>
        </w:tc>
        <w:tc>
          <w:tcPr>
            <w:tcW w:w="1258" w:type="dxa"/>
            <w:tcBorders>
              <w:top w:val="single" w:sz="8" w:space="0" w:color="auto"/>
              <w:left w:val="nil"/>
              <w:bottom w:val="single" w:sz="8" w:space="0" w:color="auto"/>
              <w:right w:val="nil"/>
            </w:tcBorders>
            <w:shd w:val="clear" w:color="auto" w:fill="auto"/>
            <w:vAlign w:val="center"/>
            <w:hideMark/>
          </w:tcPr>
          <w:p w14:paraId="68D133F0" w14:textId="77777777" w:rsidR="00522B2E" w:rsidRPr="00F90038" w:rsidRDefault="00522B2E" w:rsidP="000067CA">
            <w:pPr>
              <w:pStyle w:val="Tabletext"/>
              <w:rPr>
                <w:b/>
                <w:bCs/>
                <w:sz w:val="15"/>
                <w:szCs w:val="15"/>
                <w:lang w:eastAsia="en-AU"/>
              </w:rPr>
            </w:pPr>
            <w:r w:rsidRPr="00F90038">
              <w:rPr>
                <w:b/>
                <w:bCs/>
                <w:sz w:val="15"/>
                <w:szCs w:val="15"/>
                <w:lang w:eastAsia="en-AU"/>
              </w:rPr>
              <w:t>Digital literacy</w:t>
            </w:r>
          </w:p>
        </w:tc>
        <w:tc>
          <w:tcPr>
            <w:tcW w:w="1672" w:type="dxa"/>
            <w:tcBorders>
              <w:top w:val="single" w:sz="8" w:space="0" w:color="auto"/>
              <w:left w:val="nil"/>
              <w:bottom w:val="single" w:sz="8" w:space="0" w:color="auto"/>
              <w:right w:val="nil"/>
            </w:tcBorders>
            <w:shd w:val="clear" w:color="auto" w:fill="auto"/>
            <w:vAlign w:val="center"/>
            <w:hideMark/>
          </w:tcPr>
          <w:p w14:paraId="3CC277A6" w14:textId="77777777" w:rsidR="00522B2E" w:rsidRPr="00F90038" w:rsidRDefault="00522B2E" w:rsidP="000067CA">
            <w:pPr>
              <w:pStyle w:val="Tabletext"/>
              <w:rPr>
                <w:b/>
                <w:bCs/>
                <w:sz w:val="15"/>
                <w:szCs w:val="15"/>
                <w:lang w:eastAsia="en-AU"/>
              </w:rPr>
            </w:pPr>
            <w:r w:rsidRPr="00F90038">
              <w:rPr>
                <w:b/>
                <w:bCs/>
                <w:sz w:val="15"/>
                <w:szCs w:val="15"/>
                <w:lang w:eastAsia="en-AU"/>
              </w:rPr>
              <w:t>Continuous professional development</w:t>
            </w:r>
          </w:p>
        </w:tc>
        <w:tc>
          <w:tcPr>
            <w:tcW w:w="1302" w:type="dxa"/>
            <w:tcBorders>
              <w:top w:val="single" w:sz="8" w:space="0" w:color="auto"/>
              <w:left w:val="nil"/>
              <w:bottom w:val="single" w:sz="8" w:space="0" w:color="auto"/>
              <w:right w:val="nil"/>
            </w:tcBorders>
            <w:shd w:val="clear" w:color="auto" w:fill="auto"/>
            <w:vAlign w:val="center"/>
            <w:hideMark/>
          </w:tcPr>
          <w:p w14:paraId="0B74DFA5" w14:textId="77777777" w:rsidR="00522B2E" w:rsidRPr="00F90038" w:rsidRDefault="00522B2E" w:rsidP="000067CA">
            <w:pPr>
              <w:pStyle w:val="Tabletext"/>
              <w:rPr>
                <w:b/>
                <w:bCs/>
                <w:sz w:val="15"/>
                <w:szCs w:val="15"/>
                <w:lang w:eastAsia="en-AU"/>
              </w:rPr>
            </w:pPr>
            <w:proofErr w:type="gramStart"/>
            <w:r w:rsidRPr="00F90038">
              <w:rPr>
                <w:b/>
                <w:bCs/>
                <w:sz w:val="15"/>
                <w:szCs w:val="15"/>
                <w:lang w:eastAsia="en-AU"/>
              </w:rPr>
              <w:t>Entrepreneur-ship</w:t>
            </w:r>
            <w:proofErr w:type="gramEnd"/>
            <w:r w:rsidRPr="00F90038">
              <w:rPr>
                <w:b/>
                <w:bCs/>
                <w:sz w:val="15"/>
                <w:szCs w:val="15"/>
                <w:lang w:eastAsia="en-AU"/>
              </w:rPr>
              <w:t xml:space="preserve"> and innovation</w:t>
            </w:r>
          </w:p>
        </w:tc>
        <w:tc>
          <w:tcPr>
            <w:tcW w:w="1172" w:type="dxa"/>
            <w:tcBorders>
              <w:top w:val="single" w:sz="8" w:space="0" w:color="auto"/>
              <w:left w:val="nil"/>
              <w:bottom w:val="single" w:sz="8" w:space="0" w:color="auto"/>
              <w:right w:val="nil"/>
            </w:tcBorders>
            <w:shd w:val="clear" w:color="auto" w:fill="auto"/>
            <w:vAlign w:val="center"/>
            <w:hideMark/>
          </w:tcPr>
          <w:p w14:paraId="1DB4633B" w14:textId="77777777" w:rsidR="00522B2E" w:rsidRPr="00F90038" w:rsidRDefault="00522B2E" w:rsidP="000067CA">
            <w:pPr>
              <w:pStyle w:val="Tabletext"/>
              <w:rPr>
                <w:b/>
                <w:bCs/>
                <w:sz w:val="15"/>
                <w:szCs w:val="15"/>
                <w:lang w:eastAsia="en-AU"/>
              </w:rPr>
            </w:pPr>
            <w:r w:rsidRPr="00F90038">
              <w:rPr>
                <w:b/>
                <w:bCs/>
                <w:sz w:val="15"/>
                <w:szCs w:val="15"/>
                <w:lang w:eastAsia="en-AU"/>
              </w:rPr>
              <w:t>General skills</w:t>
            </w:r>
          </w:p>
        </w:tc>
        <w:tc>
          <w:tcPr>
            <w:tcW w:w="1166" w:type="dxa"/>
            <w:tcBorders>
              <w:top w:val="single" w:sz="8" w:space="0" w:color="auto"/>
              <w:left w:val="nil"/>
              <w:bottom w:val="single" w:sz="8" w:space="0" w:color="auto"/>
              <w:right w:val="nil"/>
            </w:tcBorders>
            <w:shd w:val="clear" w:color="auto" w:fill="auto"/>
            <w:vAlign w:val="center"/>
            <w:hideMark/>
          </w:tcPr>
          <w:p w14:paraId="2C4FA14E" w14:textId="77777777" w:rsidR="00522B2E" w:rsidRPr="00F90038" w:rsidRDefault="00522B2E" w:rsidP="000067CA">
            <w:pPr>
              <w:pStyle w:val="Tabletext"/>
              <w:rPr>
                <w:b/>
                <w:bCs/>
                <w:sz w:val="15"/>
                <w:szCs w:val="15"/>
                <w:lang w:eastAsia="en-AU"/>
              </w:rPr>
            </w:pPr>
            <w:r w:rsidRPr="00F90038">
              <w:rPr>
                <w:b/>
                <w:bCs/>
                <w:sz w:val="15"/>
                <w:szCs w:val="15"/>
                <w:lang w:eastAsia="en-AU"/>
              </w:rPr>
              <w:t>Professional values</w:t>
            </w:r>
          </w:p>
        </w:tc>
      </w:tr>
      <w:tr w:rsidR="00522B2E" w:rsidRPr="009D3320" w14:paraId="733ABCB8" w14:textId="77777777" w:rsidTr="00CA369A">
        <w:trPr>
          <w:trHeight w:val="510"/>
        </w:trPr>
        <w:tc>
          <w:tcPr>
            <w:tcW w:w="1904" w:type="dxa"/>
            <w:tcBorders>
              <w:top w:val="single" w:sz="8" w:space="0" w:color="auto"/>
              <w:left w:val="nil"/>
              <w:bottom w:val="single" w:sz="4" w:space="0" w:color="auto"/>
              <w:right w:val="nil"/>
            </w:tcBorders>
            <w:shd w:val="clear" w:color="auto" w:fill="95B3D7" w:themeFill="accent1" w:themeFillTint="99"/>
            <w:vAlign w:val="center"/>
            <w:hideMark/>
          </w:tcPr>
          <w:p w14:paraId="4A40E201" w14:textId="77777777" w:rsidR="00522B2E" w:rsidRPr="00D02571" w:rsidRDefault="00522B2E" w:rsidP="000067CA">
            <w:pPr>
              <w:pStyle w:val="Tabletext"/>
              <w:rPr>
                <w:b/>
                <w:bCs/>
                <w:sz w:val="15"/>
                <w:szCs w:val="15"/>
                <w:lang w:eastAsia="en-AU"/>
              </w:rPr>
            </w:pPr>
            <w:r w:rsidRPr="00D02571">
              <w:rPr>
                <w:b/>
                <w:bCs/>
                <w:sz w:val="15"/>
                <w:szCs w:val="15"/>
                <w:lang w:eastAsia="en-AU"/>
              </w:rPr>
              <w:t>Australian Professional Standards for Teaching</w:t>
            </w:r>
          </w:p>
        </w:tc>
        <w:tc>
          <w:tcPr>
            <w:tcW w:w="1895" w:type="dxa"/>
            <w:tcBorders>
              <w:top w:val="single" w:sz="8" w:space="0" w:color="auto"/>
              <w:left w:val="nil"/>
              <w:bottom w:val="single" w:sz="4" w:space="0" w:color="auto"/>
              <w:right w:val="nil"/>
            </w:tcBorders>
            <w:shd w:val="clear" w:color="auto" w:fill="95B3D7" w:themeFill="accent1" w:themeFillTint="99"/>
            <w:vAlign w:val="center"/>
            <w:hideMark/>
          </w:tcPr>
          <w:p w14:paraId="362B121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knowledge and professional practice</w:t>
            </w:r>
          </w:p>
        </w:tc>
        <w:tc>
          <w:tcPr>
            <w:tcW w:w="1749" w:type="dxa"/>
            <w:tcBorders>
              <w:top w:val="single" w:sz="8" w:space="0" w:color="auto"/>
              <w:left w:val="nil"/>
              <w:bottom w:val="single" w:sz="4" w:space="0" w:color="auto"/>
              <w:right w:val="nil"/>
            </w:tcBorders>
            <w:shd w:val="clear" w:color="auto" w:fill="95B3D7" w:themeFill="accent1" w:themeFillTint="99"/>
            <w:vAlign w:val="center"/>
            <w:hideMark/>
          </w:tcPr>
          <w:p w14:paraId="2D629C8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engagement</w:t>
            </w:r>
          </w:p>
        </w:tc>
        <w:tc>
          <w:tcPr>
            <w:tcW w:w="1273" w:type="dxa"/>
            <w:tcBorders>
              <w:top w:val="single" w:sz="8" w:space="0" w:color="auto"/>
              <w:left w:val="nil"/>
              <w:bottom w:val="single" w:sz="4" w:space="0" w:color="auto"/>
              <w:right w:val="nil"/>
            </w:tcBorders>
            <w:shd w:val="clear" w:color="auto" w:fill="95B3D7" w:themeFill="accent1" w:themeFillTint="99"/>
            <w:vAlign w:val="center"/>
            <w:hideMark/>
          </w:tcPr>
          <w:p w14:paraId="3B1BD78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2061" w:type="dxa"/>
            <w:tcBorders>
              <w:top w:val="single" w:sz="8" w:space="0" w:color="auto"/>
              <w:left w:val="nil"/>
              <w:bottom w:val="single" w:sz="4" w:space="0" w:color="auto"/>
              <w:right w:val="nil"/>
            </w:tcBorders>
            <w:shd w:val="clear" w:color="auto" w:fill="95B3D7" w:themeFill="accent1" w:themeFillTint="99"/>
            <w:vAlign w:val="center"/>
            <w:hideMark/>
          </w:tcPr>
          <w:p w14:paraId="362788B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58" w:type="dxa"/>
            <w:tcBorders>
              <w:top w:val="single" w:sz="8" w:space="0" w:color="auto"/>
              <w:left w:val="nil"/>
              <w:bottom w:val="single" w:sz="4" w:space="0" w:color="auto"/>
              <w:right w:val="nil"/>
            </w:tcBorders>
            <w:shd w:val="clear" w:color="auto" w:fill="95B3D7" w:themeFill="accent1" w:themeFillTint="99"/>
            <w:vAlign w:val="center"/>
            <w:hideMark/>
          </w:tcPr>
          <w:p w14:paraId="25B4C34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8" w:space="0" w:color="auto"/>
              <w:left w:val="nil"/>
              <w:bottom w:val="single" w:sz="4" w:space="0" w:color="auto"/>
              <w:right w:val="nil"/>
            </w:tcBorders>
            <w:shd w:val="clear" w:color="auto" w:fill="95B3D7" w:themeFill="accent1" w:themeFillTint="99"/>
            <w:vAlign w:val="center"/>
            <w:hideMark/>
          </w:tcPr>
          <w:p w14:paraId="22B52D40"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learning, vocational competency</w:t>
            </w:r>
          </w:p>
        </w:tc>
        <w:tc>
          <w:tcPr>
            <w:tcW w:w="1302" w:type="dxa"/>
            <w:tcBorders>
              <w:top w:val="single" w:sz="8" w:space="0" w:color="auto"/>
              <w:left w:val="nil"/>
              <w:bottom w:val="single" w:sz="4" w:space="0" w:color="auto"/>
              <w:right w:val="nil"/>
            </w:tcBorders>
            <w:shd w:val="clear" w:color="auto" w:fill="95B3D7" w:themeFill="accent1" w:themeFillTint="99"/>
            <w:vAlign w:val="center"/>
            <w:hideMark/>
          </w:tcPr>
          <w:p w14:paraId="1B95C6A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8" w:space="0" w:color="auto"/>
              <w:left w:val="nil"/>
              <w:bottom w:val="single" w:sz="4" w:space="0" w:color="auto"/>
              <w:right w:val="nil"/>
            </w:tcBorders>
            <w:shd w:val="clear" w:color="auto" w:fill="95B3D7" w:themeFill="accent1" w:themeFillTint="99"/>
            <w:vAlign w:val="center"/>
            <w:hideMark/>
          </w:tcPr>
          <w:p w14:paraId="5BF26BF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8" w:space="0" w:color="auto"/>
              <w:left w:val="nil"/>
              <w:bottom w:val="single" w:sz="4" w:space="0" w:color="auto"/>
              <w:right w:val="nil"/>
            </w:tcBorders>
            <w:shd w:val="clear" w:color="auto" w:fill="95B3D7" w:themeFill="accent1" w:themeFillTint="99"/>
            <w:vAlign w:val="center"/>
            <w:hideMark/>
          </w:tcPr>
          <w:p w14:paraId="7E252CF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22B2E" w:rsidRPr="009D3320" w14:paraId="025E58B0" w14:textId="77777777" w:rsidTr="005A4D54">
        <w:trPr>
          <w:trHeight w:val="567"/>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2F66D9A7" w14:textId="77777777" w:rsidR="00522B2E" w:rsidRPr="00D02571" w:rsidRDefault="00522B2E" w:rsidP="000067CA">
            <w:pPr>
              <w:pStyle w:val="Tabletext"/>
              <w:rPr>
                <w:b/>
                <w:bCs/>
                <w:sz w:val="15"/>
                <w:szCs w:val="15"/>
                <w:lang w:eastAsia="en-AU"/>
              </w:rPr>
            </w:pPr>
            <w:r w:rsidRPr="00D02571">
              <w:rPr>
                <w:b/>
                <w:bCs/>
                <w:sz w:val="15"/>
                <w:szCs w:val="15"/>
                <w:lang w:eastAsia="en-AU"/>
              </w:rPr>
              <w:t xml:space="preserve">TAFENSW Professional Standards for Teachers </w:t>
            </w:r>
          </w:p>
        </w:tc>
        <w:tc>
          <w:tcPr>
            <w:tcW w:w="1895" w:type="dxa"/>
            <w:tcBorders>
              <w:top w:val="single" w:sz="4" w:space="0" w:color="auto"/>
              <w:left w:val="nil"/>
              <w:bottom w:val="single" w:sz="4" w:space="0" w:color="auto"/>
              <w:right w:val="nil"/>
            </w:tcBorders>
            <w:shd w:val="clear" w:color="auto" w:fill="F2F2F2" w:themeFill="background1" w:themeFillShade="F2"/>
            <w:vAlign w:val="center"/>
          </w:tcPr>
          <w:p w14:paraId="17B8AA6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knowledge and professional practice knowledge</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226EA10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engagement</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0924D221" w14:textId="77777777" w:rsidR="00522B2E" w:rsidRPr="00D02571" w:rsidRDefault="00522B2E" w:rsidP="000067CA">
            <w:pPr>
              <w:pStyle w:val="Tabletext"/>
              <w:spacing w:before="20" w:after="20"/>
              <w:rPr>
                <w:rFonts w:cs="Arial"/>
                <w:sz w:val="15"/>
                <w:szCs w:val="15"/>
                <w:lang w:eastAsia="en-AU"/>
              </w:rPr>
            </w:pPr>
          </w:p>
        </w:tc>
        <w:tc>
          <w:tcPr>
            <w:tcW w:w="2061" w:type="dxa"/>
            <w:tcBorders>
              <w:top w:val="single" w:sz="4" w:space="0" w:color="auto"/>
              <w:left w:val="nil"/>
              <w:bottom w:val="single" w:sz="4" w:space="0" w:color="auto"/>
              <w:right w:val="nil"/>
            </w:tcBorders>
            <w:shd w:val="clear" w:color="auto" w:fill="F2F2F2" w:themeFill="background1" w:themeFillShade="F2"/>
            <w:vAlign w:val="center"/>
          </w:tcPr>
          <w:p w14:paraId="649DF921" w14:textId="77777777" w:rsidR="00522B2E" w:rsidRPr="00D02571" w:rsidRDefault="00522B2E" w:rsidP="000067CA">
            <w:pPr>
              <w:pStyle w:val="Tabletext"/>
              <w:spacing w:before="20" w:after="20"/>
              <w:rPr>
                <w:rFonts w:cs="Arial"/>
                <w:sz w:val="15"/>
                <w:szCs w:val="15"/>
                <w:lang w:eastAsia="en-AU"/>
              </w:rPr>
            </w:pP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1B6B4939"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7DE4C83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4CE14B1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tcPr>
          <w:p w14:paraId="7A0A3686" w14:textId="77777777" w:rsidR="00522B2E" w:rsidRPr="00D02571" w:rsidRDefault="00522B2E" w:rsidP="000067CA">
            <w:pPr>
              <w:pStyle w:val="Tabletext"/>
              <w:spacing w:before="20" w:after="20"/>
              <w:rPr>
                <w:rFonts w:cs="Arial"/>
                <w:sz w:val="15"/>
                <w:szCs w:val="15"/>
                <w:lang w:eastAsia="en-AU"/>
              </w:rPr>
            </w:pP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74DAA0F9" w14:textId="77777777" w:rsidR="00522B2E" w:rsidRPr="00D02571" w:rsidRDefault="00522B2E" w:rsidP="000067CA">
            <w:pPr>
              <w:pStyle w:val="Tabletext"/>
              <w:spacing w:before="20" w:after="20"/>
              <w:rPr>
                <w:rFonts w:cs="Arial"/>
                <w:sz w:val="15"/>
                <w:szCs w:val="15"/>
                <w:lang w:eastAsia="en-AU"/>
              </w:rPr>
            </w:pPr>
          </w:p>
        </w:tc>
      </w:tr>
      <w:tr w:rsidR="00522B2E" w:rsidRPr="009D3320" w14:paraId="4B06F0EA" w14:textId="77777777" w:rsidTr="00923EB5">
        <w:trPr>
          <w:trHeight w:val="567"/>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787CFE86" w14:textId="77777777" w:rsidR="00522B2E" w:rsidRPr="00D02571" w:rsidRDefault="00522B2E" w:rsidP="000067CA">
            <w:pPr>
              <w:pStyle w:val="Tabletext"/>
              <w:rPr>
                <w:b/>
                <w:bCs/>
                <w:sz w:val="15"/>
                <w:szCs w:val="15"/>
                <w:lang w:eastAsia="en-AU"/>
              </w:rPr>
            </w:pPr>
            <w:r w:rsidRPr="00D02571">
              <w:rPr>
                <w:b/>
                <w:bCs/>
                <w:sz w:val="15"/>
                <w:szCs w:val="15"/>
                <w:lang w:eastAsia="en-AU"/>
              </w:rPr>
              <w:t>Innovation and Business Skills Australia (IBSA)</w:t>
            </w:r>
          </w:p>
        </w:tc>
        <w:tc>
          <w:tcPr>
            <w:tcW w:w="1895" w:type="dxa"/>
            <w:tcBorders>
              <w:top w:val="single" w:sz="4" w:space="0" w:color="auto"/>
              <w:left w:val="nil"/>
              <w:bottom w:val="single" w:sz="4" w:space="0" w:color="auto"/>
              <w:right w:val="nil"/>
            </w:tcBorders>
            <w:shd w:val="clear" w:color="auto" w:fill="F2F2F2" w:themeFill="background1" w:themeFillShade="F2"/>
            <w:vAlign w:val="center"/>
          </w:tcPr>
          <w:p w14:paraId="6E3D496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Teaching and assessment</w:t>
            </w:r>
          </w:p>
        </w:tc>
        <w:tc>
          <w:tcPr>
            <w:tcW w:w="1749" w:type="dxa"/>
            <w:tcBorders>
              <w:top w:val="single" w:sz="4" w:space="0" w:color="auto"/>
              <w:left w:val="nil"/>
              <w:bottom w:val="single" w:sz="4" w:space="0" w:color="auto"/>
              <w:right w:val="nil"/>
            </w:tcBorders>
            <w:shd w:val="clear" w:color="auto" w:fill="F2F2F2" w:themeFill="background1" w:themeFillShade="F2"/>
            <w:vAlign w:val="center"/>
          </w:tcPr>
          <w:p w14:paraId="4036B6F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Industry and community collaboration</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0E16BA0A" w14:textId="77B7D1E5"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Systems and compliance</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18EBD8F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2AEF529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3A3F98E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34D8FAE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031D6F5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General skills and behaviours</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1B45422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Ethics</w:t>
            </w:r>
          </w:p>
        </w:tc>
      </w:tr>
      <w:tr w:rsidR="00522B2E" w:rsidRPr="009D3320" w14:paraId="1004A9B7" w14:textId="77777777" w:rsidTr="00923EB5">
        <w:trPr>
          <w:trHeight w:val="907"/>
        </w:trPr>
        <w:tc>
          <w:tcPr>
            <w:tcW w:w="1904" w:type="dxa"/>
            <w:tcBorders>
              <w:top w:val="single" w:sz="4" w:space="0" w:color="auto"/>
              <w:left w:val="nil"/>
              <w:bottom w:val="single" w:sz="4" w:space="0" w:color="auto"/>
              <w:right w:val="nil"/>
            </w:tcBorders>
            <w:shd w:val="clear" w:color="auto" w:fill="D99594" w:themeFill="accent2" w:themeFillTint="99"/>
            <w:vAlign w:val="center"/>
            <w:hideMark/>
          </w:tcPr>
          <w:p w14:paraId="64551454" w14:textId="77777777" w:rsidR="00522B2E" w:rsidRPr="00D02571" w:rsidRDefault="00522B2E" w:rsidP="000067CA">
            <w:pPr>
              <w:pStyle w:val="Tabletext"/>
              <w:rPr>
                <w:b/>
                <w:bCs/>
                <w:sz w:val="15"/>
                <w:szCs w:val="15"/>
                <w:lang w:eastAsia="en-AU"/>
              </w:rPr>
            </w:pPr>
            <w:r w:rsidRPr="00D02571">
              <w:rPr>
                <w:b/>
                <w:bCs/>
                <w:sz w:val="15"/>
                <w:szCs w:val="15"/>
                <w:lang w:eastAsia="en-AU"/>
              </w:rPr>
              <w:t xml:space="preserve">Griffith University Learning and Teaching Capabilities Framework </w:t>
            </w:r>
          </w:p>
        </w:tc>
        <w:tc>
          <w:tcPr>
            <w:tcW w:w="1895" w:type="dxa"/>
            <w:tcBorders>
              <w:top w:val="single" w:sz="4" w:space="0" w:color="auto"/>
              <w:left w:val="nil"/>
              <w:bottom w:val="single" w:sz="4" w:space="0" w:color="auto"/>
              <w:right w:val="nil"/>
            </w:tcBorders>
            <w:shd w:val="clear" w:color="auto" w:fill="D99594" w:themeFill="accent2" w:themeFillTint="99"/>
            <w:vAlign w:val="center"/>
            <w:hideMark/>
          </w:tcPr>
          <w:p w14:paraId="2EF9B3C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Understand knowledge and design learning and assessment resources</w:t>
            </w:r>
          </w:p>
        </w:tc>
        <w:tc>
          <w:tcPr>
            <w:tcW w:w="1749" w:type="dxa"/>
            <w:tcBorders>
              <w:top w:val="single" w:sz="4" w:space="0" w:color="auto"/>
              <w:left w:val="nil"/>
              <w:bottom w:val="single" w:sz="4" w:space="0" w:color="auto"/>
              <w:right w:val="nil"/>
            </w:tcBorders>
            <w:shd w:val="clear" w:color="auto" w:fill="D99594" w:themeFill="accent2" w:themeFillTint="99"/>
            <w:vAlign w:val="center"/>
            <w:hideMark/>
          </w:tcPr>
          <w:p w14:paraId="3C71D9C4"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Contribute to teaching teams</w:t>
            </w:r>
          </w:p>
        </w:tc>
        <w:tc>
          <w:tcPr>
            <w:tcW w:w="1273" w:type="dxa"/>
            <w:tcBorders>
              <w:top w:val="single" w:sz="4" w:space="0" w:color="auto"/>
              <w:left w:val="nil"/>
              <w:bottom w:val="single" w:sz="4" w:space="0" w:color="auto"/>
              <w:right w:val="nil"/>
            </w:tcBorders>
            <w:shd w:val="clear" w:color="auto" w:fill="D99594" w:themeFill="accent2" w:themeFillTint="99"/>
            <w:vAlign w:val="center"/>
            <w:hideMark/>
          </w:tcPr>
          <w:p w14:paraId="76BC083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Policies and procedures</w:t>
            </w:r>
          </w:p>
        </w:tc>
        <w:tc>
          <w:tcPr>
            <w:tcW w:w="2061" w:type="dxa"/>
            <w:tcBorders>
              <w:top w:val="single" w:sz="4" w:space="0" w:color="auto"/>
              <w:left w:val="nil"/>
              <w:bottom w:val="single" w:sz="4" w:space="0" w:color="auto"/>
              <w:right w:val="nil"/>
            </w:tcBorders>
            <w:shd w:val="clear" w:color="auto" w:fill="D99594" w:themeFill="accent2" w:themeFillTint="99"/>
            <w:vAlign w:val="center"/>
            <w:hideMark/>
          </w:tcPr>
          <w:p w14:paraId="269357C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Creating and facilitating a culture for learning and a respectful and safe environment for student learning</w:t>
            </w:r>
          </w:p>
        </w:tc>
        <w:tc>
          <w:tcPr>
            <w:tcW w:w="1258" w:type="dxa"/>
            <w:tcBorders>
              <w:top w:val="single" w:sz="4" w:space="0" w:color="auto"/>
              <w:left w:val="nil"/>
              <w:bottom w:val="single" w:sz="4" w:space="0" w:color="auto"/>
              <w:right w:val="nil"/>
            </w:tcBorders>
            <w:shd w:val="clear" w:color="auto" w:fill="D99594" w:themeFill="accent2" w:themeFillTint="99"/>
            <w:vAlign w:val="center"/>
            <w:hideMark/>
          </w:tcPr>
          <w:p w14:paraId="7D9A6F09"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Optimising digital technologies</w:t>
            </w:r>
          </w:p>
        </w:tc>
        <w:tc>
          <w:tcPr>
            <w:tcW w:w="1672" w:type="dxa"/>
            <w:tcBorders>
              <w:top w:val="single" w:sz="4" w:space="0" w:color="auto"/>
              <w:left w:val="nil"/>
              <w:bottom w:val="single" w:sz="4" w:space="0" w:color="auto"/>
              <w:right w:val="nil"/>
            </w:tcBorders>
            <w:shd w:val="clear" w:color="auto" w:fill="D99594" w:themeFill="accent2" w:themeFillTint="99"/>
            <w:vAlign w:val="center"/>
            <w:hideMark/>
          </w:tcPr>
          <w:p w14:paraId="28A2AA00"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xml:space="preserve">Reflection, </w:t>
            </w:r>
            <w:proofErr w:type="gramStart"/>
            <w:r w:rsidRPr="00D02571">
              <w:rPr>
                <w:rFonts w:cs="Arial"/>
                <w:sz w:val="15"/>
                <w:szCs w:val="15"/>
                <w:lang w:eastAsia="en-AU"/>
              </w:rPr>
              <w:t>evaluation</w:t>
            </w:r>
            <w:proofErr w:type="gramEnd"/>
            <w:r w:rsidRPr="00D02571">
              <w:rPr>
                <w:rFonts w:cs="Arial"/>
                <w:sz w:val="15"/>
                <w:szCs w:val="15"/>
                <w:lang w:eastAsia="en-AU"/>
              </w:rPr>
              <w:t xml:space="preserve"> and scholarly inquiry</w:t>
            </w:r>
          </w:p>
        </w:tc>
        <w:tc>
          <w:tcPr>
            <w:tcW w:w="1302" w:type="dxa"/>
            <w:tcBorders>
              <w:top w:val="single" w:sz="4" w:space="0" w:color="auto"/>
              <w:left w:val="nil"/>
              <w:bottom w:val="single" w:sz="4" w:space="0" w:color="auto"/>
              <w:right w:val="nil"/>
            </w:tcBorders>
            <w:shd w:val="clear" w:color="auto" w:fill="D99594" w:themeFill="accent2" w:themeFillTint="99"/>
            <w:vAlign w:val="center"/>
            <w:hideMark/>
          </w:tcPr>
          <w:p w14:paraId="0360940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D99594" w:themeFill="accent2" w:themeFillTint="99"/>
            <w:vAlign w:val="center"/>
            <w:hideMark/>
          </w:tcPr>
          <w:p w14:paraId="2B1C663B"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D99594" w:themeFill="accent2" w:themeFillTint="99"/>
            <w:vAlign w:val="center"/>
            <w:hideMark/>
          </w:tcPr>
          <w:p w14:paraId="7B8A9F0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Values and respectful relationships</w:t>
            </w:r>
          </w:p>
        </w:tc>
      </w:tr>
      <w:tr w:rsidR="00522B2E" w:rsidRPr="009D3320" w14:paraId="2A015F0B" w14:textId="77777777" w:rsidTr="00CA369A">
        <w:trPr>
          <w:trHeight w:val="794"/>
        </w:trPr>
        <w:tc>
          <w:tcPr>
            <w:tcW w:w="1904" w:type="dxa"/>
            <w:tcBorders>
              <w:top w:val="single" w:sz="4" w:space="0" w:color="auto"/>
              <w:left w:val="nil"/>
              <w:bottom w:val="single" w:sz="4" w:space="0" w:color="auto"/>
              <w:right w:val="nil"/>
            </w:tcBorders>
            <w:shd w:val="clear" w:color="auto" w:fill="95B3D7" w:themeFill="accent1" w:themeFillTint="99"/>
            <w:vAlign w:val="center"/>
            <w:hideMark/>
          </w:tcPr>
          <w:p w14:paraId="1DEF8BDA" w14:textId="77777777" w:rsidR="00522B2E" w:rsidRPr="00D02571" w:rsidRDefault="00522B2E" w:rsidP="000067CA">
            <w:pPr>
              <w:pStyle w:val="Tabletext"/>
              <w:rPr>
                <w:b/>
                <w:bCs/>
                <w:sz w:val="15"/>
                <w:szCs w:val="15"/>
                <w:lang w:eastAsia="en-AU"/>
              </w:rPr>
            </w:pPr>
            <w:r w:rsidRPr="00D02571">
              <w:rPr>
                <w:b/>
                <w:bCs/>
                <w:sz w:val="15"/>
                <w:szCs w:val="15"/>
                <w:lang w:eastAsia="en-AU"/>
              </w:rPr>
              <w:t>Danielson's Framework for Teaching</w:t>
            </w:r>
          </w:p>
        </w:tc>
        <w:tc>
          <w:tcPr>
            <w:tcW w:w="1895" w:type="dxa"/>
            <w:tcBorders>
              <w:top w:val="single" w:sz="4" w:space="0" w:color="auto"/>
              <w:left w:val="nil"/>
              <w:bottom w:val="single" w:sz="4" w:space="0" w:color="auto"/>
              <w:right w:val="nil"/>
            </w:tcBorders>
            <w:shd w:val="clear" w:color="auto" w:fill="95B3D7" w:themeFill="accent1" w:themeFillTint="99"/>
            <w:vAlign w:val="center"/>
            <w:hideMark/>
          </w:tcPr>
          <w:p w14:paraId="09D4F0C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xml:space="preserve">Planning, </w:t>
            </w:r>
            <w:proofErr w:type="gramStart"/>
            <w:r w:rsidRPr="00D02571">
              <w:rPr>
                <w:rFonts w:cs="Arial"/>
                <w:sz w:val="15"/>
                <w:szCs w:val="15"/>
                <w:lang w:eastAsia="en-AU"/>
              </w:rPr>
              <w:t>knowledge</w:t>
            </w:r>
            <w:proofErr w:type="gramEnd"/>
            <w:r w:rsidRPr="00D02571">
              <w:rPr>
                <w:rFonts w:cs="Arial"/>
                <w:sz w:val="15"/>
                <w:szCs w:val="15"/>
                <w:lang w:eastAsia="en-AU"/>
              </w:rPr>
              <w:t xml:space="preserve"> and instruction</w:t>
            </w:r>
          </w:p>
        </w:tc>
        <w:tc>
          <w:tcPr>
            <w:tcW w:w="1749" w:type="dxa"/>
            <w:tcBorders>
              <w:top w:val="single" w:sz="4" w:space="0" w:color="auto"/>
              <w:left w:val="nil"/>
              <w:bottom w:val="single" w:sz="4" w:space="0" w:color="auto"/>
              <w:right w:val="nil"/>
            </w:tcBorders>
            <w:shd w:val="clear" w:color="auto" w:fill="95B3D7" w:themeFill="accent1" w:themeFillTint="99"/>
            <w:vAlign w:val="center"/>
            <w:hideMark/>
          </w:tcPr>
          <w:p w14:paraId="4925E02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73" w:type="dxa"/>
            <w:tcBorders>
              <w:top w:val="single" w:sz="4" w:space="0" w:color="auto"/>
              <w:left w:val="nil"/>
              <w:bottom w:val="single" w:sz="4" w:space="0" w:color="auto"/>
              <w:right w:val="nil"/>
            </w:tcBorders>
            <w:shd w:val="clear" w:color="auto" w:fill="95B3D7" w:themeFill="accent1" w:themeFillTint="99"/>
            <w:vAlign w:val="center"/>
            <w:hideMark/>
          </w:tcPr>
          <w:p w14:paraId="4D160F0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Compliance and responsibilities</w:t>
            </w:r>
          </w:p>
        </w:tc>
        <w:tc>
          <w:tcPr>
            <w:tcW w:w="2061" w:type="dxa"/>
            <w:tcBorders>
              <w:top w:val="single" w:sz="4" w:space="0" w:color="auto"/>
              <w:left w:val="nil"/>
              <w:bottom w:val="single" w:sz="4" w:space="0" w:color="auto"/>
              <w:right w:val="nil"/>
            </w:tcBorders>
            <w:shd w:val="clear" w:color="auto" w:fill="95B3D7" w:themeFill="accent1" w:themeFillTint="99"/>
            <w:vAlign w:val="center"/>
            <w:hideMark/>
          </w:tcPr>
          <w:p w14:paraId="624BD3A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Context classroom environment</w:t>
            </w:r>
          </w:p>
        </w:tc>
        <w:tc>
          <w:tcPr>
            <w:tcW w:w="1258" w:type="dxa"/>
            <w:tcBorders>
              <w:top w:val="single" w:sz="4" w:space="0" w:color="auto"/>
              <w:left w:val="nil"/>
              <w:bottom w:val="single" w:sz="4" w:space="0" w:color="auto"/>
              <w:right w:val="nil"/>
            </w:tcBorders>
            <w:shd w:val="clear" w:color="auto" w:fill="95B3D7" w:themeFill="accent1" w:themeFillTint="99"/>
            <w:vAlign w:val="center"/>
            <w:hideMark/>
          </w:tcPr>
          <w:p w14:paraId="1204033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95B3D7" w:themeFill="accent1" w:themeFillTint="99"/>
            <w:vAlign w:val="center"/>
            <w:hideMark/>
          </w:tcPr>
          <w:p w14:paraId="3EFC226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learning and engaging with others, reflective practice</w:t>
            </w:r>
          </w:p>
        </w:tc>
        <w:tc>
          <w:tcPr>
            <w:tcW w:w="1302" w:type="dxa"/>
            <w:tcBorders>
              <w:top w:val="single" w:sz="4" w:space="0" w:color="auto"/>
              <w:left w:val="nil"/>
              <w:bottom w:val="single" w:sz="4" w:space="0" w:color="auto"/>
              <w:right w:val="nil"/>
            </w:tcBorders>
            <w:shd w:val="clear" w:color="auto" w:fill="95B3D7" w:themeFill="accent1" w:themeFillTint="99"/>
            <w:vAlign w:val="center"/>
            <w:hideMark/>
          </w:tcPr>
          <w:p w14:paraId="69BFD56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95B3D7" w:themeFill="accent1" w:themeFillTint="99"/>
            <w:vAlign w:val="center"/>
            <w:hideMark/>
          </w:tcPr>
          <w:p w14:paraId="7F6BAFE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95B3D7" w:themeFill="accent1" w:themeFillTint="99"/>
            <w:vAlign w:val="center"/>
            <w:hideMark/>
          </w:tcPr>
          <w:p w14:paraId="6148340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22B2E" w:rsidRPr="009D3320" w14:paraId="0D416EFB" w14:textId="77777777" w:rsidTr="005A4D54">
        <w:trPr>
          <w:trHeight w:val="454"/>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11A7E2B2" w14:textId="77777777" w:rsidR="00522B2E" w:rsidRPr="00D02571" w:rsidRDefault="00522B2E" w:rsidP="000067CA">
            <w:pPr>
              <w:pStyle w:val="Tabletext"/>
              <w:rPr>
                <w:b/>
                <w:bCs/>
                <w:sz w:val="15"/>
                <w:szCs w:val="15"/>
                <w:lang w:eastAsia="en-AU"/>
              </w:rPr>
            </w:pPr>
            <w:r w:rsidRPr="00D02571">
              <w:rPr>
                <w:b/>
                <w:bCs/>
                <w:sz w:val="15"/>
                <w:szCs w:val="15"/>
                <w:lang w:eastAsia="en-AU"/>
              </w:rPr>
              <w:t>TAFESA VET Educator Capability Framework</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70B074E4"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Teaching and assessment validation</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3C8151C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Industry and community engagement</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482C12CB"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Quality and compliance</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5DD9D01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08119E4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Digital technologies</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26F12CE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0D53AAF4"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5DD205B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General skills and behaviours</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5D331F3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22B2E" w:rsidRPr="009D3320" w14:paraId="181F6C41" w14:textId="77777777" w:rsidTr="005A4D54">
        <w:trPr>
          <w:trHeight w:val="567"/>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224B392D" w14:textId="77777777" w:rsidR="00522B2E" w:rsidRPr="00D02571" w:rsidRDefault="00522B2E" w:rsidP="000067CA">
            <w:pPr>
              <w:pStyle w:val="Tabletext"/>
              <w:rPr>
                <w:b/>
                <w:bCs/>
                <w:sz w:val="15"/>
                <w:szCs w:val="15"/>
                <w:lang w:eastAsia="en-AU"/>
              </w:rPr>
            </w:pPr>
            <w:proofErr w:type="spellStart"/>
            <w:r w:rsidRPr="00D02571">
              <w:rPr>
                <w:b/>
                <w:bCs/>
                <w:sz w:val="15"/>
                <w:szCs w:val="15"/>
                <w:lang w:eastAsia="en-AU"/>
              </w:rPr>
              <w:t>TasTAFE</w:t>
            </w:r>
            <w:proofErr w:type="spellEnd"/>
            <w:r w:rsidRPr="00D02571">
              <w:rPr>
                <w:b/>
                <w:bCs/>
                <w:sz w:val="15"/>
                <w:szCs w:val="15"/>
                <w:lang w:eastAsia="en-AU"/>
              </w:rPr>
              <w:t xml:space="preserve"> Educator Capability Framework</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3ADD2A5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Teaching, design and facilitate valid and reliable assessments</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51AE583F"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Industry and community engagement</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287C406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41BF8F40" w14:textId="3BCA983B"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xml:space="preserve">Inclusive student </w:t>
            </w:r>
            <w:r w:rsidR="0070149A">
              <w:rPr>
                <w:rFonts w:cs="Arial"/>
                <w:sz w:val="15"/>
                <w:szCs w:val="15"/>
                <w:lang w:eastAsia="en-AU"/>
              </w:rPr>
              <w:br/>
            </w:r>
            <w:r w:rsidRPr="00D02571">
              <w:rPr>
                <w:rFonts w:cs="Arial"/>
                <w:sz w:val="15"/>
                <w:szCs w:val="15"/>
                <w:lang w:eastAsia="en-AU"/>
              </w:rPr>
              <w:t>experience conducive to learning</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6CE7704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Digital literacy</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05CC22F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Leadership and learning pathways</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03658A31"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697318F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7F91D18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22B2E" w:rsidRPr="009D3320" w14:paraId="6AED27C5" w14:textId="77777777" w:rsidTr="00AD02F0">
        <w:trPr>
          <w:trHeight w:val="624"/>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0888AF31" w14:textId="77777777" w:rsidR="00522B2E" w:rsidRPr="00D02571" w:rsidRDefault="00522B2E" w:rsidP="000067CA">
            <w:pPr>
              <w:pStyle w:val="Tabletext"/>
              <w:rPr>
                <w:b/>
                <w:bCs/>
                <w:sz w:val="15"/>
                <w:szCs w:val="15"/>
                <w:lang w:eastAsia="en-AU"/>
              </w:rPr>
            </w:pPr>
            <w:r w:rsidRPr="00D02571">
              <w:rPr>
                <w:b/>
                <w:bCs/>
                <w:sz w:val="15"/>
                <w:szCs w:val="15"/>
                <w:lang w:eastAsia="en-AU"/>
              </w:rPr>
              <w:t>North Metropolitan TAFE VET Practitioner Capability Framework</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7EB5996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Teaching and assessment</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17CB03E0"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Industry and community engagement, industry competence</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62605AC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Systems and compliance</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25884DA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7918D291"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4852F40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31683AA9"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069F2CE1"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General skills and behaviours</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2389722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Values</w:t>
            </w:r>
          </w:p>
        </w:tc>
      </w:tr>
      <w:tr w:rsidR="00522B2E" w:rsidRPr="009D3320" w14:paraId="7CAAD14C" w14:textId="77777777" w:rsidTr="005A4D54">
        <w:trPr>
          <w:trHeight w:val="680"/>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271B9619" w14:textId="77777777" w:rsidR="00522B2E" w:rsidRPr="00D02571" w:rsidRDefault="00522B2E" w:rsidP="000067CA">
            <w:pPr>
              <w:pStyle w:val="Tabletext"/>
              <w:rPr>
                <w:b/>
                <w:bCs/>
                <w:sz w:val="15"/>
                <w:szCs w:val="15"/>
                <w:lang w:eastAsia="en-AU"/>
              </w:rPr>
            </w:pPr>
            <w:r w:rsidRPr="00D02571">
              <w:rPr>
                <w:b/>
                <w:bCs/>
                <w:sz w:val="15"/>
                <w:szCs w:val="15"/>
                <w:lang w:eastAsia="en-AU"/>
              </w:rPr>
              <w:t>Charles Darwin University VET Educator Capability Framework</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6859F55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Learn, teach, assess</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5E26675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Industry and community engagement</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0257792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Quality assurance and continuous improvement</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70CFB35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6B21140F"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6F0B7E6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26FD387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Entrepreneurship and innovation</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5B6C219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5E51A16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22B2E" w:rsidRPr="009D3320" w14:paraId="67103A14" w14:textId="77777777" w:rsidTr="00CA369A">
        <w:trPr>
          <w:trHeight w:val="737"/>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402C56BB" w14:textId="77777777" w:rsidR="00522B2E" w:rsidRPr="00D02571" w:rsidRDefault="00522B2E" w:rsidP="000067CA">
            <w:pPr>
              <w:pStyle w:val="Tabletext"/>
              <w:rPr>
                <w:b/>
                <w:bCs/>
                <w:sz w:val="15"/>
                <w:szCs w:val="15"/>
                <w:lang w:eastAsia="en-AU"/>
              </w:rPr>
            </w:pPr>
            <w:r w:rsidRPr="00D02571">
              <w:rPr>
                <w:b/>
                <w:bCs/>
                <w:sz w:val="15"/>
                <w:szCs w:val="15"/>
                <w:lang w:eastAsia="en-AU"/>
              </w:rPr>
              <w:t>Professional Standards for Teachers and Trainers in Education and Training in England</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0008232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Knowledge and evidence-based practice</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5339FD4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Knowledge</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72B6E376"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Evidence-based practice</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6D411CB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Promote inclusive, safe, positive relationships</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75F70286"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2028C67E"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Professional learning, motivate learners</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5753945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3C6E6270"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71C32931" w14:textId="77777777" w:rsidR="00522B2E" w:rsidRPr="00D02571" w:rsidRDefault="00522B2E" w:rsidP="000067CA">
            <w:pPr>
              <w:pStyle w:val="Tabletext"/>
              <w:spacing w:before="20" w:after="20"/>
              <w:rPr>
                <w:rFonts w:cs="Arial"/>
                <w:sz w:val="15"/>
                <w:szCs w:val="15"/>
                <w:highlight w:val="yellow"/>
                <w:lang w:eastAsia="en-AU"/>
              </w:rPr>
            </w:pPr>
            <w:r w:rsidRPr="00D02571">
              <w:rPr>
                <w:rFonts w:cs="Arial"/>
                <w:sz w:val="15"/>
                <w:szCs w:val="15"/>
                <w:lang w:eastAsia="en-AU"/>
              </w:rPr>
              <w:t>Professional values and attributes</w:t>
            </w:r>
          </w:p>
        </w:tc>
      </w:tr>
      <w:tr w:rsidR="00522B2E" w:rsidRPr="009D3320" w14:paraId="2F2742EC" w14:textId="77777777" w:rsidTr="00CA369A">
        <w:trPr>
          <w:trHeight w:val="737"/>
        </w:trPr>
        <w:tc>
          <w:tcPr>
            <w:tcW w:w="1904" w:type="dxa"/>
            <w:tcBorders>
              <w:top w:val="single" w:sz="4" w:space="0" w:color="auto"/>
              <w:left w:val="nil"/>
              <w:bottom w:val="single" w:sz="4" w:space="0" w:color="auto"/>
              <w:right w:val="nil"/>
            </w:tcBorders>
            <w:shd w:val="clear" w:color="auto" w:fill="95B3D7" w:themeFill="accent1" w:themeFillTint="99"/>
            <w:vAlign w:val="center"/>
            <w:hideMark/>
          </w:tcPr>
          <w:p w14:paraId="74910613" w14:textId="77777777" w:rsidR="00522B2E" w:rsidRPr="00D02571" w:rsidRDefault="00522B2E" w:rsidP="000067CA">
            <w:pPr>
              <w:pStyle w:val="Tabletext"/>
              <w:rPr>
                <w:b/>
                <w:bCs/>
                <w:sz w:val="15"/>
                <w:szCs w:val="15"/>
                <w:lang w:eastAsia="en-AU"/>
              </w:rPr>
            </w:pPr>
            <w:r w:rsidRPr="00D02571">
              <w:rPr>
                <w:b/>
                <w:bCs/>
                <w:sz w:val="15"/>
                <w:szCs w:val="15"/>
                <w:lang w:eastAsia="en-AU"/>
              </w:rPr>
              <w:t>USA Career and Technical Education (VET) Standards for Teachers (ages 11–18)</w:t>
            </w:r>
          </w:p>
        </w:tc>
        <w:tc>
          <w:tcPr>
            <w:tcW w:w="1895" w:type="dxa"/>
            <w:tcBorders>
              <w:top w:val="single" w:sz="4" w:space="0" w:color="auto"/>
              <w:left w:val="nil"/>
              <w:bottom w:val="single" w:sz="4" w:space="0" w:color="auto"/>
              <w:right w:val="nil"/>
            </w:tcBorders>
            <w:shd w:val="clear" w:color="auto" w:fill="95B3D7" w:themeFill="accent1" w:themeFillTint="99"/>
            <w:vAlign w:val="center"/>
            <w:hideMark/>
          </w:tcPr>
          <w:p w14:paraId="7AA30DEB"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Knowledge and design, assessment</w:t>
            </w:r>
          </w:p>
        </w:tc>
        <w:tc>
          <w:tcPr>
            <w:tcW w:w="1749" w:type="dxa"/>
            <w:tcBorders>
              <w:top w:val="single" w:sz="4" w:space="0" w:color="auto"/>
              <w:left w:val="nil"/>
              <w:bottom w:val="single" w:sz="4" w:space="0" w:color="auto"/>
              <w:right w:val="nil"/>
            </w:tcBorders>
            <w:shd w:val="clear" w:color="auto" w:fill="95B3D7" w:themeFill="accent1" w:themeFillTint="99"/>
            <w:vAlign w:val="center"/>
            <w:hideMark/>
          </w:tcPr>
          <w:p w14:paraId="5C59FCD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Learning communities</w:t>
            </w:r>
          </w:p>
        </w:tc>
        <w:tc>
          <w:tcPr>
            <w:tcW w:w="1273" w:type="dxa"/>
            <w:tcBorders>
              <w:top w:val="single" w:sz="4" w:space="0" w:color="auto"/>
              <w:left w:val="nil"/>
              <w:bottom w:val="single" w:sz="4" w:space="0" w:color="auto"/>
              <w:right w:val="nil"/>
            </w:tcBorders>
            <w:shd w:val="clear" w:color="auto" w:fill="95B3D7" w:themeFill="accent1" w:themeFillTint="99"/>
            <w:vAlign w:val="center"/>
            <w:hideMark/>
          </w:tcPr>
          <w:p w14:paraId="034673F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2061" w:type="dxa"/>
            <w:tcBorders>
              <w:top w:val="single" w:sz="4" w:space="0" w:color="auto"/>
              <w:left w:val="nil"/>
              <w:bottom w:val="single" w:sz="4" w:space="0" w:color="auto"/>
              <w:right w:val="nil"/>
            </w:tcBorders>
            <w:shd w:val="clear" w:color="auto" w:fill="95B3D7" w:themeFill="accent1" w:themeFillTint="99"/>
            <w:vAlign w:val="center"/>
            <w:hideMark/>
          </w:tcPr>
          <w:p w14:paraId="40DAAD3B"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Diversity, and learning environments</w:t>
            </w:r>
          </w:p>
        </w:tc>
        <w:tc>
          <w:tcPr>
            <w:tcW w:w="1258" w:type="dxa"/>
            <w:tcBorders>
              <w:top w:val="single" w:sz="4" w:space="0" w:color="auto"/>
              <w:left w:val="nil"/>
              <w:bottom w:val="single" w:sz="4" w:space="0" w:color="auto"/>
              <w:right w:val="nil"/>
            </w:tcBorders>
            <w:shd w:val="clear" w:color="auto" w:fill="95B3D7" w:themeFill="accent1" w:themeFillTint="99"/>
            <w:vAlign w:val="center"/>
            <w:hideMark/>
          </w:tcPr>
          <w:p w14:paraId="2034919F"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4" w:space="0" w:color="auto"/>
              <w:right w:val="nil"/>
            </w:tcBorders>
            <w:shd w:val="clear" w:color="auto" w:fill="95B3D7" w:themeFill="accent1" w:themeFillTint="99"/>
            <w:vAlign w:val="center"/>
            <w:hideMark/>
          </w:tcPr>
          <w:p w14:paraId="1BC33B6F" w14:textId="23D9BE76" w:rsidR="00D02571" w:rsidRPr="00F97DBD" w:rsidRDefault="00522B2E" w:rsidP="00F97DBD">
            <w:pPr>
              <w:pStyle w:val="Tabletext"/>
              <w:spacing w:before="20" w:after="20"/>
              <w:rPr>
                <w:rFonts w:cs="Arial"/>
                <w:sz w:val="15"/>
                <w:szCs w:val="15"/>
                <w:lang w:eastAsia="en-AU"/>
              </w:rPr>
            </w:pPr>
            <w:r w:rsidRPr="00D02571">
              <w:rPr>
                <w:rFonts w:cs="Arial"/>
                <w:sz w:val="15"/>
                <w:szCs w:val="15"/>
                <w:lang w:eastAsia="en-AU"/>
              </w:rPr>
              <w:t>Leadership and reflective practice</w:t>
            </w:r>
          </w:p>
        </w:tc>
        <w:tc>
          <w:tcPr>
            <w:tcW w:w="1302" w:type="dxa"/>
            <w:tcBorders>
              <w:top w:val="single" w:sz="4" w:space="0" w:color="auto"/>
              <w:left w:val="nil"/>
              <w:bottom w:val="single" w:sz="4" w:space="0" w:color="auto"/>
              <w:right w:val="nil"/>
            </w:tcBorders>
            <w:shd w:val="clear" w:color="auto" w:fill="95B3D7" w:themeFill="accent1" w:themeFillTint="99"/>
            <w:vAlign w:val="center"/>
            <w:hideMark/>
          </w:tcPr>
          <w:p w14:paraId="2BCBCD6B"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4" w:space="0" w:color="auto"/>
              <w:right w:val="nil"/>
            </w:tcBorders>
            <w:shd w:val="clear" w:color="auto" w:fill="95B3D7" w:themeFill="accent1" w:themeFillTint="99"/>
            <w:vAlign w:val="center"/>
            <w:hideMark/>
          </w:tcPr>
          <w:p w14:paraId="44944F46"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95B3D7" w:themeFill="accent1" w:themeFillTint="99"/>
            <w:vAlign w:val="center"/>
            <w:hideMark/>
          </w:tcPr>
          <w:p w14:paraId="08B1FC4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r>
      <w:tr w:rsidR="005066FE" w:rsidRPr="009D3320" w14:paraId="7FBD781B" w14:textId="77777777" w:rsidTr="005A4D54">
        <w:trPr>
          <w:trHeight w:val="454"/>
        </w:trPr>
        <w:tc>
          <w:tcPr>
            <w:tcW w:w="1904" w:type="dxa"/>
            <w:tcBorders>
              <w:top w:val="single" w:sz="4" w:space="0" w:color="auto"/>
              <w:left w:val="nil"/>
              <w:bottom w:val="single" w:sz="4" w:space="0" w:color="auto"/>
              <w:right w:val="nil"/>
            </w:tcBorders>
            <w:shd w:val="clear" w:color="auto" w:fill="F2F2F2" w:themeFill="background1" w:themeFillShade="F2"/>
            <w:vAlign w:val="center"/>
            <w:hideMark/>
          </w:tcPr>
          <w:p w14:paraId="103F3480" w14:textId="77777777" w:rsidR="00522B2E" w:rsidRPr="00D02571" w:rsidRDefault="00522B2E" w:rsidP="000067CA">
            <w:pPr>
              <w:pStyle w:val="Tabletext"/>
              <w:rPr>
                <w:b/>
                <w:bCs/>
                <w:sz w:val="15"/>
                <w:szCs w:val="15"/>
                <w:lang w:eastAsia="en-AU"/>
              </w:rPr>
            </w:pPr>
            <w:r w:rsidRPr="00D02571">
              <w:rPr>
                <w:b/>
                <w:bCs/>
                <w:sz w:val="15"/>
                <w:szCs w:val="15"/>
                <w:lang w:eastAsia="en-AU"/>
              </w:rPr>
              <w:t>TAFE Qld Educator Capability Framework</w:t>
            </w:r>
          </w:p>
        </w:tc>
        <w:tc>
          <w:tcPr>
            <w:tcW w:w="1895" w:type="dxa"/>
            <w:tcBorders>
              <w:top w:val="single" w:sz="4" w:space="0" w:color="auto"/>
              <w:left w:val="nil"/>
              <w:bottom w:val="single" w:sz="4" w:space="0" w:color="auto"/>
              <w:right w:val="nil"/>
            </w:tcBorders>
            <w:shd w:val="clear" w:color="auto" w:fill="F2F2F2" w:themeFill="background1" w:themeFillShade="F2"/>
            <w:vAlign w:val="center"/>
            <w:hideMark/>
          </w:tcPr>
          <w:p w14:paraId="63CDC10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Learning, teaching and assessment</w:t>
            </w:r>
          </w:p>
        </w:tc>
        <w:tc>
          <w:tcPr>
            <w:tcW w:w="1749" w:type="dxa"/>
            <w:tcBorders>
              <w:top w:val="single" w:sz="4" w:space="0" w:color="auto"/>
              <w:left w:val="nil"/>
              <w:bottom w:val="single" w:sz="4" w:space="0" w:color="auto"/>
              <w:right w:val="nil"/>
            </w:tcBorders>
            <w:shd w:val="clear" w:color="auto" w:fill="F2F2F2" w:themeFill="background1" w:themeFillShade="F2"/>
            <w:vAlign w:val="center"/>
            <w:hideMark/>
          </w:tcPr>
          <w:p w14:paraId="6773220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xml:space="preserve">Engagement </w:t>
            </w:r>
          </w:p>
        </w:tc>
        <w:tc>
          <w:tcPr>
            <w:tcW w:w="1273" w:type="dxa"/>
            <w:tcBorders>
              <w:top w:val="single" w:sz="4" w:space="0" w:color="auto"/>
              <w:left w:val="nil"/>
              <w:bottom w:val="single" w:sz="4" w:space="0" w:color="auto"/>
              <w:right w:val="nil"/>
            </w:tcBorders>
            <w:shd w:val="clear" w:color="auto" w:fill="F2F2F2" w:themeFill="background1" w:themeFillShade="F2"/>
            <w:vAlign w:val="center"/>
            <w:hideMark/>
          </w:tcPr>
          <w:p w14:paraId="46ED4361"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Quality and compliance</w:t>
            </w:r>
          </w:p>
        </w:tc>
        <w:tc>
          <w:tcPr>
            <w:tcW w:w="2061" w:type="dxa"/>
            <w:tcBorders>
              <w:top w:val="single" w:sz="4" w:space="0" w:color="auto"/>
              <w:left w:val="nil"/>
              <w:bottom w:val="single" w:sz="4" w:space="0" w:color="auto"/>
              <w:right w:val="nil"/>
            </w:tcBorders>
            <w:shd w:val="clear" w:color="auto" w:fill="F2F2F2" w:themeFill="background1" w:themeFillShade="F2"/>
            <w:vAlign w:val="center"/>
            <w:hideMark/>
          </w:tcPr>
          <w:p w14:paraId="173EBC1A"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Inclusive practice</w:t>
            </w:r>
          </w:p>
        </w:tc>
        <w:tc>
          <w:tcPr>
            <w:tcW w:w="1258" w:type="dxa"/>
            <w:tcBorders>
              <w:top w:val="single" w:sz="4" w:space="0" w:color="auto"/>
              <w:left w:val="nil"/>
              <w:bottom w:val="single" w:sz="4" w:space="0" w:color="auto"/>
              <w:right w:val="nil"/>
            </w:tcBorders>
            <w:shd w:val="clear" w:color="auto" w:fill="F2F2F2" w:themeFill="background1" w:themeFillShade="F2"/>
            <w:vAlign w:val="center"/>
            <w:hideMark/>
          </w:tcPr>
          <w:p w14:paraId="5CC2FF7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Technology for learning</w:t>
            </w:r>
          </w:p>
        </w:tc>
        <w:tc>
          <w:tcPr>
            <w:tcW w:w="1672" w:type="dxa"/>
            <w:tcBorders>
              <w:top w:val="single" w:sz="4" w:space="0" w:color="auto"/>
              <w:left w:val="nil"/>
              <w:bottom w:val="single" w:sz="4" w:space="0" w:color="auto"/>
              <w:right w:val="nil"/>
            </w:tcBorders>
            <w:shd w:val="clear" w:color="auto" w:fill="F2F2F2" w:themeFill="background1" w:themeFillShade="F2"/>
            <w:vAlign w:val="center"/>
            <w:hideMark/>
          </w:tcPr>
          <w:p w14:paraId="3FCE95A0"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Leadership</w:t>
            </w:r>
          </w:p>
        </w:tc>
        <w:tc>
          <w:tcPr>
            <w:tcW w:w="1302" w:type="dxa"/>
            <w:tcBorders>
              <w:top w:val="single" w:sz="4" w:space="0" w:color="auto"/>
              <w:left w:val="nil"/>
              <w:bottom w:val="single" w:sz="4" w:space="0" w:color="auto"/>
              <w:right w:val="nil"/>
            </w:tcBorders>
            <w:shd w:val="clear" w:color="auto" w:fill="F2F2F2" w:themeFill="background1" w:themeFillShade="F2"/>
            <w:vAlign w:val="center"/>
            <w:hideMark/>
          </w:tcPr>
          <w:p w14:paraId="734EF376"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Innovation</w:t>
            </w:r>
          </w:p>
        </w:tc>
        <w:tc>
          <w:tcPr>
            <w:tcW w:w="1172" w:type="dxa"/>
            <w:tcBorders>
              <w:top w:val="single" w:sz="4" w:space="0" w:color="auto"/>
              <w:left w:val="nil"/>
              <w:bottom w:val="single" w:sz="4" w:space="0" w:color="auto"/>
              <w:right w:val="nil"/>
            </w:tcBorders>
            <w:shd w:val="clear" w:color="auto" w:fill="F2F2F2" w:themeFill="background1" w:themeFillShade="F2"/>
            <w:vAlign w:val="center"/>
            <w:hideMark/>
          </w:tcPr>
          <w:p w14:paraId="36DEFBFD"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4" w:space="0" w:color="auto"/>
              <w:right w:val="nil"/>
            </w:tcBorders>
            <w:shd w:val="clear" w:color="auto" w:fill="F2F2F2" w:themeFill="background1" w:themeFillShade="F2"/>
            <w:vAlign w:val="center"/>
            <w:hideMark/>
          </w:tcPr>
          <w:p w14:paraId="2375F825"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Core values</w:t>
            </w:r>
          </w:p>
        </w:tc>
      </w:tr>
      <w:tr w:rsidR="00522B2E" w:rsidRPr="009D3320" w14:paraId="16896858" w14:textId="77777777" w:rsidTr="00D02571">
        <w:trPr>
          <w:trHeight w:val="794"/>
        </w:trPr>
        <w:tc>
          <w:tcPr>
            <w:tcW w:w="1904" w:type="dxa"/>
            <w:tcBorders>
              <w:top w:val="single" w:sz="4" w:space="0" w:color="auto"/>
              <w:left w:val="nil"/>
              <w:bottom w:val="single" w:sz="8" w:space="0" w:color="auto"/>
              <w:right w:val="nil"/>
            </w:tcBorders>
            <w:shd w:val="clear" w:color="auto" w:fill="F2F2F2" w:themeFill="background1" w:themeFillShade="F2"/>
            <w:vAlign w:val="center"/>
            <w:hideMark/>
          </w:tcPr>
          <w:p w14:paraId="22B5ADC1" w14:textId="77777777" w:rsidR="00522B2E" w:rsidRPr="00D02571" w:rsidRDefault="00522B2E" w:rsidP="000067CA">
            <w:pPr>
              <w:pStyle w:val="Tabletext"/>
              <w:rPr>
                <w:b/>
                <w:bCs/>
                <w:sz w:val="15"/>
                <w:szCs w:val="15"/>
                <w:lang w:eastAsia="en-AU"/>
              </w:rPr>
            </w:pPr>
            <w:r w:rsidRPr="00D02571">
              <w:rPr>
                <w:b/>
                <w:bCs/>
                <w:sz w:val="15"/>
                <w:szCs w:val="15"/>
                <w:lang w:eastAsia="en-AU"/>
              </w:rPr>
              <w:t>Chisholm Educator Excellence Framework</w:t>
            </w:r>
          </w:p>
        </w:tc>
        <w:tc>
          <w:tcPr>
            <w:tcW w:w="1895" w:type="dxa"/>
            <w:tcBorders>
              <w:top w:val="single" w:sz="4" w:space="0" w:color="auto"/>
              <w:left w:val="nil"/>
              <w:bottom w:val="single" w:sz="8" w:space="0" w:color="auto"/>
              <w:right w:val="nil"/>
            </w:tcBorders>
            <w:shd w:val="clear" w:color="auto" w:fill="F2F2F2" w:themeFill="background1" w:themeFillShade="F2"/>
            <w:vAlign w:val="center"/>
            <w:hideMark/>
          </w:tcPr>
          <w:p w14:paraId="2ED7880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Design professional practices and assessment</w:t>
            </w:r>
          </w:p>
        </w:tc>
        <w:tc>
          <w:tcPr>
            <w:tcW w:w="1749" w:type="dxa"/>
            <w:tcBorders>
              <w:top w:val="single" w:sz="4" w:space="0" w:color="auto"/>
              <w:left w:val="nil"/>
              <w:bottom w:val="single" w:sz="8" w:space="0" w:color="auto"/>
              <w:right w:val="nil"/>
            </w:tcBorders>
            <w:shd w:val="clear" w:color="auto" w:fill="F2F2F2" w:themeFill="background1" w:themeFillShade="F2"/>
            <w:vAlign w:val="center"/>
            <w:hideMark/>
          </w:tcPr>
          <w:p w14:paraId="1D8A2FE3"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Engagement and feedback</w:t>
            </w:r>
          </w:p>
        </w:tc>
        <w:tc>
          <w:tcPr>
            <w:tcW w:w="1273" w:type="dxa"/>
            <w:tcBorders>
              <w:top w:val="single" w:sz="4" w:space="0" w:color="auto"/>
              <w:left w:val="nil"/>
              <w:bottom w:val="single" w:sz="8" w:space="0" w:color="auto"/>
              <w:right w:val="nil"/>
            </w:tcBorders>
            <w:shd w:val="clear" w:color="auto" w:fill="F2F2F2" w:themeFill="background1" w:themeFillShade="F2"/>
            <w:vAlign w:val="center"/>
            <w:hideMark/>
          </w:tcPr>
          <w:p w14:paraId="595BEBE8"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Continuous improvement</w:t>
            </w:r>
          </w:p>
        </w:tc>
        <w:tc>
          <w:tcPr>
            <w:tcW w:w="2061" w:type="dxa"/>
            <w:tcBorders>
              <w:top w:val="single" w:sz="4" w:space="0" w:color="auto"/>
              <w:left w:val="nil"/>
              <w:bottom w:val="single" w:sz="8" w:space="0" w:color="auto"/>
              <w:right w:val="nil"/>
            </w:tcBorders>
            <w:shd w:val="clear" w:color="auto" w:fill="F2F2F2" w:themeFill="background1" w:themeFillShade="F2"/>
            <w:vAlign w:val="center"/>
            <w:hideMark/>
          </w:tcPr>
          <w:p w14:paraId="36761852"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xml:space="preserve">Supportive environment for different delivery modes </w:t>
            </w:r>
          </w:p>
        </w:tc>
        <w:tc>
          <w:tcPr>
            <w:tcW w:w="1258" w:type="dxa"/>
            <w:tcBorders>
              <w:top w:val="single" w:sz="4" w:space="0" w:color="auto"/>
              <w:left w:val="nil"/>
              <w:bottom w:val="single" w:sz="8" w:space="0" w:color="auto"/>
              <w:right w:val="nil"/>
            </w:tcBorders>
            <w:shd w:val="clear" w:color="auto" w:fill="F2F2F2" w:themeFill="background1" w:themeFillShade="F2"/>
            <w:vAlign w:val="center"/>
            <w:hideMark/>
          </w:tcPr>
          <w:p w14:paraId="6B8FD0FC"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672" w:type="dxa"/>
            <w:tcBorders>
              <w:top w:val="single" w:sz="4" w:space="0" w:color="auto"/>
              <w:left w:val="nil"/>
              <w:bottom w:val="single" w:sz="8" w:space="0" w:color="auto"/>
              <w:right w:val="nil"/>
            </w:tcBorders>
            <w:shd w:val="clear" w:color="auto" w:fill="F2F2F2" w:themeFill="background1" w:themeFillShade="F2"/>
            <w:vAlign w:val="center"/>
            <w:hideMark/>
          </w:tcPr>
          <w:p w14:paraId="07515387"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Continuing professional development and lifelong learning</w:t>
            </w:r>
          </w:p>
        </w:tc>
        <w:tc>
          <w:tcPr>
            <w:tcW w:w="1302" w:type="dxa"/>
            <w:tcBorders>
              <w:top w:val="single" w:sz="4" w:space="0" w:color="auto"/>
              <w:left w:val="nil"/>
              <w:bottom w:val="single" w:sz="8" w:space="0" w:color="auto"/>
              <w:right w:val="nil"/>
            </w:tcBorders>
            <w:shd w:val="clear" w:color="auto" w:fill="F2F2F2" w:themeFill="background1" w:themeFillShade="F2"/>
            <w:vAlign w:val="center"/>
            <w:hideMark/>
          </w:tcPr>
          <w:p w14:paraId="55FE1ECF"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72" w:type="dxa"/>
            <w:tcBorders>
              <w:top w:val="single" w:sz="4" w:space="0" w:color="auto"/>
              <w:left w:val="nil"/>
              <w:bottom w:val="single" w:sz="8" w:space="0" w:color="auto"/>
              <w:right w:val="nil"/>
            </w:tcBorders>
            <w:shd w:val="clear" w:color="auto" w:fill="F2F2F2" w:themeFill="background1" w:themeFillShade="F2"/>
            <w:vAlign w:val="center"/>
            <w:hideMark/>
          </w:tcPr>
          <w:p w14:paraId="10F0D0F4" w14:textId="77777777" w:rsidR="00522B2E" w:rsidRPr="00D02571" w:rsidRDefault="00522B2E" w:rsidP="000067CA">
            <w:pPr>
              <w:pStyle w:val="Tabletext"/>
              <w:spacing w:before="20" w:after="20"/>
              <w:rPr>
                <w:rFonts w:cs="Arial"/>
                <w:sz w:val="15"/>
                <w:szCs w:val="15"/>
                <w:lang w:eastAsia="en-AU"/>
              </w:rPr>
            </w:pPr>
            <w:r w:rsidRPr="00D02571">
              <w:rPr>
                <w:rFonts w:cs="Arial"/>
                <w:sz w:val="15"/>
                <w:szCs w:val="15"/>
                <w:lang w:eastAsia="en-AU"/>
              </w:rPr>
              <w:t> </w:t>
            </w:r>
          </w:p>
        </w:tc>
        <w:tc>
          <w:tcPr>
            <w:tcW w:w="1166" w:type="dxa"/>
            <w:tcBorders>
              <w:top w:val="single" w:sz="4" w:space="0" w:color="auto"/>
              <w:left w:val="nil"/>
              <w:bottom w:val="single" w:sz="8" w:space="0" w:color="auto"/>
              <w:right w:val="nil"/>
            </w:tcBorders>
            <w:shd w:val="clear" w:color="auto" w:fill="F2F2F2" w:themeFill="background1" w:themeFillShade="F2"/>
            <w:vAlign w:val="center"/>
            <w:hideMark/>
          </w:tcPr>
          <w:p w14:paraId="018CEDBF" w14:textId="77777777" w:rsidR="00522B2E" w:rsidRPr="00D02571" w:rsidRDefault="00522B2E" w:rsidP="000067CA">
            <w:pPr>
              <w:pStyle w:val="Tabletext"/>
              <w:spacing w:before="20" w:after="20"/>
              <w:rPr>
                <w:rFonts w:cs="Arial"/>
                <w:sz w:val="15"/>
                <w:szCs w:val="15"/>
                <w:lang w:eastAsia="en-AU"/>
              </w:rPr>
            </w:pPr>
          </w:p>
        </w:tc>
      </w:tr>
    </w:tbl>
    <w:p w14:paraId="1B31BE73" w14:textId="2E2BB210" w:rsidR="00D02571" w:rsidRDefault="00923EB5" w:rsidP="005A4D54">
      <w:pPr>
        <w:pStyle w:val="Source"/>
        <w:spacing w:before="120"/>
        <w:ind w:left="0" w:hanging="425"/>
      </w:pPr>
      <w:r w:rsidRPr="000068B1">
        <w:rPr>
          <w:noProof/>
        </w:rPr>
        <mc:AlternateContent>
          <mc:Choice Requires="wps">
            <w:drawing>
              <wp:anchor distT="0" distB="0" distL="36195" distR="36195" simplePos="0" relativeHeight="252044288" behindDoc="0" locked="0" layoutInCell="1" allowOverlap="1" wp14:anchorId="25983058" wp14:editId="03CCD70F">
                <wp:simplePos x="0" y="0"/>
                <wp:positionH relativeFrom="column">
                  <wp:posOffset>4907280</wp:posOffset>
                </wp:positionH>
                <wp:positionV relativeFrom="paragraph">
                  <wp:posOffset>81280</wp:posOffset>
                </wp:positionV>
                <wp:extent cx="107950" cy="107950"/>
                <wp:effectExtent l="0" t="0" r="6350" b="6350"/>
                <wp:wrapSquare wrapText="bothSides"/>
                <wp:docPr id="131" name="Rectangle 131"/>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EE7B5" id="Rectangle 131" o:spid="_x0000_s1026" style="position:absolute;margin-left:386.4pt;margin-top:6.4pt;width:8.5pt;height:8.5pt;z-index:252044288;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" fillcolor="#95b3d7 [1940]" stroked="f">
                <w10:wrap type="square"/>
              </v:rect>
            </w:pict>
          </mc:Fallback>
        </mc:AlternateContent>
      </w:r>
      <w:r w:rsidRPr="000068B1">
        <w:rPr>
          <w:noProof/>
        </w:rPr>
        <mc:AlternateContent>
          <mc:Choice Requires="wps">
            <w:drawing>
              <wp:anchor distT="0" distB="0" distL="36195" distR="36195" simplePos="0" relativeHeight="252043264" behindDoc="0" locked="0" layoutInCell="1" allowOverlap="1" wp14:anchorId="5D5B2826" wp14:editId="5CA31485">
                <wp:simplePos x="0" y="0"/>
                <wp:positionH relativeFrom="column">
                  <wp:posOffset>3735705</wp:posOffset>
                </wp:positionH>
                <wp:positionV relativeFrom="paragraph">
                  <wp:posOffset>81280</wp:posOffset>
                </wp:positionV>
                <wp:extent cx="107950" cy="107950"/>
                <wp:effectExtent l="0" t="0" r="6350" b="6350"/>
                <wp:wrapSquare wrapText="bothSides"/>
                <wp:docPr id="130" name="Rectangle 130"/>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86F97" id="Rectangle 130" o:spid="_x0000_s1026" style="position:absolute;margin-left:294.15pt;margin-top:6.4pt;width:8.5pt;height:8.5pt;z-index:25204326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" fillcolor="#d99594 [1941]" stroked="f">
                <w10:wrap type="square"/>
              </v:rect>
            </w:pict>
          </mc:Fallback>
        </mc:AlternateContent>
      </w:r>
      <w:r w:rsidR="000068B1" w:rsidRPr="000068B1">
        <w:rPr>
          <w:noProof/>
        </w:rPr>
        <mc:AlternateContent>
          <mc:Choice Requires="wps">
            <w:drawing>
              <wp:anchor distT="0" distB="0" distL="36195" distR="36195" simplePos="0" relativeHeight="252042240" behindDoc="0" locked="0" layoutInCell="1" allowOverlap="1" wp14:anchorId="58340211" wp14:editId="5D5AEC7F">
                <wp:simplePos x="0" y="0"/>
                <wp:positionH relativeFrom="column">
                  <wp:posOffset>2143125</wp:posOffset>
                </wp:positionH>
                <wp:positionV relativeFrom="paragraph">
                  <wp:posOffset>81280</wp:posOffset>
                </wp:positionV>
                <wp:extent cx="107950" cy="107950"/>
                <wp:effectExtent l="0" t="0" r="6350" b="6350"/>
                <wp:wrapSquare wrapText="bothSides"/>
                <wp:docPr id="129" name="Rectangle 129"/>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D5048" id="Rectangle 129" o:spid="_x0000_s1026" style="position:absolute;margin-left:168.75pt;margin-top:6.4pt;width:8.5pt;height:8.5pt;z-index:252042240;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" fillcolor="#bfbfbf [2412]" stroked="f">
                <w10:wrap type="square"/>
              </v:rect>
            </w:pict>
          </mc:Fallback>
        </mc:AlternateContent>
      </w:r>
      <w:r w:rsidR="00AF1CCA">
        <w:t>Note:</w:t>
      </w:r>
      <w:r w:rsidR="00AF1CCA">
        <w:tab/>
      </w:r>
      <w:r w:rsidR="00D02571" w:rsidRPr="00AE4274">
        <w:t xml:space="preserve">The frameworks and standards are colour coded: </w:t>
      </w:r>
      <w:r w:rsidR="000068B1">
        <w:t xml:space="preserve">grey </w:t>
      </w:r>
      <w:r w:rsidR="00D02571" w:rsidRPr="00AE4274">
        <w:t>for those pertaining to VET, red for universities and blue for schools.</w:t>
      </w:r>
    </w:p>
    <w:p w14:paraId="3074B50A" w14:textId="0644DF28" w:rsidR="00D02571" w:rsidRPr="00D02571" w:rsidRDefault="00D02571" w:rsidP="00D02571">
      <w:pPr>
        <w:pStyle w:val="Text"/>
        <w:sectPr w:rsidR="00D02571" w:rsidRPr="00D02571" w:rsidSect="002C2FD3">
          <w:pgSz w:w="16840" w:h="11907" w:orient="landscape" w:code="9"/>
          <w:pgMar w:top="490" w:right="567" w:bottom="567" w:left="1276" w:header="284" w:footer="264" w:gutter="0"/>
          <w:cols w:space="708"/>
          <w:docGrid w:linePitch="360"/>
        </w:sectPr>
      </w:pPr>
    </w:p>
    <w:p w14:paraId="41FAA5EC" w14:textId="77777777" w:rsidR="00F90038" w:rsidRDefault="00C91736" w:rsidP="005A4D54">
      <w:pPr>
        <w:pStyle w:val="Heading1"/>
        <w:spacing w:after="120"/>
      </w:pPr>
      <w:bookmarkStart w:id="109" w:name="_Toc62204961"/>
      <w:bookmarkStart w:id="110" w:name="_Toc54104353"/>
      <w:r>
        <w:lastRenderedPageBreak/>
        <w:t>A</w:t>
      </w:r>
      <w:r w:rsidR="00AC6672">
        <w:t>ppendix</w:t>
      </w:r>
      <w:r>
        <w:t xml:space="preserve"> </w:t>
      </w:r>
      <w:r w:rsidR="00B9631F">
        <w:t>4</w:t>
      </w:r>
      <w:bookmarkEnd w:id="109"/>
    </w:p>
    <w:p w14:paraId="79F0A812" w14:textId="07E4811A" w:rsidR="00C91736" w:rsidRDefault="00F90038" w:rsidP="00F90038">
      <w:pPr>
        <w:pStyle w:val="Tabletitle"/>
      </w:pPr>
      <w:bookmarkStart w:id="111" w:name="_Toc62205207"/>
      <w:r>
        <w:t>Table 4</w:t>
      </w:r>
      <w:r w:rsidR="00C91736">
        <w:tab/>
        <w:t xml:space="preserve">Categories </w:t>
      </w:r>
      <w:r w:rsidR="00B827E2">
        <w:t xml:space="preserve">or Levels </w:t>
      </w:r>
      <w:r w:rsidR="00C91736">
        <w:t xml:space="preserve">of teacher roles </w:t>
      </w:r>
      <w:r w:rsidR="00B827E2">
        <w:t xml:space="preserve">drawn from the capability </w:t>
      </w:r>
      <w:r w:rsidR="00C91736">
        <w:t>frameworks and standards</w:t>
      </w:r>
      <w:bookmarkEnd w:id="110"/>
      <w:r w:rsidR="00E45F00">
        <w:t xml:space="preserve"> </w:t>
      </w:r>
      <w:r w:rsidR="00B827E2">
        <w:t>examined in this study</w:t>
      </w:r>
      <w:bookmarkEnd w:id="111"/>
    </w:p>
    <w:tbl>
      <w:tblPr>
        <w:tblW w:w="14288" w:type="dxa"/>
        <w:tblCellMar>
          <w:top w:w="57" w:type="dxa"/>
        </w:tblCellMar>
        <w:tblLook w:val="04A0" w:firstRow="1" w:lastRow="0" w:firstColumn="1" w:lastColumn="0" w:noHBand="0" w:noVBand="1"/>
      </w:tblPr>
      <w:tblGrid>
        <w:gridCol w:w="4120"/>
        <w:gridCol w:w="2143"/>
        <w:gridCol w:w="2142"/>
        <w:gridCol w:w="2477"/>
        <w:gridCol w:w="1916"/>
        <w:gridCol w:w="1490"/>
      </w:tblGrid>
      <w:tr w:rsidR="00AA5762" w:rsidRPr="00130831" w14:paraId="48F424F3" w14:textId="77777777" w:rsidTr="007D61A6">
        <w:trPr>
          <w:trHeight w:val="454"/>
        </w:trPr>
        <w:tc>
          <w:tcPr>
            <w:tcW w:w="4120" w:type="dxa"/>
            <w:tcBorders>
              <w:top w:val="single" w:sz="8" w:space="0" w:color="auto"/>
              <w:left w:val="nil"/>
              <w:bottom w:val="single" w:sz="8" w:space="0" w:color="auto"/>
              <w:right w:val="nil"/>
            </w:tcBorders>
            <w:shd w:val="clear" w:color="auto" w:fill="auto"/>
            <w:tcMar>
              <w:top w:w="28" w:type="dxa"/>
            </w:tcMar>
            <w:vAlign w:val="center"/>
            <w:hideMark/>
          </w:tcPr>
          <w:p w14:paraId="206CB6FF" w14:textId="77777777" w:rsidR="00C91736" w:rsidRPr="00130831" w:rsidRDefault="00C91736" w:rsidP="000067CA">
            <w:pPr>
              <w:ind w:firstLineChars="100" w:firstLine="171"/>
              <w:rPr>
                <w:rFonts w:ascii="Arial" w:hAnsi="Arial" w:cs="Arial"/>
                <w:b/>
                <w:bCs/>
                <w:color w:val="000000"/>
                <w:sz w:val="17"/>
                <w:szCs w:val="17"/>
                <w:lang w:eastAsia="en-AU"/>
              </w:rPr>
            </w:pPr>
          </w:p>
        </w:tc>
        <w:tc>
          <w:tcPr>
            <w:tcW w:w="2143" w:type="dxa"/>
            <w:tcBorders>
              <w:top w:val="single" w:sz="8" w:space="0" w:color="auto"/>
              <w:left w:val="nil"/>
              <w:bottom w:val="single" w:sz="8" w:space="0" w:color="auto"/>
              <w:right w:val="nil"/>
            </w:tcBorders>
            <w:shd w:val="clear" w:color="auto" w:fill="auto"/>
            <w:tcMar>
              <w:top w:w="28" w:type="dxa"/>
            </w:tcMar>
            <w:vAlign w:val="center"/>
            <w:hideMark/>
          </w:tcPr>
          <w:p w14:paraId="05B5233E" w14:textId="77777777" w:rsidR="00C91736" w:rsidRPr="00130831" w:rsidRDefault="00C91736" w:rsidP="000067CA">
            <w:pPr>
              <w:rPr>
                <w:rFonts w:ascii="Arial" w:hAnsi="Arial" w:cs="Arial"/>
                <w:b/>
                <w:bCs/>
                <w:color w:val="000000"/>
                <w:sz w:val="17"/>
                <w:szCs w:val="17"/>
                <w:lang w:eastAsia="en-AU"/>
              </w:rPr>
            </w:pPr>
            <w:r w:rsidRPr="00130831">
              <w:rPr>
                <w:rFonts w:ascii="Arial" w:hAnsi="Arial" w:cs="Arial"/>
                <w:b/>
                <w:bCs/>
                <w:color w:val="000000"/>
                <w:sz w:val="17"/>
                <w:szCs w:val="17"/>
                <w:lang w:eastAsia="en-AU"/>
              </w:rPr>
              <w:t>Initial stages</w:t>
            </w:r>
          </w:p>
        </w:tc>
        <w:tc>
          <w:tcPr>
            <w:tcW w:w="2142" w:type="dxa"/>
            <w:tcBorders>
              <w:top w:val="single" w:sz="8" w:space="0" w:color="auto"/>
              <w:left w:val="nil"/>
              <w:bottom w:val="single" w:sz="8" w:space="0" w:color="auto"/>
              <w:right w:val="nil"/>
            </w:tcBorders>
            <w:shd w:val="clear" w:color="auto" w:fill="auto"/>
            <w:tcMar>
              <w:top w:w="28" w:type="dxa"/>
            </w:tcMar>
            <w:vAlign w:val="center"/>
            <w:hideMark/>
          </w:tcPr>
          <w:p w14:paraId="1115A365" w14:textId="77777777" w:rsidR="00C91736" w:rsidRPr="00130831" w:rsidRDefault="00C91736" w:rsidP="000067CA">
            <w:pPr>
              <w:rPr>
                <w:rFonts w:ascii="Arial" w:hAnsi="Arial" w:cs="Arial"/>
                <w:b/>
                <w:bCs/>
                <w:color w:val="000000"/>
                <w:sz w:val="17"/>
                <w:szCs w:val="17"/>
                <w:lang w:eastAsia="en-AU"/>
              </w:rPr>
            </w:pPr>
            <w:r w:rsidRPr="00130831">
              <w:rPr>
                <w:rFonts w:ascii="Arial" w:hAnsi="Arial" w:cs="Arial"/>
                <w:b/>
                <w:bCs/>
                <w:color w:val="000000"/>
                <w:sz w:val="17"/>
                <w:szCs w:val="17"/>
                <w:lang w:eastAsia="en-AU"/>
              </w:rPr>
              <w:t>Proficient stages</w:t>
            </w:r>
          </w:p>
        </w:tc>
        <w:tc>
          <w:tcPr>
            <w:tcW w:w="2477" w:type="dxa"/>
            <w:tcBorders>
              <w:top w:val="single" w:sz="8" w:space="0" w:color="auto"/>
              <w:left w:val="nil"/>
              <w:bottom w:val="single" w:sz="8" w:space="0" w:color="auto"/>
              <w:right w:val="nil"/>
            </w:tcBorders>
            <w:shd w:val="clear" w:color="auto" w:fill="auto"/>
            <w:tcMar>
              <w:top w:w="28" w:type="dxa"/>
            </w:tcMar>
            <w:vAlign w:val="center"/>
            <w:hideMark/>
          </w:tcPr>
          <w:p w14:paraId="062A1111" w14:textId="77777777" w:rsidR="00C91736" w:rsidRPr="00130831" w:rsidRDefault="00C91736" w:rsidP="000067CA">
            <w:pPr>
              <w:rPr>
                <w:rFonts w:ascii="Arial" w:hAnsi="Arial" w:cs="Arial"/>
                <w:b/>
                <w:bCs/>
                <w:color w:val="000000"/>
                <w:sz w:val="17"/>
                <w:szCs w:val="17"/>
                <w:lang w:eastAsia="en-AU"/>
              </w:rPr>
            </w:pPr>
            <w:r w:rsidRPr="00130831">
              <w:rPr>
                <w:rFonts w:ascii="Arial" w:hAnsi="Arial" w:cs="Arial"/>
                <w:b/>
                <w:bCs/>
                <w:color w:val="000000"/>
                <w:sz w:val="17"/>
                <w:szCs w:val="17"/>
                <w:lang w:eastAsia="en-AU"/>
              </w:rPr>
              <w:t>Advanced stages</w:t>
            </w:r>
          </w:p>
        </w:tc>
        <w:tc>
          <w:tcPr>
            <w:tcW w:w="3406" w:type="dxa"/>
            <w:gridSpan w:val="2"/>
            <w:tcBorders>
              <w:top w:val="single" w:sz="8" w:space="0" w:color="auto"/>
              <w:left w:val="nil"/>
              <w:bottom w:val="single" w:sz="8" w:space="0" w:color="auto"/>
              <w:right w:val="nil"/>
            </w:tcBorders>
            <w:shd w:val="clear" w:color="auto" w:fill="auto"/>
            <w:tcMar>
              <w:top w:w="28" w:type="dxa"/>
            </w:tcMar>
            <w:vAlign w:val="center"/>
            <w:hideMark/>
          </w:tcPr>
          <w:p w14:paraId="16DD7592" w14:textId="77777777" w:rsidR="00C91736" w:rsidRPr="00130831" w:rsidRDefault="00C91736" w:rsidP="000067CA">
            <w:pPr>
              <w:rPr>
                <w:rFonts w:ascii="Arial" w:hAnsi="Arial" w:cs="Arial"/>
                <w:b/>
                <w:bCs/>
                <w:color w:val="000000"/>
                <w:sz w:val="17"/>
                <w:szCs w:val="17"/>
                <w:lang w:eastAsia="en-AU"/>
              </w:rPr>
            </w:pPr>
            <w:r w:rsidRPr="00130831">
              <w:rPr>
                <w:rFonts w:ascii="Arial" w:hAnsi="Arial" w:cs="Arial"/>
                <w:b/>
                <w:bCs/>
                <w:color w:val="000000"/>
                <w:sz w:val="17"/>
                <w:szCs w:val="17"/>
                <w:lang w:eastAsia="en-AU"/>
              </w:rPr>
              <w:t>Leadership and management stages</w:t>
            </w:r>
          </w:p>
        </w:tc>
      </w:tr>
      <w:tr w:rsidR="00AA5762" w:rsidRPr="00130831" w14:paraId="7536D364" w14:textId="77777777" w:rsidTr="007D61A6">
        <w:trPr>
          <w:trHeight w:val="454"/>
        </w:trPr>
        <w:tc>
          <w:tcPr>
            <w:tcW w:w="4120" w:type="dxa"/>
            <w:tcBorders>
              <w:top w:val="single" w:sz="8" w:space="0" w:color="auto"/>
              <w:left w:val="nil"/>
              <w:bottom w:val="single" w:sz="4" w:space="0" w:color="auto"/>
              <w:right w:val="nil"/>
            </w:tcBorders>
            <w:shd w:val="clear" w:color="auto" w:fill="95B3D7" w:themeFill="accent1" w:themeFillTint="99"/>
            <w:vAlign w:val="center"/>
            <w:hideMark/>
          </w:tcPr>
          <w:p w14:paraId="593A5FFC" w14:textId="77777777" w:rsidR="00C91736" w:rsidRPr="00D02571" w:rsidRDefault="00C91736" w:rsidP="00AA5762">
            <w:pPr>
              <w:pStyle w:val="Tablehead1"/>
              <w:spacing w:before="100" w:beforeAutospacing="1"/>
            </w:pPr>
            <w:r w:rsidRPr="00D02571">
              <w:t>Australian Professional Standards for Teaching</w:t>
            </w:r>
          </w:p>
        </w:tc>
        <w:tc>
          <w:tcPr>
            <w:tcW w:w="2143" w:type="dxa"/>
            <w:tcBorders>
              <w:top w:val="single" w:sz="8" w:space="0" w:color="auto"/>
              <w:left w:val="nil"/>
              <w:bottom w:val="single" w:sz="4" w:space="0" w:color="auto"/>
              <w:right w:val="nil"/>
            </w:tcBorders>
            <w:shd w:val="clear" w:color="auto" w:fill="DBE5F1" w:themeFill="accent1" w:themeFillTint="33"/>
            <w:vAlign w:val="center"/>
            <w:hideMark/>
          </w:tcPr>
          <w:p w14:paraId="2F811AFE" w14:textId="77777777" w:rsidR="00C91736" w:rsidRPr="00AE079F" w:rsidRDefault="00C91736" w:rsidP="005066FE">
            <w:pPr>
              <w:pStyle w:val="Tabletext"/>
            </w:pPr>
            <w:r w:rsidRPr="00AE079F">
              <w:t>Graduate</w:t>
            </w:r>
          </w:p>
        </w:tc>
        <w:tc>
          <w:tcPr>
            <w:tcW w:w="2142" w:type="dxa"/>
            <w:tcBorders>
              <w:top w:val="single" w:sz="8" w:space="0" w:color="auto"/>
              <w:left w:val="nil"/>
              <w:bottom w:val="single" w:sz="4" w:space="0" w:color="auto"/>
              <w:right w:val="nil"/>
            </w:tcBorders>
            <w:shd w:val="clear" w:color="auto" w:fill="B8CCE4" w:themeFill="accent1" w:themeFillTint="66"/>
            <w:vAlign w:val="center"/>
            <w:hideMark/>
          </w:tcPr>
          <w:p w14:paraId="06F550F4" w14:textId="77777777" w:rsidR="00C91736" w:rsidRPr="00AE079F" w:rsidRDefault="00C91736" w:rsidP="005066FE">
            <w:pPr>
              <w:pStyle w:val="Tabletext"/>
            </w:pPr>
            <w:r w:rsidRPr="00AE079F">
              <w:t>Proficient teachers</w:t>
            </w:r>
          </w:p>
        </w:tc>
        <w:tc>
          <w:tcPr>
            <w:tcW w:w="2477" w:type="dxa"/>
            <w:tcBorders>
              <w:top w:val="single" w:sz="8" w:space="0" w:color="auto"/>
              <w:left w:val="nil"/>
              <w:bottom w:val="single" w:sz="4" w:space="0" w:color="auto"/>
              <w:right w:val="nil"/>
            </w:tcBorders>
            <w:shd w:val="clear" w:color="auto" w:fill="95B3D7" w:themeFill="accent1" w:themeFillTint="99"/>
            <w:vAlign w:val="center"/>
            <w:hideMark/>
          </w:tcPr>
          <w:p w14:paraId="0C2F497B" w14:textId="77777777" w:rsidR="00C91736" w:rsidRPr="00AE079F" w:rsidRDefault="00C91736" w:rsidP="005066FE">
            <w:pPr>
              <w:pStyle w:val="Tabletext"/>
            </w:pPr>
            <w:r w:rsidRPr="00AE079F">
              <w:t>Highly accomplished teachers</w:t>
            </w:r>
          </w:p>
        </w:tc>
        <w:tc>
          <w:tcPr>
            <w:tcW w:w="1916" w:type="dxa"/>
            <w:tcBorders>
              <w:top w:val="single" w:sz="8" w:space="0" w:color="auto"/>
              <w:left w:val="nil"/>
              <w:bottom w:val="single" w:sz="4" w:space="0" w:color="auto"/>
              <w:right w:val="nil"/>
            </w:tcBorders>
            <w:shd w:val="clear" w:color="auto" w:fill="4F81BD" w:themeFill="accent1"/>
            <w:vAlign w:val="center"/>
            <w:hideMark/>
          </w:tcPr>
          <w:p w14:paraId="0D22A6F0" w14:textId="77777777" w:rsidR="00C91736" w:rsidRPr="00CA369A" w:rsidRDefault="00C91736" w:rsidP="005066FE">
            <w:pPr>
              <w:pStyle w:val="Tabletext"/>
              <w:rPr>
                <w:spacing w:val="4"/>
              </w:rPr>
            </w:pPr>
            <w:r w:rsidRPr="00CA369A">
              <w:rPr>
                <w:spacing w:val="4"/>
              </w:rPr>
              <w:t>Lead teachers</w:t>
            </w:r>
          </w:p>
        </w:tc>
        <w:tc>
          <w:tcPr>
            <w:tcW w:w="1490" w:type="dxa"/>
            <w:tcBorders>
              <w:top w:val="single" w:sz="8" w:space="0" w:color="auto"/>
              <w:left w:val="nil"/>
              <w:bottom w:val="single" w:sz="4" w:space="0" w:color="auto"/>
              <w:right w:val="nil"/>
            </w:tcBorders>
            <w:shd w:val="clear" w:color="auto" w:fill="auto"/>
            <w:vAlign w:val="center"/>
            <w:hideMark/>
          </w:tcPr>
          <w:p w14:paraId="056B01F5" w14:textId="77777777" w:rsidR="00C91736" w:rsidRPr="00130831" w:rsidRDefault="00C91736" w:rsidP="005066FE">
            <w:pPr>
              <w:pStyle w:val="Tabletext"/>
              <w:rPr>
                <w:color w:val="000000"/>
              </w:rPr>
            </w:pPr>
            <w:r w:rsidRPr="00130831">
              <w:rPr>
                <w:color w:val="000000"/>
              </w:rPr>
              <w:t> </w:t>
            </w:r>
          </w:p>
        </w:tc>
      </w:tr>
      <w:tr w:rsidR="00AA5762" w:rsidRPr="00130831" w14:paraId="36A0292D" w14:textId="77777777" w:rsidTr="00AF1CCA">
        <w:trPr>
          <w:trHeight w:val="454"/>
        </w:trPr>
        <w:tc>
          <w:tcPr>
            <w:tcW w:w="4120" w:type="dxa"/>
            <w:tcBorders>
              <w:top w:val="nil"/>
              <w:left w:val="nil"/>
              <w:bottom w:val="single" w:sz="4" w:space="0" w:color="auto"/>
              <w:right w:val="nil"/>
            </w:tcBorders>
            <w:shd w:val="clear" w:color="auto" w:fill="auto"/>
            <w:vAlign w:val="center"/>
            <w:hideMark/>
          </w:tcPr>
          <w:p w14:paraId="535896CB" w14:textId="77777777" w:rsidR="00C91736" w:rsidRPr="00D02571" w:rsidRDefault="00C91736" w:rsidP="00AA5762">
            <w:pPr>
              <w:pStyle w:val="Tablehead1"/>
              <w:spacing w:before="100" w:beforeAutospacing="1"/>
            </w:pPr>
            <w:r w:rsidRPr="00D02571">
              <w:t>TAFENSW Professional Standards for Teachers</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089DC024" w14:textId="77777777" w:rsidR="00C91736" w:rsidRPr="00130831" w:rsidRDefault="00C91736" w:rsidP="005066FE">
            <w:pPr>
              <w:pStyle w:val="Tabletext"/>
              <w:rPr>
                <w:color w:val="000000"/>
              </w:rPr>
            </w:pPr>
            <w:r w:rsidRPr="00130831">
              <w:rPr>
                <w:color w:val="000000"/>
              </w:rPr>
              <w:t xml:space="preserve">Transitioning </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26E0E91D" w14:textId="77777777" w:rsidR="00C91736" w:rsidRPr="00130831" w:rsidRDefault="00C91736" w:rsidP="005066FE">
            <w:pPr>
              <w:pStyle w:val="Tabletext"/>
              <w:rPr>
                <w:color w:val="000000"/>
              </w:rPr>
            </w:pPr>
            <w:r w:rsidRPr="00130831">
              <w:rPr>
                <w:color w:val="000000"/>
              </w:rPr>
              <w:t>Proficient teachers</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1D5BD4AE" w14:textId="77777777" w:rsidR="00C91736" w:rsidRPr="00130831" w:rsidRDefault="00C91736" w:rsidP="005066FE">
            <w:pPr>
              <w:pStyle w:val="Tabletext"/>
              <w:rPr>
                <w:color w:val="000000"/>
              </w:rPr>
            </w:pPr>
            <w:r w:rsidRPr="00130831">
              <w:rPr>
                <w:color w:val="000000"/>
              </w:rPr>
              <w:t>Highly accomplished teachers</w:t>
            </w:r>
          </w:p>
        </w:tc>
        <w:tc>
          <w:tcPr>
            <w:tcW w:w="1916" w:type="dxa"/>
            <w:tcBorders>
              <w:top w:val="single" w:sz="4" w:space="0" w:color="auto"/>
              <w:left w:val="nil"/>
              <w:bottom w:val="single" w:sz="4" w:space="0" w:color="auto"/>
              <w:right w:val="nil"/>
            </w:tcBorders>
            <w:shd w:val="clear" w:color="auto" w:fill="A6A6A6" w:themeFill="background1" w:themeFillShade="A6"/>
            <w:vAlign w:val="center"/>
            <w:hideMark/>
          </w:tcPr>
          <w:p w14:paraId="66FAD433" w14:textId="77777777" w:rsidR="00C91736" w:rsidRPr="00130831" w:rsidRDefault="00C91736" w:rsidP="005066FE">
            <w:pPr>
              <w:pStyle w:val="Tabletext"/>
              <w:rPr>
                <w:color w:val="000000"/>
              </w:rPr>
            </w:pPr>
            <w:r w:rsidRPr="00130831">
              <w:rPr>
                <w:color w:val="000000"/>
              </w:rPr>
              <w:t>Lead teachers</w:t>
            </w:r>
          </w:p>
        </w:tc>
        <w:tc>
          <w:tcPr>
            <w:tcW w:w="1490" w:type="dxa"/>
            <w:tcBorders>
              <w:top w:val="nil"/>
              <w:left w:val="nil"/>
              <w:bottom w:val="single" w:sz="4" w:space="0" w:color="auto"/>
              <w:right w:val="nil"/>
            </w:tcBorders>
            <w:shd w:val="clear" w:color="auto" w:fill="auto"/>
            <w:vAlign w:val="center"/>
            <w:hideMark/>
          </w:tcPr>
          <w:p w14:paraId="3FABA32F" w14:textId="77777777" w:rsidR="00C91736" w:rsidRPr="00130831" w:rsidRDefault="00C91736" w:rsidP="005066FE">
            <w:pPr>
              <w:pStyle w:val="Tabletext"/>
              <w:rPr>
                <w:color w:val="000000"/>
              </w:rPr>
            </w:pPr>
            <w:r w:rsidRPr="00130831">
              <w:rPr>
                <w:color w:val="000000"/>
              </w:rPr>
              <w:t> </w:t>
            </w:r>
          </w:p>
        </w:tc>
      </w:tr>
      <w:tr w:rsidR="00AA5762" w:rsidRPr="00130831" w14:paraId="12863D25" w14:textId="77777777" w:rsidTr="00923EB5">
        <w:trPr>
          <w:trHeight w:val="624"/>
        </w:trPr>
        <w:tc>
          <w:tcPr>
            <w:tcW w:w="4120" w:type="dxa"/>
            <w:tcBorders>
              <w:top w:val="nil"/>
              <w:left w:val="nil"/>
              <w:bottom w:val="single" w:sz="4" w:space="0" w:color="auto"/>
              <w:right w:val="nil"/>
            </w:tcBorders>
            <w:shd w:val="clear" w:color="auto" w:fill="auto"/>
            <w:vAlign w:val="center"/>
            <w:hideMark/>
          </w:tcPr>
          <w:p w14:paraId="39587ACA" w14:textId="77777777" w:rsidR="00C91736" w:rsidRPr="00D02571" w:rsidRDefault="00C91736" w:rsidP="00AA5762">
            <w:pPr>
              <w:pStyle w:val="Tablehead1"/>
              <w:spacing w:before="100" w:beforeAutospacing="1"/>
            </w:pPr>
            <w:r w:rsidRPr="00D02571">
              <w:t>Innovation and Business Skills Australia (IBSA) VET Practitioner Capability Framework</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126B7040" w14:textId="77777777" w:rsidR="00C91736" w:rsidRPr="00130831" w:rsidRDefault="00C91736" w:rsidP="005066FE">
            <w:pPr>
              <w:pStyle w:val="Tabletext"/>
              <w:rPr>
                <w:color w:val="000000"/>
              </w:rPr>
            </w:pPr>
            <w:r w:rsidRPr="00130831">
              <w:rPr>
                <w:color w:val="000000"/>
              </w:rPr>
              <w:t>First-level practitioner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3EBE0B0F" w14:textId="77777777" w:rsidR="00C91736" w:rsidRPr="00130831" w:rsidRDefault="00C91736" w:rsidP="005066FE">
            <w:pPr>
              <w:pStyle w:val="Tabletext"/>
              <w:rPr>
                <w:color w:val="000000"/>
              </w:rPr>
            </w:pPr>
            <w:r w:rsidRPr="00130831">
              <w:rPr>
                <w:color w:val="000000"/>
              </w:rPr>
              <w:t>Second-level practitioner</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1BBB270D" w14:textId="77777777" w:rsidR="00C91736" w:rsidRPr="00130831" w:rsidRDefault="00C91736" w:rsidP="005066FE">
            <w:pPr>
              <w:pStyle w:val="Tabletext"/>
              <w:rPr>
                <w:color w:val="000000"/>
              </w:rPr>
            </w:pPr>
            <w:r w:rsidRPr="00130831">
              <w:rPr>
                <w:color w:val="000000"/>
              </w:rPr>
              <w:t>Third-level practitioner</w:t>
            </w:r>
          </w:p>
        </w:tc>
        <w:tc>
          <w:tcPr>
            <w:tcW w:w="1916" w:type="dxa"/>
            <w:tcBorders>
              <w:top w:val="nil"/>
              <w:left w:val="nil"/>
              <w:bottom w:val="single" w:sz="4" w:space="0" w:color="auto"/>
              <w:right w:val="nil"/>
            </w:tcBorders>
            <w:shd w:val="clear" w:color="auto" w:fill="auto"/>
            <w:vAlign w:val="center"/>
            <w:hideMark/>
          </w:tcPr>
          <w:p w14:paraId="75D5E713" w14:textId="77777777" w:rsidR="00C91736" w:rsidRPr="00130831" w:rsidRDefault="00C91736" w:rsidP="005066FE">
            <w:pPr>
              <w:pStyle w:val="Tabletext"/>
              <w:rPr>
                <w:color w:val="000000"/>
              </w:rPr>
            </w:pPr>
            <w:r w:rsidRPr="00130831">
              <w:rPr>
                <w:color w:val="000000"/>
              </w:rPr>
              <w:t> </w:t>
            </w:r>
          </w:p>
        </w:tc>
        <w:tc>
          <w:tcPr>
            <w:tcW w:w="1490" w:type="dxa"/>
            <w:tcBorders>
              <w:top w:val="nil"/>
              <w:left w:val="nil"/>
              <w:bottom w:val="single" w:sz="4" w:space="0" w:color="auto"/>
              <w:right w:val="nil"/>
            </w:tcBorders>
            <w:shd w:val="clear" w:color="auto" w:fill="auto"/>
            <w:vAlign w:val="center"/>
            <w:hideMark/>
          </w:tcPr>
          <w:p w14:paraId="2A0EBD70" w14:textId="77777777" w:rsidR="00C91736" w:rsidRPr="00130831" w:rsidRDefault="00C91736" w:rsidP="005066FE">
            <w:pPr>
              <w:pStyle w:val="Tabletext"/>
              <w:rPr>
                <w:color w:val="000000"/>
              </w:rPr>
            </w:pPr>
            <w:r w:rsidRPr="00130831">
              <w:rPr>
                <w:color w:val="000000"/>
              </w:rPr>
              <w:t> </w:t>
            </w:r>
          </w:p>
        </w:tc>
      </w:tr>
      <w:tr w:rsidR="00AA5762" w:rsidRPr="00130831" w14:paraId="67015751" w14:textId="77777777" w:rsidTr="00923EB5">
        <w:trPr>
          <w:trHeight w:val="624"/>
        </w:trPr>
        <w:tc>
          <w:tcPr>
            <w:tcW w:w="4120" w:type="dxa"/>
            <w:tcBorders>
              <w:top w:val="single" w:sz="4" w:space="0" w:color="auto"/>
              <w:left w:val="nil"/>
              <w:bottom w:val="single" w:sz="4" w:space="0" w:color="auto"/>
              <w:right w:val="nil"/>
            </w:tcBorders>
            <w:shd w:val="clear" w:color="auto" w:fill="D99594" w:themeFill="accent2" w:themeFillTint="99"/>
            <w:vAlign w:val="center"/>
            <w:hideMark/>
          </w:tcPr>
          <w:p w14:paraId="42E4648C" w14:textId="77777777" w:rsidR="00C91736" w:rsidRPr="00D02571" w:rsidRDefault="00C91736" w:rsidP="00AA5762">
            <w:pPr>
              <w:pStyle w:val="Tablehead1"/>
              <w:spacing w:before="100" w:beforeAutospacing="1"/>
            </w:pPr>
            <w:r w:rsidRPr="00D02571">
              <w:t xml:space="preserve">Griffith University Learning and Teaching Capabilities Framework </w:t>
            </w:r>
          </w:p>
        </w:tc>
        <w:tc>
          <w:tcPr>
            <w:tcW w:w="2143" w:type="dxa"/>
            <w:tcBorders>
              <w:top w:val="single" w:sz="4" w:space="0" w:color="auto"/>
              <w:left w:val="nil"/>
              <w:bottom w:val="single" w:sz="4" w:space="0" w:color="auto"/>
              <w:right w:val="nil"/>
            </w:tcBorders>
            <w:shd w:val="clear" w:color="auto" w:fill="F2DBDB" w:themeFill="accent2" w:themeFillTint="33"/>
            <w:vAlign w:val="center"/>
            <w:hideMark/>
          </w:tcPr>
          <w:p w14:paraId="4EF219DD" w14:textId="77777777" w:rsidR="00C91736" w:rsidRPr="00E230E8" w:rsidRDefault="00C91736" w:rsidP="005066FE">
            <w:pPr>
              <w:pStyle w:val="Tabletext"/>
              <w:rPr>
                <w:color w:val="000000" w:themeColor="text1"/>
              </w:rPr>
            </w:pPr>
            <w:r w:rsidRPr="00E230E8">
              <w:rPr>
                <w:color w:val="000000" w:themeColor="text1"/>
              </w:rPr>
              <w:t>Educator</w:t>
            </w:r>
          </w:p>
        </w:tc>
        <w:tc>
          <w:tcPr>
            <w:tcW w:w="2142" w:type="dxa"/>
            <w:tcBorders>
              <w:top w:val="single" w:sz="4" w:space="0" w:color="auto"/>
              <w:left w:val="nil"/>
              <w:bottom w:val="single" w:sz="4" w:space="0" w:color="auto"/>
              <w:right w:val="nil"/>
            </w:tcBorders>
            <w:shd w:val="clear" w:color="auto" w:fill="E5B8B7" w:themeFill="accent2" w:themeFillTint="66"/>
            <w:vAlign w:val="center"/>
            <w:hideMark/>
          </w:tcPr>
          <w:p w14:paraId="38D7064E" w14:textId="77777777" w:rsidR="00C91736" w:rsidRPr="00E230E8" w:rsidRDefault="00C91736" w:rsidP="005066FE">
            <w:pPr>
              <w:pStyle w:val="Tabletext"/>
              <w:rPr>
                <w:color w:val="000000" w:themeColor="text1"/>
              </w:rPr>
            </w:pPr>
            <w:r w:rsidRPr="00E230E8">
              <w:rPr>
                <w:color w:val="000000" w:themeColor="text1"/>
              </w:rPr>
              <w:t>Course convenor</w:t>
            </w:r>
          </w:p>
        </w:tc>
        <w:tc>
          <w:tcPr>
            <w:tcW w:w="2477" w:type="dxa"/>
            <w:tcBorders>
              <w:top w:val="single" w:sz="4" w:space="0" w:color="auto"/>
              <w:left w:val="nil"/>
              <w:bottom w:val="single" w:sz="4" w:space="0" w:color="auto"/>
              <w:right w:val="nil"/>
            </w:tcBorders>
            <w:shd w:val="clear" w:color="auto" w:fill="D99594" w:themeFill="accent2" w:themeFillTint="99"/>
            <w:vAlign w:val="center"/>
            <w:hideMark/>
          </w:tcPr>
          <w:p w14:paraId="2C19C211" w14:textId="77777777" w:rsidR="00C91736" w:rsidRPr="00E230E8" w:rsidRDefault="00C91736" w:rsidP="005066FE">
            <w:pPr>
              <w:pStyle w:val="Tabletext"/>
              <w:rPr>
                <w:color w:val="000000" w:themeColor="text1"/>
              </w:rPr>
            </w:pPr>
            <w:r w:rsidRPr="00E230E8">
              <w:rPr>
                <w:color w:val="000000" w:themeColor="text1"/>
              </w:rPr>
              <w:t>Program director</w:t>
            </w:r>
          </w:p>
        </w:tc>
        <w:tc>
          <w:tcPr>
            <w:tcW w:w="1916" w:type="dxa"/>
            <w:tcBorders>
              <w:top w:val="single" w:sz="4" w:space="0" w:color="auto"/>
              <w:left w:val="nil"/>
              <w:bottom w:val="single" w:sz="4" w:space="0" w:color="auto"/>
              <w:right w:val="nil"/>
            </w:tcBorders>
            <w:shd w:val="clear" w:color="auto" w:fill="auto"/>
            <w:vAlign w:val="center"/>
            <w:hideMark/>
          </w:tcPr>
          <w:p w14:paraId="7336D6F2" w14:textId="77777777" w:rsidR="00C91736" w:rsidRPr="00130831" w:rsidRDefault="00C91736" w:rsidP="005066FE">
            <w:pPr>
              <w:pStyle w:val="Tabletext"/>
              <w:rPr>
                <w:color w:val="000000"/>
              </w:rPr>
            </w:pPr>
            <w:r w:rsidRPr="00130831">
              <w:rPr>
                <w:color w:val="000000"/>
              </w:rPr>
              <w:t> </w:t>
            </w:r>
          </w:p>
        </w:tc>
        <w:tc>
          <w:tcPr>
            <w:tcW w:w="1490" w:type="dxa"/>
            <w:tcBorders>
              <w:top w:val="single" w:sz="4" w:space="0" w:color="auto"/>
              <w:left w:val="nil"/>
              <w:bottom w:val="single" w:sz="4" w:space="0" w:color="auto"/>
              <w:right w:val="nil"/>
            </w:tcBorders>
            <w:shd w:val="clear" w:color="auto" w:fill="auto"/>
            <w:vAlign w:val="center"/>
            <w:hideMark/>
          </w:tcPr>
          <w:p w14:paraId="19E0FAC7" w14:textId="77777777" w:rsidR="00C91736" w:rsidRPr="00130831" w:rsidRDefault="00C91736" w:rsidP="005066FE">
            <w:pPr>
              <w:pStyle w:val="Tabletext"/>
              <w:rPr>
                <w:color w:val="000000"/>
              </w:rPr>
            </w:pPr>
            <w:r w:rsidRPr="00130831">
              <w:rPr>
                <w:color w:val="000000"/>
              </w:rPr>
              <w:t> </w:t>
            </w:r>
          </w:p>
        </w:tc>
      </w:tr>
      <w:tr w:rsidR="00AA5762" w:rsidRPr="00130831" w14:paraId="6AE27E2C" w14:textId="77777777" w:rsidTr="00CA369A">
        <w:trPr>
          <w:trHeight w:val="454"/>
        </w:trPr>
        <w:tc>
          <w:tcPr>
            <w:tcW w:w="4120" w:type="dxa"/>
            <w:tcBorders>
              <w:top w:val="single" w:sz="4" w:space="0" w:color="auto"/>
              <w:left w:val="nil"/>
              <w:bottom w:val="single" w:sz="4" w:space="0" w:color="auto"/>
              <w:right w:val="nil"/>
            </w:tcBorders>
            <w:shd w:val="clear" w:color="auto" w:fill="95B3D7" w:themeFill="accent1" w:themeFillTint="99"/>
            <w:vAlign w:val="center"/>
            <w:hideMark/>
          </w:tcPr>
          <w:p w14:paraId="397FB304" w14:textId="77777777" w:rsidR="00C91736" w:rsidRPr="00D02571" w:rsidRDefault="00C91736" w:rsidP="00AA5762">
            <w:pPr>
              <w:pStyle w:val="Tablehead1"/>
              <w:spacing w:before="100" w:beforeAutospacing="1"/>
            </w:pPr>
            <w:r w:rsidRPr="00D02571">
              <w:t>Danielson's Framework for Teaching</w:t>
            </w:r>
          </w:p>
        </w:tc>
        <w:tc>
          <w:tcPr>
            <w:tcW w:w="2143" w:type="dxa"/>
            <w:tcBorders>
              <w:top w:val="single" w:sz="4" w:space="0" w:color="auto"/>
              <w:left w:val="nil"/>
              <w:bottom w:val="single" w:sz="4" w:space="0" w:color="auto"/>
              <w:right w:val="nil"/>
            </w:tcBorders>
            <w:shd w:val="clear" w:color="auto" w:fill="DBE5F1" w:themeFill="accent1" w:themeFillTint="33"/>
            <w:vAlign w:val="center"/>
            <w:hideMark/>
          </w:tcPr>
          <w:p w14:paraId="73036C34" w14:textId="77777777" w:rsidR="00C91736" w:rsidRPr="00AE079F" w:rsidRDefault="00C91736" w:rsidP="005066FE">
            <w:pPr>
              <w:pStyle w:val="Tabletext"/>
            </w:pPr>
            <w:r w:rsidRPr="00AE079F">
              <w:t>Non-tenured teachers</w:t>
            </w:r>
          </w:p>
        </w:tc>
        <w:tc>
          <w:tcPr>
            <w:tcW w:w="2142" w:type="dxa"/>
            <w:tcBorders>
              <w:top w:val="single" w:sz="4" w:space="0" w:color="auto"/>
              <w:left w:val="nil"/>
              <w:bottom w:val="single" w:sz="4" w:space="0" w:color="auto"/>
              <w:right w:val="nil"/>
            </w:tcBorders>
            <w:shd w:val="clear" w:color="auto" w:fill="B8CCE4" w:themeFill="accent1" w:themeFillTint="66"/>
            <w:vAlign w:val="center"/>
            <w:hideMark/>
          </w:tcPr>
          <w:p w14:paraId="655AF93B" w14:textId="77777777" w:rsidR="00C91736" w:rsidRPr="00AE079F" w:rsidRDefault="00C91736" w:rsidP="005066FE">
            <w:pPr>
              <w:pStyle w:val="Tabletext"/>
            </w:pPr>
            <w:r w:rsidRPr="00AE079F">
              <w:t>Tenured teachers</w:t>
            </w:r>
          </w:p>
        </w:tc>
        <w:tc>
          <w:tcPr>
            <w:tcW w:w="2477" w:type="dxa"/>
            <w:tcBorders>
              <w:top w:val="nil"/>
              <w:left w:val="nil"/>
              <w:bottom w:val="single" w:sz="4" w:space="0" w:color="auto"/>
              <w:right w:val="nil"/>
            </w:tcBorders>
            <w:shd w:val="clear" w:color="auto" w:fill="auto"/>
            <w:vAlign w:val="center"/>
            <w:hideMark/>
          </w:tcPr>
          <w:p w14:paraId="6E182D77" w14:textId="77777777" w:rsidR="00C91736" w:rsidRPr="00130831" w:rsidRDefault="00C91736" w:rsidP="005066FE">
            <w:pPr>
              <w:pStyle w:val="Tabletext"/>
              <w:rPr>
                <w:color w:val="000000"/>
              </w:rPr>
            </w:pPr>
            <w:r w:rsidRPr="00130831">
              <w:rPr>
                <w:color w:val="000000"/>
              </w:rPr>
              <w:t> </w:t>
            </w:r>
          </w:p>
        </w:tc>
        <w:tc>
          <w:tcPr>
            <w:tcW w:w="1916" w:type="dxa"/>
            <w:tcBorders>
              <w:top w:val="nil"/>
              <w:left w:val="nil"/>
              <w:bottom w:val="single" w:sz="4" w:space="0" w:color="auto"/>
              <w:right w:val="nil"/>
            </w:tcBorders>
            <w:shd w:val="clear" w:color="auto" w:fill="auto"/>
            <w:vAlign w:val="center"/>
            <w:hideMark/>
          </w:tcPr>
          <w:p w14:paraId="309510B0" w14:textId="77777777" w:rsidR="00C91736" w:rsidRPr="00130831" w:rsidRDefault="00C91736" w:rsidP="005066FE">
            <w:pPr>
              <w:pStyle w:val="Tabletext"/>
              <w:rPr>
                <w:color w:val="000000"/>
              </w:rPr>
            </w:pPr>
            <w:r w:rsidRPr="00130831">
              <w:rPr>
                <w:color w:val="000000"/>
              </w:rPr>
              <w:t> </w:t>
            </w:r>
          </w:p>
        </w:tc>
        <w:tc>
          <w:tcPr>
            <w:tcW w:w="1490" w:type="dxa"/>
            <w:tcBorders>
              <w:top w:val="nil"/>
              <w:left w:val="nil"/>
              <w:bottom w:val="single" w:sz="4" w:space="0" w:color="auto"/>
              <w:right w:val="nil"/>
            </w:tcBorders>
            <w:shd w:val="clear" w:color="auto" w:fill="auto"/>
            <w:vAlign w:val="center"/>
            <w:hideMark/>
          </w:tcPr>
          <w:p w14:paraId="61ADFD7D" w14:textId="77777777" w:rsidR="00C91736" w:rsidRPr="00130831" w:rsidRDefault="00C91736" w:rsidP="005066FE">
            <w:pPr>
              <w:pStyle w:val="Tabletext"/>
              <w:rPr>
                <w:color w:val="000000"/>
              </w:rPr>
            </w:pPr>
            <w:r w:rsidRPr="00130831">
              <w:rPr>
                <w:color w:val="000000"/>
              </w:rPr>
              <w:t> </w:t>
            </w:r>
          </w:p>
        </w:tc>
      </w:tr>
      <w:tr w:rsidR="00AA5762" w:rsidRPr="00130831" w14:paraId="60D0DEB6" w14:textId="77777777" w:rsidTr="00AF1CCA">
        <w:trPr>
          <w:trHeight w:val="454"/>
        </w:trPr>
        <w:tc>
          <w:tcPr>
            <w:tcW w:w="4120" w:type="dxa"/>
            <w:tcBorders>
              <w:top w:val="nil"/>
              <w:left w:val="nil"/>
              <w:bottom w:val="single" w:sz="4" w:space="0" w:color="auto"/>
              <w:right w:val="nil"/>
            </w:tcBorders>
            <w:shd w:val="clear" w:color="auto" w:fill="auto"/>
            <w:vAlign w:val="center"/>
            <w:hideMark/>
          </w:tcPr>
          <w:p w14:paraId="0E0F4F0E" w14:textId="77777777" w:rsidR="00C91736" w:rsidRPr="00D02571" w:rsidRDefault="00C91736" w:rsidP="00AA5762">
            <w:pPr>
              <w:pStyle w:val="Tablehead1"/>
              <w:spacing w:before="100" w:beforeAutospacing="1"/>
            </w:pPr>
            <w:r w:rsidRPr="00D02571">
              <w:t>TAFESA VET Educator Capability Framework</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7C58834E" w14:textId="77777777" w:rsidR="00C91736" w:rsidRPr="00130831" w:rsidRDefault="00C91736" w:rsidP="005066FE">
            <w:pPr>
              <w:pStyle w:val="Tabletext"/>
              <w:rPr>
                <w:color w:val="000000"/>
              </w:rPr>
            </w:pPr>
            <w:r w:rsidRPr="00130831">
              <w:rPr>
                <w:color w:val="000000"/>
              </w:rPr>
              <w:t>New lecturer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6AB24284" w14:textId="77777777" w:rsidR="00C91736" w:rsidRPr="00130831" w:rsidRDefault="00C91736" w:rsidP="005066FE">
            <w:pPr>
              <w:pStyle w:val="Tabletext"/>
              <w:rPr>
                <w:color w:val="000000"/>
              </w:rPr>
            </w:pPr>
            <w:r w:rsidRPr="00130831">
              <w:rPr>
                <w:color w:val="000000"/>
              </w:rPr>
              <w:t>Lecturer</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53AEB378" w14:textId="77777777" w:rsidR="00C91736" w:rsidRPr="00130831" w:rsidRDefault="00C91736" w:rsidP="005066FE">
            <w:pPr>
              <w:pStyle w:val="Tabletext"/>
              <w:rPr>
                <w:color w:val="000000"/>
              </w:rPr>
            </w:pPr>
            <w:r w:rsidRPr="00130831">
              <w:rPr>
                <w:color w:val="000000"/>
              </w:rPr>
              <w:t>Accomplished lecturer</w:t>
            </w:r>
          </w:p>
        </w:tc>
        <w:tc>
          <w:tcPr>
            <w:tcW w:w="1916" w:type="dxa"/>
            <w:tcBorders>
              <w:top w:val="single" w:sz="4" w:space="0" w:color="auto"/>
              <w:left w:val="nil"/>
              <w:bottom w:val="single" w:sz="4" w:space="0" w:color="auto"/>
              <w:right w:val="nil"/>
            </w:tcBorders>
            <w:shd w:val="clear" w:color="000000" w:fill="A6A6A6" w:themeFill="background1" w:themeFillShade="A6"/>
            <w:vAlign w:val="center"/>
            <w:hideMark/>
          </w:tcPr>
          <w:p w14:paraId="7027E38C" w14:textId="77777777" w:rsidR="00C91736" w:rsidRPr="00130831" w:rsidRDefault="00C91736" w:rsidP="005066FE">
            <w:pPr>
              <w:pStyle w:val="Tabletext"/>
              <w:rPr>
                <w:color w:val="000000"/>
              </w:rPr>
            </w:pPr>
            <w:r w:rsidRPr="00130831">
              <w:rPr>
                <w:color w:val="000000"/>
              </w:rPr>
              <w:t>Senior lecturer</w:t>
            </w:r>
          </w:p>
        </w:tc>
        <w:tc>
          <w:tcPr>
            <w:tcW w:w="1490" w:type="dxa"/>
            <w:tcBorders>
              <w:top w:val="single" w:sz="4" w:space="0" w:color="auto"/>
              <w:left w:val="nil"/>
              <w:bottom w:val="single" w:sz="4" w:space="0" w:color="auto"/>
              <w:right w:val="nil"/>
            </w:tcBorders>
            <w:shd w:val="clear" w:color="000000" w:fill="A6A6A6" w:themeFill="background1" w:themeFillShade="A6"/>
            <w:vAlign w:val="center"/>
            <w:hideMark/>
          </w:tcPr>
          <w:p w14:paraId="455173B6" w14:textId="77777777" w:rsidR="00C91736" w:rsidRPr="00130831" w:rsidRDefault="00C91736" w:rsidP="005066FE">
            <w:pPr>
              <w:pStyle w:val="Tabletext"/>
              <w:rPr>
                <w:color w:val="000000"/>
              </w:rPr>
            </w:pPr>
            <w:r w:rsidRPr="00130831">
              <w:rPr>
                <w:color w:val="000000"/>
              </w:rPr>
              <w:t>Principal lecturer</w:t>
            </w:r>
          </w:p>
        </w:tc>
      </w:tr>
      <w:tr w:rsidR="00AA5762" w:rsidRPr="00130831" w14:paraId="391C6D0A" w14:textId="77777777" w:rsidTr="00AF1CCA">
        <w:trPr>
          <w:trHeight w:val="454"/>
        </w:trPr>
        <w:tc>
          <w:tcPr>
            <w:tcW w:w="4120" w:type="dxa"/>
            <w:tcBorders>
              <w:top w:val="nil"/>
              <w:left w:val="nil"/>
              <w:bottom w:val="single" w:sz="4" w:space="0" w:color="auto"/>
              <w:right w:val="nil"/>
            </w:tcBorders>
            <w:shd w:val="clear" w:color="auto" w:fill="auto"/>
            <w:vAlign w:val="center"/>
            <w:hideMark/>
          </w:tcPr>
          <w:p w14:paraId="47FCE4E7" w14:textId="77777777" w:rsidR="00C91736" w:rsidRPr="00D02571" w:rsidRDefault="00C91736" w:rsidP="00AA5762">
            <w:pPr>
              <w:pStyle w:val="Tablehead1"/>
              <w:spacing w:before="100" w:beforeAutospacing="1"/>
            </w:pPr>
            <w:proofErr w:type="spellStart"/>
            <w:r w:rsidRPr="00D02571">
              <w:t>TasTAFE</w:t>
            </w:r>
            <w:proofErr w:type="spellEnd"/>
            <w:r w:rsidRPr="00D02571">
              <w:t xml:space="preserve"> Educator Capability Framework</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4BE64444" w14:textId="77777777" w:rsidR="00C91736" w:rsidRPr="00130831" w:rsidRDefault="00C91736" w:rsidP="005066FE">
            <w:pPr>
              <w:pStyle w:val="Tabletext"/>
              <w:rPr>
                <w:color w:val="000000"/>
              </w:rPr>
            </w:pPr>
            <w:r w:rsidRPr="00130831">
              <w:rPr>
                <w:color w:val="000000"/>
              </w:rPr>
              <w:t>Beginner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5BD5B014" w14:textId="77777777" w:rsidR="00C91736" w:rsidRPr="00130831" w:rsidRDefault="00C91736" w:rsidP="005066FE">
            <w:pPr>
              <w:pStyle w:val="Tabletext"/>
              <w:rPr>
                <w:color w:val="000000"/>
              </w:rPr>
            </w:pPr>
            <w:r w:rsidRPr="00130831">
              <w:rPr>
                <w:color w:val="000000"/>
              </w:rPr>
              <w:t xml:space="preserve">Proficient </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2FD0E521" w14:textId="77777777" w:rsidR="00C91736" w:rsidRPr="00130831" w:rsidRDefault="00C91736" w:rsidP="005066FE">
            <w:pPr>
              <w:pStyle w:val="Tabletext"/>
              <w:rPr>
                <w:color w:val="000000"/>
              </w:rPr>
            </w:pPr>
            <w:r w:rsidRPr="00130831">
              <w:rPr>
                <w:color w:val="000000"/>
              </w:rPr>
              <w:t>Advanced</w:t>
            </w:r>
          </w:p>
        </w:tc>
        <w:tc>
          <w:tcPr>
            <w:tcW w:w="1916" w:type="dxa"/>
            <w:tcBorders>
              <w:top w:val="nil"/>
              <w:left w:val="nil"/>
              <w:bottom w:val="single" w:sz="4" w:space="0" w:color="auto"/>
              <w:right w:val="nil"/>
            </w:tcBorders>
            <w:shd w:val="clear" w:color="auto" w:fill="auto"/>
            <w:vAlign w:val="center"/>
            <w:hideMark/>
          </w:tcPr>
          <w:p w14:paraId="7BF2F21C" w14:textId="77777777" w:rsidR="00C91736" w:rsidRPr="00130831" w:rsidRDefault="00C91736" w:rsidP="005066FE">
            <w:pPr>
              <w:pStyle w:val="Tabletext"/>
              <w:rPr>
                <w:color w:val="000000"/>
              </w:rPr>
            </w:pPr>
            <w:r w:rsidRPr="00130831">
              <w:rPr>
                <w:color w:val="000000"/>
              </w:rPr>
              <w:t> </w:t>
            </w:r>
          </w:p>
        </w:tc>
        <w:tc>
          <w:tcPr>
            <w:tcW w:w="1490" w:type="dxa"/>
            <w:tcBorders>
              <w:top w:val="nil"/>
              <w:left w:val="nil"/>
              <w:bottom w:val="single" w:sz="4" w:space="0" w:color="auto"/>
              <w:right w:val="nil"/>
            </w:tcBorders>
            <w:shd w:val="clear" w:color="auto" w:fill="auto"/>
            <w:vAlign w:val="center"/>
            <w:hideMark/>
          </w:tcPr>
          <w:p w14:paraId="323F152F" w14:textId="77777777" w:rsidR="00C91736" w:rsidRPr="00130831" w:rsidRDefault="00C91736" w:rsidP="005066FE">
            <w:pPr>
              <w:pStyle w:val="Tabletext"/>
              <w:rPr>
                <w:color w:val="000000"/>
              </w:rPr>
            </w:pPr>
            <w:r w:rsidRPr="00130831">
              <w:rPr>
                <w:color w:val="000000"/>
              </w:rPr>
              <w:t> </w:t>
            </w:r>
          </w:p>
        </w:tc>
      </w:tr>
      <w:tr w:rsidR="00AA5762" w:rsidRPr="00130831" w14:paraId="6D461D21" w14:textId="77777777" w:rsidTr="00AF1CCA">
        <w:trPr>
          <w:trHeight w:val="624"/>
        </w:trPr>
        <w:tc>
          <w:tcPr>
            <w:tcW w:w="4120" w:type="dxa"/>
            <w:tcBorders>
              <w:top w:val="nil"/>
              <w:left w:val="nil"/>
              <w:bottom w:val="single" w:sz="4" w:space="0" w:color="auto"/>
              <w:right w:val="nil"/>
            </w:tcBorders>
            <w:shd w:val="clear" w:color="auto" w:fill="auto"/>
            <w:vAlign w:val="center"/>
            <w:hideMark/>
          </w:tcPr>
          <w:p w14:paraId="128FDE9E" w14:textId="77777777" w:rsidR="00C91736" w:rsidRPr="00D02571" w:rsidRDefault="00C91736" w:rsidP="00AA5762">
            <w:pPr>
              <w:pStyle w:val="Tablehead1"/>
              <w:spacing w:before="100" w:beforeAutospacing="1"/>
            </w:pPr>
            <w:r w:rsidRPr="00D02571">
              <w:t>North Metropolitan TAFE VET Practitioner Capability Framework</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345C1FE7" w14:textId="77777777" w:rsidR="00C91736" w:rsidRPr="00130831" w:rsidRDefault="00C91736" w:rsidP="005066FE">
            <w:pPr>
              <w:pStyle w:val="Tabletext"/>
              <w:rPr>
                <w:color w:val="000000"/>
              </w:rPr>
            </w:pPr>
            <w:r w:rsidRPr="00130831">
              <w:rPr>
                <w:color w:val="000000"/>
              </w:rPr>
              <w:t>Lecturer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4D40A5DA" w14:textId="77777777" w:rsidR="00C91736" w:rsidRPr="00130831" w:rsidRDefault="00C91736" w:rsidP="005066FE">
            <w:pPr>
              <w:pStyle w:val="Tabletext"/>
              <w:rPr>
                <w:color w:val="000000"/>
              </w:rPr>
            </w:pPr>
            <w:r w:rsidRPr="00130831">
              <w:rPr>
                <w:color w:val="000000"/>
              </w:rPr>
              <w:t>Advanced skill lecturer – 1</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44277A3B" w14:textId="77777777" w:rsidR="00C91736" w:rsidRPr="00130831" w:rsidRDefault="00C91736" w:rsidP="005066FE">
            <w:pPr>
              <w:pStyle w:val="Tabletext"/>
              <w:rPr>
                <w:color w:val="000000"/>
              </w:rPr>
            </w:pPr>
            <w:r w:rsidRPr="00130831">
              <w:rPr>
                <w:color w:val="000000"/>
              </w:rPr>
              <w:t>Advanced skills lecturer – 2</w:t>
            </w:r>
          </w:p>
        </w:tc>
        <w:tc>
          <w:tcPr>
            <w:tcW w:w="1916" w:type="dxa"/>
            <w:tcBorders>
              <w:top w:val="single" w:sz="4" w:space="0" w:color="auto"/>
              <w:left w:val="nil"/>
              <w:bottom w:val="single" w:sz="4" w:space="0" w:color="auto"/>
              <w:right w:val="nil"/>
            </w:tcBorders>
            <w:shd w:val="clear" w:color="000000" w:fill="A6A6A6" w:themeFill="background1" w:themeFillShade="A6"/>
            <w:vAlign w:val="center"/>
            <w:hideMark/>
          </w:tcPr>
          <w:p w14:paraId="398901B3" w14:textId="77777777" w:rsidR="00C91736" w:rsidRPr="00130831" w:rsidRDefault="00C91736" w:rsidP="005066FE">
            <w:pPr>
              <w:pStyle w:val="Tabletext"/>
              <w:rPr>
                <w:color w:val="000000"/>
              </w:rPr>
            </w:pPr>
            <w:r w:rsidRPr="00130831">
              <w:rPr>
                <w:color w:val="000000"/>
              </w:rPr>
              <w:t>Principal lecturer</w:t>
            </w:r>
          </w:p>
        </w:tc>
        <w:tc>
          <w:tcPr>
            <w:tcW w:w="1490" w:type="dxa"/>
            <w:tcBorders>
              <w:top w:val="nil"/>
              <w:left w:val="nil"/>
              <w:bottom w:val="single" w:sz="4" w:space="0" w:color="auto"/>
              <w:right w:val="nil"/>
            </w:tcBorders>
            <w:shd w:val="clear" w:color="auto" w:fill="auto"/>
            <w:vAlign w:val="center"/>
            <w:hideMark/>
          </w:tcPr>
          <w:p w14:paraId="581308D1" w14:textId="77777777" w:rsidR="00C91736" w:rsidRPr="00130831" w:rsidRDefault="00C91736" w:rsidP="005066FE">
            <w:pPr>
              <w:pStyle w:val="Tabletext"/>
              <w:rPr>
                <w:color w:val="000000"/>
              </w:rPr>
            </w:pPr>
            <w:r w:rsidRPr="00130831">
              <w:rPr>
                <w:color w:val="000000"/>
              </w:rPr>
              <w:t> </w:t>
            </w:r>
          </w:p>
        </w:tc>
      </w:tr>
      <w:tr w:rsidR="00AA5762" w:rsidRPr="00130831" w14:paraId="25D6FAC8" w14:textId="77777777" w:rsidTr="00AF1CCA">
        <w:trPr>
          <w:trHeight w:val="510"/>
        </w:trPr>
        <w:tc>
          <w:tcPr>
            <w:tcW w:w="4120" w:type="dxa"/>
            <w:tcBorders>
              <w:top w:val="nil"/>
              <w:left w:val="nil"/>
              <w:bottom w:val="single" w:sz="4" w:space="0" w:color="auto"/>
              <w:right w:val="nil"/>
            </w:tcBorders>
            <w:shd w:val="clear" w:color="auto" w:fill="auto"/>
            <w:vAlign w:val="center"/>
            <w:hideMark/>
          </w:tcPr>
          <w:p w14:paraId="35D867B6" w14:textId="77777777" w:rsidR="00C91736" w:rsidRPr="00D02571" w:rsidRDefault="00C91736" w:rsidP="000068B1">
            <w:pPr>
              <w:pStyle w:val="Tablehead1"/>
              <w:spacing w:before="100" w:beforeAutospacing="1"/>
            </w:pPr>
            <w:r w:rsidRPr="00D02571">
              <w:t xml:space="preserve">Charles Darwin University VET Educator </w:t>
            </w:r>
            <w:r w:rsidRPr="00D02571">
              <w:br/>
              <w:t>Capability Framework</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4A0F7A2C" w14:textId="77777777" w:rsidR="00C91736" w:rsidRPr="00130831" w:rsidRDefault="00C91736" w:rsidP="005066FE">
            <w:pPr>
              <w:pStyle w:val="Tabletext"/>
              <w:rPr>
                <w:color w:val="000000"/>
              </w:rPr>
            </w:pPr>
            <w:r w:rsidRPr="00130831">
              <w:rPr>
                <w:color w:val="000000"/>
              </w:rPr>
              <w:t>Industry expert/educator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4ECEC7A5" w14:textId="77777777" w:rsidR="00C91736" w:rsidRPr="00130831" w:rsidRDefault="00C91736" w:rsidP="005066FE">
            <w:pPr>
              <w:pStyle w:val="Tabletext"/>
              <w:rPr>
                <w:color w:val="000000"/>
              </w:rPr>
            </w:pPr>
            <w:r w:rsidRPr="00130831">
              <w:rPr>
                <w:color w:val="000000"/>
              </w:rPr>
              <w:t>Advanced educator</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6DCDE0BA" w14:textId="77777777" w:rsidR="00C91736" w:rsidRPr="00130831" w:rsidRDefault="00C91736" w:rsidP="005066FE">
            <w:pPr>
              <w:pStyle w:val="Tabletext"/>
              <w:rPr>
                <w:color w:val="000000"/>
              </w:rPr>
            </w:pPr>
            <w:r w:rsidRPr="00130831">
              <w:rPr>
                <w:color w:val="000000"/>
              </w:rPr>
              <w:t>Educational manager</w:t>
            </w:r>
          </w:p>
        </w:tc>
        <w:tc>
          <w:tcPr>
            <w:tcW w:w="1916" w:type="dxa"/>
            <w:tcBorders>
              <w:top w:val="single" w:sz="4" w:space="0" w:color="auto"/>
              <w:left w:val="nil"/>
              <w:bottom w:val="single" w:sz="4" w:space="0" w:color="auto"/>
              <w:right w:val="nil"/>
            </w:tcBorders>
            <w:shd w:val="clear" w:color="000000" w:fill="A6A6A6" w:themeFill="background1" w:themeFillShade="A6"/>
            <w:vAlign w:val="center"/>
            <w:hideMark/>
          </w:tcPr>
          <w:p w14:paraId="0E332CF8" w14:textId="77777777" w:rsidR="00C91736" w:rsidRPr="00130831" w:rsidRDefault="00C91736" w:rsidP="005066FE">
            <w:pPr>
              <w:pStyle w:val="Tabletext"/>
              <w:rPr>
                <w:color w:val="000000"/>
              </w:rPr>
            </w:pPr>
            <w:r w:rsidRPr="00130831">
              <w:rPr>
                <w:color w:val="000000"/>
              </w:rPr>
              <w:t>Educational leader</w:t>
            </w:r>
          </w:p>
        </w:tc>
        <w:tc>
          <w:tcPr>
            <w:tcW w:w="1490" w:type="dxa"/>
            <w:tcBorders>
              <w:top w:val="nil"/>
              <w:left w:val="nil"/>
              <w:bottom w:val="single" w:sz="4" w:space="0" w:color="auto"/>
              <w:right w:val="nil"/>
            </w:tcBorders>
            <w:shd w:val="clear" w:color="auto" w:fill="auto"/>
            <w:vAlign w:val="center"/>
            <w:hideMark/>
          </w:tcPr>
          <w:p w14:paraId="5C50E110" w14:textId="77777777" w:rsidR="00C91736" w:rsidRPr="00130831" w:rsidRDefault="00C91736" w:rsidP="005066FE">
            <w:pPr>
              <w:pStyle w:val="Tabletext"/>
              <w:rPr>
                <w:color w:val="000000"/>
              </w:rPr>
            </w:pPr>
            <w:r w:rsidRPr="00130831">
              <w:rPr>
                <w:color w:val="000000"/>
              </w:rPr>
              <w:t> </w:t>
            </w:r>
          </w:p>
        </w:tc>
      </w:tr>
      <w:tr w:rsidR="00AA5762" w:rsidRPr="00130831" w14:paraId="0A856CE7" w14:textId="77777777" w:rsidTr="00CA369A">
        <w:trPr>
          <w:trHeight w:val="624"/>
        </w:trPr>
        <w:tc>
          <w:tcPr>
            <w:tcW w:w="4120" w:type="dxa"/>
            <w:tcBorders>
              <w:top w:val="nil"/>
              <w:left w:val="nil"/>
              <w:bottom w:val="single" w:sz="4" w:space="0" w:color="auto"/>
              <w:right w:val="nil"/>
            </w:tcBorders>
            <w:shd w:val="clear" w:color="auto" w:fill="auto"/>
            <w:vAlign w:val="center"/>
            <w:hideMark/>
          </w:tcPr>
          <w:p w14:paraId="435F8793" w14:textId="77777777" w:rsidR="00C91736" w:rsidRPr="00D02571" w:rsidRDefault="00C91736" w:rsidP="00AA5762">
            <w:pPr>
              <w:pStyle w:val="Tablehead1"/>
              <w:spacing w:before="100" w:beforeAutospacing="1"/>
            </w:pPr>
            <w:r w:rsidRPr="00D02571">
              <w:t>Professional Standards for Teachers and Trainers in Education and Training in England</w:t>
            </w:r>
          </w:p>
        </w:tc>
        <w:tc>
          <w:tcPr>
            <w:tcW w:w="2143" w:type="dxa"/>
            <w:tcBorders>
              <w:top w:val="single" w:sz="4" w:space="0" w:color="auto"/>
              <w:left w:val="nil"/>
              <w:bottom w:val="single" w:sz="4" w:space="0" w:color="auto"/>
              <w:right w:val="nil"/>
            </w:tcBorders>
            <w:shd w:val="clear" w:color="auto" w:fill="F2F2F2" w:themeFill="background1" w:themeFillShade="F2"/>
            <w:vAlign w:val="center"/>
            <w:hideMark/>
          </w:tcPr>
          <w:p w14:paraId="42E0DFBA" w14:textId="77777777" w:rsidR="00C91736" w:rsidRPr="00130831" w:rsidRDefault="00C91736" w:rsidP="005066FE">
            <w:pPr>
              <w:pStyle w:val="Tabletext"/>
              <w:rPr>
                <w:color w:val="000000"/>
              </w:rPr>
            </w:pPr>
            <w:r w:rsidRPr="00130831">
              <w:rPr>
                <w:color w:val="000000"/>
              </w:rPr>
              <w:t>The developing teacher/</w:t>
            </w:r>
            <w:r>
              <w:rPr>
                <w:color w:val="000000"/>
              </w:rPr>
              <w:t>trainer</w:t>
            </w:r>
          </w:p>
        </w:tc>
        <w:tc>
          <w:tcPr>
            <w:tcW w:w="2142" w:type="dxa"/>
            <w:tcBorders>
              <w:top w:val="single" w:sz="4" w:space="0" w:color="auto"/>
              <w:left w:val="nil"/>
              <w:bottom w:val="single" w:sz="4" w:space="0" w:color="auto"/>
              <w:right w:val="nil"/>
            </w:tcBorders>
            <w:shd w:val="clear" w:color="auto" w:fill="D9D9D9" w:themeFill="background1" w:themeFillShade="D9"/>
            <w:vAlign w:val="center"/>
            <w:hideMark/>
          </w:tcPr>
          <w:p w14:paraId="47F3CDCB" w14:textId="77777777" w:rsidR="00C91736" w:rsidRPr="00130831" w:rsidRDefault="00C91736" w:rsidP="005066FE">
            <w:pPr>
              <w:pStyle w:val="Tabletext"/>
              <w:rPr>
                <w:color w:val="000000"/>
              </w:rPr>
            </w:pPr>
            <w:r w:rsidRPr="00130831">
              <w:rPr>
                <w:color w:val="000000"/>
              </w:rPr>
              <w:t>The professional teacher/</w:t>
            </w:r>
            <w:r>
              <w:rPr>
                <w:color w:val="000000"/>
              </w:rPr>
              <w:t>trainer</w:t>
            </w:r>
          </w:p>
        </w:tc>
        <w:tc>
          <w:tcPr>
            <w:tcW w:w="2477" w:type="dxa"/>
            <w:tcBorders>
              <w:top w:val="single" w:sz="4" w:space="0" w:color="auto"/>
              <w:left w:val="nil"/>
              <w:bottom w:val="single" w:sz="4" w:space="0" w:color="auto"/>
              <w:right w:val="nil"/>
            </w:tcBorders>
            <w:shd w:val="clear" w:color="auto" w:fill="BFBFBF" w:themeFill="background1" w:themeFillShade="BF"/>
            <w:vAlign w:val="center"/>
            <w:hideMark/>
          </w:tcPr>
          <w:p w14:paraId="6F2ABBCF" w14:textId="77777777" w:rsidR="00C91736" w:rsidRPr="00130831" w:rsidRDefault="00C91736" w:rsidP="005066FE">
            <w:pPr>
              <w:pStyle w:val="Tabletext"/>
              <w:rPr>
                <w:color w:val="000000"/>
              </w:rPr>
            </w:pPr>
            <w:r w:rsidRPr="00130831">
              <w:rPr>
                <w:color w:val="000000"/>
              </w:rPr>
              <w:t>The advanced teacher/</w:t>
            </w:r>
            <w:r>
              <w:rPr>
                <w:color w:val="000000"/>
              </w:rPr>
              <w:t>trainer</w:t>
            </w:r>
          </w:p>
        </w:tc>
        <w:tc>
          <w:tcPr>
            <w:tcW w:w="1916" w:type="dxa"/>
            <w:tcBorders>
              <w:top w:val="nil"/>
              <w:left w:val="nil"/>
              <w:bottom w:val="nil"/>
              <w:right w:val="nil"/>
            </w:tcBorders>
            <w:shd w:val="clear" w:color="auto" w:fill="auto"/>
            <w:vAlign w:val="center"/>
            <w:hideMark/>
          </w:tcPr>
          <w:p w14:paraId="5573F6F3" w14:textId="77777777" w:rsidR="00C91736" w:rsidRPr="00130831" w:rsidRDefault="00C91736" w:rsidP="005066FE">
            <w:pPr>
              <w:pStyle w:val="Tabletext"/>
              <w:rPr>
                <w:color w:val="000000"/>
              </w:rPr>
            </w:pPr>
          </w:p>
        </w:tc>
        <w:tc>
          <w:tcPr>
            <w:tcW w:w="1490" w:type="dxa"/>
            <w:tcBorders>
              <w:top w:val="nil"/>
              <w:left w:val="nil"/>
              <w:bottom w:val="nil"/>
              <w:right w:val="nil"/>
            </w:tcBorders>
            <w:shd w:val="clear" w:color="auto" w:fill="auto"/>
            <w:vAlign w:val="center"/>
            <w:hideMark/>
          </w:tcPr>
          <w:p w14:paraId="5CD5A0C4" w14:textId="77777777" w:rsidR="00C91736" w:rsidRPr="00130831" w:rsidRDefault="00C91736" w:rsidP="005066FE">
            <w:pPr>
              <w:pStyle w:val="Tabletext"/>
              <w:rPr>
                <w:sz w:val="20"/>
              </w:rPr>
            </w:pPr>
          </w:p>
        </w:tc>
      </w:tr>
      <w:tr w:rsidR="00AA5762" w:rsidRPr="00130831" w14:paraId="5914E0EE" w14:textId="77777777" w:rsidTr="00CA369A">
        <w:trPr>
          <w:trHeight w:val="624"/>
        </w:trPr>
        <w:tc>
          <w:tcPr>
            <w:tcW w:w="4120" w:type="dxa"/>
            <w:tcBorders>
              <w:top w:val="single" w:sz="4" w:space="0" w:color="auto"/>
              <w:left w:val="nil"/>
              <w:bottom w:val="single" w:sz="4" w:space="0" w:color="auto"/>
              <w:right w:val="nil"/>
            </w:tcBorders>
            <w:shd w:val="clear" w:color="auto" w:fill="95B3D7" w:themeFill="accent1" w:themeFillTint="99"/>
            <w:vAlign w:val="center"/>
            <w:hideMark/>
          </w:tcPr>
          <w:p w14:paraId="3BAF8A66" w14:textId="77777777" w:rsidR="00C91736" w:rsidRPr="00D02571" w:rsidRDefault="00C91736" w:rsidP="000068B1">
            <w:pPr>
              <w:pStyle w:val="Tablehead1"/>
              <w:spacing w:before="100" w:beforeAutospacing="1"/>
            </w:pPr>
            <w:r w:rsidRPr="00D02571">
              <w:t>USA Career and Technical Education (VET) Standards for Teachers (ages 11–18)</w:t>
            </w:r>
          </w:p>
        </w:tc>
        <w:tc>
          <w:tcPr>
            <w:tcW w:w="2143" w:type="dxa"/>
            <w:tcBorders>
              <w:top w:val="single" w:sz="4" w:space="0" w:color="auto"/>
              <w:left w:val="nil"/>
              <w:bottom w:val="single" w:sz="4" w:space="0" w:color="auto"/>
              <w:right w:val="nil"/>
            </w:tcBorders>
            <w:shd w:val="clear" w:color="auto" w:fill="DBE5F1" w:themeFill="accent1" w:themeFillTint="33"/>
            <w:vAlign w:val="center"/>
            <w:hideMark/>
          </w:tcPr>
          <w:p w14:paraId="585D3289" w14:textId="77777777" w:rsidR="00C91736" w:rsidRPr="00AE079F" w:rsidRDefault="00C91736" w:rsidP="005066FE">
            <w:pPr>
              <w:pStyle w:val="Tabletext"/>
            </w:pPr>
            <w:r w:rsidRPr="00AE079F">
              <w:t>New teachers</w:t>
            </w:r>
          </w:p>
        </w:tc>
        <w:tc>
          <w:tcPr>
            <w:tcW w:w="2142" w:type="dxa"/>
            <w:tcBorders>
              <w:top w:val="single" w:sz="4" w:space="0" w:color="auto"/>
              <w:left w:val="nil"/>
              <w:bottom w:val="single" w:sz="4" w:space="0" w:color="auto"/>
              <w:right w:val="nil"/>
            </w:tcBorders>
            <w:shd w:val="clear" w:color="auto" w:fill="B8CCE4" w:themeFill="accent1" w:themeFillTint="66"/>
            <w:vAlign w:val="center"/>
            <w:hideMark/>
          </w:tcPr>
          <w:p w14:paraId="0A68968D" w14:textId="77777777" w:rsidR="00C91736" w:rsidRPr="00AE079F" w:rsidRDefault="00C91736" w:rsidP="005066FE">
            <w:pPr>
              <w:pStyle w:val="Tabletext"/>
            </w:pPr>
            <w:r w:rsidRPr="00AE079F">
              <w:t>Accomplished teachers</w:t>
            </w:r>
          </w:p>
        </w:tc>
        <w:tc>
          <w:tcPr>
            <w:tcW w:w="2477" w:type="dxa"/>
            <w:tcBorders>
              <w:top w:val="nil"/>
              <w:left w:val="nil"/>
              <w:bottom w:val="single" w:sz="4" w:space="0" w:color="auto"/>
              <w:right w:val="nil"/>
            </w:tcBorders>
            <w:shd w:val="clear" w:color="auto" w:fill="auto"/>
            <w:vAlign w:val="center"/>
            <w:hideMark/>
          </w:tcPr>
          <w:p w14:paraId="69645E76" w14:textId="77777777" w:rsidR="00C91736" w:rsidRPr="00130831" w:rsidRDefault="00C91736" w:rsidP="005066FE">
            <w:pPr>
              <w:pStyle w:val="Tabletext"/>
              <w:rPr>
                <w:color w:val="000000"/>
              </w:rPr>
            </w:pPr>
            <w:r w:rsidRPr="00130831">
              <w:rPr>
                <w:color w:val="000000"/>
              </w:rPr>
              <w:t> </w:t>
            </w:r>
          </w:p>
        </w:tc>
        <w:tc>
          <w:tcPr>
            <w:tcW w:w="1916" w:type="dxa"/>
            <w:tcBorders>
              <w:top w:val="single" w:sz="4" w:space="0" w:color="auto"/>
              <w:left w:val="nil"/>
              <w:bottom w:val="single" w:sz="4" w:space="0" w:color="auto"/>
              <w:right w:val="nil"/>
            </w:tcBorders>
            <w:shd w:val="clear" w:color="auto" w:fill="auto"/>
            <w:vAlign w:val="center"/>
            <w:hideMark/>
          </w:tcPr>
          <w:p w14:paraId="4A88BA65" w14:textId="77777777" w:rsidR="00C91736" w:rsidRPr="00130831" w:rsidRDefault="00C91736" w:rsidP="005066FE">
            <w:pPr>
              <w:pStyle w:val="Tabletext"/>
              <w:rPr>
                <w:color w:val="000000"/>
              </w:rPr>
            </w:pPr>
            <w:r w:rsidRPr="00130831">
              <w:rPr>
                <w:color w:val="000000"/>
              </w:rPr>
              <w:t> </w:t>
            </w:r>
          </w:p>
        </w:tc>
        <w:tc>
          <w:tcPr>
            <w:tcW w:w="1490" w:type="dxa"/>
            <w:tcBorders>
              <w:top w:val="single" w:sz="4" w:space="0" w:color="auto"/>
              <w:left w:val="nil"/>
              <w:bottom w:val="single" w:sz="4" w:space="0" w:color="auto"/>
              <w:right w:val="nil"/>
            </w:tcBorders>
            <w:shd w:val="clear" w:color="auto" w:fill="auto"/>
            <w:vAlign w:val="center"/>
            <w:hideMark/>
          </w:tcPr>
          <w:p w14:paraId="7A63933F" w14:textId="77777777" w:rsidR="00C91736" w:rsidRPr="00130831" w:rsidRDefault="00C91736" w:rsidP="005066FE">
            <w:pPr>
              <w:pStyle w:val="Tabletext"/>
              <w:rPr>
                <w:color w:val="000000"/>
              </w:rPr>
            </w:pPr>
            <w:r w:rsidRPr="00130831">
              <w:rPr>
                <w:color w:val="000000"/>
              </w:rPr>
              <w:t> </w:t>
            </w:r>
          </w:p>
        </w:tc>
      </w:tr>
      <w:tr w:rsidR="00AA5762" w:rsidRPr="00130831" w14:paraId="42B04928" w14:textId="77777777" w:rsidTr="00AF1CCA">
        <w:trPr>
          <w:trHeight w:val="454"/>
        </w:trPr>
        <w:tc>
          <w:tcPr>
            <w:tcW w:w="4120" w:type="dxa"/>
            <w:tcBorders>
              <w:top w:val="single" w:sz="4" w:space="0" w:color="auto"/>
              <w:left w:val="nil"/>
              <w:bottom w:val="single" w:sz="8" w:space="0" w:color="auto"/>
              <w:right w:val="nil"/>
            </w:tcBorders>
            <w:shd w:val="clear" w:color="auto" w:fill="auto"/>
            <w:vAlign w:val="center"/>
            <w:hideMark/>
          </w:tcPr>
          <w:p w14:paraId="1105ECD8" w14:textId="77777777" w:rsidR="00C91736" w:rsidRPr="00D02571" w:rsidRDefault="00C91736" w:rsidP="00AA5762">
            <w:pPr>
              <w:pStyle w:val="Tablehead1"/>
              <w:spacing w:before="100" w:beforeAutospacing="1"/>
            </w:pPr>
            <w:r w:rsidRPr="00D02571">
              <w:t>TAFE Qld Educator Capability Framework</w:t>
            </w:r>
          </w:p>
        </w:tc>
        <w:tc>
          <w:tcPr>
            <w:tcW w:w="2143" w:type="dxa"/>
            <w:tcBorders>
              <w:top w:val="single" w:sz="4" w:space="0" w:color="auto"/>
              <w:left w:val="nil"/>
              <w:bottom w:val="single" w:sz="8" w:space="0" w:color="auto"/>
              <w:right w:val="nil"/>
            </w:tcBorders>
            <w:shd w:val="clear" w:color="auto" w:fill="F2F2F2" w:themeFill="background1" w:themeFillShade="F2"/>
            <w:vAlign w:val="center"/>
            <w:hideMark/>
          </w:tcPr>
          <w:p w14:paraId="2B5BE0E7" w14:textId="77777777" w:rsidR="00C91736" w:rsidRPr="00130831" w:rsidRDefault="00C91736" w:rsidP="005066FE">
            <w:pPr>
              <w:pStyle w:val="Tabletext"/>
              <w:rPr>
                <w:color w:val="000000"/>
              </w:rPr>
            </w:pPr>
            <w:r w:rsidRPr="00130831">
              <w:rPr>
                <w:color w:val="000000"/>
              </w:rPr>
              <w:t xml:space="preserve">Transitioning </w:t>
            </w:r>
          </w:p>
        </w:tc>
        <w:tc>
          <w:tcPr>
            <w:tcW w:w="2142" w:type="dxa"/>
            <w:tcBorders>
              <w:top w:val="single" w:sz="4" w:space="0" w:color="auto"/>
              <w:left w:val="nil"/>
              <w:bottom w:val="single" w:sz="8" w:space="0" w:color="auto"/>
              <w:right w:val="nil"/>
            </w:tcBorders>
            <w:shd w:val="clear" w:color="auto" w:fill="D9D9D9" w:themeFill="background1" w:themeFillShade="D9"/>
            <w:vAlign w:val="center"/>
            <w:hideMark/>
          </w:tcPr>
          <w:p w14:paraId="7ECFCDDD" w14:textId="77777777" w:rsidR="00C91736" w:rsidRPr="00130831" w:rsidRDefault="00C91736" w:rsidP="005066FE">
            <w:pPr>
              <w:pStyle w:val="Tabletext"/>
              <w:rPr>
                <w:color w:val="000000"/>
              </w:rPr>
            </w:pPr>
            <w:r w:rsidRPr="00130831">
              <w:rPr>
                <w:color w:val="000000"/>
              </w:rPr>
              <w:t>Proficient</w:t>
            </w:r>
          </w:p>
        </w:tc>
        <w:tc>
          <w:tcPr>
            <w:tcW w:w="2477" w:type="dxa"/>
            <w:tcBorders>
              <w:top w:val="single" w:sz="4" w:space="0" w:color="auto"/>
              <w:left w:val="nil"/>
              <w:bottom w:val="single" w:sz="8" w:space="0" w:color="auto"/>
              <w:right w:val="nil"/>
            </w:tcBorders>
            <w:shd w:val="clear" w:color="000000" w:fill="BFBFBF" w:themeFill="background1" w:themeFillShade="BF"/>
            <w:vAlign w:val="center"/>
            <w:hideMark/>
          </w:tcPr>
          <w:p w14:paraId="05199039" w14:textId="77777777" w:rsidR="00C91736" w:rsidRPr="00130831" w:rsidRDefault="00C91736" w:rsidP="005066FE">
            <w:pPr>
              <w:pStyle w:val="Tabletext"/>
              <w:rPr>
                <w:color w:val="000000"/>
              </w:rPr>
            </w:pPr>
            <w:r w:rsidRPr="00130831">
              <w:rPr>
                <w:color w:val="000000"/>
              </w:rPr>
              <w:t>Highly accomplished teachers</w:t>
            </w:r>
          </w:p>
        </w:tc>
        <w:tc>
          <w:tcPr>
            <w:tcW w:w="1916" w:type="dxa"/>
            <w:tcBorders>
              <w:top w:val="single" w:sz="4" w:space="0" w:color="auto"/>
              <w:left w:val="nil"/>
              <w:bottom w:val="single" w:sz="8" w:space="0" w:color="auto"/>
              <w:right w:val="nil"/>
            </w:tcBorders>
            <w:shd w:val="clear" w:color="000000" w:fill="A6A6A6" w:themeFill="background1" w:themeFillShade="A6"/>
            <w:vAlign w:val="center"/>
            <w:hideMark/>
          </w:tcPr>
          <w:p w14:paraId="40BE94C7" w14:textId="77777777" w:rsidR="00C91736" w:rsidRPr="00130831" w:rsidRDefault="00C91736" w:rsidP="005066FE">
            <w:pPr>
              <w:pStyle w:val="Tabletext"/>
              <w:rPr>
                <w:color w:val="000000"/>
              </w:rPr>
            </w:pPr>
            <w:r w:rsidRPr="00130831">
              <w:rPr>
                <w:color w:val="000000"/>
              </w:rPr>
              <w:t>Leading</w:t>
            </w:r>
          </w:p>
        </w:tc>
        <w:tc>
          <w:tcPr>
            <w:tcW w:w="1490" w:type="dxa"/>
            <w:tcBorders>
              <w:top w:val="single" w:sz="4" w:space="0" w:color="auto"/>
              <w:left w:val="nil"/>
              <w:bottom w:val="single" w:sz="8" w:space="0" w:color="auto"/>
              <w:right w:val="nil"/>
            </w:tcBorders>
            <w:shd w:val="clear" w:color="auto" w:fill="auto"/>
            <w:vAlign w:val="center"/>
            <w:hideMark/>
          </w:tcPr>
          <w:p w14:paraId="6A5E675D" w14:textId="77777777" w:rsidR="00C91736" w:rsidRPr="00130831" w:rsidRDefault="00C91736" w:rsidP="005066FE">
            <w:pPr>
              <w:pStyle w:val="Tabletext"/>
              <w:rPr>
                <w:color w:val="000000"/>
              </w:rPr>
            </w:pPr>
            <w:r w:rsidRPr="00130831">
              <w:rPr>
                <w:color w:val="000000"/>
              </w:rPr>
              <w:t> </w:t>
            </w:r>
          </w:p>
        </w:tc>
      </w:tr>
    </w:tbl>
    <w:p w14:paraId="773C1572" w14:textId="0D7D3CDC" w:rsidR="00864851" w:rsidRDefault="00923EB5" w:rsidP="00864851">
      <w:pPr>
        <w:pStyle w:val="Source"/>
        <w:spacing w:before="120"/>
        <w:ind w:left="0" w:firstLine="0"/>
      </w:pPr>
      <w:r w:rsidRPr="000068B1">
        <w:rPr>
          <w:noProof/>
        </w:rPr>
        <mc:AlternateContent>
          <mc:Choice Requires="wps">
            <w:drawing>
              <wp:anchor distT="0" distB="0" distL="36195" distR="36195" simplePos="0" relativeHeight="252051456" behindDoc="0" locked="0" layoutInCell="1" allowOverlap="1" wp14:anchorId="4E4FC814" wp14:editId="18286934">
                <wp:simplePos x="0" y="0"/>
                <wp:positionH relativeFrom="column">
                  <wp:posOffset>5158740</wp:posOffset>
                </wp:positionH>
                <wp:positionV relativeFrom="paragraph">
                  <wp:posOffset>85725</wp:posOffset>
                </wp:positionV>
                <wp:extent cx="107950" cy="107950"/>
                <wp:effectExtent l="0" t="0" r="6350" b="6350"/>
                <wp:wrapSquare wrapText="bothSides"/>
                <wp:docPr id="11" name="Rectangle 11"/>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C23E2" id="Rectangle 11" o:spid="_x0000_s1026" style="position:absolute;margin-left:406.2pt;margin-top:6.75pt;width:8.5pt;height:8.5pt;z-index:25205145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" fillcolor="#95b3d7 [1940]" stroked="f">
                <w10:wrap type="square"/>
              </v:rect>
            </w:pict>
          </mc:Fallback>
        </mc:AlternateContent>
      </w:r>
      <w:r>
        <w:rPr>
          <w:noProof/>
        </w:rPr>
        <mc:AlternateContent>
          <mc:Choice Requires="wps">
            <w:drawing>
              <wp:anchor distT="0" distB="0" distL="36195" distR="36195" simplePos="0" relativeHeight="252038144" behindDoc="0" locked="0" layoutInCell="1" allowOverlap="1" wp14:anchorId="31FFC83C" wp14:editId="18947FB8">
                <wp:simplePos x="0" y="0"/>
                <wp:positionH relativeFrom="column">
                  <wp:posOffset>3990340</wp:posOffset>
                </wp:positionH>
                <wp:positionV relativeFrom="paragraph">
                  <wp:posOffset>85725</wp:posOffset>
                </wp:positionV>
                <wp:extent cx="107950" cy="107950"/>
                <wp:effectExtent l="0" t="0" r="6350" b="6350"/>
                <wp:wrapSquare wrapText="bothSides"/>
                <wp:docPr id="6" name="Rectangle 6"/>
                <wp:cNvGraphicFramePr/>
                <a:graphic xmlns:a="http://schemas.openxmlformats.org/drawingml/2006/main">
                  <a:graphicData uri="http://schemas.microsoft.com/office/word/2010/wordprocessingShape">
                    <wps:wsp>
                      <wps:cNvSpPr/>
                      <wps:spPr>
                        <a:xfrm>
                          <a:off x="0" y="0"/>
                          <a:ext cx="107950" cy="107950"/>
                        </a:xfrm>
                        <a:prstGeom prst="rect">
                          <a:avLst/>
                        </a:prstGeom>
                        <a:solidFill>
                          <a:schemeClr val="accent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6C52A" id="Rectangle 6" o:spid="_x0000_s1026" style="position:absolute;margin-left:314.2pt;margin-top:6.75pt;width:8.5pt;height:8.5pt;z-index:25203814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" fillcolor="#d99594 [1941]" stroked="f">
                <w10:wrap type="square"/>
              </v:rect>
            </w:pict>
          </mc:Fallback>
        </mc:AlternateContent>
      </w:r>
      <w:r w:rsidR="007A485E">
        <w:rPr>
          <w:noProof/>
        </w:rPr>
        <mc:AlternateContent>
          <mc:Choice Requires="wps">
            <w:drawing>
              <wp:anchor distT="0" distB="0" distL="36195" distR="36195" simplePos="0" relativeHeight="252036096" behindDoc="0" locked="0" layoutInCell="1" allowOverlap="1" wp14:anchorId="3954BE74" wp14:editId="07331D88">
                <wp:simplePos x="0" y="0"/>
                <wp:positionH relativeFrom="column">
                  <wp:posOffset>2397760</wp:posOffset>
                </wp:positionH>
                <wp:positionV relativeFrom="paragraph">
                  <wp:posOffset>85725</wp:posOffset>
                </wp:positionV>
                <wp:extent cx="108000" cy="108000"/>
                <wp:effectExtent l="0" t="0" r="6350" b="6350"/>
                <wp:wrapSquare wrapText="bothSides"/>
                <wp:docPr id="2" name="Rectangle 2"/>
                <wp:cNvGraphicFramePr/>
                <a:graphic xmlns:a="http://schemas.openxmlformats.org/drawingml/2006/main">
                  <a:graphicData uri="http://schemas.microsoft.com/office/word/2010/wordprocessingShape">
                    <wps:wsp>
                      <wps:cNvSpPr/>
                      <wps:spPr>
                        <a:xfrm>
                          <a:off x="0" y="0"/>
                          <a:ext cx="108000" cy="108000"/>
                        </a:xfrm>
                        <a:prstGeom prst="rect">
                          <a:avLst/>
                        </a:prstGeom>
                        <a:solidFill>
                          <a:schemeClr val="tx1">
                            <a:lumMod val="50000"/>
                            <a:lumOff val="5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B6F6" id="Rectangle 2" o:spid="_x0000_s1026" style="position:absolute;margin-left:188.8pt;margin-top:6.75pt;width:8.5pt;height:8.5pt;z-index:252036096;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" fillcolor="gray [1629]" stroked="f">
                <w10:wrap type="square"/>
              </v:rect>
            </w:pict>
          </mc:Fallback>
        </mc:AlternateContent>
      </w:r>
      <w:r w:rsidR="00867C98">
        <w:t>N</w:t>
      </w:r>
      <w:r w:rsidR="00864851">
        <w:t>ote:</w:t>
      </w:r>
      <w:proofErr w:type="gramStart"/>
      <w:r w:rsidR="00864851">
        <w:tab/>
        <w:t xml:space="preserve">  </w:t>
      </w:r>
      <w:r w:rsidR="00864851" w:rsidRPr="00AE4274">
        <w:t>The</w:t>
      </w:r>
      <w:proofErr w:type="gramEnd"/>
      <w:r w:rsidR="00864851" w:rsidRPr="00AE4274">
        <w:t xml:space="preserve"> frameworks and standards are colour coded: </w:t>
      </w:r>
      <w:r w:rsidR="007A485E">
        <w:t>grey</w:t>
      </w:r>
      <w:r w:rsidR="00864851" w:rsidRPr="00AE4274">
        <w:t xml:space="preserve"> for those pertaining to VET, red for universities and blue for schools.</w:t>
      </w:r>
    </w:p>
    <w:p w14:paraId="6E96CFCF" w14:textId="493486CA" w:rsidR="00C91736" w:rsidRDefault="00C91736" w:rsidP="00C91736"/>
    <w:p w14:paraId="7FF34C5C" w14:textId="0B058A49" w:rsidR="00AF1CCA" w:rsidRDefault="00AF1CCA" w:rsidP="00C91736">
      <w:pPr>
        <w:sectPr w:rsidR="00AF1CCA" w:rsidSect="002C2FD3">
          <w:footerReference w:type="first" r:id="rId64"/>
          <w:pgSz w:w="16840" w:h="11907" w:orient="landscape" w:code="9"/>
          <w:pgMar w:top="232" w:right="1276" w:bottom="851" w:left="1276" w:header="3" w:footer="556" w:gutter="0"/>
          <w:cols w:space="708"/>
          <w:titlePg/>
          <w:docGrid w:linePitch="360"/>
        </w:sectPr>
      </w:pPr>
    </w:p>
    <w:p w14:paraId="59097FA1" w14:textId="00A1329F" w:rsidR="00FE3192" w:rsidRPr="00021D90" w:rsidDel="00F161E7" w:rsidRDefault="00FE3192" w:rsidP="00FE3192">
      <w:pPr>
        <w:pStyle w:val="Heading1"/>
      </w:pPr>
      <w:bookmarkStart w:id="112" w:name="_Toc54104354"/>
      <w:bookmarkStart w:id="113" w:name="_Toc62204962"/>
      <w:r>
        <w:lastRenderedPageBreak/>
        <w:t>A</w:t>
      </w:r>
      <w:r w:rsidR="00AC6672">
        <w:t>ppendix</w:t>
      </w:r>
      <w:r>
        <w:t xml:space="preserve"> </w:t>
      </w:r>
      <w:r w:rsidR="00F93E03">
        <w:t>5</w:t>
      </w:r>
      <w:r>
        <w:t xml:space="preserve">: </w:t>
      </w:r>
      <w:r w:rsidDel="00F161E7">
        <w:t>VET teacher development</w:t>
      </w:r>
      <w:r w:rsidR="00220DB1">
        <w:t xml:space="preserve"> -</w:t>
      </w:r>
      <w:r w:rsidR="00220DB1" w:rsidDel="00F161E7">
        <w:t xml:space="preserve"> </w:t>
      </w:r>
      <w:r w:rsidDel="00F161E7">
        <w:t>three case studies</w:t>
      </w:r>
      <w:bookmarkEnd w:id="112"/>
      <w:bookmarkEnd w:id="113"/>
    </w:p>
    <w:p w14:paraId="5C722E1C" w14:textId="77777777" w:rsidR="00FE3192" w:rsidRPr="00021D90" w:rsidDel="00F161E7" w:rsidRDefault="00FE3192" w:rsidP="00C72D13">
      <w:pPr>
        <w:pStyle w:val="Heading2"/>
        <w:numPr>
          <w:ilvl w:val="0"/>
          <w:numId w:val="15"/>
        </w:numPr>
        <w:ind w:left="426" w:hanging="426"/>
      </w:pPr>
      <w:bookmarkStart w:id="114" w:name="_Toc54104355"/>
      <w:bookmarkStart w:id="115" w:name="_Toc62204963"/>
      <w:r w:rsidRPr="00021D90" w:rsidDel="00F161E7">
        <w:t>The Professional Educator College Pilot (Victoria)</w:t>
      </w:r>
      <w:bookmarkEnd w:id="114"/>
      <w:bookmarkEnd w:id="115"/>
    </w:p>
    <w:p w14:paraId="235FD438" w14:textId="77777777" w:rsidR="00FE3192" w:rsidRPr="00021D90" w:rsidDel="00F161E7" w:rsidRDefault="00FE3192" w:rsidP="00FE3192">
      <w:pPr>
        <w:pStyle w:val="Text"/>
      </w:pPr>
      <w:r w:rsidRPr="00021D90" w:rsidDel="00F161E7">
        <w:t xml:space="preserve">This pilot was led by Chisholm Institute, funded by the Victorian </w:t>
      </w:r>
      <w:proofErr w:type="gramStart"/>
      <w:r w:rsidRPr="00021D90" w:rsidDel="00F161E7">
        <w:t>Government</w:t>
      </w:r>
      <w:proofErr w:type="gramEnd"/>
      <w:r w:rsidRPr="00021D90" w:rsidDel="00F161E7">
        <w:t xml:space="preserve"> and implemented in conjunction with five other TAFE Institutes: Bendigo-</w:t>
      </w:r>
      <w:proofErr w:type="spellStart"/>
      <w:r w:rsidRPr="00021D90" w:rsidDel="00F161E7">
        <w:t>Kangan</w:t>
      </w:r>
      <w:proofErr w:type="spellEnd"/>
      <w:r w:rsidRPr="00021D90" w:rsidDel="00F161E7">
        <w:t xml:space="preserve"> Institute, Federation Training, GOTAFE, South West TAFE and Sunraysia TAFE. A project manager from Chisholm led the pilot, which was implemented in the other TAFE institutes by local project officers.</w:t>
      </w:r>
    </w:p>
    <w:p w14:paraId="2E5D3F56" w14:textId="77777777" w:rsidR="00FE3192" w:rsidRPr="00021D90" w:rsidDel="00F161E7" w:rsidRDefault="00FE3192" w:rsidP="00FE3192">
      <w:pPr>
        <w:pStyle w:val="Text"/>
      </w:pPr>
      <w:r w:rsidRPr="00021D90" w:rsidDel="00F161E7">
        <w:t xml:space="preserve">The aim of the pilot was to implement the Chisholm Educator Excellence Framework, along with an Educator Passport. The Educator Passport is an online application, provided by Chisholm TAFE, which enabled its teachers to assess their </w:t>
      </w:r>
      <w:r w:rsidDel="00F161E7">
        <w:t xml:space="preserve">PD </w:t>
      </w:r>
      <w:r w:rsidRPr="00021D90" w:rsidDel="00F161E7">
        <w:t xml:space="preserve">needs, register for </w:t>
      </w:r>
      <w:r w:rsidDel="00F161E7">
        <w:t xml:space="preserve">PD </w:t>
      </w:r>
      <w:r w:rsidRPr="00021D90" w:rsidDel="00F161E7">
        <w:t xml:space="preserve">programs and track their progress. Teachers could benchmark themselves against the capabilities in the Chisholm Educator Excellence Framework. Supervisors also undertook a similar exercise in rating the teachers, but their focus was </w:t>
      </w:r>
      <w:r w:rsidDel="00F161E7">
        <w:t xml:space="preserve">more </w:t>
      </w:r>
      <w:r w:rsidRPr="00021D90" w:rsidDel="00F161E7">
        <w:t xml:space="preserve">on departmental needs. A joint discussion between teachers and their supervisors was then held to identify relevant </w:t>
      </w:r>
      <w:r w:rsidDel="00F161E7">
        <w:t xml:space="preserve">PD </w:t>
      </w:r>
      <w:r w:rsidRPr="00021D90" w:rsidDel="00F161E7">
        <w:t>areas for teachers to undertake. The online app (accessible on mobile phones) also allowed the capture of real-time data to inform ongoing planning and action.</w:t>
      </w:r>
    </w:p>
    <w:p w14:paraId="4A539BA9" w14:textId="77777777" w:rsidR="00FE3192" w:rsidRPr="00021D90" w:rsidDel="00F161E7" w:rsidRDefault="00FE3192" w:rsidP="00FE3192">
      <w:pPr>
        <w:pStyle w:val="Text"/>
      </w:pPr>
      <w:r w:rsidRPr="00021D90" w:rsidDel="00F161E7">
        <w:t xml:space="preserve">Chisholm teachers were allocated points when they participated in </w:t>
      </w:r>
      <w:r w:rsidDel="00F161E7">
        <w:t>PD</w:t>
      </w:r>
      <w:r w:rsidRPr="00021D90" w:rsidDel="00F161E7">
        <w:t>, and these points counted towards the achievement of the Educator Passport. When they completed the required number of points, teachers were issued with a business card confirming they had achieved their 12-month passport.</w:t>
      </w:r>
    </w:p>
    <w:p w14:paraId="04877EEF" w14:textId="77777777" w:rsidR="00FE3192" w:rsidRPr="00021D90" w:rsidDel="00F161E7" w:rsidRDefault="00FE3192" w:rsidP="00FE3192">
      <w:pPr>
        <w:pStyle w:val="Text"/>
      </w:pPr>
      <w:r w:rsidRPr="00021D90" w:rsidDel="00F161E7">
        <w:t xml:space="preserve">Although the app was the property of Chisholm, it was made available to the other TAFE institutes in the pilot, with Chisholm providing technical assistance. The other institutes were responsible for their communication strategies, using the profiling tool, conversations between teachers and their supervisors and registering for professional development activities. Chisholm ran </w:t>
      </w:r>
      <w:r w:rsidDel="00F161E7">
        <w:t xml:space="preserve">PD </w:t>
      </w:r>
      <w:r w:rsidRPr="00021D90" w:rsidDel="00F161E7">
        <w:t>sessions, using webinars for regional TAFEs.</w:t>
      </w:r>
    </w:p>
    <w:p w14:paraId="5D1D56D0" w14:textId="77777777" w:rsidR="00FE3192" w:rsidRPr="00021D90" w:rsidDel="00F161E7" w:rsidRDefault="00FE3192" w:rsidP="00FE3192">
      <w:pPr>
        <w:pStyle w:val="Heading3"/>
      </w:pPr>
      <w:r w:rsidRPr="00021D90" w:rsidDel="00F161E7">
        <w:t>Practical learnings</w:t>
      </w:r>
    </w:p>
    <w:p w14:paraId="4998480C" w14:textId="77777777" w:rsidR="00FE3192" w:rsidRPr="00021D90" w:rsidDel="00F161E7" w:rsidRDefault="00FE3192" w:rsidP="00FE3192">
      <w:pPr>
        <w:pStyle w:val="Text"/>
      </w:pPr>
      <w:r w:rsidRPr="00021D90" w:rsidDel="00F161E7">
        <w:t>The project manager described the implementation of the pilot and the collaboration between the five institutes as ‘amazingly successful’. It had achieved the necessary support and participation required to make it a success, and government funding had enabled the employment of project officers to run the program in the different institutes. The work of these project officers was a key factor in the pilot’s success.</w:t>
      </w:r>
    </w:p>
    <w:p w14:paraId="7210D012" w14:textId="77777777" w:rsidR="00FE3192" w:rsidDel="00F161E7" w:rsidRDefault="00FE3192" w:rsidP="00FE3192">
      <w:pPr>
        <w:pStyle w:val="Text"/>
      </w:pPr>
      <w:r w:rsidRPr="00021D90" w:rsidDel="00F161E7">
        <w:t xml:space="preserve">Some challenges in demonstrating a sustainable change in uptake and practice were identified, mainly because the pilot had commenced between December and </w:t>
      </w:r>
      <w:proofErr w:type="gramStart"/>
      <w:r w:rsidRPr="00021D90" w:rsidDel="00F161E7">
        <w:t>January, when</w:t>
      </w:r>
      <w:proofErr w:type="gramEnd"/>
      <w:r w:rsidRPr="00021D90" w:rsidDel="00F161E7">
        <w:t xml:space="preserve"> many VET teachers were on leave. It was also difficult to prove in a six-month pilot that teachers’ capabilities had increased or that they had embedded learnings into practice. Nevertheless, it was perceived to have been a start: ‘We may not do things exactly right, but we are on track’. Uptake had been strong, and all five institutes wanted to continue with the approach. </w:t>
      </w:r>
    </w:p>
    <w:p w14:paraId="0A0B28F8" w14:textId="77777777" w:rsidR="00FE3192" w:rsidRPr="001B1071" w:rsidDel="00F161E7" w:rsidRDefault="00FE3192" w:rsidP="00FE3192">
      <w:pPr>
        <w:pStyle w:val="Text"/>
      </w:pPr>
      <w:r w:rsidRPr="00D90E95" w:rsidDel="00F161E7">
        <w:t xml:space="preserve">At the time of consultation, Chisholm was negotiating a </w:t>
      </w:r>
      <w:r w:rsidRPr="00D90E95" w:rsidDel="00F161E7">
        <w:rPr>
          <w:i/>
        </w:rPr>
        <w:t>reduced service model</w:t>
      </w:r>
      <w:r w:rsidDel="00F161E7">
        <w:t xml:space="preserve">, </w:t>
      </w:r>
      <w:r w:rsidRPr="00D90E95" w:rsidDel="00F161E7">
        <w:t>through to December 2019</w:t>
      </w:r>
      <w:r w:rsidDel="00F161E7">
        <w:t>,</w:t>
      </w:r>
      <w:r w:rsidRPr="00D90E95" w:rsidDel="00F161E7">
        <w:t xml:space="preserve"> with the five TAFE</w:t>
      </w:r>
      <w:r w:rsidDel="00F161E7">
        <w:t xml:space="preserve"> institute</w:t>
      </w:r>
      <w:r w:rsidRPr="00D90E95" w:rsidDel="00F161E7">
        <w:t xml:space="preserve">s who </w:t>
      </w:r>
      <w:r w:rsidDel="00F161E7">
        <w:t>had taken</w:t>
      </w:r>
      <w:r w:rsidRPr="00D90E95" w:rsidDel="00F161E7">
        <w:t xml:space="preserve"> part in the pilot</w:t>
      </w:r>
      <w:r w:rsidDel="00F161E7">
        <w:t>,</w:t>
      </w:r>
      <w:r w:rsidRPr="00D90E95" w:rsidDel="00F161E7">
        <w:t xml:space="preserve"> whereby the </w:t>
      </w:r>
      <w:r w:rsidDel="00F161E7">
        <w:t>institutes</w:t>
      </w:r>
      <w:r w:rsidRPr="00D90E95" w:rsidDel="00F161E7">
        <w:t xml:space="preserve"> would need to invest in their own facilitators. </w:t>
      </w:r>
      <w:r w:rsidRPr="001B1071" w:rsidDel="00F161E7">
        <w:t xml:space="preserve">Issues of financial sustainability </w:t>
      </w:r>
      <w:r w:rsidDel="00F161E7">
        <w:t xml:space="preserve">past this date </w:t>
      </w:r>
      <w:r w:rsidRPr="00D90E95" w:rsidDel="00F161E7">
        <w:t xml:space="preserve">may </w:t>
      </w:r>
      <w:r w:rsidDel="00F161E7">
        <w:t>compel</w:t>
      </w:r>
      <w:r w:rsidRPr="001B1071" w:rsidDel="00F161E7">
        <w:t xml:space="preserve"> Chisholm to charge </w:t>
      </w:r>
      <w:r w:rsidRPr="00D90E95" w:rsidDel="00F161E7">
        <w:t>other TAFE</w:t>
      </w:r>
      <w:r w:rsidDel="00F161E7">
        <w:t xml:space="preserve"> institute</w:t>
      </w:r>
      <w:r w:rsidRPr="00D90E95" w:rsidDel="00F161E7">
        <w:t xml:space="preserve">s </w:t>
      </w:r>
      <w:r w:rsidRPr="001B1071" w:rsidDel="00F161E7">
        <w:t xml:space="preserve">a fee </w:t>
      </w:r>
      <w:r w:rsidRPr="00D90E95" w:rsidDel="00F161E7">
        <w:t xml:space="preserve">to </w:t>
      </w:r>
      <w:r w:rsidRPr="001B1071" w:rsidDel="00F161E7">
        <w:t xml:space="preserve">use the </w:t>
      </w:r>
      <w:r w:rsidRPr="00025B12" w:rsidDel="00F161E7">
        <w:t>app</w:t>
      </w:r>
      <w:r w:rsidRPr="001B1071" w:rsidDel="00F161E7">
        <w:t xml:space="preserve">, mainly </w:t>
      </w:r>
      <w:r w:rsidDel="00F161E7">
        <w:t>to support</w:t>
      </w:r>
      <w:r w:rsidRPr="001B1071" w:rsidDel="00F161E7">
        <w:t xml:space="preserve"> continuous improvement, including </w:t>
      </w:r>
      <w:r w:rsidRPr="00025B12" w:rsidDel="00F161E7">
        <w:t>app</w:t>
      </w:r>
      <w:r w:rsidRPr="001B1071" w:rsidDel="00F161E7">
        <w:t xml:space="preserve"> development, expansion of </w:t>
      </w:r>
      <w:r w:rsidRPr="00025B12" w:rsidDel="00F161E7">
        <w:t>app</w:t>
      </w:r>
      <w:r w:rsidRPr="001B1071" w:rsidDel="00F161E7">
        <w:t xml:space="preserve"> </w:t>
      </w:r>
      <w:r w:rsidDel="00F161E7">
        <w:t>capability</w:t>
      </w:r>
      <w:r w:rsidRPr="001B1071" w:rsidDel="00F161E7">
        <w:t xml:space="preserve">, and </w:t>
      </w:r>
      <w:r w:rsidDel="00F161E7">
        <w:t>maintenance of</w:t>
      </w:r>
      <w:r w:rsidRPr="001B1071" w:rsidDel="00F161E7">
        <w:t xml:space="preserve"> up-to-date resources. </w:t>
      </w:r>
    </w:p>
    <w:p w14:paraId="533F624B" w14:textId="77777777" w:rsidR="00AD383E" w:rsidRDefault="00AD383E">
      <w:pPr>
        <w:spacing w:before="0" w:line="240" w:lineRule="auto"/>
        <w:rPr>
          <w:rFonts w:ascii="Arial" w:hAnsi="Arial" w:cs="Tahoma"/>
          <w:color w:val="000000"/>
          <w:sz w:val="24"/>
          <w:szCs w:val="20"/>
          <w:lang w:eastAsia="en-US"/>
        </w:rPr>
      </w:pPr>
      <w:r>
        <w:br w:type="page"/>
      </w:r>
    </w:p>
    <w:p w14:paraId="692F7142" w14:textId="3C52E59C" w:rsidR="00FE3192" w:rsidRPr="00021D90" w:rsidDel="00F161E7" w:rsidRDefault="00FE3192" w:rsidP="00FE3192">
      <w:pPr>
        <w:pStyle w:val="Heading3"/>
      </w:pPr>
      <w:r w:rsidRPr="00021D90" w:rsidDel="00F161E7">
        <w:lastRenderedPageBreak/>
        <w:t>Findings from the formal evaluation</w:t>
      </w:r>
    </w:p>
    <w:p w14:paraId="5C18CF89" w14:textId="77777777" w:rsidR="00FE3192" w:rsidRPr="00021D90" w:rsidDel="00F161E7" w:rsidRDefault="00FE3192" w:rsidP="00FE3192">
      <w:pPr>
        <w:pStyle w:val="Text"/>
      </w:pPr>
      <w:r w:rsidRPr="00021D90" w:rsidDel="00F161E7">
        <w:t>The evaluation of the pilot in 2019 was conducted by independent evaluators (</w:t>
      </w:r>
      <w:proofErr w:type="spellStart"/>
      <w:r w:rsidRPr="00021D90" w:rsidDel="00F161E7">
        <w:t>Deschepper</w:t>
      </w:r>
      <w:proofErr w:type="spellEnd"/>
      <w:r w:rsidRPr="00021D90" w:rsidDel="00F161E7">
        <w:t xml:space="preserve"> Consulting &amp; DESTE Consulting Services 2019), with information collated from a variety of sources including:</w:t>
      </w:r>
    </w:p>
    <w:p w14:paraId="3EDE9D73" w14:textId="77777777" w:rsidR="00FE3192" w:rsidRPr="00021D90" w:rsidDel="00F161E7" w:rsidRDefault="00FE3192" w:rsidP="00E049AD">
      <w:pPr>
        <w:pStyle w:val="Dotpoint10"/>
      </w:pPr>
      <w:r w:rsidRPr="00021D90" w:rsidDel="00F161E7">
        <w:t xml:space="preserve">feedback from project officers, and educators across participating institutes </w:t>
      </w:r>
    </w:p>
    <w:p w14:paraId="7D4B2714" w14:textId="77777777" w:rsidR="00FE3192" w:rsidRPr="00021D90" w:rsidDel="00F161E7" w:rsidRDefault="00FE3192" w:rsidP="00E049AD">
      <w:pPr>
        <w:pStyle w:val="Dotpoint10"/>
      </w:pPr>
      <w:r w:rsidRPr="00021D90" w:rsidDel="00F161E7">
        <w:t xml:space="preserve">databases of participation. </w:t>
      </w:r>
    </w:p>
    <w:p w14:paraId="47273675" w14:textId="77777777" w:rsidR="00FE3192" w:rsidRPr="001B1071" w:rsidDel="00F161E7" w:rsidRDefault="00FE3192" w:rsidP="00FE3192">
      <w:pPr>
        <w:pStyle w:val="Text"/>
      </w:pPr>
      <w:r w:rsidRPr="001B1071" w:rsidDel="00F161E7">
        <w:t xml:space="preserve">The evaluation highlights the critical role played by project officers in the </w:t>
      </w:r>
      <w:r w:rsidDel="00F161E7">
        <w:t>i</w:t>
      </w:r>
      <w:r w:rsidRPr="001B1071" w:rsidDel="00F161E7">
        <w:t>nstitutes in helping to build and maintain the visibility of teachers</w:t>
      </w:r>
      <w:r w:rsidDel="00F161E7">
        <w:t>, as well as</w:t>
      </w:r>
      <w:r w:rsidRPr="001B1071" w:rsidDel="00F161E7">
        <w:t xml:space="preserve"> encourage and raise </w:t>
      </w:r>
      <w:r w:rsidDel="00F161E7">
        <w:t xml:space="preserve">their </w:t>
      </w:r>
      <w:r w:rsidRPr="001B1071" w:rsidDel="00F161E7">
        <w:t>participation</w:t>
      </w:r>
      <w:r w:rsidDel="00F161E7">
        <w:t>. The evaluation also points to</w:t>
      </w:r>
      <w:r w:rsidRPr="001B1071" w:rsidDel="00F161E7">
        <w:t xml:space="preserve"> the success of the project in terms of uptake by educators and </w:t>
      </w:r>
      <w:r w:rsidDel="00F161E7">
        <w:t xml:space="preserve">the </w:t>
      </w:r>
      <w:r w:rsidRPr="001B1071" w:rsidDel="00F161E7">
        <w:t xml:space="preserve">smooth operation of the </w:t>
      </w:r>
      <w:r w:rsidRPr="00B31C57" w:rsidDel="00F161E7">
        <w:t>app</w:t>
      </w:r>
      <w:r w:rsidDel="00F161E7">
        <w:t xml:space="preserve"> </w:t>
      </w:r>
      <w:r w:rsidRPr="001B1071" w:rsidDel="00F161E7">
        <w:t xml:space="preserve">technology. </w:t>
      </w:r>
      <w:r w:rsidDel="00F161E7">
        <w:t>The evaluation</w:t>
      </w:r>
      <w:r w:rsidRPr="001B1071" w:rsidDel="00F161E7">
        <w:t xml:space="preserve"> </w:t>
      </w:r>
      <w:r w:rsidDel="00F161E7">
        <w:t xml:space="preserve">also </w:t>
      </w:r>
      <w:r w:rsidRPr="001B1071" w:rsidDel="00F161E7">
        <w:t>note</w:t>
      </w:r>
      <w:r w:rsidDel="00F161E7">
        <w:t>d</w:t>
      </w:r>
      <w:r w:rsidRPr="001B1071" w:rsidDel="00F161E7">
        <w:t xml:space="preserve"> </w:t>
      </w:r>
      <w:r w:rsidDel="00F161E7">
        <w:t xml:space="preserve">that </w:t>
      </w:r>
      <w:r w:rsidRPr="001B1071" w:rsidDel="00F161E7">
        <w:t xml:space="preserve">the impact on educator practice needs to be </w:t>
      </w:r>
      <w:r w:rsidDel="00F161E7">
        <w:t>assessed</w:t>
      </w:r>
      <w:r w:rsidRPr="001B1071" w:rsidDel="00F161E7">
        <w:t xml:space="preserve"> over a longer period. </w:t>
      </w:r>
      <w:r w:rsidDel="00F161E7">
        <w:t>The e</w:t>
      </w:r>
      <w:r w:rsidRPr="001B1071" w:rsidDel="00F161E7">
        <w:t>valuators were, however, encouraged by the gradual embedding of this practice into business</w:t>
      </w:r>
      <w:r w:rsidDel="00F161E7">
        <w:t>-</w:t>
      </w:r>
      <w:r w:rsidRPr="001B1071" w:rsidDel="00F161E7">
        <w:t>as</w:t>
      </w:r>
      <w:r w:rsidDel="00F161E7">
        <w:t>-</w:t>
      </w:r>
      <w:r w:rsidRPr="001B1071" w:rsidDel="00F161E7">
        <w:t xml:space="preserve">usual approaches at Chisholm. </w:t>
      </w:r>
    </w:p>
    <w:p w14:paraId="4660FAA6" w14:textId="77777777" w:rsidR="00FE3192" w:rsidDel="00F161E7" w:rsidRDefault="00FE3192" w:rsidP="00FE3192">
      <w:pPr>
        <w:pStyle w:val="Text"/>
      </w:pPr>
      <w:r w:rsidRPr="001B1071" w:rsidDel="00F161E7">
        <w:t xml:space="preserve">In terms of </w:t>
      </w:r>
      <w:r w:rsidDel="00F161E7">
        <w:t xml:space="preserve">the </w:t>
      </w:r>
      <w:r w:rsidRPr="001B1071" w:rsidDel="00F161E7">
        <w:t>practical implementation</w:t>
      </w:r>
      <w:r w:rsidDel="00F161E7">
        <w:t xml:space="preserve"> of the framework</w:t>
      </w:r>
      <w:r w:rsidRPr="001B1071" w:rsidDel="00F161E7">
        <w:t xml:space="preserve">, the evaluation reported </w:t>
      </w:r>
      <w:r w:rsidDel="00F161E7">
        <w:t xml:space="preserve">that </w:t>
      </w:r>
      <w:r w:rsidRPr="001B1071" w:rsidDel="00F161E7">
        <w:t xml:space="preserve">some </w:t>
      </w:r>
      <w:r w:rsidDel="00F161E7">
        <w:t>problems</w:t>
      </w:r>
      <w:r w:rsidRPr="001B1071" w:rsidDel="00F161E7">
        <w:t xml:space="preserve"> that had been e</w:t>
      </w:r>
      <w:r w:rsidDel="00F161E7">
        <w:t>ncountered</w:t>
      </w:r>
      <w:r w:rsidRPr="001B1071" w:rsidDel="00F161E7">
        <w:t xml:space="preserve">, </w:t>
      </w:r>
      <w:r w:rsidDel="00F161E7">
        <w:t xml:space="preserve">such as: </w:t>
      </w:r>
    </w:p>
    <w:p w14:paraId="117C8B79" w14:textId="77777777" w:rsidR="00FE3192" w:rsidRPr="00BC7626" w:rsidDel="00F161E7" w:rsidRDefault="00FE3192" w:rsidP="00E049AD">
      <w:pPr>
        <w:pStyle w:val="Dotpoint10"/>
      </w:pPr>
      <w:r w:rsidDel="00F161E7">
        <w:t>S</w:t>
      </w:r>
      <w:r w:rsidRPr="00BC7626" w:rsidDel="00F161E7">
        <w:t xml:space="preserve">ome teachers </w:t>
      </w:r>
      <w:r w:rsidDel="00F161E7">
        <w:t xml:space="preserve">were </w:t>
      </w:r>
      <w:r w:rsidRPr="00BC7626" w:rsidDel="00F161E7">
        <w:t>hesitan</w:t>
      </w:r>
      <w:r w:rsidDel="00F161E7">
        <w:t>t about</w:t>
      </w:r>
      <w:r w:rsidRPr="00BC7626" w:rsidDel="00F161E7">
        <w:t xml:space="preserve"> us</w:t>
      </w:r>
      <w:r w:rsidDel="00F161E7">
        <w:t>ing</w:t>
      </w:r>
      <w:r w:rsidRPr="00BC7626" w:rsidDel="00F161E7">
        <w:t xml:space="preserve"> their own phones for downloading the </w:t>
      </w:r>
      <w:r w:rsidRPr="00B31C57" w:rsidDel="00F161E7">
        <w:t>app</w:t>
      </w:r>
      <w:r w:rsidRPr="00BC7626" w:rsidDel="00F161E7">
        <w:t xml:space="preserve"> (for personal reasons, but also for reasons of digital capacity and access, and uncertainty of the purposes and usage of the data collected, and whether participation was a voluntary or mandatory requirement). </w:t>
      </w:r>
      <w:r w:rsidDel="00F161E7">
        <w:t xml:space="preserve">Teachers </w:t>
      </w:r>
      <w:r w:rsidRPr="00BC7626" w:rsidDel="00F161E7">
        <w:t xml:space="preserve">inexperienced </w:t>
      </w:r>
      <w:r w:rsidDel="00F161E7">
        <w:t>with</w:t>
      </w:r>
      <w:r w:rsidRPr="00BC7626" w:rsidDel="00F161E7">
        <w:t xml:space="preserve"> downloading or using </w:t>
      </w:r>
      <w:r w:rsidRPr="00B31C57" w:rsidDel="00F161E7">
        <w:t>apps</w:t>
      </w:r>
      <w:r w:rsidRPr="00BC7626" w:rsidDel="00F161E7">
        <w:t xml:space="preserve"> on the</w:t>
      </w:r>
      <w:r w:rsidDel="00F161E7">
        <w:t>ir</w:t>
      </w:r>
      <w:r w:rsidRPr="00BC7626" w:rsidDel="00F161E7">
        <w:t xml:space="preserve"> mobile phone</w:t>
      </w:r>
      <w:r w:rsidDel="00F161E7">
        <w:t>s also reported some reluctance.</w:t>
      </w:r>
    </w:p>
    <w:p w14:paraId="71FF5A46" w14:textId="77777777" w:rsidR="00FE3192" w:rsidRPr="00BC7626" w:rsidDel="00F161E7" w:rsidRDefault="00FE3192" w:rsidP="00E049AD">
      <w:pPr>
        <w:pStyle w:val="Dotpoint10"/>
      </w:pPr>
      <w:r w:rsidDel="00F161E7">
        <w:t>I</w:t>
      </w:r>
      <w:r w:rsidRPr="00BC7626" w:rsidDel="00F161E7">
        <w:t xml:space="preserve">n </w:t>
      </w:r>
      <w:r w:rsidDel="00F161E7">
        <w:t>i</w:t>
      </w:r>
      <w:r w:rsidRPr="00BC7626" w:rsidDel="00F161E7">
        <w:t xml:space="preserve">nstitutes </w:t>
      </w:r>
      <w:r w:rsidDel="00F161E7">
        <w:t>with</w:t>
      </w:r>
      <w:r w:rsidRPr="00BC7626" w:rsidDel="00F161E7">
        <w:t xml:space="preserve"> </w:t>
      </w:r>
      <w:r w:rsidDel="00F161E7">
        <w:t xml:space="preserve">a </w:t>
      </w:r>
      <w:r w:rsidRPr="00BC7626" w:rsidDel="00F161E7">
        <w:t>regular performance review cycle for their teachers</w:t>
      </w:r>
      <w:r w:rsidDel="00F161E7">
        <w:t xml:space="preserve">, </w:t>
      </w:r>
      <w:r w:rsidRPr="00BC7626" w:rsidDel="00F161E7">
        <w:t xml:space="preserve">project officers </w:t>
      </w:r>
      <w:r w:rsidDel="00F161E7">
        <w:t xml:space="preserve">were challenged by </w:t>
      </w:r>
      <w:r w:rsidRPr="00BC7626" w:rsidDel="00F161E7">
        <w:t xml:space="preserve">having </w:t>
      </w:r>
      <w:r w:rsidDel="00F161E7">
        <w:t>to record information in two</w:t>
      </w:r>
      <w:r w:rsidRPr="00BC7626" w:rsidDel="00F161E7">
        <w:t xml:space="preserve"> systems</w:t>
      </w:r>
      <w:r w:rsidDel="00F161E7">
        <w:t>.</w:t>
      </w:r>
    </w:p>
    <w:p w14:paraId="6C372DE8" w14:textId="77777777" w:rsidR="00FE3192" w:rsidRPr="00BC7626" w:rsidDel="00F161E7" w:rsidRDefault="00FE3192" w:rsidP="00E049AD">
      <w:pPr>
        <w:pStyle w:val="Dotpoint10"/>
      </w:pPr>
      <w:r w:rsidDel="00F161E7">
        <w:t>T</w:t>
      </w:r>
      <w:r w:rsidRPr="00BC7626" w:rsidDel="00F161E7">
        <w:t xml:space="preserve">he participation of teachers in other </w:t>
      </w:r>
      <w:r w:rsidDel="00F161E7">
        <w:t xml:space="preserve">PD </w:t>
      </w:r>
      <w:r w:rsidRPr="00BC7626" w:rsidDel="00F161E7">
        <w:t xml:space="preserve">activities </w:t>
      </w:r>
      <w:r w:rsidDel="00F161E7">
        <w:t xml:space="preserve">needed to be </w:t>
      </w:r>
      <w:r w:rsidRPr="00BC7626" w:rsidDel="00F161E7">
        <w:t>recognise</w:t>
      </w:r>
      <w:r w:rsidDel="00F161E7">
        <w:t>d</w:t>
      </w:r>
      <w:r w:rsidRPr="00BC7626" w:rsidDel="00F161E7">
        <w:t xml:space="preserve"> and integrate</w:t>
      </w:r>
      <w:r w:rsidDel="00F161E7">
        <w:t>d</w:t>
      </w:r>
      <w:r w:rsidRPr="00BC7626" w:rsidDel="00F161E7">
        <w:t xml:space="preserve"> in</w:t>
      </w:r>
      <w:r w:rsidDel="00F161E7">
        <w:t>to</w:t>
      </w:r>
      <w:r w:rsidRPr="00BC7626" w:rsidDel="00F161E7">
        <w:t xml:space="preserve"> the Educator Passport</w:t>
      </w:r>
      <w:r w:rsidDel="00F161E7">
        <w:t>.</w:t>
      </w:r>
    </w:p>
    <w:p w14:paraId="1BE90E80" w14:textId="6158A22A" w:rsidR="00FE3192" w:rsidRPr="00BC7626" w:rsidDel="00F161E7" w:rsidRDefault="00FE3192" w:rsidP="00E049AD">
      <w:pPr>
        <w:pStyle w:val="Dotpoint10"/>
      </w:pPr>
      <w:r w:rsidDel="00F161E7">
        <w:t>I</w:t>
      </w:r>
      <w:r w:rsidRPr="00BC7626" w:rsidDel="00F161E7">
        <w:t xml:space="preserve">ssues </w:t>
      </w:r>
      <w:r w:rsidDel="00F161E7">
        <w:t xml:space="preserve">arose </w:t>
      </w:r>
      <w:r w:rsidRPr="00BC7626" w:rsidDel="00F161E7">
        <w:t>for teachers when schedul</w:t>
      </w:r>
      <w:r w:rsidDel="00F161E7">
        <w:t xml:space="preserve">ed PD </w:t>
      </w:r>
      <w:r w:rsidRPr="00BC7626" w:rsidDel="00F161E7">
        <w:t xml:space="preserve">sessions conflicted with course timetables and </w:t>
      </w:r>
      <w:r w:rsidDel="00F161E7">
        <w:t xml:space="preserve">they were </w:t>
      </w:r>
      <w:r w:rsidR="00923EB5">
        <w:br/>
      </w:r>
      <w:r w:rsidDel="00F161E7">
        <w:t>not</w:t>
      </w:r>
      <w:r w:rsidRPr="00BC7626" w:rsidDel="00F161E7">
        <w:t xml:space="preserve"> backfill</w:t>
      </w:r>
      <w:r w:rsidDel="00F161E7">
        <w:t>ed.</w:t>
      </w:r>
    </w:p>
    <w:p w14:paraId="56DE09A8" w14:textId="77777777" w:rsidR="00FE3192" w:rsidDel="00F161E7" w:rsidRDefault="00FE3192" w:rsidP="00FE3192">
      <w:pPr>
        <w:pStyle w:val="Text"/>
      </w:pPr>
      <w:r w:rsidDel="00F161E7">
        <w:t xml:space="preserve">Despite these </w:t>
      </w:r>
      <w:r w:rsidRPr="00963995" w:rsidDel="00F161E7">
        <w:t xml:space="preserve">practical </w:t>
      </w:r>
      <w:r w:rsidDel="00F161E7">
        <w:t xml:space="preserve">issues (which presumably can be fixed at local levels), the evaluators concluded that the flexibility and the versatility of the Educator Passport made it a success. It had the flexibility to add and modify domains, which means that it can be modified to suit local institute requirements, and it was versatile in that the </w:t>
      </w:r>
      <w:r w:rsidRPr="00F82643" w:rsidDel="00F161E7">
        <w:t>app</w:t>
      </w:r>
      <w:r w:rsidDel="00F161E7">
        <w:t xml:space="preserve"> could also be used for a range of other purposes, for example, the tracking of data to monitor implementation of government policies and initiatives. </w:t>
      </w:r>
    </w:p>
    <w:p w14:paraId="1F2564F9" w14:textId="77777777" w:rsidR="00FE3192" w:rsidDel="00F161E7" w:rsidRDefault="00FE3192" w:rsidP="00FE3192">
      <w:pPr>
        <w:pStyle w:val="Text"/>
      </w:pPr>
      <w:r w:rsidDel="00F161E7">
        <w:t>The evaluation concluded that it is ‘a successful initiative, establishing a benchmark for expected teacher improvement, building morale, and the professionalism of the sector’ (</w:t>
      </w:r>
      <w:proofErr w:type="spellStart"/>
      <w:r w:rsidRPr="001B1071" w:rsidDel="00F161E7">
        <w:t>Deschepper</w:t>
      </w:r>
      <w:proofErr w:type="spellEnd"/>
      <w:r w:rsidRPr="001B1071" w:rsidDel="00F161E7">
        <w:t xml:space="preserve"> Consulting </w:t>
      </w:r>
      <w:r w:rsidDel="00F161E7">
        <w:t>&amp;</w:t>
      </w:r>
      <w:r w:rsidRPr="001B1071" w:rsidDel="00F161E7">
        <w:t xml:space="preserve"> DESTE Consulting Services</w:t>
      </w:r>
      <w:r w:rsidDel="00F161E7">
        <w:t xml:space="preserve"> 2019, p.23). It also had the ‘potential to address improvement in the strategic and business outcomes of the Victorian VET sector’, and at the same time attend to the PD of teachers. </w:t>
      </w:r>
    </w:p>
    <w:p w14:paraId="789F705B" w14:textId="77777777" w:rsidR="00FE3192" w:rsidRPr="00D90E95" w:rsidDel="00F161E7" w:rsidRDefault="00FE3192" w:rsidP="00FE3192">
      <w:pPr>
        <w:pStyle w:val="Text"/>
      </w:pPr>
      <w:r w:rsidDel="00F161E7">
        <w:t xml:space="preserve">What is required is commitment from the state government and local TAFE institutes to make decisions ‘that actively engage the educator in sustaining their commitment to the learner and to local enterprises’. </w:t>
      </w:r>
      <w:r w:rsidRPr="00D90E95" w:rsidDel="00F161E7">
        <w:t xml:space="preserve">The key focus for Chisholm in 2020 will be to update the domains of the Educator Excellence Framework on digital literacy. </w:t>
      </w:r>
    </w:p>
    <w:p w14:paraId="17A65357" w14:textId="77777777" w:rsidR="00FE3192" w:rsidDel="00F161E7" w:rsidRDefault="00FE3192" w:rsidP="00C72D13">
      <w:pPr>
        <w:pStyle w:val="Heading2"/>
        <w:numPr>
          <w:ilvl w:val="0"/>
          <w:numId w:val="15"/>
        </w:numPr>
        <w:ind w:left="426" w:hanging="426"/>
      </w:pPr>
      <w:bookmarkStart w:id="116" w:name="_Toc54104356"/>
      <w:bookmarkStart w:id="117" w:name="_Toc62204964"/>
      <w:r w:rsidDel="00F161E7">
        <w:t>TAE40116 Traineeship Pilot (Northern Territory)</w:t>
      </w:r>
      <w:bookmarkEnd w:id="116"/>
      <w:bookmarkEnd w:id="117"/>
    </w:p>
    <w:p w14:paraId="62D7E2E1" w14:textId="4E8D9E3D" w:rsidR="00FE3192" w:rsidDel="00F161E7" w:rsidRDefault="00FE3192" w:rsidP="00FE3192">
      <w:pPr>
        <w:pStyle w:val="Text"/>
      </w:pPr>
      <w:r w:rsidDel="00F161E7">
        <w:t xml:space="preserve">This pilot, a </w:t>
      </w:r>
      <w:r w:rsidRPr="002513C0" w:rsidDel="00F161E7">
        <w:t xml:space="preserve">Northern Territory Government </w:t>
      </w:r>
      <w:r w:rsidDel="00F161E7">
        <w:t>initiative, trial</w:t>
      </w:r>
      <w:r w:rsidR="00DC7D1E">
        <w:t>led</w:t>
      </w:r>
      <w:r w:rsidDel="00F161E7">
        <w:t xml:space="preserve"> a new traineeship program for the Certificate IV </w:t>
      </w:r>
      <w:r w:rsidR="00A936F3">
        <w:t xml:space="preserve">in </w:t>
      </w:r>
      <w:r w:rsidDel="00F161E7">
        <w:t>TAE40116 and provide</w:t>
      </w:r>
      <w:r w:rsidR="00DC7D1E">
        <w:t>d</w:t>
      </w:r>
      <w:r w:rsidDel="00F161E7">
        <w:t xml:space="preserve"> training for new VET teachers, who, </w:t>
      </w:r>
      <w:proofErr w:type="gramStart"/>
      <w:r w:rsidDel="00F161E7">
        <w:t>in order to</w:t>
      </w:r>
      <w:proofErr w:type="gramEnd"/>
      <w:r w:rsidDel="00F161E7">
        <w:t xml:space="preserve"> be eligible, must have completed the </w:t>
      </w:r>
      <w:r w:rsidRPr="006A29FF" w:rsidDel="00F161E7">
        <w:t xml:space="preserve">TAESS00014 </w:t>
      </w:r>
      <w:r w:rsidDel="00F161E7">
        <w:t xml:space="preserve">Enterprise Trainer — </w:t>
      </w:r>
      <w:r w:rsidRPr="00012E25" w:rsidDel="00F161E7">
        <w:t>Presenting skill set</w:t>
      </w:r>
      <w:r w:rsidDel="00F161E7">
        <w:t xml:space="preserve">, which comprises: BSBCMM401 (Make a presentation) and TAEDEL301 (Provide work skill instruction). No RPL </w:t>
      </w:r>
      <w:r w:rsidR="00DC7D1E">
        <w:t>wa</w:t>
      </w:r>
      <w:r w:rsidDel="00F161E7">
        <w:t>s available and the program allow</w:t>
      </w:r>
      <w:r w:rsidR="00DC7D1E">
        <w:t>ed</w:t>
      </w:r>
      <w:r w:rsidDel="00F161E7">
        <w:t xml:space="preserve"> </w:t>
      </w:r>
      <w:r w:rsidDel="00F161E7">
        <w:lastRenderedPageBreak/>
        <w:t>a maximum of two government-funded trainee positions per RTO to participate in the pilot. The parties to the traineeship involve</w:t>
      </w:r>
      <w:r w:rsidR="00DC7D1E">
        <w:t>d</w:t>
      </w:r>
      <w:r w:rsidDel="00F161E7">
        <w:t>:</w:t>
      </w:r>
    </w:p>
    <w:p w14:paraId="0F27CD60" w14:textId="77777777" w:rsidR="00FE3192" w:rsidRPr="00021D90" w:rsidDel="00F161E7" w:rsidRDefault="00FE3192" w:rsidP="00E049AD">
      <w:pPr>
        <w:pStyle w:val="Dotpoint10"/>
      </w:pPr>
      <w:r w:rsidRPr="00021D90" w:rsidDel="00F161E7">
        <w:t xml:space="preserve">training RTOs, responsible for ensuring compliance with qualification entry requirements and the development of a training plan for each trainee </w:t>
      </w:r>
    </w:p>
    <w:p w14:paraId="04FE841E" w14:textId="296ACFBF" w:rsidR="00FE3192" w:rsidRPr="00021D90" w:rsidDel="00F161E7" w:rsidRDefault="00FE3192" w:rsidP="00E049AD">
      <w:pPr>
        <w:pStyle w:val="Dotpoint10"/>
      </w:pPr>
      <w:r w:rsidRPr="00021D90" w:rsidDel="00F161E7">
        <w:t>employing RTOs, with obligations to provide training following entry into an employment agreement with the trainee. The employing RTO w</w:t>
      </w:r>
      <w:r w:rsidR="00DC7D1E">
        <w:t>as</w:t>
      </w:r>
      <w:r w:rsidRPr="00021D90" w:rsidDel="00F161E7">
        <w:t xml:space="preserve"> required to provide training and supervision in accordance with the agreement. A maximum of two trainees </w:t>
      </w:r>
      <w:r w:rsidR="00DC7D1E">
        <w:t>wa</w:t>
      </w:r>
      <w:r w:rsidRPr="00021D90" w:rsidDel="00F161E7">
        <w:t xml:space="preserve">s allowed per employing RTO. Employer subsidies </w:t>
      </w:r>
      <w:r w:rsidR="00DC7D1E">
        <w:t>we</w:t>
      </w:r>
      <w:r w:rsidRPr="00021D90" w:rsidDel="00F161E7">
        <w:t>re conditional on fulfilment of employing RTO responsibilities</w:t>
      </w:r>
    </w:p>
    <w:p w14:paraId="331F14C4" w14:textId="01B09407" w:rsidR="00FE3192" w:rsidRPr="00021D90" w:rsidDel="00F161E7" w:rsidRDefault="00FE3192" w:rsidP="00E049AD">
      <w:pPr>
        <w:pStyle w:val="Dotpoint10"/>
      </w:pPr>
      <w:r w:rsidRPr="00021D90" w:rsidDel="00F161E7">
        <w:t xml:space="preserve">the Department (Department of Trade, </w:t>
      </w:r>
      <w:proofErr w:type="gramStart"/>
      <w:r w:rsidRPr="00021D90" w:rsidDel="00F161E7">
        <w:t>Business</w:t>
      </w:r>
      <w:proofErr w:type="gramEnd"/>
      <w:r w:rsidRPr="00021D90" w:rsidDel="00F161E7">
        <w:t xml:space="preserve"> and Innovation), which </w:t>
      </w:r>
      <w:r w:rsidR="00DC7D1E">
        <w:t>wa</w:t>
      </w:r>
      <w:r w:rsidRPr="00021D90" w:rsidDel="00F161E7">
        <w:t xml:space="preserve">s responsible for program oversight, maintaining strong relationships with key stakeholders and providing stakeholders with support </w:t>
      </w:r>
    </w:p>
    <w:p w14:paraId="4A6C80F0" w14:textId="1720FDBC" w:rsidR="00FE3192" w:rsidRPr="00021D90" w:rsidDel="00F161E7" w:rsidRDefault="00FE3192" w:rsidP="00E049AD">
      <w:pPr>
        <w:pStyle w:val="Dotpoint10"/>
      </w:pPr>
      <w:r w:rsidRPr="00021D90" w:rsidDel="00F161E7">
        <w:t xml:space="preserve">the trainee, who </w:t>
      </w:r>
      <w:r w:rsidR="00DC7D1E">
        <w:t>wa</w:t>
      </w:r>
      <w:r w:rsidRPr="00021D90" w:rsidDel="00F161E7">
        <w:t xml:space="preserve">s expected to show broad industry experience and knowledge in their proposed vocational teaching area; five years of industry experience </w:t>
      </w:r>
      <w:r w:rsidR="00DC7D1E">
        <w:t>wa</w:t>
      </w:r>
      <w:r w:rsidRPr="00021D90" w:rsidDel="00F161E7">
        <w:t xml:space="preserve">s required. </w:t>
      </w:r>
    </w:p>
    <w:p w14:paraId="3F9B59F1" w14:textId="51A1DC08" w:rsidR="00FE3192" w:rsidRPr="00021D90" w:rsidDel="00F161E7" w:rsidRDefault="00FE3192" w:rsidP="00FE3192">
      <w:pPr>
        <w:pStyle w:val="Text"/>
      </w:pPr>
      <w:r w:rsidRPr="00021D90" w:rsidDel="00F161E7">
        <w:t xml:space="preserve">The pilot was considered a success, with </w:t>
      </w:r>
      <w:r w:rsidR="00DC7D1E">
        <w:t xml:space="preserve">all </w:t>
      </w:r>
      <w:r w:rsidRPr="00021D90" w:rsidDel="00F161E7">
        <w:t xml:space="preserve">eight trainees who began the program in 2019 completing the training. The program has continued, with a further 12 trainees enrolled in the program. </w:t>
      </w:r>
    </w:p>
    <w:p w14:paraId="45D65BD3" w14:textId="4982FA3E" w:rsidR="00FE3192" w:rsidRPr="005066FE" w:rsidDel="00F161E7" w:rsidRDefault="00FE3192" w:rsidP="005066FE">
      <w:pPr>
        <w:pStyle w:val="Text"/>
      </w:pPr>
      <w:r w:rsidRPr="005066FE" w:rsidDel="00F161E7">
        <w:t xml:space="preserve">The biggest issue concerned the timing of pilot commencement, with all participants expected to start at the same time. RTOs only employ teachers when they have student demand for courses, but, in retrospect, a rolling start, with flexible entry and exit points, would have been more effective; this </w:t>
      </w:r>
      <w:r w:rsidR="00DC7D1E">
        <w:t xml:space="preserve">was </w:t>
      </w:r>
      <w:r w:rsidRPr="005066FE" w:rsidDel="00F161E7">
        <w:t xml:space="preserve">considered for the next iteration. </w:t>
      </w:r>
    </w:p>
    <w:p w14:paraId="4B8D8F5C" w14:textId="77777777" w:rsidR="00FE3192" w:rsidRPr="00021D90" w:rsidDel="00F161E7" w:rsidRDefault="00FE3192" w:rsidP="005066FE">
      <w:pPr>
        <w:pStyle w:val="Text"/>
      </w:pPr>
      <w:r w:rsidRPr="00021D90" w:rsidDel="00F161E7">
        <w:t xml:space="preserve">The program was considered highly sustainable, both conceptually and financially, because it is based on RTO demand for teaching staff, which itself is based on student course enrolments. New employees undertake some training in specified units of competency to obtain some initial teaching skills before they commence the traineeship. </w:t>
      </w:r>
      <w:r w:rsidDel="00F161E7">
        <w:t xml:space="preserve">After </w:t>
      </w:r>
      <w:r w:rsidRPr="00021D90" w:rsidDel="00F161E7">
        <w:t xml:space="preserve">they commence, they begin training for the full qualification, which is comprised of a combination of on-the-job and off-the job training, as in any other traineeship program. </w:t>
      </w:r>
    </w:p>
    <w:p w14:paraId="10C190DF" w14:textId="19471177" w:rsidR="00FE3192" w:rsidRPr="00021D90" w:rsidDel="00F161E7" w:rsidRDefault="00FE3192" w:rsidP="00FE3192">
      <w:pPr>
        <w:pStyle w:val="Text"/>
      </w:pPr>
      <w:r w:rsidRPr="00021D90" w:rsidDel="00F161E7">
        <w:t xml:space="preserve">The </w:t>
      </w:r>
      <w:r w:rsidR="00A936F3">
        <w:t>C</w:t>
      </w:r>
      <w:r w:rsidRPr="00021D90" w:rsidDel="00F161E7">
        <w:t xml:space="preserve">ertificate IV </w:t>
      </w:r>
      <w:r w:rsidDel="00F161E7">
        <w:t xml:space="preserve">in </w:t>
      </w:r>
      <w:r w:rsidRPr="00021D90" w:rsidDel="00F161E7">
        <w:t xml:space="preserve">TAE was also felt to be a suitable entry-level qualification for employment in the sector as it provides an initial introduction to teaching. </w:t>
      </w:r>
      <w:r w:rsidRPr="008555B2" w:rsidDel="00F161E7">
        <w:t>The other benefit for participants in undertaking the Certificate IV in TAE using this model was that they were employed on a teacher’s wage.</w:t>
      </w:r>
    </w:p>
    <w:p w14:paraId="6CDF6352" w14:textId="77777777" w:rsidR="00FE3192" w:rsidRPr="00021D90" w:rsidDel="00F161E7" w:rsidRDefault="00FE3192" w:rsidP="00C72D13">
      <w:pPr>
        <w:pStyle w:val="Heading2"/>
        <w:numPr>
          <w:ilvl w:val="0"/>
          <w:numId w:val="15"/>
        </w:numPr>
        <w:ind w:left="426" w:hanging="426"/>
      </w:pPr>
      <w:bookmarkStart w:id="118" w:name="_Toc54104357"/>
      <w:bookmarkStart w:id="119" w:name="_Toc62204965"/>
      <w:r w:rsidRPr="00021D90" w:rsidDel="00F161E7">
        <w:t>Regional Development of VET Teaching Capability Pilot (Tasmania)</w:t>
      </w:r>
      <w:bookmarkEnd w:id="118"/>
      <w:bookmarkEnd w:id="119"/>
    </w:p>
    <w:p w14:paraId="50F2365A" w14:textId="77777777" w:rsidR="00FE3192" w:rsidDel="00F161E7" w:rsidRDefault="00FE3192" w:rsidP="00FE3192">
      <w:pPr>
        <w:pStyle w:val="Text"/>
      </w:pPr>
      <w:r w:rsidDel="00F161E7">
        <w:t xml:space="preserve">This pilot is part of the Tasmanian Government’s Workforce Development Program, which aims to build VET teaching capacity for industries of regional priority on the West Coast of Tasmania.  </w:t>
      </w:r>
    </w:p>
    <w:p w14:paraId="366FFEEB" w14:textId="77777777" w:rsidR="005066FE" w:rsidRDefault="00FE3192" w:rsidP="00FE3192">
      <w:pPr>
        <w:pStyle w:val="Text"/>
      </w:pPr>
      <w:r w:rsidRPr="00021D90" w:rsidDel="00F161E7">
        <w:t xml:space="preserve">The West Coast Council partnered with </w:t>
      </w:r>
      <w:proofErr w:type="spellStart"/>
      <w:r w:rsidRPr="00021D90" w:rsidDel="00F161E7">
        <w:t>TasTAFE</w:t>
      </w:r>
      <w:proofErr w:type="spellEnd"/>
      <w:r w:rsidRPr="00021D90" w:rsidDel="00F161E7">
        <w:t xml:space="preserve"> to deliver the Certificate IV </w:t>
      </w:r>
      <w:r w:rsidR="00A936F3">
        <w:t xml:space="preserve">in </w:t>
      </w:r>
      <w:r w:rsidRPr="00021D90" w:rsidDel="00F161E7">
        <w:t xml:space="preserve">TAE40116 to individuals with the experience, vocational qualifications, </w:t>
      </w:r>
      <w:proofErr w:type="gramStart"/>
      <w:r w:rsidRPr="00021D90" w:rsidDel="00F161E7">
        <w:t>interest</w:t>
      </w:r>
      <w:proofErr w:type="gramEnd"/>
      <w:r w:rsidRPr="00021D90" w:rsidDel="00F161E7">
        <w:t xml:space="preserve"> and capacity to complete the qualification, and a willingness to stay in the area. The industry areas serviced in this pilot </w:t>
      </w:r>
      <w:proofErr w:type="gramStart"/>
      <w:r w:rsidRPr="00021D90" w:rsidDel="00F161E7">
        <w:t>are:</w:t>
      </w:r>
      <w:proofErr w:type="gramEnd"/>
      <w:r w:rsidRPr="00021D90" w:rsidDel="00F161E7">
        <w:t xml:space="preserve"> information technology; tourism and hospitality; printmaking; carpentry and joinery; community sector business and leadership management; aged care; kitchen operations; community services and engineering. </w:t>
      </w:r>
    </w:p>
    <w:p w14:paraId="067B3DB4" w14:textId="53749363" w:rsidR="00FE3192" w:rsidRPr="00021D90" w:rsidDel="00F161E7" w:rsidRDefault="00FE3192" w:rsidP="00FE3192">
      <w:pPr>
        <w:pStyle w:val="Text"/>
      </w:pPr>
      <w:proofErr w:type="spellStart"/>
      <w:r w:rsidRPr="00021D90" w:rsidDel="00F161E7">
        <w:t>TasTAFE</w:t>
      </w:r>
      <w:proofErr w:type="spellEnd"/>
      <w:r w:rsidRPr="00021D90" w:rsidDel="00F161E7">
        <w:t xml:space="preserve"> </w:t>
      </w:r>
      <w:r w:rsidR="00DC7D1E">
        <w:t xml:space="preserve">is </w:t>
      </w:r>
      <w:r w:rsidRPr="00021D90" w:rsidDel="00F161E7">
        <w:t>deliver</w:t>
      </w:r>
      <w:r w:rsidR="00DC7D1E">
        <w:t>ing</w:t>
      </w:r>
      <w:r w:rsidRPr="00021D90" w:rsidDel="00F161E7">
        <w:t xml:space="preserve"> the training via flexible delivery methods, accompanied by mentoring and support for students. The original plan entailed having regular face-to-face workshops, skype webinars, online resources, supported study sessions, group discussion boards and workplace learning. On completion of the project, participants w</w:t>
      </w:r>
      <w:r w:rsidR="00DC7D1E">
        <w:t>ould</w:t>
      </w:r>
      <w:r w:rsidRPr="00021D90" w:rsidDel="00F161E7">
        <w:t xml:space="preserve"> continue to receive mentoring and support. They w</w:t>
      </w:r>
      <w:r w:rsidR="00DC7D1E">
        <w:t>ould</w:t>
      </w:r>
      <w:r w:rsidRPr="00021D90" w:rsidDel="00F161E7">
        <w:t xml:space="preserve"> also have opportunities for employment with </w:t>
      </w:r>
      <w:proofErr w:type="spellStart"/>
      <w:r w:rsidRPr="00021D90" w:rsidDel="00F161E7">
        <w:t>TasTAFE</w:t>
      </w:r>
      <w:proofErr w:type="spellEnd"/>
      <w:r w:rsidRPr="00021D90" w:rsidDel="00F161E7">
        <w:t xml:space="preserve"> and other RTOs in the delivery of training in industry on the west coast.</w:t>
      </w:r>
      <w:r w:rsidDel="00F161E7">
        <w:t xml:space="preserve"> </w:t>
      </w:r>
      <w:r w:rsidRPr="00845CF6" w:rsidDel="00F161E7">
        <w:t>A key lesson learnt early in this pilot was that plans need to be adapted to changes in the</w:t>
      </w:r>
      <w:r w:rsidDel="00F161E7">
        <w:t xml:space="preserve"> environment. In addition: </w:t>
      </w:r>
    </w:p>
    <w:p w14:paraId="40FADDA9" w14:textId="77777777" w:rsidR="00FE3192" w:rsidDel="00F161E7" w:rsidRDefault="00FE3192" w:rsidP="00E049AD">
      <w:pPr>
        <w:pStyle w:val="Dotpoint10"/>
      </w:pPr>
      <w:r w:rsidRPr="00021D90" w:rsidDel="00F161E7">
        <w:lastRenderedPageBreak/>
        <w:t xml:space="preserve">Plans for using a blended-learning approach (including face-to-face seminars and workshops) had to be adapted to accommodate the disruption caused by the arrival of COVID-19 and the ensuing state restrictions on face-to-face gatherings. This meant that training was delivered via </w:t>
      </w:r>
      <w:r w:rsidDel="00F161E7">
        <w:t>ZOOM</w:t>
      </w:r>
      <w:r w:rsidRPr="00021D90" w:rsidDel="00F161E7">
        <w:t xml:space="preserve"> seminars and online training resources </w:t>
      </w:r>
    </w:p>
    <w:p w14:paraId="1074CB88" w14:textId="514552D2" w:rsidR="00F408A5" w:rsidRDefault="00FE3192" w:rsidP="00F408A5">
      <w:pPr>
        <w:pStyle w:val="Dotpoint10"/>
        <w:sectPr w:rsidR="00F408A5" w:rsidSect="002C2FD3">
          <w:pgSz w:w="11907" w:h="16840" w:code="9"/>
          <w:pgMar w:top="232" w:right="1276" w:bottom="851" w:left="1276" w:header="709" w:footer="556" w:gutter="0"/>
          <w:cols w:space="708"/>
          <w:docGrid w:linePitch="360"/>
        </w:sectPr>
      </w:pPr>
      <w:r w:rsidDel="00F161E7">
        <w:t>There are indications that some students (teachers) are not entirely happy with online learning</w:t>
      </w:r>
      <w:r w:rsidR="00A36F5A">
        <w:t>.</w:t>
      </w:r>
    </w:p>
    <w:p w14:paraId="1056632F" w14:textId="597D80BA" w:rsidR="00F408A5" w:rsidRDefault="00E54B1E" w:rsidP="00F408A5">
      <w:pPr>
        <w:spacing w:before="0" w:line="240" w:lineRule="auto"/>
        <w:rPr>
          <w:color w:val="000000"/>
          <w:szCs w:val="20"/>
          <w:lang w:eastAsia="en-US"/>
        </w:rPr>
      </w:pPr>
      <w:r>
        <w:rPr>
          <w:noProof/>
          <w:color w:val="000000"/>
          <w:szCs w:val="20"/>
          <w:lang w:eastAsia="en-US"/>
        </w:rPr>
        <w:lastRenderedPageBreak/>
        <w:drawing>
          <wp:anchor distT="0" distB="0" distL="114300" distR="114300" simplePos="0" relativeHeight="252030976" behindDoc="0" locked="0" layoutInCell="1" allowOverlap="1" wp14:anchorId="67A0F456" wp14:editId="2EDDF385">
            <wp:simplePos x="0" y="0"/>
            <wp:positionH relativeFrom="column">
              <wp:posOffset>-401320</wp:posOffset>
            </wp:positionH>
            <wp:positionV relativeFrom="paragraph">
              <wp:posOffset>7404735</wp:posOffset>
            </wp:positionV>
            <wp:extent cx="2276475" cy="486410"/>
            <wp:effectExtent l="0" t="0" r="9525" b="8890"/>
            <wp:wrapNone/>
            <wp:docPr id="18" name="Picture 18"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PublicationComponents\logos\NCVER LOGOS\WMF - word\No lines\NCVER_Floating_Blue.wmf"/>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Cs w:val="20"/>
          <w:lang w:eastAsia="en-US"/>
        </w:rPr>
        <mc:AlternateContent>
          <mc:Choice Requires="wps">
            <w:drawing>
              <wp:anchor distT="0" distB="0" distL="114300" distR="114300" simplePos="0" relativeHeight="252033024" behindDoc="0" locked="0" layoutInCell="1" allowOverlap="1" wp14:anchorId="24CA7A7C" wp14:editId="74C46EDC">
                <wp:simplePos x="0" y="0"/>
                <wp:positionH relativeFrom="column">
                  <wp:posOffset>-476885</wp:posOffset>
                </wp:positionH>
                <wp:positionV relativeFrom="paragraph">
                  <wp:posOffset>7889875</wp:posOffset>
                </wp:positionV>
                <wp:extent cx="5143500" cy="1638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38300"/>
                        </a:xfrm>
                        <a:prstGeom prst="rect">
                          <a:avLst/>
                        </a:prstGeom>
                        <a:noFill/>
                        <a:ln w="6350">
                          <a:noFill/>
                        </a:ln>
                        <a:effectLst/>
                      </wps:spPr>
                      <wps:txbx>
                        <w:txbxContent>
                          <w:p w14:paraId="57F761EE" w14:textId="77777777" w:rsidR="00AA34B7" w:rsidRPr="006E0B9E" w:rsidRDefault="00AA34B7" w:rsidP="00F408A5">
                            <w:pPr>
                              <w:rPr>
                                <w:rFonts w:ascii="Arial" w:hAnsi="Arial" w:cs="Arial"/>
                                <w:b/>
                              </w:rPr>
                            </w:pPr>
                            <w:r w:rsidRPr="006E0B9E">
                              <w:rPr>
                                <w:rFonts w:ascii="Arial" w:hAnsi="Arial" w:cs="Arial"/>
                                <w:b/>
                              </w:rPr>
                              <w:t>National Centre for Vocational Education Research</w:t>
                            </w:r>
                          </w:p>
                          <w:p w14:paraId="4874D6BB" w14:textId="77777777" w:rsidR="00AA34B7" w:rsidRPr="006E0B9E" w:rsidRDefault="00AA34B7" w:rsidP="00F408A5">
                            <w:pPr>
                              <w:pStyle w:val="Imprint"/>
                              <w:spacing w:before="80"/>
                              <w:rPr>
                                <w:rFonts w:ascii="Arial" w:hAnsi="Arial" w:cs="Arial"/>
                                <w:color w:val="000000"/>
                              </w:rPr>
                            </w:pPr>
                            <w:r w:rsidRPr="006E0B9E">
                              <w:rPr>
                                <w:rFonts w:ascii="Arial" w:hAnsi="Arial" w:cs="Arial"/>
                                <w:color w:val="000000"/>
                              </w:rPr>
                              <w:t xml:space="preserve">Level </w:t>
                            </w:r>
                            <w:r>
                              <w:rPr>
                                <w:rFonts w:ascii="Arial" w:hAnsi="Arial" w:cs="Arial"/>
                                <w:color w:val="000000"/>
                              </w:rPr>
                              <w:t>5, 60 Light Square</w:t>
                            </w:r>
                            <w:r w:rsidRPr="006E0B9E">
                              <w:rPr>
                                <w:rFonts w:ascii="Arial" w:hAnsi="Arial" w:cs="Arial"/>
                                <w:color w:val="000000"/>
                              </w:rPr>
                              <w:t>, Adelaide, SA 5000</w:t>
                            </w:r>
                            <w:r w:rsidRPr="006E0B9E">
                              <w:rPr>
                                <w:rFonts w:ascii="Arial" w:hAnsi="Arial" w:cs="Arial"/>
                                <w:color w:val="000000"/>
                              </w:rPr>
                              <w:br/>
                              <w:t>PO Box 8288 Station Arcade, Adelaide SA 5000, Australia</w:t>
                            </w:r>
                          </w:p>
                          <w:p w14:paraId="455E93A8" w14:textId="77777777" w:rsidR="00AA34B7" w:rsidRPr="006E0B9E" w:rsidRDefault="00AA34B7" w:rsidP="00F408A5">
                            <w:pPr>
                              <w:pStyle w:val="Imprint"/>
                              <w:tabs>
                                <w:tab w:val="left" w:pos="3402"/>
                              </w:tabs>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Email</w:t>
                            </w:r>
                            <w:proofErr w:type="gramEnd"/>
                            <w:r w:rsidRPr="006E0B9E">
                              <w:rPr>
                                <w:rFonts w:ascii="Arial" w:hAnsi="Arial" w:cs="Arial"/>
                              </w:rPr>
                              <w:t xml:space="preserve"> </w:t>
                            </w:r>
                            <w:hyperlink r:id="rId66" w:history="1">
                              <w:r w:rsidRPr="006C271D">
                                <w:rPr>
                                  <w:rStyle w:val="Hyperlink"/>
                                  <w:rFonts w:ascii="Arial" w:hAnsi="Arial" w:cs="Arial"/>
                                  <w:sz w:val="16"/>
                                  <w:szCs w:val="16"/>
                                </w:rPr>
                                <w:t>ncver@ncver.edu.au</w:t>
                              </w:r>
                            </w:hyperlink>
                            <w:r w:rsidRPr="006C271D">
                              <w:rPr>
                                <w:rFonts w:ascii="Arial" w:hAnsi="Arial" w:cs="Arial"/>
                                <w:szCs w:val="16"/>
                              </w:rPr>
                              <w:t xml:space="preserve">  </w:t>
                            </w:r>
                            <w:r>
                              <w:rPr>
                                <w:rFonts w:ascii="Arial" w:hAnsi="Arial" w:cs="Arial"/>
                                <w:szCs w:val="16"/>
                              </w:rPr>
                              <w:br/>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://www.ncver.edu.au&gt;  &lt;</w:t>
                            </w:r>
                            <w:hyperlink r:id="rId67" w:history="1">
                              <w:r w:rsidRPr="00642958">
                                <w:rPr>
                                  <w:rStyle w:val="Hyperlink"/>
                                  <w:rFonts w:ascii="Arial" w:hAnsi="Arial" w:cs="Arial"/>
                                  <w:sz w:val="16"/>
                                  <w:szCs w:val="16"/>
                                </w:rPr>
                                <w:t>http://www.lsay.edu.au</w:t>
                              </w:r>
                            </w:hyperlink>
                            <w:r w:rsidRPr="006C271D">
                              <w:rPr>
                                <w:rFonts w:ascii="Arial" w:hAnsi="Arial" w:cs="Arial"/>
                                <w:szCs w:val="16"/>
                              </w:rPr>
                              <w:t>&gt;</w:t>
                            </w:r>
                          </w:p>
                          <w:p w14:paraId="5853780F" w14:textId="77777777" w:rsidR="00AA34B7" w:rsidRPr="006E0B9E" w:rsidRDefault="00AA34B7" w:rsidP="00F408A5">
                            <w:pPr>
                              <w:pStyle w:val="Imprint"/>
                              <w:tabs>
                                <w:tab w:val="left" w:pos="993"/>
                                <w:tab w:val="left" w:pos="3686"/>
                              </w:tabs>
                              <w:spacing w:before="0"/>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68" w:history="1">
                              <w:r w:rsidRPr="00642958">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14:paraId="1531C419" w14:textId="77777777" w:rsidR="00AA34B7" w:rsidRPr="009F3844" w:rsidRDefault="00AA34B7" w:rsidP="00F408A5">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7A7C" id="Text Box 21" o:spid="_x0000_s1030" type="#_x0000_t202" style="position:absolute;margin-left:-37.55pt;margin-top:621.25pt;width:405pt;height:12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" filled="f" stroked="f" strokeweight=".5pt">
                <v:textbox>
                  <w:txbxContent>
                    <w:p w14:paraId="57F761EE" w14:textId="77777777" w:rsidR="00AA34B7" w:rsidRPr="006E0B9E" w:rsidRDefault="00AA34B7" w:rsidP="00F408A5">
                      <w:pPr>
                        <w:rPr>
                          <w:rFonts w:ascii="Arial" w:hAnsi="Arial" w:cs="Arial"/>
                          <w:b/>
                        </w:rPr>
                      </w:pPr>
                      <w:r w:rsidRPr="006E0B9E">
                        <w:rPr>
                          <w:rFonts w:ascii="Arial" w:hAnsi="Arial" w:cs="Arial"/>
                          <w:b/>
                        </w:rPr>
                        <w:t>National Centre for Vocational Education Research</w:t>
                      </w:r>
                    </w:p>
                    <w:p w14:paraId="4874D6BB" w14:textId="77777777" w:rsidR="00AA34B7" w:rsidRPr="006E0B9E" w:rsidRDefault="00AA34B7" w:rsidP="00F408A5">
                      <w:pPr>
                        <w:pStyle w:val="Imprint"/>
                        <w:spacing w:before="80"/>
                        <w:rPr>
                          <w:rFonts w:ascii="Arial" w:hAnsi="Arial" w:cs="Arial"/>
                          <w:color w:val="000000"/>
                        </w:rPr>
                      </w:pPr>
                      <w:r w:rsidRPr="006E0B9E">
                        <w:rPr>
                          <w:rFonts w:ascii="Arial" w:hAnsi="Arial" w:cs="Arial"/>
                          <w:color w:val="000000"/>
                        </w:rPr>
                        <w:t xml:space="preserve">Level </w:t>
                      </w:r>
                      <w:r>
                        <w:rPr>
                          <w:rFonts w:ascii="Arial" w:hAnsi="Arial" w:cs="Arial"/>
                          <w:color w:val="000000"/>
                        </w:rPr>
                        <w:t>5, 60 Light Square</w:t>
                      </w:r>
                      <w:r w:rsidRPr="006E0B9E">
                        <w:rPr>
                          <w:rFonts w:ascii="Arial" w:hAnsi="Arial" w:cs="Arial"/>
                          <w:color w:val="000000"/>
                        </w:rPr>
                        <w:t>, Adelaide, SA 5000</w:t>
                      </w:r>
                      <w:r w:rsidRPr="006E0B9E">
                        <w:rPr>
                          <w:rFonts w:ascii="Arial" w:hAnsi="Arial" w:cs="Arial"/>
                          <w:color w:val="000000"/>
                        </w:rPr>
                        <w:br/>
                        <w:t>PO Box 8288 Station Arcade, Adelaide SA 5000, Australia</w:t>
                      </w:r>
                    </w:p>
                    <w:p w14:paraId="455E93A8" w14:textId="77777777" w:rsidR="00AA34B7" w:rsidRPr="006E0B9E" w:rsidRDefault="00AA34B7" w:rsidP="00F408A5">
                      <w:pPr>
                        <w:pStyle w:val="Imprint"/>
                        <w:tabs>
                          <w:tab w:val="left" w:pos="3402"/>
                        </w:tabs>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Email</w:t>
                      </w:r>
                      <w:proofErr w:type="gramEnd"/>
                      <w:r w:rsidRPr="006E0B9E">
                        <w:rPr>
                          <w:rFonts w:ascii="Arial" w:hAnsi="Arial" w:cs="Arial"/>
                        </w:rPr>
                        <w:t xml:space="preserve"> </w:t>
                      </w:r>
                      <w:hyperlink r:id="rId69" w:history="1">
                        <w:r w:rsidRPr="006C271D">
                          <w:rPr>
                            <w:rStyle w:val="Hyperlink"/>
                            <w:rFonts w:ascii="Arial" w:hAnsi="Arial" w:cs="Arial"/>
                            <w:sz w:val="16"/>
                            <w:szCs w:val="16"/>
                          </w:rPr>
                          <w:t>ncver@ncver.edu.au</w:t>
                        </w:r>
                      </w:hyperlink>
                      <w:r w:rsidRPr="006C271D">
                        <w:rPr>
                          <w:rFonts w:ascii="Arial" w:hAnsi="Arial" w:cs="Arial"/>
                          <w:szCs w:val="16"/>
                        </w:rPr>
                        <w:t xml:space="preserve">  </w:t>
                      </w:r>
                      <w:r>
                        <w:rPr>
                          <w:rFonts w:ascii="Arial" w:hAnsi="Arial" w:cs="Arial"/>
                          <w:szCs w:val="16"/>
                        </w:rPr>
                        <w:br/>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://www.ncver.edu.au&gt;  &lt;</w:t>
                      </w:r>
                      <w:hyperlink r:id="rId70" w:history="1">
                        <w:r w:rsidRPr="00642958">
                          <w:rPr>
                            <w:rStyle w:val="Hyperlink"/>
                            <w:rFonts w:ascii="Arial" w:hAnsi="Arial" w:cs="Arial"/>
                            <w:sz w:val="16"/>
                            <w:szCs w:val="16"/>
                          </w:rPr>
                          <w:t>http://www.lsay.edu.au</w:t>
                        </w:r>
                      </w:hyperlink>
                      <w:r w:rsidRPr="006C271D">
                        <w:rPr>
                          <w:rFonts w:ascii="Arial" w:hAnsi="Arial" w:cs="Arial"/>
                          <w:szCs w:val="16"/>
                        </w:rPr>
                        <w:t>&gt;</w:t>
                      </w:r>
                    </w:p>
                    <w:p w14:paraId="5853780F" w14:textId="77777777" w:rsidR="00AA34B7" w:rsidRPr="006E0B9E" w:rsidRDefault="00AA34B7" w:rsidP="00F408A5">
                      <w:pPr>
                        <w:pStyle w:val="Imprint"/>
                        <w:tabs>
                          <w:tab w:val="left" w:pos="993"/>
                          <w:tab w:val="left" w:pos="3686"/>
                        </w:tabs>
                        <w:spacing w:before="0"/>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Pr="006E0B9E">
                        <w:rPr>
                          <w:rFonts w:ascii="Arial" w:hAnsi="Arial" w:cs="Arial"/>
                        </w:rPr>
                        <w:t xml:space="preserve"> </w:t>
                      </w:r>
                      <w:r w:rsidRPr="006C271D">
                        <w:rPr>
                          <w:rFonts w:ascii="Arial" w:hAnsi="Arial" w:cs="Arial"/>
                          <w:szCs w:val="16"/>
                        </w:rPr>
                        <w:t>&lt;</w:t>
                      </w:r>
                      <w:hyperlink r:id="rId71" w:history="1">
                        <w:r w:rsidRPr="00642958">
                          <w:rPr>
                            <w:rStyle w:val="Hyperlink"/>
                            <w:rFonts w:ascii="Arial" w:hAnsi="Arial" w:cs="Arial"/>
                            <w:sz w:val="16"/>
                            <w:szCs w:val="16"/>
                          </w:rPr>
                          <w:t>https://twitter.com/ncver</w:t>
                        </w:r>
                      </w:hyperlink>
                      <w:r w:rsidRPr="006C271D">
                        <w:rPr>
                          <w:rFonts w:ascii="Arial" w:hAnsi="Arial" w:cs="Arial"/>
                          <w:szCs w:val="16"/>
                        </w:rPr>
                        <w:t xml:space="preserve">&gt;         </w:t>
                      </w:r>
                      <w:r w:rsidRPr="006E0B9E">
                        <w:rPr>
                          <w:rFonts w:ascii="Arial" w:hAnsi="Arial" w:cs="Arial"/>
                        </w:rPr>
                        <w:t>&lt;http</w:t>
                      </w:r>
                      <w:r>
                        <w:rPr>
                          <w:rFonts w:ascii="Arial" w:hAnsi="Arial" w:cs="Arial"/>
                        </w:rPr>
                        <w:t>s</w:t>
                      </w:r>
                      <w:r w:rsidRPr="006E0B9E">
                        <w:rPr>
                          <w:rFonts w:ascii="Arial" w:hAnsi="Arial" w:cs="Arial"/>
                        </w:rPr>
                        <w:t>://www.linkedin.com/company/ncver&gt;</w:t>
                      </w:r>
                    </w:p>
                    <w:p w14:paraId="1531C419" w14:textId="77777777" w:rsidR="00AA34B7" w:rsidRPr="009F3844" w:rsidRDefault="00AA34B7" w:rsidP="00F408A5">
                      <w:pPr>
                        <w:rPr>
                          <w:rFonts w:ascii="Arial" w:hAnsi="Arial" w:cs="Arial"/>
                          <w:sz w:val="16"/>
                          <w:szCs w:val="16"/>
                        </w:rPr>
                      </w:pPr>
                    </w:p>
                  </w:txbxContent>
                </v:textbox>
              </v:shape>
            </w:pict>
          </mc:Fallback>
        </mc:AlternateContent>
      </w:r>
      <w:r>
        <w:rPr>
          <w:noProof/>
          <w:color w:val="000000"/>
          <w:szCs w:val="20"/>
          <w:lang w:eastAsia="en-US"/>
        </w:rPr>
        <w:drawing>
          <wp:anchor distT="0" distB="0" distL="114300" distR="114300" simplePos="0" relativeHeight="252035072" behindDoc="0" locked="0" layoutInCell="1" allowOverlap="1" wp14:anchorId="06C9A877" wp14:editId="7E1B34C5">
            <wp:simplePos x="0" y="0"/>
            <wp:positionH relativeFrom="column">
              <wp:posOffset>1626235</wp:posOffset>
            </wp:positionH>
            <wp:positionV relativeFrom="paragraph">
              <wp:posOffset>9026525</wp:posOffset>
            </wp:positionV>
            <wp:extent cx="138430" cy="152400"/>
            <wp:effectExtent l="0" t="0" r="0" b="0"/>
            <wp:wrapNone/>
            <wp:docPr id="23" name="Picture 23"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PublicationComponents\logos\Social Media\InBug-16px_0.png"/>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3843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Cs w:val="20"/>
          <w:lang w:eastAsia="en-US"/>
        </w:rPr>
        <w:drawing>
          <wp:anchor distT="0" distB="0" distL="114300" distR="114300" simplePos="0" relativeHeight="252034048" behindDoc="0" locked="0" layoutInCell="1" allowOverlap="1" wp14:anchorId="0150804D" wp14:editId="6A4BEEF6">
            <wp:simplePos x="0" y="0"/>
            <wp:positionH relativeFrom="column">
              <wp:posOffset>167005</wp:posOffset>
            </wp:positionH>
            <wp:positionV relativeFrom="paragraph">
              <wp:posOffset>9029700</wp:posOffset>
            </wp:positionV>
            <wp:extent cx="140970" cy="152400"/>
            <wp:effectExtent l="0" t="0" r="0" b="0"/>
            <wp:wrapNone/>
            <wp:docPr id="20" name="Picture 20"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970" cy="15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szCs w:val="20"/>
          <w:lang w:eastAsia="en-US"/>
        </w:rPr>
        <w:drawing>
          <wp:anchor distT="0" distB="0" distL="114300" distR="114300" simplePos="0" relativeHeight="252032000" behindDoc="0" locked="0" layoutInCell="1" allowOverlap="1" wp14:anchorId="0856BDC0" wp14:editId="60CAC1AB">
            <wp:simplePos x="0" y="0"/>
            <wp:positionH relativeFrom="column">
              <wp:posOffset>-717550</wp:posOffset>
            </wp:positionH>
            <wp:positionV relativeFrom="paragraph">
              <wp:posOffset>9281795</wp:posOffset>
            </wp:positionV>
            <wp:extent cx="7378700" cy="5289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378700" cy="528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408A5" w:rsidSect="002C2FD3">
      <w:pgSz w:w="11907" w:h="16840" w:code="9"/>
      <w:pgMar w:top="232" w:right="1276" w:bottom="851" w:left="1276"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583A2" w14:textId="77777777" w:rsidR="00AA34B7" w:rsidRDefault="00AA34B7">
      <w:r>
        <w:separator/>
      </w:r>
    </w:p>
    <w:p w14:paraId="23679BE5" w14:textId="77777777" w:rsidR="00AA34B7" w:rsidRDefault="00AA34B7"/>
  </w:endnote>
  <w:endnote w:type="continuationSeparator" w:id="0">
    <w:p w14:paraId="66E4FE69" w14:textId="77777777" w:rsidR="00AA34B7" w:rsidRDefault="00AA34B7">
      <w:r>
        <w:continuationSeparator/>
      </w:r>
    </w:p>
    <w:p w14:paraId="7A00DED4" w14:textId="77777777" w:rsidR="00AA34B7" w:rsidRDefault="00AA3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font>
  <w:font w:name="Avant 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93C75" w14:textId="671968D1" w:rsidR="00AA34B7" w:rsidRPr="00CD770B" w:rsidRDefault="00AA34B7" w:rsidP="004F3A74">
    <w:pPr>
      <w:pStyle w:val="Footer"/>
      <w:tabs>
        <w:tab w:val="clear" w:pos="7655"/>
        <w:tab w:val="right" w:pos="15876"/>
      </w:tabs>
      <w:ind w:left="-426" w:right="-595"/>
      <w:jc w:val="right"/>
      <w:rPr>
        <w:color w:val="000000" w:themeColor="text1"/>
      </w:rPr>
    </w:pPr>
    <w:r>
      <w:rPr>
        <w:color w:val="000000" w:themeColor="text1"/>
      </w:rPr>
      <w:t>Building capability and quality in VET teaching: opportunities and challenges</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noProof/>
        <w:color w:val="000000" w:themeColor="text1"/>
        <w:sz w:val="17"/>
      </w:rPr>
      <w:t>44</w:t>
    </w:r>
    <w:r w:rsidRPr="00606061">
      <w:rPr>
        <w:rStyle w:val="PageNumber"/>
        <w:b w:val="0"/>
        <w:color w:val="000000" w:themeColor="text1"/>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2C182" w14:textId="040C8A51" w:rsidR="00AA34B7" w:rsidRPr="003F3135" w:rsidRDefault="00AA34B7" w:rsidP="003F3135">
    <w:pPr>
      <w:pStyle w:val="Footer"/>
      <w:tabs>
        <w:tab w:val="clear" w:pos="7655"/>
        <w:tab w:val="right" w:pos="9781"/>
      </w:tabs>
      <w:jc w:val="right"/>
      <w:rPr>
        <w:color w:val="000000" w:themeColor="text1"/>
      </w:rPr>
    </w:pPr>
    <w:r>
      <w:rPr>
        <w:color w:val="000000" w:themeColor="text1"/>
      </w:rPr>
      <w:t>Building capability and quality in VET teaching: opportunities and challenges</w:t>
    </w:r>
    <w:r w:rsidRPr="00606061">
      <w:rPr>
        <w:color w:val="000000" w:themeColor="text1"/>
      </w:rPr>
      <w:t xml:space="preserve"> </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b w:val="0"/>
        <w:color w:val="000000" w:themeColor="text1"/>
        <w:sz w:val="17"/>
      </w:rPr>
      <w:t>5</w:t>
    </w:r>
    <w:r w:rsidRPr="00606061">
      <w:rPr>
        <w:rStyle w:val="PageNumber"/>
        <w:b w:val="0"/>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E57E3" w14:textId="36B9493B" w:rsidR="00AA34B7" w:rsidRPr="005A04CB" w:rsidRDefault="00AA34B7" w:rsidP="005A04CB">
    <w:pPr>
      <w:pStyle w:val="Footer"/>
      <w:tabs>
        <w:tab w:val="clear" w:pos="7655"/>
        <w:tab w:val="right" w:pos="9781"/>
      </w:tabs>
      <w:jc w:val="right"/>
      <w:rPr>
        <w:color w:val="000000" w:themeColor="text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2989" w14:textId="77777777" w:rsidR="00AA34B7" w:rsidRPr="005A04CB" w:rsidRDefault="00AA34B7" w:rsidP="005A04CB">
    <w:pPr>
      <w:pStyle w:val="Footer"/>
      <w:tabs>
        <w:tab w:val="clear" w:pos="7655"/>
        <w:tab w:val="right" w:pos="9781"/>
      </w:tabs>
      <w:jc w:val="right"/>
      <w:rPr>
        <w:color w:val="000000" w:themeColor="text1"/>
      </w:rPr>
    </w:pPr>
    <w:r>
      <w:rPr>
        <w:color w:val="000000" w:themeColor="text1"/>
      </w:rPr>
      <w:t>Building capability and quality in VET teaching: opportunities and challenges</w:t>
    </w:r>
    <w:r w:rsidRPr="00606061">
      <w:rPr>
        <w:color w:val="000000" w:themeColor="text1"/>
      </w:rPr>
      <w:t xml:space="preserve"> </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noProof/>
        <w:color w:val="000000" w:themeColor="text1"/>
        <w:sz w:val="17"/>
      </w:rPr>
      <w:t>5</w:t>
    </w:r>
    <w:r w:rsidRPr="00606061">
      <w:rPr>
        <w:rStyle w:val="PageNumber"/>
        <w:b w:val="0"/>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42C0" w14:textId="63BF4043" w:rsidR="00AA34B7" w:rsidRPr="00AC1278" w:rsidRDefault="00AA34B7" w:rsidP="00AC1278">
    <w:pPr>
      <w:pStyle w:val="Footer"/>
      <w:tabs>
        <w:tab w:val="clear" w:pos="7655"/>
        <w:tab w:val="right" w:pos="9781"/>
      </w:tabs>
      <w:jc w:val="right"/>
      <w:rPr>
        <w:color w:val="000000" w:themeColor="text1"/>
      </w:rPr>
    </w:pPr>
    <w:r>
      <w:rPr>
        <w:color w:val="000000" w:themeColor="text1"/>
      </w:rPr>
      <w:t>Building capability and quality in VET teaching: opportunities and challenges</w:t>
    </w:r>
    <w:r w:rsidRPr="00606061">
      <w:rPr>
        <w:color w:val="000000" w:themeColor="text1"/>
      </w:rPr>
      <w:t xml:space="preserve"> </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b w:val="0"/>
        <w:color w:val="000000" w:themeColor="text1"/>
        <w:sz w:val="17"/>
      </w:rPr>
      <w:t>5</w:t>
    </w:r>
    <w:r w:rsidRPr="00606061">
      <w:rPr>
        <w:rStyle w:val="PageNumber"/>
        <w:b w:val="0"/>
        <w:color w:val="000000" w:themeColor="text1"/>
        <w:sz w:val="17"/>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F8B25" w14:textId="1CFF5C45" w:rsidR="00AA34B7" w:rsidRPr="00C90F68" w:rsidRDefault="00AA34B7" w:rsidP="00C90F68">
    <w:pPr>
      <w:pStyle w:val="Footer"/>
      <w:tabs>
        <w:tab w:val="clear" w:pos="7655"/>
        <w:tab w:val="right" w:pos="9781"/>
      </w:tabs>
      <w:jc w:val="right"/>
      <w:rPr>
        <w:color w:val="000000" w:themeColor="text1"/>
      </w:rPr>
    </w:pPr>
    <w:r>
      <w:rPr>
        <w:color w:val="000000" w:themeColor="text1"/>
      </w:rPr>
      <w:t>Building capability and quality in VET teaching: opportunities and challenges</w:t>
    </w:r>
    <w:r w:rsidRPr="00606061">
      <w:rPr>
        <w:color w:val="000000" w:themeColor="text1"/>
      </w:rPr>
      <w:t xml:space="preserve"> </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noProof/>
        <w:color w:val="000000" w:themeColor="text1"/>
        <w:sz w:val="17"/>
      </w:rPr>
      <w:t>6</w:t>
    </w:r>
    <w:r w:rsidRPr="00606061">
      <w:rPr>
        <w:rStyle w:val="PageNumber"/>
        <w:b w:val="0"/>
        <w:color w:val="000000" w:themeColor="text1"/>
        <w:sz w:val="1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93655" w14:textId="4FF5754D" w:rsidR="00AA34B7" w:rsidRPr="003F3135" w:rsidRDefault="00AA34B7" w:rsidP="003F3135">
    <w:pPr>
      <w:pStyle w:val="Footer"/>
      <w:tabs>
        <w:tab w:val="clear" w:pos="7655"/>
        <w:tab w:val="right" w:pos="9781"/>
      </w:tabs>
      <w:jc w:val="right"/>
      <w:rPr>
        <w:color w:val="000000" w:themeColor="text1"/>
      </w:rPr>
    </w:pPr>
    <w:r>
      <w:rPr>
        <w:color w:val="000000" w:themeColor="text1"/>
      </w:rPr>
      <w:t>Building capability and quality in VET teaching: opportunities and challenges</w:t>
    </w:r>
    <w:r w:rsidRPr="00606061">
      <w:rPr>
        <w:color w:val="000000" w:themeColor="text1"/>
      </w:rPr>
      <w:t xml:space="preserve"> </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b w:val="0"/>
        <w:color w:val="000000" w:themeColor="text1"/>
        <w:sz w:val="17"/>
      </w:rPr>
      <w:t>5</w:t>
    </w:r>
    <w:r w:rsidRPr="00606061">
      <w:rPr>
        <w:rStyle w:val="PageNumber"/>
        <w:b w:val="0"/>
        <w:color w:val="000000" w:themeColor="text1"/>
        <w:sz w:val="17"/>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384D4" w14:textId="77777777" w:rsidR="00AA34B7" w:rsidRPr="00DA221F" w:rsidRDefault="00AA34B7" w:rsidP="00780A5B">
    <w:pPr>
      <w:pStyle w:val="Footer"/>
      <w:tabs>
        <w:tab w:val="clear" w:pos="7655"/>
        <w:tab w:val="right" w:pos="15309"/>
      </w:tabs>
      <w:spacing w:before="100" w:beforeAutospacing="1"/>
      <w:ind w:right="0"/>
      <w:jc w:val="right"/>
      <w:rPr>
        <w:color w:val="000000" w:themeColor="text1"/>
      </w:rPr>
    </w:pPr>
    <w:r>
      <w:rPr>
        <w:color w:val="000000" w:themeColor="text1"/>
      </w:rPr>
      <w:t>Building capability and quality in VET teaching: opportunities and challenges</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b w:val="0"/>
        <w:color w:val="000000" w:themeColor="text1"/>
        <w:sz w:val="17"/>
      </w:rPr>
      <w:t>45</w:t>
    </w:r>
    <w:r w:rsidRPr="00606061">
      <w:rPr>
        <w:rStyle w:val="PageNumber"/>
        <w:b w:val="0"/>
        <w:color w:val="000000" w:themeColor="text1"/>
        <w:sz w:val="17"/>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548B" w14:textId="77777777" w:rsidR="00AA34B7" w:rsidRPr="00CD770B" w:rsidRDefault="00AA34B7" w:rsidP="00AA5762">
    <w:pPr>
      <w:pStyle w:val="Footer"/>
      <w:tabs>
        <w:tab w:val="clear" w:pos="7655"/>
        <w:tab w:val="right" w:pos="15309"/>
      </w:tabs>
      <w:ind w:right="-29"/>
      <w:jc w:val="right"/>
      <w:rPr>
        <w:color w:val="000000" w:themeColor="text1"/>
      </w:rPr>
    </w:pPr>
    <w:r>
      <w:rPr>
        <w:color w:val="000000" w:themeColor="text1"/>
      </w:rPr>
      <w:t>Building capability and quality in VET teaching: opportunities and challenges</w:t>
    </w:r>
    <w:r>
      <w:rPr>
        <w:color w:val="000000" w:themeColor="text1"/>
      </w:rPr>
      <w:tab/>
    </w:r>
    <w:r w:rsidRPr="00606061">
      <w:rPr>
        <w:color w:val="000000" w:themeColor="text1"/>
      </w:rPr>
      <w:t>NCVE</w:t>
    </w:r>
    <w:r>
      <w:rPr>
        <w:color w:val="000000" w:themeColor="text1"/>
      </w:rPr>
      <w:t xml:space="preserve">R | </w:t>
    </w:r>
    <w:r w:rsidRPr="00606061">
      <w:rPr>
        <w:rStyle w:val="PageNumber"/>
        <w:b w:val="0"/>
        <w:color w:val="000000" w:themeColor="text1"/>
        <w:sz w:val="17"/>
      </w:rPr>
      <w:fldChar w:fldCharType="begin"/>
    </w:r>
    <w:r w:rsidRPr="00606061">
      <w:rPr>
        <w:rStyle w:val="PageNumber"/>
        <w:color w:val="000000" w:themeColor="text1"/>
        <w:sz w:val="17"/>
      </w:rPr>
      <w:instrText xml:space="preserve"> PAGE </w:instrText>
    </w:r>
    <w:r w:rsidRPr="00606061">
      <w:rPr>
        <w:rStyle w:val="PageNumber"/>
        <w:b w:val="0"/>
        <w:color w:val="000000" w:themeColor="text1"/>
        <w:sz w:val="17"/>
      </w:rPr>
      <w:fldChar w:fldCharType="separate"/>
    </w:r>
    <w:r>
      <w:rPr>
        <w:rStyle w:val="PageNumber"/>
        <w:noProof/>
        <w:color w:val="000000" w:themeColor="text1"/>
        <w:sz w:val="17"/>
      </w:rPr>
      <w:t>46</w:t>
    </w:r>
    <w:r w:rsidRPr="00606061">
      <w:rPr>
        <w:rStyle w:val="PageNumber"/>
        <w:b w:val="0"/>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A62B6" w14:textId="77777777" w:rsidR="00AA34B7" w:rsidRDefault="00AA34B7" w:rsidP="008B57A2">
      <w:pPr>
        <w:pStyle w:val="Text"/>
        <w:spacing w:before="120" w:after="120"/>
      </w:pPr>
      <w:r>
        <w:separator/>
      </w:r>
    </w:p>
  </w:footnote>
  <w:footnote w:type="continuationSeparator" w:id="0">
    <w:p w14:paraId="29F64C91" w14:textId="77777777" w:rsidR="00AA34B7" w:rsidRDefault="00AA34B7">
      <w:r>
        <w:continuationSeparator/>
      </w:r>
    </w:p>
    <w:p w14:paraId="68E41DEE" w14:textId="77777777" w:rsidR="00AA34B7" w:rsidRDefault="00AA34B7"/>
  </w:footnote>
  <w:footnote w:id="1">
    <w:p w14:paraId="265BAF9A" w14:textId="77777777" w:rsidR="00AA34B7" w:rsidRPr="00C42ED2" w:rsidRDefault="00AA34B7" w:rsidP="00A229A9">
      <w:pPr>
        <w:pStyle w:val="FootnoteText"/>
      </w:pPr>
      <w:r w:rsidRPr="00C42ED2">
        <w:rPr>
          <w:rStyle w:val="FootnoteReference"/>
          <w:vertAlign w:val="baseline"/>
        </w:rPr>
        <w:footnoteRef/>
      </w:r>
      <w:r w:rsidRPr="00C42ED2">
        <w:t xml:space="preserve"> </w:t>
      </w:r>
      <w:r>
        <w:tab/>
      </w:r>
      <w:r w:rsidRPr="00C42ED2">
        <w:t>Version 2.2 revised by the Australian Skills Quality Authority (ASQA) in 2019.</w:t>
      </w:r>
    </w:p>
  </w:footnote>
  <w:footnote w:id="2">
    <w:p w14:paraId="12BCF25F" w14:textId="22FCFD17" w:rsidR="00AA34B7" w:rsidRPr="00643991" w:rsidRDefault="00AA34B7" w:rsidP="00C42ED2">
      <w:pPr>
        <w:pStyle w:val="FootnoteText"/>
      </w:pPr>
      <w:r w:rsidRPr="00C42ED2">
        <w:rPr>
          <w:rStyle w:val="FootnoteReference"/>
          <w:vertAlign w:val="baseline"/>
        </w:rPr>
        <w:footnoteRef/>
      </w:r>
      <w:r w:rsidRPr="00C42ED2">
        <w:t xml:space="preserve"> </w:t>
      </w:r>
      <w:r w:rsidRPr="00C42ED2">
        <w:tab/>
      </w:r>
      <w:proofErr w:type="spellStart"/>
      <w:r w:rsidRPr="00C42ED2">
        <w:t>TasTAFE</w:t>
      </w:r>
      <w:proofErr w:type="spellEnd"/>
      <w:r w:rsidRPr="00C42ED2">
        <w:t xml:space="preserve"> teachers must be registered with the Teachers’ Registration Board Tasmania. However, there is no requirement for private sector teachers to be registered.</w:t>
      </w:r>
    </w:p>
  </w:footnote>
  <w:footnote w:id="3">
    <w:p w14:paraId="4FF97537" w14:textId="5462318B" w:rsidR="00AA34B7" w:rsidRPr="00A229A9" w:rsidRDefault="00AA34B7" w:rsidP="00A229A9">
      <w:pPr>
        <w:pStyle w:val="FootnoteText"/>
      </w:pPr>
      <w:r w:rsidRPr="00A229A9">
        <w:rPr>
          <w:rStyle w:val="FootnoteReference"/>
          <w:vertAlign w:val="baseline"/>
        </w:rPr>
        <w:footnoteRef/>
      </w:r>
      <w:r w:rsidRPr="00A229A9">
        <w:t xml:space="preserve"> </w:t>
      </w:r>
      <w:r>
        <w:tab/>
      </w:r>
      <w:r w:rsidRPr="00A229A9">
        <w:t>The Australian Skills Quality Authority’s (ASQA) Standards for Registration of RTOs 2015 require teachers and assessors without the required credentials to work under the supervision of an appropriately qualified and experienced teacher, provided they hold one of the required skill sets, have current relevant industry skills and vocational competencies to the level being delivered and/or assessed (ASQA 2019).</w:t>
      </w:r>
    </w:p>
  </w:footnote>
  <w:footnote w:id="4">
    <w:p w14:paraId="39A50ADB" w14:textId="77777777" w:rsidR="00AA34B7" w:rsidRPr="00FA653A" w:rsidRDefault="00AA34B7" w:rsidP="00A229A9">
      <w:pPr>
        <w:pStyle w:val="FootnoteText"/>
      </w:pPr>
      <w:r w:rsidRPr="00FA653A">
        <w:rPr>
          <w:rStyle w:val="FootnoteReference"/>
          <w:vertAlign w:val="baseline"/>
        </w:rPr>
        <w:footnoteRef/>
      </w:r>
      <w:r w:rsidRPr="00FA653A">
        <w:t xml:space="preserve"> </w:t>
      </w:r>
      <w:r w:rsidRPr="00FA653A">
        <w:tab/>
        <w:t>The insights provided by the Australian Council of Deans of Education Vocational Education Group (ACDEVEG) represent the formal position of the group. ACDEVEG advises the ACDE Board and represents ACDE on Vocational Education and Training (VET) matters. It helps to build and strengthen high-quality educational practices in VET teacher-education programs for VET practitioners.</w:t>
      </w:r>
    </w:p>
  </w:footnote>
  <w:footnote w:id="5">
    <w:p w14:paraId="0D8A6D62" w14:textId="781123C4" w:rsidR="00AA34B7" w:rsidRPr="00FA653A" w:rsidRDefault="00AA34B7" w:rsidP="00FA653A">
      <w:pPr>
        <w:pStyle w:val="FootnoteText"/>
      </w:pPr>
      <w:r w:rsidRPr="00FA653A">
        <w:footnoteRef/>
      </w:r>
      <w:r w:rsidRPr="00FA653A">
        <w:t xml:space="preserve"> </w:t>
      </w:r>
      <w:r>
        <w:tab/>
      </w:r>
      <w:r w:rsidRPr="00FA653A">
        <w:t xml:space="preserve">Developed by the Australian Skills Standards Authority (ASQA) and amended in version 2.2 (ASQA 2019). </w:t>
      </w:r>
    </w:p>
  </w:footnote>
  <w:footnote w:id="6">
    <w:p w14:paraId="3A14EC21" w14:textId="449614E8" w:rsidR="00AA34B7" w:rsidRPr="00FA653A" w:rsidRDefault="00AA34B7" w:rsidP="00FA653A">
      <w:pPr>
        <w:pStyle w:val="FootnoteText"/>
      </w:pPr>
      <w:r w:rsidRPr="00FA653A">
        <w:rPr>
          <w:rStyle w:val="FootnoteReference"/>
          <w:vertAlign w:val="baseline"/>
        </w:rPr>
        <w:footnoteRef/>
      </w:r>
      <w:r w:rsidRPr="00FA653A">
        <w:t xml:space="preserve"> </w:t>
      </w:r>
      <w:r>
        <w:tab/>
      </w:r>
      <w:r w:rsidRPr="00FA653A">
        <w:t>VET does not have a national approach to teacher PD, teaching standards, teacher registration programs as can be seen in the school system and VET systems in other countries do (Smith and Yasukawa, 2017). However, there were national programs in the past and there was a national network of individuals concerned with the delivery of PD for VET teachers (Smith 2019).</w:t>
      </w:r>
    </w:p>
  </w:footnote>
  <w:footnote w:id="7">
    <w:p w14:paraId="1D15102E" w14:textId="77BFE9C4" w:rsidR="00AA34B7" w:rsidRPr="00FA653A" w:rsidRDefault="00AA34B7" w:rsidP="00FA653A">
      <w:pPr>
        <w:pStyle w:val="FootnoteText"/>
      </w:pPr>
      <w:r w:rsidRPr="00FA653A">
        <w:rPr>
          <w:rStyle w:val="FootnoteReference"/>
          <w:vertAlign w:val="baseline"/>
        </w:rPr>
        <w:footnoteRef/>
      </w:r>
      <w:r w:rsidRPr="00FA653A">
        <w:t xml:space="preserve"> </w:t>
      </w:r>
      <w:r>
        <w:tab/>
      </w:r>
      <w:r w:rsidRPr="00FA653A">
        <w:t>Drawn from Knight et al. 2020, tables 2, 4 &amp; 5.</w:t>
      </w:r>
    </w:p>
  </w:footnote>
  <w:footnote w:id="8">
    <w:p w14:paraId="61C455D8" w14:textId="1877F6EC" w:rsidR="00AA34B7" w:rsidRPr="00FA653A" w:rsidRDefault="00AA34B7" w:rsidP="00FA653A">
      <w:pPr>
        <w:pStyle w:val="FootnoteText"/>
      </w:pPr>
      <w:r w:rsidRPr="00FA653A">
        <w:rPr>
          <w:rStyle w:val="FootnoteReference"/>
          <w:vertAlign w:val="baseline"/>
        </w:rPr>
        <w:footnoteRef/>
      </w:r>
      <w:r w:rsidRPr="00FA653A">
        <w:t xml:space="preserve"> </w:t>
      </w:r>
      <w:r>
        <w:tab/>
      </w:r>
      <w:r w:rsidRPr="00FA653A">
        <w:t xml:space="preserve">For example, ‘occupational currency’ in a specific vocational discipline is not required of teachers offering Certificate IV in TAE and those training in, or supporting, the language, </w:t>
      </w:r>
      <w:proofErr w:type="gramStart"/>
      <w:r w:rsidRPr="00FA653A">
        <w:t>literacy</w:t>
      </w:r>
      <w:proofErr w:type="gramEnd"/>
      <w:r w:rsidRPr="00FA653A">
        <w:t xml:space="preserve"> and numeracy (LL&amp;N) needs of VET learners. It would be deemed that maintaining and improving the quality of their teaching knowledge and practice in these areas also serves to maintain their ‘occupational currency’ as these specialist teachers.</w:t>
      </w:r>
    </w:p>
  </w:footnote>
  <w:footnote w:id="9">
    <w:p w14:paraId="0014864B" w14:textId="0454532B" w:rsidR="00AA34B7" w:rsidRPr="00D5357D" w:rsidRDefault="00AA34B7" w:rsidP="00D5357D">
      <w:pPr>
        <w:pStyle w:val="FootnoteText0"/>
      </w:pPr>
      <w:r w:rsidRPr="00D5357D">
        <w:rPr>
          <w:rStyle w:val="FootnoteReference"/>
          <w:vertAlign w:val="baseline"/>
        </w:rPr>
        <w:footnoteRef/>
      </w:r>
      <w:r w:rsidRPr="00D5357D">
        <w:t xml:space="preserve"> </w:t>
      </w:r>
      <w:r>
        <w:tab/>
      </w:r>
      <w:proofErr w:type="spellStart"/>
      <w:r w:rsidRPr="00D5357D">
        <w:t>TasTAFE</w:t>
      </w:r>
      <w:proofErr w:type="spellEnd"/>
      <w:r w:rsidRPr="00D5357D">
        <w:t xml:space="preserve"> VET teachers need to be registered with the Tasmanian Teachers’ Registration Board. This is in part due to </w:t>
      </w:r>
      <w:proofErr w:type="spellStart"/>
      <w:r w:rsidRPr="00D5357D">
        <w:t>TasTAFE</w:t>
      </w:r>
      <w:proofErr w:type="spellEnd"/>
      <w:r w:rsidRPr="00D5357D">
        <w:t xml:space="preserve"> having been a polytechnic in the past, and having students in Years 10, 11 and 12.</w:t>
      </w:r>
    </w:p>
  </w:footnote>
  <w:footnote w:id="10">
    <w:p w14:paraId="5F358015" w14:textId="3207438E" w:rsidR="00AA34B7" w:rsidRPr="00D5357D" w:rsidRDefault="00AA34B7" w:rsidP="00D5357D">
      <w:pPr>
        <w:pStyle w:val="FootnoteText0"/>
      </w:pPr>
      <w:r w:rsidRPr="00D5357D">
        <w:rPr>
          <w:rStyle w:val="FootnoteReference"/>
          <w:vertAlign w:val="baseline"/>
        </w:rPr>
        <w:footnoteRef/>
      </w:r>
      <w:r w:rsidRPr="00D5357D">
        <w:t xml:space="preserve"> </w:t>
      </w:r>
      <w:r>
        <w:tab/>
      </w:r>
      <w:r w:rsidRPr="00D5357D">
        <w:t xml:space="preserve">These are used in England, Canada (Ontario), Singapore, </w:t>
      </w:r>
      <w:proofErr w:type="gramStart"/>
      <w:r w:rsidRPr="00D5357D">
        <w:t>Chile</w:t>
      </w:r>
      <w:proofErr w:type="gramEnd"/>
      <w:r w:rsidRPr="00D5357D">
        <w:t xml:space="preserve"> and Portugal.</w:t>
      </w:r>
    </w:p>
  </w:footnote>
  <w:footnote w:id="11">
    <w:p w14:paraId="3A6FC5DA" w14:textId="1EA3CACF" w:rsidR="00AA34B7" w:rsidRPr="00D5357D" w:rsidRDefault="00AA34B7" w:rsidP="00D5357D">
      <w:pPr>
        <w:pStyle w:val="FootnoteText0"/>
      </w:pPr>
      <w:r w:rsidRPr="00D5357D">
        <w:rPr>
          <w:rStyle w:val="FootnoteReference"/>
          <w:vertAlign w:val="baseline"/>
        </w:rPr>
        <w:footnoteRef/>
      </w:r>
      <w:r w:rsidRPr="00D5357D">
        <w:tab/>
        <w:t>New Zealand, England, Scotland, Germany, Austria, Singapore, Hong Kong, South Korea, USA (including, California, Virginia, Washington, Washington, DC), Canada (Ontario, British Columbia, Alberta).</w:t>
      </w:r>
    </w:p>
  </w:footnote>
  <w:footnote w:id="12">
    <w:p w14:paraId="728897BA" w14:textId="5BB77B7F" w:rsidR="00AA34B7" w:rsidRDefault="00AA34B7" w:rsidP="00D5357D">
      <w:pPr>
        <w:pStyle w:val="FootnoteText0"/>
      </w:pPr>
      <w:r w:rsidRPr="00D5357D">
        <w:rPr>
          <w:rStyle w:val="FootnoteReference"/>
          <w:vertAlign w:val="baseline"/>
        </w:rPr>
        <w:footnoteRef/>
      </w:r>
      <w:r w:rsidRPr="00D5357D">
        <w:t xml:space="preserve"> </w:t>
      </w:r>
      <w:r>
        <w:tab/>
      </w:r>
      <w:r w:rsidRPr="00D5357D">
        <w:t>Technical and vocational education and training (TVET).</w:t>
      </w:r>
    </w:p>
  </w:footnote>
  <w:footnote w:id="13">
    <w:p w14:paraId="7189512A" w14:textId="290999F8" w:rsidR="00AA34B7" w:rsidRPr="00C3417A" w:rsidRDefault="00AA34B7" w:rsidP="00C3417A">
      <w:pPr>
        <w:pStyle w:val="FootnoteText0"/>
      </w:pPr>
      <w:r w:rsidRPr="00C3417A">
        <w:rPr>
          <w:rStyle w:val="FootnoteReference"/>
          <w:vertAlign w:val="baseline"/>
        </w:rPr>
        <w:footnoteRef/>
      </w:r>
      <w:r w:rsidRPr="00C3417A">
        <w:t xml:space="preserve"> </w:t>
      </w:r>
      <w:r w:rsidRPr="00C3417A">
        <w:tab/>
        <w:t>The Danielson Framework is also included in the environmental scan of frameworks and standards used in this report.</w:t>
      </w:r>
    </w:p>
  </w:footnote>
  <w:footnote w:id="14">
    <w:p w14:paraId="074BE52A" w14:textId="706488F8" w:rsidR="00AA34B7" w:rsidRPr="00C3417A" w:rsidRDefault="00AA34B7" w:rsidP="00C3417A">
      <w:pPr>
        <w:pStyle w:val="FootnoteText0"/>
      </w:pPr>
      <w:r w:rsidRPr="00C3417A">
        <w:rPr>
          <w:rStyle w:val="FootnoteReference"/>
          <w:vertAlign w:val="baseline"/>
        </w:rPr>
        <w:footnoteRef/>
      </w:r>
      <w:r w:rsidRPr="00C3417A">
        <w:t xml:space="preserve"> </w:t>
      </w:r>
      <w:r w:rsidRPr="00C3417A">
        <w:tab/>
        <w:t xml:space="preserve">One of the earliest published ‘capability frameworks’ is presented in Hall, W, Hayton, G, </w:t>
      </w:r>
      <w:proofErr w:type="spellStart"/>
      <w:r w:rsidRPr="00C3417A">
        <w:t>Mageean</w:t>
      </w:r>
      <w:proofErr w:type="spellEnd"/>
      <w:r w:rsidRPr="00C3417A">
        <w:t xml:space="preserve">, P &amp; Scarfe, J. (1990). 'National review of TAFE teacher preparation and development: stages 1A and 1B, skills and competencies', TAFE National Centre for Research and Development, Adelaide. </w:t>
      </w:r>
    </w:p>
  </w:footnote>
  <w:footnote w:id="15">
    <w:p w14:paraId="5E8C2125" w14:textId="07086348" w:rsidR="00AA34B7" w:rsidRDefault="00AA34B7" w:rsidP="00C3417A">
      <w:pPr>
        <w:pStyle w:val="FootnoteText0"/>
      </w:pPr>
      <w:r w:rsidRPr="00C3417A">
        <w:rPr>
          <w:rStyle w:val="FootnoteReference"/>
          <w:vertAlign w:val="baseline"/>
        </w:rPr>
        <w:footnoteRef/>
      </w:r>
      <w:r w:rsidRPr="00C3417A">
        <w:t xml:space="preserve"> </w:t>
      </w:r>
      <w:r w:rsidRPr="00C3417A">
        <w:tab/>
        <w:t xml:space="preserve">It should also be noted that other capability frameworks have been developed in Australia but are unpublished: for example, one developed by the Queensland College of Teachers and another developed at the University of Melbourne for Victoria’s Department of Education and Training and briefly described in a keynote presentation at the 2016 AVETRA conference. The presentation, by Assoc. Prof Ruth Schubert, can be accessed </w:t>
      </w:r>
      <w:hyperlink r:id="rId1" w:history="1">
        <w:r w:rsidRPr="00C3417A">
          <w:rPr>
            <w:rStyle w:val="Hyperlink"/>
            <w:sz w:val="16"/>
          </w:rPr>
          <w:t>here</w:t>
        </w:r>
      </w:hyperlink>
      <w:r w:rsidRPr="00C3417A">
        <w:t>: &lt;</w:t>
      </w:r>
      <w:hyperlink r:id="rId2" w:history="1">
        <w:r w:rsidRPr="00C3417A">
          <w:rPr>
            <w:rStyle w:val="Hyperlink"/>
            <w:sz w:val="16"/>
          </w:rPr>
          <w:t>https://avetra.org.au/pages/conference-archives-2016.html</w:t>
        </w:r>
      </w:hyperlink>
      <w:r w:rsidRPr="00C3417A">
        <w:rPr>
          <w:rStyle w:val="Hyperlink"/>
          <w:sz w:val="16"/>
        </w:rPr>
        <w:t>&gt;</w:t>
      </w:r>
      <w:r>
        <w:rPr>
          <w:rStyle w:val="Hyperlink"/>
          <w:sz w:val="16"/>
        </w:rPr>
        <w:t>.</w:t>
      </w:r>
      <w:r w:rsidRPr="00C3417A">
        <w:t xml:space="preserve"> </w:t>
      </w:r>
    </w:p>
  </w:footnote>
  <w:footnote w:id="16">
    <w:p w14:paraId="7B12DD82" w14:textId="199C3451" w:rsidR="00AA34B7" w:rsidRPr="004F2FF5" w:rsidRDefault="00AA34B7" w:rsidP="004F2FF5">
      <w:pPr>
        <w:pStyle w:val="FootnoteText0"/>
      </w:pPr>
      <w:r w:rsidRPr="004F2FF5">
        <w:rPr>
          <w:rStyle w:val="FootnoteReference"/>
          <w:vertAlign w:val="baseline"/>
        </w:rPr>
        <w:footnoteRef/>
      </w:r>
      <w:r w:rsidRPr="004F2FF5">
        <w:t xml:space="preserve"> </w:t>
      </w:r>
      <w:r w:rsidRPr="004F2FF5">
        <w:tab/>
        <w:t>As do the TAFE industrial awards cited in the text above</w:t>
      </w:r>
      <w:r>
        <w:t>.</w:t>
      </w:r>
    </w:p>
  </w:footnote>
  <w:footnote w:id="17">
    <w:p w14:paraId="4DD80D46" w14:textId="222014F4" w:rsidR="00AA34B7" w:rsidRPr="0061110E" w:rsidRDefault="00AA34B7" w:rsidP="0061110E">
      <w:pPr>
        <w:pStyle w:val="FootnoteText0"/>
      </w:pPr>
      <w:r w:rsidRPr="0061110E">
        <w:rPr>
          <w:rStyle w:val="FootnoteReference"/>
          <w:vertAlign w:val="baseline"/>
        </w:rPr>
        <w:footnoteRef/>
      </w:r>
      <w:r w:rsidRPr="0061110E">
        <w:t xml:space="preserve"> </w:t>
      </w:r>
      <w:r w:rsidRPr="0061110E">
        <w:tab/>
        <w:t>Other TAFE industrial awards in Western Australia, South Australia, Queensland and at Charles Darwin University provide role descriptors for staff roles and duties at various levels as noted in the text above. However, in the Victorian Agreement the required qualifications and ‘duties’ for staff at various classification levels are most closely tied.</w:t>
      </w:r>
    </w:p>
  </w:footnote>
  <w:footnote w:id="18">
    <w:p w14:paraId="1894008C" w14:textId="6EAAAEC9" w:rsidR="00AA34B7" w:rsidRPr="0061110E" w:rsidRDefault="00AA34B7" w:rsidP="0061110E">
      <w:pPr>
        <w:pStyle w:val="FootnoteText0"/>
      </w:pPr>
      <w:r w:rsidRPr="0061110E">
        <w:rPr>
          <w:rStyle w:val="FootnoteReference"/>
          <w:vertAlign w:val="baseline"/>
        </w:rPr>
        <w:footnoteRef/>
      </w:r>
      <w:r w:rsidRPr="0061110E">
        <w:t xml:space="preserve"> </w:t>
      </w:r>
      <w:r w:rsidRPr="0061110E">
        <w:tab/>
        <w:t xml:space="preserve">In addition to enabling access to the text of the award, the Victorian TAFE Association has also developed a range of documents to support the agreement including a teacher’s guide and other useful tools and resources. These can be accessed </w:t>
      </w:r>
      <w:hyperlink r:id="rId3" w:history="1">
        <w:r w:rsidRPr="0061110E">
          <w:rPr>
            <w:rStyle w:val="Hyperlink"/>
            <w:sz w:val="16"/>
          </w:rPr>
          <w:t>here</w:t>
        </w:r>
      </w:hyperlink>
      <w:r w:rsidRPr="0061110E">
        <w:t xml:space="preserve">: </w:t>
      </w:r>
      <w:r>
        <w:t>&lt;</w:t>
      </w:r>
      <w:hyperlink r:id="rId4" w:history="1">
        <w:r w:rsidRPr="00151144">
          <w:rPr>
            <w:rStyle w:val="Hyperlink"/>
            <w:sz w:val="16"/>
          </w:rPr>
          <w:t>https://www.vta.vic.edu.au/docman-sortable-list/886-tafe-teachers-guide/file</w:t>
        </w:r>
      </w:hyperlink>
      <w:r>
        <w:t>&gt;.</w:t>
      </w:r>
    </w:p>
  </w:footnote>
  <w:footnote w:id="19">
    <w:p w14:paraId="7545F244" w14:textId="3275B366" w:rsidR="00AA34B7" w:rsidRDefault="00AA34B7" w:rsidP="0061110E">
      <w:pPr>
        <w:pStyle w:val="FootnoteText0"/>
      </w:pPr>
      <w:r w:rsidRPr="0061110E">
        <w:rPr>
          <w:rStyle w:val="FootnoteReference"/>
          <w:vertAlign w:val="baseline"/>
        </w:rPr>
        <w:footnoteRef/>
      </w:r>
      <w:r w:rsidRPr="0061110E">
        <w:t xml:space="preserve"> </w:t>
      </w:r>
      <w:r w:rsidRPr="0061110E">
        <w:tab/>
        <w:t xml:space="preserve">The Boyer Framework for Scholarship can be used to identify the type of research to be conducted, the purposes for which it is being done and the measures of performance that will be used. The four types of ‘scholarship’ that make up the Boyer Framework are discovery, integration, </w:t>
      </w:r>
      <w:proofErr w:type="gramStart"/>
      <w:r w:rsidRPr="0061110E">
        <w:t>application</w:t>
      </w:r>
      <w:proofErr w:type="gramEnd"/>
      <w:r w:rsidRPr="0061110E">
        <w:t xml:space="preserve"> and teaching (Boyer, 1979). The teacher guide to assist with the self-assessment of their classification level suggests the purpose and measures of performance for each</w:t>
      </w:r>
      <w:r w:rsidRPr="00F45F40">
        <w:t>.</w:t>
      </w:r>
    </w:p>
  </w:footnote>
  <w:footnote w:id="20">
    <w:p w14:paraId="7C60B8B9" w14:textId="68701E0E" w:rsidR="00AA34B7" w:rsidRPr="00D376BC" w:rsidRDefault="00AA34B7" w:rsidP="00D376BC">
      <w:pPr>
        <w:pStyle w:val="FootnoteText0"/>
      </w:pPr>
      <w:r w:rsidRPr="00D376BC">
        <w:rPr>
          <w:rStyle w:val="FootnoteReference"/>
          <w:vertAlign w:val="baseline"/>
        </w:rPr>
        <w:footnoteRef/>
      </w:r>
      <w:r w:rsidRPr="00D376BC">
        <w:t xml:space="preserve"> </w:t>
      </w:r>
      <w:r w:rsidRPr="00D376BC">
        <w:tab/>
        <w:t>Although a voluntary network of VET practitioners supporting the development of such a framework has been established.</w:t>
      </w:r>
    </w:p>
  </w:footnote>
  <w:footnote w:id="21">
    <w:p w14:paraId="089D5788" w14:textId="303DDC4C" w:rsidR="00AA34B7" w:rsidRPr="008B57A2" w:rsidRDefault="00AA34B7" w:rsidP="008B57A2">
      <w:pPr>
        <w:pStyle w:val="FootnoteText0"/>
      </w:pPr>
      <w:r w:rsidRPr="008B57A2">
        <w:rPr>
          <w:rStyle w:val="FootnoteReference"/>
          <w:vertAlign w:val="baseline"/>
        </w:rPr>
        <w:footnoteRef/>
      </w:r>
      <w:r w:rsidRPr="008B57A2">
        <w:t xml:space="preserve"> </w:t>
      </w:r>
      <w:r w:rsidRPr="008B57A2">
        <w:tab/>
        <w:t>This upgrading and re-qualification process for the Certificate IV has been required on two occasions to date and was considered by providers to have diverted limited PD funding away from initiatives which may have been more valuable (Guthrie &amp; Every 2013).</w:t>
      </w:r>
    </w:p>
  </w:footnote>
  <w:footnote w:id="22">
    <w:p w14:paraId="262C6232" w14:textId="503927F3" w:rsidR="00AA34B7" w:rsidRPr="008B57A2" w:rsidRDefault="00AA34B7" w:rsidP="008B57A2">
      <w:pPr>
        <w:pStyle w:val="FootnoteText0"/>
      </w:pPr>
      <w:r w:rsidRPr="008B57A2">
        <w:rPr>
          <w:rStyle w:val="FootnoteReference"/>
          <w:vertAlign w:val="baseline"/>
        </w:rPr>
        <w:footnoteRef/>
      </w:r>
      <w:r w:rsidRPr="008B57A2">
        <w:t xml:space="preserve"> </w:t>
      </w:r>
      <w:r w:rsidRPr="008B57A2">
        <w:tab/>
        <w:t xml:space="preserve">Early challenges with timing of the training were experienced, but </w:t>
      </w:r>
      <w:proofErr w:type="gramStart"/>
      <w:r w:rsidRPr="008B57A2">
        <w:t>the majority of</w:t>
      </w:r>
      <w:proofErr w:type="gramEnd"/>
      <w:r w:rsidRPr="008B57A2">
        <w:t xml:space="preserve"> trainees have been able to complete their Certificate IV in TAE programs.</w:t>
      </w:r>
    </w:p>
  </w:footnote>
  <w:footnote w:id="23">
    <w:p w14:paraId="07C8BE5A" w14:textId="3BBE7509" w:rsidR="00AA34B7" w:rsidRDefault="00AA34B7" w:rsidP="008B57A2">
      <w:pPr>
        <w:pStyle w:val="FootnoteText0"/>
      </w:pPr>
      <w:r w:rsidRPr="008B57A2">
        <w:rPr>
          <w:rStyle w:val="FootnoteReference"/>
          <w:vertAlign w:val="baseline"/>
        </w:rPr>
        <w:footnoteRef/>
      </w:r>
      <w:r w:rsidRPr="008B57A2">
        <w:t xml:space="preserve"> </w:t>
      </w:r>
      <w:r w:rsidRPr="008B57A2">
        <w:tab/>
        <w:t>The skill set used to teach the fundamentals of VET teaching is generally the Enterprise Trainer — Presenting skill set</w:t>
      </w:r>
      <w:r w:rsidRPr="00F45F40">
        <w:t>.</w:t>
      </w:r>
    </w:p>
  </w:footnote>
  <w:footnote w:id="24">
    <w:p w14:paraId="6FC8047A" w14:textId="40CA5921" w:rsidR="00AA34B7" w:rsidRPr="008B57A2" w:rsidRDefault="00AA34B7" w:rsidP="008B57A2">
      <w:pPr>
        <w:pStyle w:val="FootnoteText0"/>
      </w:pPr>
      <w:r w:rsidRPr="008B57A2">
        <w:rPr>
          <w:rStyle w:val="FootnoteReference"/>
          <w:vertAlign w:val="baseline"/>
        </w:rPr>
        <w:footnoteRef/>
      </w:r>
      <w:r w:rsidRPr="008B57A2">
        <w:t xml:space="preserve"> </w:t>
      </w:r>
      <w:r w:rsidRPr="008B57A2">
        <w:tab/>
        <w:t xml:space="preserve">On the other hand, and in </w:t>
      </w:r>
      <w:proofErr w:type="gramStart"/>
      <w:r w:rsidRPr="008B57A2">
        <w:t>TAFE in particular, this</w:t>
      </w:r>
      <w:proofErr w:type="gramEnd"/>
      <w:r w:rsidRPr="008B57A2">
        <w:t xml:space="preserve"> may limit the salaries and hourly rates that can be offered if higher level qualifications are not held by its highly casualised teaching workforce (see </w:t>
      </w:r>
      <w:r>
        <w:t>t</w:t>
      </w:r>
      <w:r w:rsidRPr="008B57A2">
        <w:t>able 1</w:t>
      </w:r>
      <w:r>
        <w:t>, page 15</w:t>
      </w:r>
      <w:r w:rsidRPr="008B57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C3B5" w14:textId="1F559C9E" w:rsidR="00AA34B7" w:rsidRDefault="00AA3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CC6D" w14:textId="32662946" w:rsidR="00AA34B7" w:rsidRPr="00D66D9A" w:rsidRDefault="00AA34B7" w:rsidP="00D66D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4D4F" w14:textId="53C09D0B" w:rsidR="00AA34B7" w:rsidRDefault="00AA3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2F3DC" w14:textId="7CD4CD4F" w:rsidR="00AA34B7" w:rsidRDefault="00AA34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A489" w14:textId="0AD538D4" w:rsidR="00AA34B7" w:rsidRPr="00F408A5" w:rsidRDefault="00AA34B7" w:rsidP="00F408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CE1D" w14:textId="144A2E09" w:rsidR="00AA34B7" w:rsidRDefault="00AA34B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AFF0" w14:textId="7F5051AB" w:rsidR="00AA34B7" w:rsidRDefault="00AA34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E9755" w14:textId="2969DFCE" w:rsidR="00AA34B7" w:rsidRDefault="00AA34B7">
    <w:pPr>
      <w:pStyle w:val="Header"/>
    </w:pPr>
    <w:r>
      <w:rPr>
        <w:noProof/>
        <w:lang w:eastAsia="en-AU"/>
      </w:rPr>
      <mc:AlternateContent>
        <mc:Choice Requires="wps">
          <w:drawing>
            <wp:anchor distT="0" distB="0" distL="114300" distR="114300" simplePos="0" relativeHeight="251656704" behindDoc="1" locked="0" layoutInCell="0" allowOverlap="1" wp14:anchorId="6CCEF206" wp14:editId="2DD3978E">
              <wp:simplePos x="0" y="0"/>
              <wp:positionH relativeFrom="margin">
                <wp:align>center</wp:align>
              </wp:positionH>
              <wp:positionV relativeFrom="margin">
                <wp:align>center</wp:align>
              </wp:positionV>
              <wp:extent cx="5619750" cy="2247900"/>
              <wp:effectExtent l="0" t="1552575" r="0" b="12096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9750" cy="224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6F485" w14:textId="77777777" w:rsidR="00AA34B7" w:rsidRDefault="00AA34B7" w:rsidP="00C8633E">
                          <w:pPr>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CEF206" id="_x0000_t202" coordsize="21600,21600" o:spt="202" path="m,l,21600r21600,l21600,xe">
              <v:stroke joinstyle="miter"/>
              <v:path gradientshapeok="t" o:connecttype="rect"/>
            </v:shapetype>
            <v:shape id="Text Box 8" o:spid="_x0000_s1031" type="#_x0000_t202" style="position:absolute;margin-left:0;margin-top:0;width:442.5pt;height:177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" o:allowincell="f" filled="f" stroked="f">
              <v:stroke joinstyle="round"/>
              <o:lock v:ext="edit" shapetype="t"/>
              <v:textbox style="mso-fit-shape-to-text:t">
                <w:txbxContent>
                  <w:p w14:paraId="2596F485" w14:textId="77777777" w:rsidR="00AA34B7" w:rsidRDefault="00AA34B7" w:rsidP="00C8633E">
                    <w:pPr>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82A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BA7D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4056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8EE9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984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85F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AB9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0C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EE5C10"/>
    <w:lvl w:ilvl="0">
      <w:start w:val="1"/>
      <w:numFmt w:val="decimal"/>
      <w:pStyle w:val="ListNumber"/>
      <w:lvlText w:val="%1."/>
      <w:lvlJc w:val="left"/>
      <w:pPr>
        <w:tabs>
          <w:tab w:val="num" w:pos="360"/>
        </w:tabs>
        <w:ind w:left="360" w:hanging="360"/>
      </w:pPr>
    </w:lvl>
  </w:abstractNum>
  <w:abstractNum w:abstractNumId="9" w15:restartNumberingAfterBreak="0">
    <w:nsid w:val="0D257BCA"/>
    <w:multiLevelType w:val="hybridMultilevel"/>
    <w:tmpl w:val="E86C1C96"/>
    <w:lvl w:ilvl="0" w:tplc="0C09000F">
      <w:start w:val="1"/>
      <w:numFmt w:val="decimal"/>
      <w:lvlText w:val="%1."/>
      <w:lvlJc w:val="left"/>
      <w:pPr>
        <w:ind w:left="719" w:hanging="360"/>
      </w:pPr>
    </w:lvl>
    <w:lvl w:ilvl="1" w:tplc="0C090019">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0" w15:restartNumberingAfterBreak="0">
    <w:nsid w:val="0E1C68DA"/>
    <w:multiLevelType w:val="hybridMultilevel"/>
    <w:tmpl w:val="95AA0A84"/>
    <w:lvl w:ilvl="0" w:tplc="78AE0CF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60733B"/>
    <w:multiLevelType w:val="hybridMultilevel"/>
    <w:tmpl w:val="D5EAF556"/>
    <w:lvl w:ilvl="0" w:tplc="0C09000F">
      <w:start w:val="1"/>
      <w:numFmt w:val="decimal"/>
      <w:lvlText w:val="%1."/>
      <w:lvlJc w:val="left"/>
      <w:pPr>
        <w:ind w:left="720" w:hanging="360"/>
      </w:pPr>
      <w:rPr>
        <w:rFonts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CE595A"/>
    <w:multiLevelType w:val="hybridMultilevel"/>
    <w:tmpl w:val="43F2FAAC"/>
    <w:lvl w:ilvl="0" w:tplc="0C09000F">
      <w:start w:val="1"/>
      <w:numFmt w:val="decimal"/>
      <w:lvlText w:val="%1."/>
      <w:lvlJc w:val="left"/>
      <w:pPr>
        <w:ind w:left="720" w:hanging="360"/>
      </w:pPr>
      <w:rPr>
        <w:rFonts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4C73FF"/>
    <w:multiLevelType w:val="hybridMultilevel"/>
    <w:tmpl w:val="ED2E99C2"/>
    <w:lvl w:ilvl="0" w:tplc="D84EB13C">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E6B96"/>
    <w:multiLevelType w:val="hybridMultilevel"/>
    <w:tmpl w:val="56B4BBD6"/>
    <w:lvl w:ilvl="0" w:tplc="0C09000F">
      <w:start w:val="1"/>
      <w:numFmt w:val="decimal"/>
      <w:lvlText w:val="%1."/>
      <w:lvlJc w:val="left"/>
      <w:pPr>
        <w:ind w:left="720" w:hanging="360"/>
      </w:pPr>
      <w:rPr>
        <w:rFonts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B85EF9"/>
    <w:multiLevelType w:val="singleLevel"/>
    <w:tmpl w:val="AF9C64C0"/>
    <w:lvl w:ilvl="0">
      <w:start w:val="1"/>
      <w:numFmt w:val="bullet"/>
      <w:pStyle w:val="Dotpoint1"/>
      <w:lvlText w:val=""/>
      <w:lvlJc w:val="left"/>
      <w:pPr>
        <w:tabs>
          <w:tab w:val="num" w:pos="360"/>
        </w:tabs>
        <w:ind w:left="360" w:hanging="360"/>
      </w:pPr>
      <w:rPr>
        <w:rFonts w:ascii="Wingdings" w:hAnsi="Wingdings" w:hint="default"/>
      </w:rPr>
    </w:lvl>
  </w:abstractNum>
  <w:abstractNum w:abstractNumId="18" w15:restartNumberingAfterBreak="0">
    <w:nsid w:val="46921335"/>
    <w:multiLevelType w:val="hybridMultilevel"/>
    <w:tmpl w:val="341EAD68"/>
    <w:lvl w:ilvl="0" w:tplc="F45AA78E">
      <w:numFmt w:val="bullet"/>
      <w:pStyle w:val="Dotpoint10"/>
      <w:lvlText w:val=""/>
      <w:lvlJc w:val="left"/>
      <w:pPr>
        <w:ind w:left="361" w:hanging="360"/>
      </w:pPr>
      <w:rPr>
        <w:rFonts w:ascii="Wingdings" w:hAnsi="Wingdings" w:cs="Wingdings" w:hint="default"/>
        <w:color w:val="000000" w:themeColor="text1"/>
        <w:w w:val="99"/>
        <w:sz w:val="20"/>
        <w:szCs w:val="20"/>
      </w:rPr>
    </w:lvl>
    <w:lvl w:ilvl="1" w:tplc="BB68FBE6">
      <w:numFmt w:val="bullet"/>
      <w:lvlText w:val="•"/>
      <w:lvlJc w:val="left"/>
      <w:pPr>
        <w:ind w:left="1441" w:hanging="360"/>
      </w:pPr>
      <w:rPr>
        <w:rFonts w:ascii="Calibri" w:hAnsi="Calibri" w:hint="default"/>
        <w:color w:val="002060"/>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9" w15:restartNumberingAfterBreak="0">
    <w:nsid w:val="4EF84BE1"/>
    <w:multiLevelType w:val="hybridMultilevel"/>
    <w:tmpl w:val="5D76E81E"/>
    <w:lvl w:ilvl="0" w:tplc="EF149AE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44E6124"/>
    <w:multiLevelType w:val="multilevel"/>
    <w:tmpl w:val="B8088798"/>
    <w:lvl w:ilvl="0">
      <w:start w:val="1"/>
      <w:numFmt w:val="decimal"/>
      <w:pStyle w:val="MEBasic1"/>
      <w:lvlText w:val="%1."/>
      <w:lvlJc w:val="left"/>
      <w:pPr>
        <w:tabs>
          <w:tab w:val="num" w:pos="822"/>
        </w:tabs>
        <w:ind w:left="822" w:hanging="680"/>
      </w:pPr>
      <w:rPr>
        <w:rFonts w:ascii="Arial Narrow" w:hAnsi="Arial Narrow" w:hint="default"/>
        <w:b w:val="0"/>
        <w:bCs w:val="0"/>
        <w:sz w:val="32"/>
        <w:szCs w:val="32"/>
      </w:rPr>
    </w:lvl>
    <w:lvl w:ilvl="1">
      <w:start w:val="1"/>
      <w:numFmt w:val="decimal"/>
      <w:pStyle w:val="MEBasic2"/>
      <w:lvlText w:val="%1.%2"/>
      <w:lvlJc w:val="left"/>
      <w:pPr>
        <w:tabs>
          <w:tab w:val="num" w:pos="822"/>
        </w:tabs>
        <w:ind w:left="822" w:hanging="680"/>
      </w:pPr>
      <w:rPr>
        <w:rFonts w:hint="default"/>
      </w:rPr>
    </w:lvl>
    <w:lvl w:ilvl="2">
      <w:start w:val="1"/>
      <w:numFmt w:val="lowerLetter"/>
      <w:pStyle w:val="MEBasic3"/>
      <w:lvlText w:val="(%3)"/>
      <w:lvlJc w:val="left"/>
      <w:pPr>
        <w:tabs>
          <w:tab w:val="num" w:pos="1503"/>
        </w:tabs>
        <w:ind w:left="1503" w:hanging="681"/>
      </w:pPr>
      <w:rPr>
        <w:rFonts w:hint="default"/>
      </w:rPr>
    </w:lvl>
    <w:lvl w:ilvl="3">
      <w:start w:val="1"/>
      <w:numFmt w:val="lowerRoman"/>
      <w:pStyle w:val="MEBasic4"/>
      <w:lvlText w:val="(%4)"/>
      <w:lvlJc w:val="left"/>
      <w:pPr>
        <w:tabs>
          <w:tab w:val="num" w:pos="2183"/>
        </w:tabs>
        <w:ind w:left="2183" w:hanging="680"/>
      </w:pPr>
      <w:rPr>
        <w:rFonts w:hint="default"/>
      </w:rPr>
    </w:lvl>
    <w:lvl w:ilvl="4">
      <w:start w:val="1"/>
      <w:numFmt w:val="upperLetter"/>
      <w:pStyle w:val="MEBasic5"/>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22" w15:restartNumberingAfterBreak="0">
    <w:nsid w:val="6AC25018"/>
    <w:multiLevelType w:val="hybridMultilevel"/>
    <w:tmpl w:val="1A98B6CC"/>
    <w:lvl w:ilvl="0" w:tplc="248C8496">
      <w:numFmt w:val="bullet"/>
      <w:pStyle w:val="Dotpoint2"/>
      <w:lvlText w:val=""/>
      <w:lvlJc w:val="left"/>
      <w:pPr>
        <w:ind w:left="720" w:hanging="360"/>
      </w:pPr>
      <w:rPr>
        <w:rFonts w:ascii="Symbol" w:hAnsi="Symbol" w:cs="Symbol"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534ABC"/>
    <w:multiLevelType w:val="hybridMultilevel"/>
    <w:tmpl w:val="9BC0B3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2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7"/>
  </w:num>
  <w:num w:numId="14">
    <w:abstractNumId w:val="21"/>
  </w:num>
  <w:num w:numId="15">
    <w:abstractNumId w:val="19"/>
  </w:num>
  <w:num w:numId="16">
    <w:abstractNumId w:val="18"/>
  </w:num>
  <w:num w:numId="17">
    <w:abstractNumId w:val="22"/>
  </w:num>
  <w:num w:numId="18">
    <w:abstractNumId w:val="9"/>
  </w:num>
  <w:num w:numId="19">
    <w:abstractNumId w:val="23"/>
  </w:num>
  <w:num w:numId="20">
    <w:abstractNumId w:val="12"/>
  </w:num>
  <w:num w:numId="21">
    <w:abstractNumId w:val="11"/>
  </w:num>
  <w:num w:numId="22">
    <w:abstractNumId w:val="16"/>
  </w:num>
  <w:num w:numId="23">
    <w:abstractNumId w:val="13"/>
  </w:num>
  <w:num w:numId="24">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oNotTrackFormatting/>
  <w:defaultTabStop w:val="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Mjc2NzI1MDWxNDFX0lEKTi0uzszPAykwrAUA5AkyZSwAAAA="/>
  </w:docVars>
  <w:rsids>
    <w:rsidRoot w:val="003D4DFA"/>
    <w:rsid w:val="000004F1"/>
    <w:rsid w:val="0000055B"/>
    <w:rsid w:val="00000AEE"/>
    <w:rsid w:val="00000C20"/>
    <w:rsid w:val="00001A90"/>
    <w:rsid w:val="00002242"/>
    <w:rsid w:val="00002819"/>
    <w:rsid w:val="000029AF"/>
    <w:rsid w:val="00002EB7"/>
    <w:rsid w:val="00002F93"/>
    <w:rsid w:val="00003655"/>
    <w:rsid w:val="00003952"/>
    <w:rsid w:val="00004506"/>
    <w:rsid w:val="00005F6D"/>
    <w:rsid w:val="000061F9"/>
    <w:rsid w:val="00006241"/>
    <w:rsid w:val="000067CA"/>
    <w:rsid w:val="000068B1"/>
    <w:rsid w:val="00006AA7"/>
    <w:rsid w:val="0000703C"/>
    <w:rsid w:val="000075C6"/>
    <w:rsid w:val="000077C7"/>
    <w:rsid w:val="00007E39"/>
    <w:rsid w:val="0001027D"/>
    <w:rsid w:val="000103B9"/>
    <w:rsid w:val="00010606"/>
    <w:rsid w:val="00010661"/>
    <w:rsid w:val="000108B2"/>
    <w:rsid w:val="00012E25"/>
    <w:rsid w:val="000138F5"/>
    <w:rsid w:val="00014005"/>
    <w:rsid w:val="0001443A"/>
    <w:rsid w:val="00014643"/>
    <w:rsid w:val="00014C31"/>
    <w:rsid w:val="000153A9"/>
    <w:rsid w:val="00015A26"/>
    <w:rsid w:val="00015E78"/>
    <w:rsid w:val="000160A2"/>
    <w:rsid w:val="0001685A"/>
    <w:rsid w:val="000168BA"/>
    <w:rsid w:val="000168D5"/>
    <w:rsid w:val="000168DA"/>
    <w:rsid w:val="0001695F"/>
    <w:rsid w:val="00016CA9"/>
    <w:rsid w:val="00017500"/>
    <w:rsid w:val="000176F6"/>
    <w:rsid w:val="00017C39"/>
    <w:rsid w:val="00020B1F"/>
    <w:rsid w:val="00020C07"/>
    <w:rsid w:val="00020E5D"/>
    <w:rsid w:val="00021126"/>
    <w:rsid w:val="00021D90"/>
    <w:rsid w:val="00021EDA"/>
    <w:rsid w:val="00021F61"/>
    <w:rsid w:val="0002208D"/>
    <w:rsid w:val="00022290"/>
    <w:rsid w:val="000228A8"/>
    <w:rsid w:val="00022C53"/>
    <w:rsid w:val="00022CA0"/>
    <w:rsid w:val="00023210"/>
    <w:rsid w:val="0002340E"/>
    <w:rsid w:val="00023874"/>
    <w:rsid w:val="00023B72"/>
    <w:rsid w:val="00024089"/>
    <w:rsid w:val="00024733"/>
    <w:rsid w:val="00024BAE"/>
    <w:rsid w:val="00024FE7"/>
    <w:rsid w:val="00025552"/>
    <w:rsid w:val="00025AEB"/>
    <w:rsid w:val="00025B12"/>
    <w:rsid w:val="00025CD6"/>
    <w:rsid w:val="00025E34"/>
    <w:rsid w:val="00025E9C"/>
    <w:rsid w:val="00027482"/>
    <w:rsid w:val="00027ADE"/>
    <w:rsid w:val="0003017D"/>
    <w:rsid w:val="0003027E"/>
    <w:rsid w:val="000309CF"/>
    <w:rsid w:val="00030A2A"/>
    <w:rsid w:val="00030C2A"/>
    <w:rsid w:val="00030C68"/>
    <w:rsid w:val="00031245"/>
    <w:rsid w:val="00031C7B"/>
    <w:rsid w:val="00031E47"/>
    <w:rsid w:val="00032267"/>
    <w:rsid w:val="00032851"/>
    <w:rsid w:val="00032DAE"/>
    <w:rsid w:val="00033CF9"/>
    <w:rsid w:val="00033F28"/>
    <w:rsid w:val="0003456B"/>
    <w:rsid w:val="000345A6"/>
    <w:rsid w:val="000348FE"/>
    <w:rsid w:val="00034D9E"/>
    <w:rsid w:val="00035058"/>
    <w:rsid w:val="000352A1"/>
    <w:rsid w:val="00035623"/>
    <w:rsid w:val="0003576D"/>
    <w:rsid w:val="000360FA"/>
    <w:rsid w:val="00036358"/>
    <w:rsid w:val="00036C57"/>
    <w:rsid w:val="00036F57"/>
    <w:rsid w:val="00037223"/>
    <w:rsid w:val="000375E9"/>
    <w:rsid w:val="00037FB8"/>
    <w:rsid w:val="00041023"/>
    <w:rsid w:val="000412EC"/>
    <w:rsid w:val="00041E1A"/>
    <w:rsid w:val="000420EC"/>
    <w:rsid w:val="00042558"/>
    <w:rsid w:val="000435A6"/>
    <w:rsid w:val="00043968"/>
    <w:rsid w:val="00043F49"/>
    <w:rsid w:val="00044448"/>
    <w:rsid w:val="00044D28"/>
    <w:rsid w:val="00044D2D"/>
    <w:rsid w:val="00045E77"/>
    <w:rsid w:val="0004657F"/>
    <w:rsid w:val="000470DC"/>
    <w:rsid w:val="000471D6"/>
    <w:rsid w:val="000472C7"/>
    <w:rsid w:val="000472F0"/>
    <w:rsid w:val="00047561"/>
    <w:rsid w:val="00047CEE"/>
    <w:rsid w:val="00047DB1"/>
    <w:rsid w:val="000505DA"/>
    <w:rsid w:val="00050D1E"/>
    <w:rsid w:val="00051C66"/>
    <w:rsid w:val="000520D0"/>
    <w:rsid w:val="000524D9"/>
    <w:rsid w:val="000533C1"/>
    <w:rsid w:val="000533F9"/>
    <w:rsid w:val="00053492"/>
    <w:rsid w:val="00053503"/>
    <w:rsid w:val="000535BC"/>
    <w:rsid w:val="00053DDE"/>
    <w:rsid w:val="000547E2"/>
    <w:rsid w:val="00054991"/>
    <w:rsid w:val="00054A72"/>
    <w:rsid w:val="00054BBE"/>
    <w:rsid w:val="00054DD7"/>
    <w:rsid w:val="00055287"/>
    <w:rsid w:val="00055341"/>
    <w:rsid w:val="00055BB7"/>
    <w:rsid w:val="00055FE1"/>
    <w:rsid w:val="000566BB"/>
    <w:rsid w:val="00056880"/>
    <w:rsid w:val="00056A4C"/>
    <w:rsid w:val="00056A67"/>
    <w:rsid w:val="00056B98"/>
    <w:rsid w:val="0005729C"/>
    <w:rsid w:val="00057445"/>
    <w:rsid w:val="000578C2"/>
    <w:rsid w:val="00060262"/>
    <w:rsid w:val="000606C9"/>
    <w:rsid w:val="00060982"/>
    <w:rsid w:val="00060C4E"/>
    <w:rsid w:val="0006125F"/>
    <w:rsid w:val="0006135C"/>
    <w:rsid w:val="00061404"/>
    <w:rsid w:val="00061589"/>
    <w:rsid w:val="00061EF3"/>
    <w:rsid w:val="00061F9E"/>
    <w:rsid w:val="00062D21"/>
    <w:rsid w:val="00062FE3"/>
    <w:rsid w:val="00063805"/>
    <w:rsid w:val="00063904"/>
    <w:rsid w:val="000648CE"/>
    <w:rsid w:val="000656A6"/>
    <w:rsid w:val="00065A6A"/>
    <w:rsid w:val="00066B26"/>
    <w:rsid w:val="0006720D"/>
    <w:rsid w:val="00067FD9"/>
    <w:rsid w:val="000708F8"/>
    <w:rsid w:val="00070CB8"/>
    <w:rsid w:val="00070E3C"/>
    <w:rsid w:val="000717D4"/>
    <w:rsid w:val="000717F7"/>
    <w:rsid w:val="00071A5F"/>
    <w:rsid w:val="00071E8F"/>
    <w:rsid w:val="000730D8"/>
    <w:rsid w:val="00073437"/>
    <w:rsid w:val="00073555"/>
    <w:rsid w:val="00073757"/>
    <w:rsid w:val="00073B26"/>
    <w:rsid w:val="00073E29"/>
    <w:rsid w:val="000742B3"/>
    <w:rsid w:val="0007437F"/>
    <w:rsid w:val="00074747"/>
    <w:rsid w:val="00074BD4"/>
    <w:rsid w:val="00074BE1"/>
    <w:rsid w:val="00074DEF"/>
    <w:rsid w:val="00074DF7"/>
    <w:rsid w:val="000751A3"/>
    <w:rsid w:val="00075F3A"/>
    <w:rsid w:val="0007600E"/>
    <w:rsid w:val="00076093"/>
    <w:rsid w:val="00076531"/>
    <w:rsid w:val="00076815"/>
    <w:rsid w:val="00076B19"/>
    <w:rsid w:val="00076ECC"/>
    <w:rsid w:val="00077253"/>
    <w:rsid w:val="00077485"/>
    <w:rsid w:val="00077A17"/>
    <w:rsid w:val="00080F62"/>
    <w:rsid w:val="00080FCC"/>
    <w:rsid w:val="0008148A"/>
    <w:rsid w:val="00081CE5"/>
    <w:rsid w:val="00081E53"/>
    <w:rsid w:val="00082D65"/>
    <w:rsid w:val="0008329C"/>
    <w:rsid w:val="00083C29"/>
    <w:rsid w:val="00083C63"/>
    <w:rsid w:val="00083D2F"/>
    <w:rsid w:val="00084298"/>
    <w:rsid w:val="00084A84"/>
    <w:rsid w:val="00084AE1"/>
    <w:rsid w:val="00084CD9"/>
    <w:rsid w:val="000852A0"/>
    <w:rsid w:val="000854EA"/>
    <w:rsid w:val="0008554D"/>
    <w:rsid w:val="0008572A"/>
    <w:rsid w:val="0008591E"/>
    <w:rsid w:val="00085B34"/>
    <w:rsid w:val="00085E9D"/>
    <w:rsid w:val="00086006"/>
    <w:rsid w:val="000869DC"/>
    <w:rsid w:val="000870B1"/>
    <w:rsid w:val="00087268"/>
    <w:rsid w:val="000876CA"/>
    <w:rsid w:val="000878DA"/>
    <w:rsid w:val="00090175"/>
    <w:rsid w:val="000907FB"/>
    <w:rsid w:val="00092553"/>
    <w:rsid w:val="0009286E"/>
    <w:rsid w:val="00092A8F"/>
    <w:rsid w:val="00092AFD"/>
    <w:rsid w:val="000939E6"/>
    <w:rsid w:val="00093B85"/>
    <w:rsid w:val="0009401E"/>
    <w:rsid w:val="0009474D"/>
    <w:rsid w:val="00094A4B"/>
    <w:rsid w:val="00094BC4"/>
    <w:rsid w:val="00094C55"/>
    <w:rsid w:val="00094CD4"/>
    <w:rsid w:val="00094EC8"/>
    <w:rsid w:val="0009527C"/>
    <w:rsid w:val="000952A9"/>
    <w:rsid w:val="00096276"/>
    <w:rsid w:val="000975B3"/>
    <w:rsid w:val="00097DB2"/>
    <w:rsid w:val="000A0707"/>
    <w:rsid w:val="000A0B8B"/>
    <w:rsid w:val="000A1A90"/>
    <w:rsid w:val="000A1BB4"/>
    <w:rsid w:val="000A1E72"/>
    <w:rsid w:val="000A2857"/>
    <w:rsid w:val="000A2B1C"/>
    <w:rsid w:val="000A2FC8"/>
    <w:rsid w:val="000A3290"/>
    <w:rsid w:val="000A335B"/>
    <w:rsid w:val="000A345A"/>
    <w:rsid w:val="000A3656"/>
    <w:rsid w:val="000A36DA"/>
    <w:rsid w:val="000A4472"/>
    <w:rsid w:val="000A449A"/>
    <w:rsid w:val="000A46AF"/>
    <w:rsid w:val="000A5959"/>
    <w:rsid w:val="000A608F"/>
    <w:rsid w:val="000A631F"/>
    <w:rsid w:val="000A6572"/>
    <w:rsid w:val="000A674E"/>
    <w:rsid w:val="000A69C1"/>
    <w:rsid w:val="000A6A74"/>
    <w:rsid w:val="000A7544"/>
    <w:rsid w:val="000A76AE"/>
    <w:rsid w:val="000A7989"/>
    <w:rsid w:val="000A7A77"/>
    <w:rsid w:val="000B039D"/>
    <w:rsid w:val="000B07D3"/>
    <w:rsid w:val="000B081A"/>
    <w:rsid w:val="000B0B6B"/>
    <w:rsid w:val="000B16B9"/>
    <w:rsid w:val="000B17BE"/>
    <w:rsid w:val="000B2872"/>
    <w:rsid w:val="000B2AC1"/>
    <w:rsid w:val="000B2F3C"/>
    <w:rsid w:val="000B2F78"/>
    <w:rsid w:val="000B32C9"/>
    <w:rsid w:val="000B3725"/>
    <w:rsid w:val="000B3764"/>
    <w:rsid w:val="000B3B5A"/>
    <w:rsid w:val="000B3D7E"/>
    <w:rsid w:val="000B4084"/>
    <w:rsid w:val="000B4126"/>
    <w:rsid w:val="000B4E7D"/>
    <w:rsid w:val="000B59A0"/>
    <w:rsid w:val="000B5EB5"/>
    <w:rsid w:val="000B63C0"/>
    <w:rsid w:val="000B6B30"/>
    <w:rsid w:val="000B6B3B"/>
    <w:rsid w:val="000B6C7F"/>
    <w:rsid w:val="000B6F63"/>
    <w:rsid w:val="000B722D"/>
    <w:rsid w:val="000B7564"/>
    <w:rsid w:val="000B7E40"/>
    <w:rsid w:val="000C02DD"/>
    <w:rsid w:val="000C03B2"/>
    <w:rsid w:val="000C04DA"/>
    <w:rsid w:val="000C0642"/>
    <w:rsid w:val="000C0646"/>
    <w:rsid w:val="000C12A9"/>
    <w:rsid w:val="000C16A3"/>
    <w:rsid w:val="000C16E5"/>
    <w:rsid w:val="000C177D"/>
    <w:rsid w:val="000C1CAA"/>
    <w:rsid w:val="000C246C"/>
    <w:rsid w:val="000C2A29"/>
    <w:rsid w:val="000C3191"/>
    <w:rsid w:val="000C3AF5"/>
    <w:rsid w:val="000C3E6B"/>
    <w:rsid w:val="000C3EC9"/>
    <w:rsid w:val="000C4775"/>
    <w:rsid w:val="000C4916"/>
    <w:rsid w:val="000C5A04"/>
    <w:rsid w:val="000C5C8D"/>
    <w:rsid w:val="000C5FC5"/>
    <w:rsid w:val="000C6096"/>
    <w:rsid w:val="000C6A48"/>
    <w:rsid w:val="000C77A6"/>
    <w:rsid w:val="000C7936"/>
    <w:rsid w:val="000C7A98"/>
    <w:rsid w:val="000D01AE"/>
    <w:rsid w:val="000D033F"/>
    <w:rsid w:val="000D05BA"/>
    <w:rsid w:val="000D0E8D"/>
    <w:rsid w:val="000D0E93"/>
    <w:rsid w:val="000D1083"/>
    <w:rsid w:val="000D1491"/>
    <w:rsid w:val="000D1AB9"/>
    <w:rsid w:val="000D1B92"/>
    <w:rsid w:val="000D1E05"/>
    <w:rsid w:val="000D2067"/>
    <w:rsid w:val="000D20E7"/>
    <w:rsid w:val="000D2156"/>
    <w:rsid w:val="000D22FC"/>
    <w:rsid w:val="000D35D3"/>
    <w:rsid w:val="000D3ADD"/>
    <w:rsid w:val="000D439B"/>
    <w:rsid w:val="000D4FB7"/>
    <w:rsid w:val="000D5128"/>
    <w:rsid w:val="000D51CA"/>
    <w:rsid w:val="000D5E8B"/>
    <w:rsid w:val="000D675B"/>
    <w:rsid w:val="000D7264"/>
    <w:rsid w:val="000D7499"/>
    <w:rsid w:val="000D74A5"/>
    <w:rsid w:val="000D7DE3"/>
    <w:rsid w:val="000D7EF9"/>
    <w:rsid w:val="000E00BC"/>
    <w:rsid w:val="000E06D6"/>
    <w:rsid w:val="000E097E"/>
    <w:rsid w:val="000E0E5C"/>
    <w:rsid w:val="000E11E0"/>
    <w:rsid w:val="000E13BD"/>
    <w:rsid w:val="000E1F15"/>
    <w:rsid w:val="000E2330"/>
    <w:rsid w:val="000E2548"/>
    <w:rsid w:val="000E2A36"/>
    <w:rsid w:val="000E2B24"/>
    <w:rsid w:val="000E2ECC"/>
    <w:rsid w:val="000E367C"/>
    <w:rsid w:val="000E3E12"/>
    <w:rsid w:val="000E406B"/>
    <w:rsid w:val="000E4909"/>
    <w:rsid w:val="000E4AE2"/>
    <w:rsid w:val="000E52DA"/>
    <w:rsid w:val="000E5402"/>
    <w:rsid w:val="000E590C"/>
    <w:rsid w:val="000E5C07"/>
    <w:rsid w:val="000E5E31"/>
    <w:rsid w:val="000E60A4"/>
    <w:rsid w:val="000E637E"/>
    <w:rsid w:val="000E6792"/>
    <w:rsid w:val="000E685E"/>
    <w:rsid w:val="000E6BBB"/>
    <w:rsid w:val="000E6F87"/>
    <w:rsid w:val="000E769F"/>
    <w:rsid w:val="000E7856"/>
    <w:rsid w:val="000E7A23"/>
    <w:rsid w:val="000F0D38"/>
    <w:rsid w:val="000F116C"/>
    <w:rsid w:val="000F20FC"/>
    <w:rsid w:val="000F21E8"/>
    <w:rsid w:val="000F31DA"/>
    <w:rsid w:val="000F34DB"/>
    <w:rsid w:val="000F36C5"/>
    <w:rsid w:val="000F39F8"/>
    <w:rsid w:val="000F3A34"/>
    <w:rsid w:val="000F4DDE"/>
    <w:rsid w:val="000F51E1"/>
    <w:rsid w:val="000F5C33"/>
    <w:rsid w:val="000F6E89"/>
    <w:rsid w:val="000F711D"/>
    <w:rsid w:val="000F77C6"/>
    <w:rsid w:val="000F798F"/>
    <w:rsid w:val="000F7CE5"/>
    <w:rsid w:val="000F7D70"/>
    <w:rsid w:val="001006D9"/>
    <w:rsid w:val="00100D07"/>
    <w:rsid w:val="00101337"/>
    <w:rsid w:val="00101540"/>
    <w:rsid w:val="00101CA1"/>
    <w:rsid w:val="00102024"/>
    <w:rsid w:val="00103F21"/>
    <w:rsid w:val="00104AB0"/>
    <w:rsid w:val="001054EA"/>
    <w:rsid w:val="001055BF"/>
    <w:rsid w:val="00105BC1"/>
    <w:rsid w:val="00105D7A"/>
    <w:rsid w:val="00105E8D"/>
    <w:rsid w:val="00106244"/>
    <w:rsid w:val="00106A97"/>
    <w:rsid w:val="0010703F"/>
    <w:rsid w:val="00107095"/>
    <w:rsid w:val="0010759B"/>
    <w:rsid w:val="0010761A"/>
    <w:rsid w:val="0010774A"/>
    <w:rsid w:val="00107C5F"/>
    <w:rsid w:val="0011084B"/>
    <w:rsid w:val="00110A57"/>
    <w:rsid w:val="00110D3C"/>
    <w:rsid w:val="00110F17"/>
    <w:rsid w:val="00111074"/>
    <w:rsid w:val="001113B5"/>
    <w:rsid w:val="00111E47"/>
    <w:rsid w:val="001121AF"/>
    <w:rsid w:val="001121F0"/>
    <w:rsid w:val="0011223A"/>
    <w:rsid w:val="001126A5"/>
    <w:rsid w:val="00112B79"/>
    <w:rsid w:val="00113805"/>
    <w:rsid w:val="00113D44"/>
    <w:rsid w:val="00113FF5"/>
    <w:rsid w:val="0011409B"/>
    <w:rsid w:val="001143F5"/>
    <w:rsid w:val="00114CFF"/>
    <w:rsid w:val="0011548E"/>
    <w:rsid w:val="001156A6"/>
    <w:rsid w:val="001157B8"/>
    <w:rsid w:val="00115970"/>
    <w:rsid w:val="00115C26"/>
    <w:rsid w:val="00115ED3"/>
    <w:rsid w:val="00116A44"/>
    <w:rsid w:val="0011734B"/>
    <w:rsid w:val="00117986"/>
    <w:rsid w:val="00117A7E"/>
    <w:rsid w:val="00117D2C"/>
    <w:rsid w:val="001200A4"/>
    <w:rsid w:val="001200B5"/>
    <w:rsid w:val="0012083A"/>
    <w:rsid w:val="001209BE"/>
    <w:rsid w:val="001219AA"/>
    <w:rsid w:val="00121C2C"/>
    <w:rsid w:val="00122108"/>
    <w:rsid w:val="00122946"/>
    <w:rsid w:val="00122A15"/>
    <w:rsid w:val="00123229"/>
    <w:rsid w:val="001234B9"/>
    <w:rsid w:val="00123919"/>
    <w:rsid w:val="00123B5C"/>
    <w:rsid w:val="00123BE2"/>
    <w:rsid w:val="00124E32"/>
    <w:rsid w:val="00124F0A"/>
    <w:rsid w:val="00124FE5"/>
    <w:rsid w:val="00125101"/>
    <w:rsid w:val="0012558A"/>
    <w:rsid w:val="00125BBE"/>
    <w:rsid w:val="00126281"/>
    <w:rsid w:val="00127640"/>
    <w:rsid w:val="00130102"/>
    <w:rsid w:val="00130765"/>
    <w:rsid w:val="00130831"/>
    <w:rsid w:val="00130AB9"/>
    <w:rsid w:val="001310AA"/>
    <w:rsid w:val="00131BA0"/>
    <w:rsid w:val="00131C09"/>
    <w:rsid w:val="0013229A"/>
    <w:rsid w:val="0013244C"/>
    <w:rsid w:val="001332D1"/>
    <w:rsid w:val="001334C8"/>
    <w:rsid w:val="00133A10"/>
    <w:rsid w:val="00133B6E"/>
    <w:rsid w:val="00133C1D"/>
    <w:rsid w:val="001345D5"/>
    <w:rsid w:val="0013499B"/>
    <w:rsid w:val="00134DF5"/>
    <w:rsid w:val="00134E9E"/>
    <w:rsid w:val="001351B5"/>
    <w:rsid w:val="001357B6"/>
    <w:rsid w:val="00135C75"/>
    <w:rsid w:val="001366BC"/>
    <w:rsid w:val="001368DA"/>
    <w:rsid w:val="00136D2E"/>
    <w:rsid w:val="00136FDE"/>
    <w:rsid w:val="00137714"/>
    <w:rsid w:val="00137B40"/>
    <w:rsid w:val="00137EB8"/>
    <w:rsid w:val="00137F7D"/>
    <w:rsid w:val="001403AA"/>
    <w:rsid w:val="001414E4"/>
    <w:rsid w:val="00141649"/>
    <w:rsid w:val="00141B4D"/>
    <w:rsid w:val="0014245B"/>
    <w:rsid w:val="001428A5"/>
    <w:rsid w:val="00142D93"/>
    <w:rsid w:val="00142F4F"/>
    <w:rsid w:val="0014330A"/>
    <w:rsid w:val="00143B5E"/>
    <w:rsid w:val="00144267"/>
    <w:rsid w:val="0014497B"/>
    <w:rsid w:val="00144B08"/>
    <w:rsid w:val="001450E8"/>
    <w:rsid w:val="00145AA3"/>
    <w:rsid w:val="00145AB2"/>
    <w:rsid w:val="00145F36"/>
    <w:rsid w:val="00145FF2"/>
    <w:rsid w:val="00146534"/>
    <w:rsid w:val="001466D7"/>
    <w:rsid w:val="001467E4"/>
    <w:rsid w:val="00146B40"/>
    <w:rsid w:val="001478EF"/>
    <w:rsid w:val="001503B9"/>
    <w:rsid w:val="00150874"/>
    <w:rsid w:val="001509F3"/>
    <w:rsid w:val="00151015"/>
    <w:rsid w:val="00151172"/>
    <w:rsid w:val="001511AE"/>
    <w:rsid w:val="001512F6"/>
    <w:rsid w:val="001513CC"/>
    <w:rsid w:val="00151926"/>
    <w:rsid w:val="00151DF4"/>
    <w:rsid w:val="00151ED1"/>
    <w:rsid w:val="001525DE"/>
    <w:rsid w:val="00152A9D"/>
    <w:rsid w:val="00152DD7"/>
    <w:rsid w:val="00153476"/>
    <w:rsid w:val="0015372C"/>
    <w:rsid w:val="00153E3B"/>
    <w:rsid w:val="00154002"/>
    <w:rsid w:val="0015480F"/>
    <w:rsid w:val="00154B1C"/>
    <w:rsid w:val="001558D1"/>
    <w:rsid w:val="00156177"/>
    <w:rsid w:val="00157075"/>
    <w:rsid w:val="001570A0"/>
    <w:rsid w:val="00157908"/>
    <w:rsid w:val="00157D22"/>
    <w:rsid w:val="00160645"/>
    <w:rsid w:val="00160997"/>
    <w:rsid w:val="001625EF"/>
    <w:rsid w:val="00162AD5"/>
    <w:rsid w:val="00162BBD"/>
    <w:rsid w:val="00162DA7"/>
    <w:rsid w:val="001632FD"/>
    <w:rsid w:val="001647B6"/>
    <w:rsid w:val="00164BBD"/>
    <w:rsid w:val="00164C60"/>
    <w:rsid w:val="001657F9"/>
    <w:rsid w:val="00165A38"/>
    <w:rsid w:val="0016603C"/>
    <w:rsid w:val="00166735"/>
    <w:rsid w:val="0016684D"/>
    <w:rsid w:val="00166BB1"/>
    <w:rsid w:val="001671CD"/>
    <w:rsid w:val="001675E3"/>
    <w:rsid w:val="001676F9"/>
    <w:rsid w:val="00167824"/>
    <w:rsid w:val="00167EAE"/>
    <w:rsid w:val="001702AF"/>
    <w:rsid w:val="001707E5"/>
    <w:rsid w:val="001708BC"/>
    <w:rsid w:val="001709BF"/>
    <w:rsid w:val="001709EC"/>
    <w:rsid w:val="0017120A"/>
    <w:rsid w:val="00171519"/>
    <w:rsid w:val="00171F2D"/>
    <w:rsid w:val="001720DB"/>
    <w:rsid w:val="0017223B"/>
    <w:rsid w:val="00172509"/>
    <w:rsid w:val="00172904"/>
    <w:rsid w:val="00172A18"/>
    <w:rsid w:val="00172A75"/>
    <w:rsid w:val="00172DF8"/>
    <w:rsid w:val="00173716"/>
    <w:rsid w:val="001738F9"/>
    <w:rsid w:val="00173BC7"/>
    <w:rsid w:val="00174012"/>
    <w:rsid w:val="00174233"/>
    <w:rsid w:val="0017423E"/>
    <w:rsid w:val="0017451D"/>
    <w:rsid w:val="0017509D"/>
    <w:rsid w:val="00175432"/>
    <w:rsid w:val="001760A7"/>
    <w:rsid w:val="00176573"/>
    <w:rsid w:val="00176AD1"/>
    <w:rsid w:val="001770D9"/>
    <w:rsid w:val="001778F7"/>
    <w:rsid w:val="00177EBA"/>
    <w:rsid w:val="0018002C"/>
    <w:rsid w:val="00180030"/>
    <w:rsid w:val="00180278"/>
    <w:rsid w:val="00180B2B"/>
    <w:rsid w:val="001811E3"/>
    <w:rsid w:val="00181AB0"/>
    <w:rsid w:val="00181D3D"/>
    <w:rsid w:val="001823BE"/>
    <w:rsid w:val="00182895"/>
    <w:rsid w:val="00183386"/>
    <w:rsid w:val="001834ED"/>
    <w:rsid w:val="00183563"/>
    <w:rsid w:val="001838C0"/>
    <w:rsid w:val="0018439D"/>
    <w:rsid w:val="0018452E"/>
    <w:rsid w:val="001847EC"/>
    <w:rsid w:val="00184AA0"/>
    <w:rsid w:val="00184CBC"/>
    <w:rsid w:val="00185B1F"/>
    <w:rsid w:val="001867E8"/>
    <w:rsid w:val="00186BD6"/>
    <w:rsid w:val="00186E2B"/>
    <w:rsid w:val="00187513"/>
    <w:rsid w:val="00187A1C"/>
    <w:rsid w:val="00187BF6"/>
    <w:rsid w:val="001901A4"/>
    <w:rsid w:val="001906CC"/>
    <w:rsid w:val="001919A7"/>
    <w:rsid w:val="0019223B"/>
    <w:rsid w:val="00192571"/>
    <w:rsid w:val="00192AF4"/>
    <w:rsid w:val="00192B48"/>
    <w:rsid w:val="001934C2"/>
    <w:rsid w:val="0019424C"/>
    <w:rsid w:val="00195214"/>
    <w:rsid w:val="001954B3"/>
    <w:rsid w:val="00195BD6"/>
    <w:rsid w:val="00196006"/>
    <w:rsid w:val="001964D4"/>
    <w:rsid w:val="0019662B"/>
    <w:rsid w:val="001967AE"/>
    <w:rsid w:val="001970EA"/>
    <w:rsid w:val="00197437"/>
    <w:rsid w:val="001974D4"/>
    <w:rsid w:val="00197737"/>
    <w:rsid w:val="00197FE0"/>
    <w:rsid w:val="001A03DD"/>
    <w:rsid w:val="001A04FD"/>
    <w:rsid w:val="001A0FD8"/>
    <w:rsid w:val="001A1227"/>
    <w:rsid w:val="001A1AAE"/>
    <w:rsid w:val="001A1E24"/>
    <w:rsid w:val="001A204C"/>
    <w:rsid w:val="001A2248"/>
    <w:rsid w:val="001A24E1"/>
    <w:rsid w:val="001A27FF"/>
    <w:rsid w:val="001A2AA2"/>
    <w:rsid w:val="001A2DFE"/>
    <w:rsid w:val="001A31B8"/>
    <w:rsid w:val="001A3871"/>
    <w:rsid w:val="001A3C8A"/>
    <w:rsid w:val="001A3CFC"/>
    <w:rsid w:val="001A41C9"/>
    <w:rsid w:val="001A4A67"/>
    <w:rsid w:val="001A5418"/>
    <w:rsid w:val="001A5A14"/>
    <w:rsid w:val="001A5AD6"/>
    <w:rsid w:val="001A62D8"/>
    <w:rsid w:val="001A67E5"/>
    <w:rsid w:val="001A7D20"/>
    <w:rsid w:val="001B0139"/>
    <w:rsid w:val="001B0393"/>
    <w:rsid w:val="001B0535"/>
    <w:rsid w:val="001B0BDC"/>
    <w:rsid w:val="001B1071"/>
    <w:rsid w:val="001B128D"/>
    <w:rsid w:val="001B1CE3"/>
    <w:rsid w:val="001B2252"/>
    <w:rsid w:val="001B248B"/>
    <w:rsid w:val="001B2B52"/>
    <w:rsid w:val="001B2C54"/>
    <w:rsid w:val="001B2D83"/>
    <w:rsid w:val="001B3427"/>
    <w:rsid w:val="001B3654"/>
    <w:rsid w:val="001B3786"/>
    <w:rsid w:val="001B3AA2"/>
    <w:rsid w:val="001B3E4C"/>
    <w:rsid w:val="001B4083"/>
    <w:rsid w:val="001B43CF"/>
    <w:rsid w:val="001B48FE"/>
    <w:rsid w:val="001B50D6"/>
    <w:rsid w:val="001B55D1"/>
    <w:rsid w:val="001B5677"/>
    <w:rsid w:val="001B58AA"/>
    <w:rsid w:val="001B5A2A"/>
    <w:rsid w:val="001B5B82"/>
    <w:rsid w:val="001B659A"/>
    <w:rsid w:val="001B66DE"/>
    <w:rsid w:val="001B66E4"/>
    <w:rsid w:val="001B6960"/>
    <w:rsid w:val="001B7548"/>
    <w:rsid w:val="001B7CE2"/>
    <w:rsid w:val="001C004A"/>
    <w:rsid w:val="001C0F34"/>
    <w:rsid w:val="001C12AA"/>
    <w:rsid w:val="001C149B"/>
    <w:rsid w:val="001C157A"/>
    <w:rsid w:val="001C1E7D"/>
    <w:rsid w:val="001C21FF"/>
    <w:rsid w:val="001C3144"/>
    <w:rsid w:val="001C435C"/>
    <w:rsid w:val="001C47FF"/>
    <w:rsid w:val="001C48EC"/>
    <w:rsid w:val="001C50BD"/>
    <w:rsid w:val="001C53F0"/>
    <w:rsid w:val="001C5588"/>
    <w:rsid w:val="001C61A0"/>
    <w:rsid w:val="001C6B34"/>
    <w:rsid w:val="001C75A9"/>
    <w:rsid w:val="001C7955"/>
    <w:rsid w:val="001D01A6"/>
    <w:rsid w:val="001D05F8"/>
    <w:rsid w:val="001D15EE"/>
    <w:rsid w:val="001D1DEE"/>
    <w:rsid w:val="001D2BDC"/>
    <w:rsid w:val="001D2C21"/>
    <w:rsid w:val="001D321A"/>
    <w:rsid w:val="001D38D2"/>
    <w:rsid w:val="001D3D73"/>
    <w:rsid w:val="001D3EBC"/>
    <w:rsid w:val="001D44C8"/>
    <w:rsid w:val="001D59F0"/>
    <w:rsid w:val="001D5EF1"/>
    <w:rsid w:val="001D67FF"/>
    <w:rsid w:val="001D75A5"/>
    <w:rsid w:val="001E05FD"/>
    <w:rsid w:val="001E1003"/>
    <w:rsid w:val="001E1A44"/>
    <w:rsid w:val="001E1AAB"/>
    <w:rsid w:val="001E317D"/>
    <w:rsid w:val="001E322E"/>
    <w:rsid w:val="001E338E"/>
    <w:rsid w:val="001E37FD"/>
    <w:rsid w:val="001E38DC"/>
    <w:rsid w:val="001E394B"/>
    <w:rsid w:val="001E3FA4"/>
    <w:rsid w:val="001E412E"/>
    <w:rsid w:val="001E4243"/>
    <w:rsid w:val="001E49A9"/>
    <w:rsid w:val="001E571F"/>
    <w:rsid w:val="001E5A8B"/>
    <w:rsid w:val="001E5FD5"/>
    <w:rsid w:val="001E6A06"/>
    <w:rsid w:val="001E7CF3"/>
    <w:rsid w:val="001E7E4A"/>
    <w:rsid w:val="001E7E8E"/>
    <w:rsid w:val="001F00BC"/>
    <w:rsid w:val="001F024D"/>
    <w:rsid w:val="001F048A"/>
    <w:rsid w:val="001F08DC"/>
    <w:rsid w:val="001F11AE"/>
    <w:rsid w:val="001F1E9C"/>
    <w:rsid w:val="001F20D3"/>
    <w:rsid w:val="001F22E9"/>
    <w:rsid w:val="001F2DA2"/>
    <w:rsid w:val="001F2E1B"/>
    <w:rsid w:val="001F3740"/>
    <w:rsid w:val="001F388A"/>
    <w:rsid w:val="001F46A9"/>
    <w:rsid w:val="001F4762"/>
    <w:rsid w:val="001F4AC8"/>
    <w:rsid w:val="001F4AF9"/>
    <w:rsid w:val="001F70A8"/>
    <w:rsid w:val="001F728C"/>
    <w:rsid w:val="001F76D4"/>
    <w:rsid w:val="001F7BF6"/>
    <w:rsid w:val="001F7D84"/>
    <w:rsid w:val="00200680"/>
    <w:rsid w:val="00200C14"/>
    <w:rsid w:val="00200F71"/>
    <w:rsid w:val="0020187E"/>
    <w:rsid w:val="00201FED"/>
    <w:rsid w:val="00202239"/>
    <w:rsid w:val="00202997"/>
    <w:rsid w:val="00202AC9"/>
    <w:rsid w:val="00202EC0"/>
    <w:rsid w:val="00204A8B"/>
    <w:rsid w:val="00204D9A"/>
    <w:rsid w:val="00206F17"/>
    <w:rsid w:val="00207C74"/>
    <w:rsid w:val="00207E93"/>
    <w:rsid w:val="00210507"/>
    <w:rsid w:val="00210547"/>
    <w:rsid w:val="00210847"/>
    <w:rsid w:val="00210896"/>
    <w:rsid w:val="002109E5"/>
    <w:rsid w:val="00210D2A"/>
    <w:rsid w:val="0021159E"/>
    <w:rsid w:val="0021191E"/>
    <w:rsid w:val="00211950"/>
    <w:rsid w:val="00211C82"/>
    <w:rsid w:val="00212DA7"/>
    <w:rsid w:val="0021351D"/>
    <w:rsid w:val="00214904"/>
    <w:rsid w:val="00214D4F"/>
    <w:rsid w:val="00214ED0"/>
    <w:rsid w:val="00215140"/>
    <w:rsid w:val="00215585"/>
    <w:rsid w:val="00215758"/>
    <w:rsid w:val="002159C2"/>
    <w:rsid w:val="00215B6F"/>
    <w:rsid w:val="00216954"/>
    <w:rsid w:val="002179E3"/>
    <w:rsid w:val="00217A50"/>
    <w:rsid w:val="00217BE5"/>
    <w:rsid w:val="00220473"/>
    <w:rsid w:val="00220679"/>
    <w:rsid w:val="00220725"/>
    <w:rsid w:val="00220A0A"/>
    <w:rsid w:val="00220AB9"/>
    <w:rsid w:val="00220CE5"/>
    <w:rsid w:val="00220D05"/>
    <w:rsid w:val="00220DB1"/>
    <w:rsid w:val="002212E1"/>
    <w:rsid w:val="002215C0"/>
    <w:rsid w:val="00222431"/>
    <w:rsid w:val="00222907"/>
    <w:rsid w:val="00222C2D"/>
    <w:rsid w:val="00222F2F"/>
    <w:rsid w:val="00223370"/>
    <w:rsid w:val="0022359A"/>
    <w:rsid w:val="002238ED"/>
    <w:rsid w:val="00223B67"/>
    <w:rsid w:val="00223CDC"/>
    <w:rsid w:val="0022404B"/>
    <w:rsid w:val="0022406B"/>
    <w:rsid w:val="0022421D"/>
    <w:rsid w:val="00224297"/>
    <w:rsid w:val="0022461F"/>
    <w:rsid w:val="00225368"/>
    <w:rsid w:val="0022581E"/>
    <w:rsid w:val="00226734"/>
    <w:rsid w:val="00226790"/>
    <w:rsid w:val="00226BB4"/>
    <w:rsid w:val="00226CF2"/>
    <w:rsid w:val="00227052"/>
    <w:rsid w:val="0022747A"/>
    <w:rsid w:val="002277A9"/>
    <w:rsid w:val="002279DA"/>
    <w:rsid w:val="002305F5"/>
    <w:rsid w:val="00231050"/>
    <w:rsid w:val="0023129F"/>
    <w:rsid w:val="002313D6"/>
    <w:rsid w:val="00231763"/>
    <w:rsid w:val="0023215B"/>
    <w:rsid w:val="002323A2"/>
    <w:rsid w:val="00232499"/>
    <w:rsid w:val="0023289B"/>
    <w:rsid w:val="00233464"/>
    <w:rsid w:val="00233BFA"/>
    <w:rsid w:val="00233D7A"/>
    <w:rsid w:val="00233F2B"/>
    <w:rsid w:val="00234047"/>
    <w:rsid w:val="00234178"/>
    <w:rsid w:val="00234746"/>
    <w:rsid w:val="00234909"/>
    <w:rsid w:val="0023491B"/>
    <w:rsid w:val="0023515A"/>
    <w:rsid w:val="00235B60"/>
    <w:rsid w:val="00235D08"/>
    <w:rsid w:val="00236243"/>
    <w:rsid w:val="00236454"/>
    <w:rsid w:val="0023677E"/>
    <w:rsid w:val="00237126"/>
    <w:rsid w:val="00237E63"/>
    <w:rsid w:val="00240CCC"/>
    <w:rsid w:val="00241597"/>
    <w:rsid w:val="00241803"/>
    <w:rsid w:val="00241BBE"/>
    <w:rsid w:val="00241CEA"/>
    <w:rsid w:val="00241D66"/>
    <w:rsid w:val="0024207F"/>
    <w:rsid w:val="00242291"/>
    <w:rsid w:val="0024252D"/>
    <w:rsid w:val="00242531"/>
    <w:rsid w:val="002425F2"/>
    <w:rsid w:val="0024279A"/>
    <w:rsid w:val="002429C0"/>
    <w:rsid w:val="00242FBC"/>
    <w:rsid w:val="0024319E"/>
    <w:rsid w:val="002432D4"/>
    <w:rsid w:val="002436E4"/>
    <w:rsid w:val="0024394A"/>
    <w:rsid w:val="00243995"/>
    <w:rsid w:val="00244AFC"/>
    <w:rsid w:val="00245304"/>
    <w:rsid w:val="00245980"/>
    <w:rsid w:val="00245A70"/>
    <w:rsid w:val="00245F4F"/>
    <w:rsid w:val="0024610F"/>
    <w:rsid w:val="00246908"/>
    <w:rsid w:val="00246DF2"/>
    <w:rsid w:val="00247478"/>
    <w:rsid w:val="002475C1"/>
    <w:rsid w:val="002502BB"/>
    <w:rsid w:val="002503E1"/>
    <w:rsid w:val="00251024"/>
    <w:rsid w:val="00251080"/>
    <w:rsid w:val="0025136C"/>
    <w:rsid w:val="002513C0"/>
    <w:rsid w:val="00251812"/>
    <w:rsid w:val="002519A0"/>
    <w:rsid w:val="00251B3E"/>
    <w:rsid w:val="00251E09"/>
    <w:rsid w:val="00252795"/>
    <w:rsid w:val="00252B7E"/>
    <w:rsid w:val="00252CC0"/>
    <w:rsid w:val="00252CF9"/>
    <w:rsid w:val="0025319A"/>
    <w:rsid w:val="0025322F"/>
    <w:rsid w:val="00253D8B"/>
    <w:rsid w:val="00254C57"/>
    <w:rsid w:val="00254FB4"/>
    <w:rsid w:val="0025585E"/>
    <w:rsid w:val="002558FF"/>
    <w:rsid w:val="00255D78"/>
    <w:rsid w:val="0025624D"/>
    <w:rsid w:val="002565D6"/>
    <w:rsid w:val="00256697"/>
    <w:rsid w:val="00256867"/>
    <w:rsid w:val="0025691F"/>
    <w:rsid w:val="0025692B"/>
    <w:rsid w:val="00256C83"/>
    <w:rsid w:val="00256CB5"/>
    <w:rsid w:val="00256DFD"/>
    <w:rsid w:val="00257D9D"/>
    <w:rsid w:val="00260A0C"/>
    <w:rsid w:val="00260A77"/>
    <w:rsid w:val="0026145A"/>
    <w:rsid w:val="002614AF"/>
    <w:rsid w:val="00261C8C"/>
    <w:rsid w:val="00261ED7"/>
    <w:rsid w:val="00262B49"/>
    <w:rsid w:val="00262F0E"/>
    <w:rsid w:val="0026313A"/>
    <w:rsid w:val="00263700"/>
    <w:rsid w:val="00263ADD"/>
    <w:rsid w:val="00264076"/>
    <w:rsid w:val="00264084"/>
    <w:rsid w:val="002641FE"/>
    <w:rsid w:val="00264330"/>
    <w:rsid w:val="002644A5"/>
    <w:rsid w:val="00264AD6"/>
    <w:rsid w:val="002655F4"/>
    <w:rsid w:val="00265813"/>
    <w:rsid w:val="0026587A"/>
    <w:rsid w:val="00265A2B"/>
    <w:rsid w:val="00265D82"/>
    <w:rsid w:val="002673DB"/>
    <w:rsid w:val="002676F2"/>
    <w:rsid w:val="00267B1E"/>
    <w:rsid w:val="00267D2F"/>
    <w:rsid w:val="00267F04"/>
    <w:rsid w:val="00267F69"/>
    <w:rsid w:val="00267FE2"/>
    <w:rsid w:val="0027042F"/>
    <w:rsid w:val="00270A65"/>
    <w:rsid w:val="00271267"/>
    <w:rsid w:val="002724A2"/>
    <w:rsid w:val="0027273C"/>
    <w:rsid w:val="002729FA"/>
    <w:rsid w:val="00272ACD"/>
    <w:rsid w:val="00272BEE"/>
    <w:rsid w:val="0027354C"/>
    <w:rsid w:val="00273DB0"/>
    <w:rsid w:val="00273E31"/>
    <w:rsid w:val="00273FB7"/>
    <w:rsid w:val="002751C1"/>
    <w:rsid w:val="00275BDD"/>
    <w:rsid w:val="00276A1E"/>
    <w:rsid w:val="00276A27"/>
    <w:rsid w:val="00277DA6"/>
    <w:rsid w:val="00277DB8"/>
    <w:rsid w:val="00280724"/>
    <w:rsid w:val="00280A67"/>
    <w:rsid w:val="00280CEB"/>
    <w:rsid w:val="00280DA7"/>
    <w:rsid w:val="00281C11"/>
    <w:rsid w:val="0028222C"/>
    <w:rsid w:val="0028271D"/>
    <w:rsid w:val="00282B10"/>
    <w:rsid w:val="00282B57"/>
    <w:rsid w:val="0028335E"/>
    <w:rsid w:val="002839D1"/>
    <w:rsid w:val="00283ABC"/>
    <w:rsid w:val="00283EAB"/>
    <w:rsid w:val="00283FD2"/>
    <w:rsid w:val="00284511"/>
    <w:rsid w:val="0028464B"/>
    <w:rsid w:val="00284701"/>
    <w:rsid w:val="00284FCB"/>
    <w:rsid w:val="0028529A"/>
    <w:rsid w:val="0028604C"/>
    <w:rsid w:val="002860F4"/>
    <w:rsid w:val="002862AD"/>
    <w:rsid w:val="00286310"/>
    <w:rsid w:val="0028662E"/>
    <w:rsid w:val="00286A09"/>
    <w:rsid w:val="002877F9"/>
    <w:rsid w:val="00287997"/>
    <w:rsid w:val="00287AF8"/>
    <w:rsid w:val="00287D5D"/>
    <w:rsid w:val="00290E17"/>
    <w:rsid w:val="0029114C"/>
    <w:rsid w:val="0029124C"/>
    <w:rsid w:val="00291412"/>
    <w:rsid w:val="00291A3A"/>
    <w:rsid w:val="00291C0F"/>
    <w:rsid w:val="002926BD"/>
    <w:rsid w:val="00292DEA"/>
    <w:rsid w:val="002931FA"/>
    <w:rsid w:val="002936E4"/>
    <w:rsid w:val="002945EC"/>
    <w:rsid w:val="002947D3"/>
    <w:rsid w:val="00294D86"/>
    <w:rsid w:val="00294E3A"/>
    <w:rsid w:val="00295856"/>
    <w:rsid w:val="002959F3"/>
    <w:rsid w:val="00295C0B"/>
    <w:rsid w:val="00296C1B"/>
    <w:rsid w:val="002970F7"/>
    <w:rsid w:val="0029717B"/>
    <w:rsid w:val="002974D0"/>
    <w:rsid w:val="00297805"/>
    <w:rsid w:val="00297B8D"/>
    <w:rsid w:val="002A0628"/>
    <w:rsid w:val="002A1698"/>
    <w:rsid w:val="002A198D"/>
    <w:rsid w:val="002A2043"/>
    <w:rsid w:val="002A2229"/>
    <w:rsid w:val="002A2733"/>
    <w:rsid w:val="002A3098"/>
    <w:rsid w:val="002A3368"/>
    <w:rsid w:val="002A3677"/>
    <w:rsid w:val="002A46BA"/>
    <w:rsid w:val="002A4AD7"/>
    <w:rsid w:val="002A4C6A"/>
    <w:rsid w:val="002A4DAB"/>
    <w:rsid w:val="002A4FFB"/>
    <w:rsid w:val="002A6AC6"/>
    <w:rsid w:val="002A6E2D"/>
    <w:rsid w:val="002A6EE0"/>
    <w:rsid w:val="002A716E"/>
    <w:rsid w:val="002A7265"/>
    <w:rsid w:val="002A77A4"/>
    <w:rsid w:val="002A7AB0"/>
    <w:rsid w:val="002A7DB2"/>
    <w:rsid w:val="002B0ACA"/>
    <w:rsid w:val="002B0B7D"/>
    <w:rsid w:val="002B1290"/>
    <w:rsid w:val="002B14EF"/>
    <w:rsid w:val="002B163A"/>
    <w:rsid w:val="002B16E6"/>
    <w:rsid w:val="002B1C1A"/>
    <w:rsid w:val="002B1F8B"/>
    <w:rsid w:val="002B21E3"/>
    <w:rsid w:val="002B26E6"/>
    <w:rsid w:val="002B2B0E"/>
    <w:rsid w:val="002B2F10"/>
    <w:rsid w:val="002B344F"/>
    <w:rsid w:val="002B3600"/>
    <w:rsid w:val="002B4C97"/>
    <w:rsid w:val="002B53B3"/>
    <w:rsid w:val="002B568E"/>
    <w:rsid w:val="002B582A"/>
    <w:rsid w:val="002B69DF"/>
    <w:rsid w:val="002B7128"/>
    <w:rsid w:val="002B799B"/>
    <w:rsid w:val="002B7B59"/>
    <w:rsid w:val="002B7C6A"/>
    <w:rsid w:val="002C02B6"/>
    <w:rsid w:val="002C0D4C"/>
    <w:rsid w:val="002C168A"/>
    <w:rsid w:val="002C1772"/>
    <w:rsid w:val="002C1F20"/>
    <w:rsid w:val="002C27B7"/>
    <w:rsid w:val="002C2F08"/>
    <w:rsid w:val="002C2FD3"/>
    <w:rsid w:val="002C3D46"/>
    <w:rsid w:val="002C42E6"/>
    <w:rsid w:val="002C463B"/>
    <w:rsid w:val="002C4CCA"/>
    <w:rsid w:val="002C5161"/>
    <w:rsid w:val="002C520B"/>
    <w:rsid w:val="002C5778"/>
    <w:rsid w:val="002C5954"/>
    <w:rsid w:val="002C5955"/>
    <w:rsid w:val="002C5C75"/>
    <w:rsid w:val="002C61C4"/>
    <w:rsid w:val="002C630F"/>
    <w:rsid w:val="002C66C6"/>
    <w:rsid w:val="002C696D"/>
    <w:rsid w:val="002C6B9F"/>
    <w:rsid w:val="002C7083"/>
    <w:rsid w:val="002C74F1"/>
    <w:rsid w:val="002C7570"/>
    <w:rsid w:val="002C766F"/>
    <w:rsid w:val="002C7927"/>
    <w:rsid w:val="002C79A0"/>
    <w:rsid w:val="002C7BDE"/>
    <w:rsid w:val="002D0401"/>
    <w:rsid w:val="002D0914"/>
    <w:rsid w:val="002D17BA"/>
    <w:rsid w:val="002D1963"/>
    <w:rsid w:val="002D1A7B"/>
    <w:rsid w:val="002D1C5D"/>
    <w:rsid w:val="002D225B"/>
    <w:rsid w:val="002D2611"/>
    <w:rsid w:val="002D273D"/>
    <w:rsid w:val="002D2BD2"/>
    <w:rsid w:val="002D3057"/>
    <w:rsid w:val="002D3349"/>
    <w:rsid w:val="002D3B06"/>
    <w:rsid w:val="002D467D"/>
    <w:rsid w:val="002D61F7"/>
    <w:rsid w:val="002D6788"/>
    <w:rsid w:val="002D7015"/>
    <w:rsid w:val="002D78AD"/>
    <w:rsid w:val="002D7A3E"/>
    <w:rsid w:val="002D7AB1"/>
    <w:rsid w:val="002D7BAA"/>
    <w:rsid w:val="002D7C58"/>
    <w:rsid w:val="002E0ED8"/>
    <w:rsid w:val="002E0F92"/>
    <w:rsid w:val="002E14E1"/>
    <w:rsid w:val="002E1666"/>
    <w:rsid w:val="002E196B"/>
    <w:rsid w:val="002E1ED4"/>
    <w:rsid w:val="002E2600"/>
    <w:rsid w:val="002E277E"/>
    <w:rsid w:val="002E27C1"/>
    <w:rsid w:val="002E29DE"/>
    <w:rsid w:val="002E2CFF"/>
    <w:rsid w:val="002E3626"/>
    <w:rsid w:val="002E36D4"/>
    <w:rsid w:val="002E3915"/>
    <w:rsid w:val="002E4368"/>
    <w:rsid w:val="002E54F0"/>
    <w:rsid w:val="002E5578"/>
    <w:rsid w:val="002E5947"/>
    <w:rsid w:val="002E5978"/>
    <w:rsid w:val="002E5C41"/>
    <w:rsid w:val="002E61A4"/>
    <w:rsid w:val="002E6729"/>
    <w:rsid w:val="002E70F0"/>
    <w:rsid w:val="002E7802"/>
    <w:rsid w:val="002E7AE6"/>
    <w:rsid w:val="002E7CEF"/>
    <w:rsid w:val="002E7E18"/>
    <w:rsid w:val="002F08E5"/>
    <w:rsid w:val="002F1184"/>
    <w:rsid w:val="002F1985"/>
    <w:rsid w:val="002F1C37"/>
    <w:rsid w:val="002F1CA0"/>
    <w:rsid w:val="002F1F8A"/>
    <w:rsid w:val="002F2197"/>
    <w:rsid w:val="002F2420"/>
    <w:rsid w:val="002F2C37"/>
    <w:rsid w:val="002F2D10"/>
    <w:rsid w:val="002F321A"/>
    <w:rsid w:val="002F3C11"/>
    <w:rsid w:val="002F467B"/>
    <w:rsid w:val="002F4CC4"/>
    <w:rsid w:val="002F52C8"/>
    <w:rsid w:val="002F5872"/>
    <w:rsid w:val="002F63A5"/>
    <w:rsid w:val="002F65AE"/>
    <w:rsid w:val="002F6C1A"/>
    <w:rsid w:val="002F7848"/>
    <w:rsid w:val="002F789C"/>
    <w:rsid w:val="002F7C4B"/>
    <w:rsid w:val="003002B1"/>
    <w:rsid w:val="00301975"/>
    <w:rsid w:val="003020AF"/>
    <w:rsid w:val="003021EB"/>
    <w:rsid w:val="003022D2"/>
    <w:rsid w:val="003028F7"/>
    <w:rsid w:val="00302B4C"/>
    <w:rsid w:val="003031CE"/>
    <w:rsid w:val="00303455"/>
    <w:rsid w:val="00303BFF"/>
    <w:rsid w:val="00303ED1"/>
    <w:rsid w:val="00304371"/>
    <w:rsid w:val="00306A44"/>
    <w:rsid w:val="003070EE"/>
    <w:rsid w:val="00307E82"/>
    <w:rsid w:val="00310042"/>
    <w:rsid w:val="00310709"/>
    <w:rsid w:val="003107D9"/>
    <w:rsid w:val="00310A85"/>
    <w:rsid w:val="00310BD0"/>
    <w:rsid w:val="00310D9A"/>
    <w:rsid w:val="00311064"/>
    <w:rsid w:val="003111B4"/>
    <w:rsid w:val="003115D0"/>
    <w:rsid w:val="00311BDA"/>
    <w:rsid w:val="00311F4F"/>
    <w:rsid w:val="00312501"/>
    <w:rsid w:val="00312784"/>
    <w:rsid w:val="00312B92"/>
    <w:rsid w:val="00313A10"/>
    <w:rsid w:val="00313A8E"/>
    <w:rsid w:val="0031413A"/>
    <w:rsid w:val="00314B8A"/>
    <w:rsid w:val="00314EFD"/>
    <w:rsid w:val="0031571F"/>
    <w:rsid w:val="0031577A"/>
    <w:rsid w:val="00315A22"/>
    <w:rsid w:val="00315BBE"/>
    <w:rsid w:val="00315C9B"/>
    <w:rsid w:val="003160FB"/>
    <w:rsid w:val="00316212"/>
    <w:rsid w:val="00316B34"/>
    <w:rsid w:val="00316D52"/>
    <w:rsid w:val="00317112"/>
    <w:rsid w:val="00317485"/>
    <w:rsid w:val="0031764F"/>
    <w:rsid w:val="00317878"/>
    <w:rsid w:val="00317F35"/>
    <w:rsid w:val="00320174"/>
    <w:rsid w:val="00320590"/>
    <w:rsid w:val="003207A2"/>
    <w:rsid w:val="00320CA9"/>
    <w:rsid w:val="0032110F"/>
    <w:rsid w:val="003216C7"/>
    <w:rsid w:val="00321A12"/>
    <w:rsid w:val="00321C4F"/>
    <w:rsid w:val="00321EFE"/>
    <w:rsid w:val="00322AEB"/>
    <w:rsid w:val="00322D34"/>
    <w:rsid w:val="0032337F"/>
    <w:rsid w:val="00323584"/>
    <w:rsid w:val="00323587"/>
    <w:rsid w:val="00323871"/>
    <w:rsid w:val="00323ADE"/>
    <w:rsid w:val="00323BF1"/>
    <w:rsid w:val="00323C21"/>
    <w:rsid w:val="0032475D"/>
    <w:rsid w:val="00324917"/>
    <w:rsid w:val="00324972"/>
    <w:rsid w:val="00325780"/>
    <w:rsid w:val="003258C4"/>
    <w:rsid w:val="00325B5A"/>
    <w:rsid w:val="003272FD"/>
    <w:rsid w:val="003275F2"/>
    <w:rsid w:val="00327B39"/>
    <w:rsid w:val="00330915"/>
    <w:rsid w:val="00331D18"/>
    <w:rsid w:val="0033221A"/>
    <w:rsid w:val="003325C3"/>
    <w:rsid w:val="00332901"/>
    <w:rsid w:val="00332FEF"/>
    <w:rsid w:val="00333232"/>
    <w:rsid w:val="0033376E"/>
    <w:rsid w:val="00333C1D"/>
    <w:rsid w:val="0033505C"/>
    <w:rsid w:val="003356D7"/>
    <w:rsid w:val="003358B6"/>
    <w:rsid w:val="003359C9"/>
    <w:rsid w:val="00335D2B"/>
    <w:rsid w:val="00335D4F"/>
    <w:rsid w:val="00335E2B"/>
    <w:rsid w:val="00335E97"/>
    <w:rsid w:val="003364D3"/>
    <w:rsid w:val="0033662F"/>
    <w:rsid w:val="0033666C"/>
    <w:rsid w:val="00337FB6"/>
    <w:rsid w:val="0034004F"/>
    <w:rsid w:val="003401A9"/>
    <w:rsid w:val="00340289"/>
    <w:rsid w:val="0034031C"/>
    <w:rsid w:val="003409D0"/>
    <w:rsid w:val="00340B41"/>
    <w:rsid w:val="00340BCD"/>
    <w:rsid w:val="00340D93"/>
    <w:rsid w:val="003410BB"/>
    <w:rsid w:val="0034169D"/>
    <w:rsid w:val="00341D37"/>
    <w:rsid w:val="00342107"/>
    <w:rsid w:val="00342AB4"/>
    <w:rsid w:val="00342C14"/>
    <w:rsid w:val="00342D36"/>
    <w:rsid w:val="00343253"/>
    <w:rsid w:val="003432AF"/>
    <w:rsid w:val="00343585"/>
    <w:rsid w:val="0034399B"/>
    <w:rsid w:val="00343A0F"/>
    <w:rsid w:val="00343BB8"/>
    <w:rsid w:val="003446C0"/>
    <w:rsid w:val="00344EC3"/>
    <w:rsid w:val="003455CC"/>
    <w:rsid w:val="00345C78"/>
    <w:rsid w:val="00345F03"/>
    <w:rsid w:val="00346E3F"/>
    <w:rsid w:val="00347259"/>
    <w:rsid w:val="00347322"/>
    <w:rsid w:val="00350422"/>
    <w:rsid w:val="003504BD"/>
    <w:rsid w:val="003508F5"/>
    <w:rsid w:val="00350A2F"/>
    <w:rsid w:val="0035105B"/>
    <w:rsid w:val="00351699"/>
    <w:rsid w:val="00351764"/>
    <w:rsid w:val="00351B7A"/>
    <w:rsid w:val="00352203"/>
    <w:rsid w:val="003522A3"/>
    <w:rsid w:val="00352F71"/>
    <w:rsid w:val="0035344A"/>
    <w:rsid w:val="00353942"/>
    <w:rsid w:val="0035398C"/>
    <w:rsid w:val="003544DD"/>
    <w:rsid w:val="003544EE"/>
    <w:rsid w:val="00354A04"/>
    <w:rsid w:val="00354BF7"/>
    <w:rsid w:val="00354F4A"/>
    <w:rsid w:val="003553FB"/>
    <w:rsid w:val="003559AB"/>
    <w:rsid w:val="00355F8C"/>
    <w:rsid w:val="00355FBD"/>
    <w:rsid w:val="0035618F"/>
    <w:rsid w:val="0035647A"/>
    <w:rsid w:val="003564F4"/>
    <w:rsid w:val="003570FE"/>
    <w:rsid w:val="003578F3"/>
    <w:rsid w:val="0036033E"/>
    <w:rsid w:val="00360448"/>
    <w:rsid w:val="003606A6"/>
    <w:rsid w:val="00360877"/>
    <w:rsid w:val="00360BC7"/>
    <w:rsid w:val="00360FAD"/>
    <w:rsid w:val="00360FF8"/>
    <w:rsid w:val="0036101C"/>
    <w:rsid w:val="00361721"/>
    <w:rsid w:val="00361F22"/>
    <w:rsid w:val="00362500"/>
    <w:rsid w:val="00362945"/>
    <w:rsid w:val="0036333C"/>
    <w:rsid w:val="00363BD3"/>
    <w:rsid w:val="00364304"/>
    <w:rsid w:val="0036458A"/>
    <w:rsid w:val="00364603"/>
    <w:rsid w:val="0036472A"/>
    <w:rsid w:val="00364857"/>
    <w:rsid w:val="003650FD"/>
    <w:rsid w:val="00365370"/>
    <w:rsid w:val="00365388"/>
    <w:rsid w:val="00365C1E"/>
    <w:rsid w:val="0036693B"/>
    <w:rsid w:val="00366E4E"/>
    <w:rsid w:val="00366F2F"/>
    <w:rsid w:val="00367049"/>
    <w:rsid w:val="003673BC"/>
    <w:rsid w:val="0036744B"/>
    <w:rsid w:val="00367997"/>
    <w:rsid w:val="00367C7B"/>
    <w:rsid w:val="003703E7"/>
    <w:rsid w:val="00370B8C"/>
    <w:rsid w:val="00371698"/>
    <w:rsid w:val="00371A62"/>
    <w:rsid w:val="00372E82"/>
    <w:rsid w:val="00372FD1"/>
    <w:rsid w:val="0037308A"/>
    <w:rsid w:val="0037440F"/>
    <w:rsid w:val="00374589"/>
    <w:rsid w:val="003751B5"/>
    <w:rsid w:val="00375286"/>
    <w:rsid w:val="00375CF5"/>
    <w:rsid w:val="00375EFE"/>
    <w:rsid w:val="00376705"/>
    <w:rsid w:val="00376A46"/>
    <w:rsid w:val="00377288"/>
    <w:rsid w:val="003772A6"/>
    <w:rsid w:val="00380AEE"/>
    <w:rsid w:val="003813E4"/>
    <w:rsid w:val="00381F5C"/>
    <w:rsid w:val="0038200D"/>
    <w:rsid w:val="0038203D"/>
    <w:rsid w:val="0038225A"/>
    <w:rsid w:val="003823C1"/>
    <w:rsid w:val="00382467"/>
    <w:rsid w:val="0038355B"/>
    <w:rsid w:val="003841AB"/>
    <w:rsid w:val="00384FBF"/>
    <w:rsid w:val="00385974"/>
    <w:rsid w:val="0038633E"/>
    <w:rsid w:val="0038665C"/>
    <w:rsid w:val="00386919"/>
    <w:rsid w:val="00387211"/>
    <w:rsid w:val="003900C4"/>
    <w:rsid w:val="00390359"/>
    <w:rsid w:val="003912BE"/>
    <w:rsid w:val="0039263D"/>
    <w:rsid w:val="003926CE"/>
    <w:rsid w:val="00392F59"/>
    <w:rsid w:val="003933ED"/>
    <w:rsid w:val="003949A0"/>
    <w:rsid w:val="003949E7"/>
    <w:rsid w:val="00394C0B"/>
    <w:rsid w:val="00395440"/>
    <w:rsid w:val="00395447"/>
    <w:rsid w:val="003954F3"/>
    <w:rsid w:val="00395512"/>
    <w:rsid w:val="00395845"/>
    <w:rsid w:val="00395C62"/>
    <w:rsid w:val="00395DE0"/>
    <w:rsid w:val="0039625D"/>
    <w:rsid w:val="003977E0"/>
    <w:rsid w:val="003A0097"/>
    <w:rsid w:val="003A0275"/>
    <w:rsid w:val="003A1392"/>
    <w:rsid w:val="003A161A"/>
    <w:rsid w:val="003A19BB"/>
    <w:rsid w:val="003A22B1"/>
    <w:rsid w:val="003A26F8"/>
    <w:rsid w:val="003A319A"/>
    <w:rsid w:val="003A3530"/>
    <w:rsid w:val="003A3909"/>
    <w:rsid w:val="003A43FF"/>
    <w:rsid w:val="003A44EB"/>
    <w:rsid w:val="003A45AB"/>
    <w:rsid w:val="003A47C4"/>
    <w:rsid w:val="003A4C9B"/>
    <w:rsid w:val="003A576D"/>
    <w:rsid w:val="003A695C"/>
    <w:rsid w:val="003A6AEC"/>
    <w:rsid w:val="003A6C62"/>
    <w:rsid w:val="003A704F"/>
    <w:rsid w:val="003A7151"/>
    <w:rsid w:val="003A75EC"/>
    <w:rsid w:val="003A75EF"/>
    <w:rsid w:val="003B009C"/>
    <w:rsid w:val="003B0363"/>
    <w:rsid w:val="003B039B"/>
    <w:rsid w:val="003B16DA"/>
    <w:rsid w:val="003B1F18"/>
    <w:rsid w:val="003B2521"/>
    <w:rsid w:val="003B31FA"/>
    <w:rsid w:val="003B39AF"/>
    <w:rsid w:val="003B483E"/>
    <w:rsid w:val="003B693B"/>
    <w:rsid w:val="003B737B"/>
    <w:rsid w:val="003B7540"/>
    <w:rsid w:val="003B7671"/>
    <w:rsid w:val="003B7BE8"/>
    <w:rsid w:val="003B7D6C"/>
    <w:rsid w:val="003C030E"/>
    <w:rsid w:val="003C1325"/>
    <w:rsid w:val="003C1568"/>
    <w:rsid w:val="003C160B"/>
    <w:rsid w:val="003C1EC3"/>
    <w:rsid w:val="003C1FE0"/>
    <w:rsid w:val="003C2632"/>
    <w:rsid w:val="003C27C9"/>
    <w:rsid w:val="003C41D8"/>
    <w:rsid w:val="003C4638"/>
    <w:rsid w:val="003C532B"/>
    <w:rsid w:val="003C5E0A"/>
    <w:rsid w:val="003C62F0"/>
    <w:rsid w:val="003C638C"/>
    <w:rsid w:val="003C63DE"/>
    <w:rsid w:val="003C6BEF"/>
    <w:rsid w:val="003C6ED7"/>
    <w:rsid w:val="003C6F84"/>
    <w:rsid w:val="003C727C"/>
    <w:rsid w:val="003C72C4"/>
    <w:rsid w:val="003C76CD"/>
    <w:rsid w:val="003C7CFD"/>
    <w:rsid w:val="003C7F68"/>
    <w:rsid w:val="003D0411"/>
    <w:rsid w:val="003D0B3C"/>
    <w:rsid w:val="003D0F86"/>
    <w:rsid w:val="003D1323"/>
    <w:rsid w:val="003D14BA"/>
    <w:rsid w:val="003D1BB0"/>
    <w:rsid w:val="003D1BE2"/>
    <w:rsid w:val="003D1F42"/>
    <w:rsid w:val="003D27C0"/>
    <w:rsid w:val="003D2A39"/>
    <w:rsid w:val="003D2BBB"/>
    <w:rsid w:val="003D2DA6"/>
    <w:rsid w:val="003D2DE1"/>
    <w:rsid w:val="003D2F79"/>
    <w:rsid w:val="003D30B7"/>
    <w:rsid w:val="003D312E"/>
    <w:rsid w:val="003D3A38"/>
    <w:rsid w:val="003D3C23"/>
    <w:rsid w:val="003D3CB5"/>
    <w:rsid w:val="003D42B0"/>
    <w:rsid w:val="003D4B3E"/>
    <w:rsid w:val="003D4DFA"/>
    <w:rsid w:val="003D54FD"/>
    <w:rsid w:val="003D5595"/>
    <w:rsid w:val="003D5AE3"/>
    <w:rsid w:val="003D6BAC"/>
    <w:rsid w:val="003D7619"/>
    <w:rsid w:val="003D7859"/>
    <w:rsid w:val="003D7A15"/>
    <w:rsid w:val="003D7E5B"/>
    <w:rsid w:val="003E00B2"/>
    <w:rsid w:val="003E0688"/>
    <w:rsid w:val="003E07AC"/>
    <w:rsid w:val="003E0C4C"/>
    <w:rsid w:val="003E12B0"/>
    <w:rsid w:val="003E1A63"/>
    <w:rsid w:val="003E2020"/>
    <w:rsid w:val="003E24A4"/>
    <w:rsid w:val="003E29EB"/>
    <w:rsid w:val="003E2DDE"/>
    <w:rsid w:val="003E2FA5"/>
    <w:rsid w:val="003E3219"/>
    <w:rsid w:val="003E3497"/>
    <w:rsid w:val="003E35BC"/>
    <w:rsid w:val="003E368A"/>
    <w:rsid w:val="003E3EE9"/>
    <w:rsid w:val="003E45BE"/>
    <w:rsid w:val="003E47E9"/>
    <w:rsid w:val="003E5135"/>
    <w:rsid w:val="003E60D7"/>
    <w:rsid w:val="003E67CB"/>
    <w:rsid w:val="003E6858"/>
    <w:rsid w:val="003E6927"/>
    <w:rsid w:val="003E6B64"/>
    <w:rsid w:val="003E708B"/>
    <w:rsid w:val="003F00EC"/>
    <w:rsid w:val="003F0ADD"/>
    <w:rsid w:val="003F0B9B"/>
    <w:rsid w:val="003F0D83"/>
    <w:rsid w:val="003F0EFD"/>
    <w:rsid w:val="003F1160"/>
    <w:rsid w:val="003F117E"/>
    <w:rsid w:val="003F1C65"/>
    <w:rsid w:val="003F2C53"/>
    <w:rsid w:val="003F2E09"/>
    <w:rsid w:val="003F3036"/>
    <w:rsid w:val="003F30E1"/>
    <w:rsid w:val="003F3135"/>
    <w:rsid w:val="003F3197"/>
    <w:rsid w:val="003F405F"/>
    <w:rsid w:val="003F43C4"/>
    <w:rsid w:val="003F4B23"/>
    <w:rsid w:val="003F551F"/>
    <w:rsid w:val="003F57F3"/>
    <w:rsid w:val="003F5B20"/>
    <w:rsid w:val="003F60D4"/>
    <w:rsid w:val="003F61F8"/>
    <w:rsid w:val="003F627F"/>
    <w:rsid w:val="003F6473"/>
    <w:rsid w:val="003F6499"/>
    <w:rsid w:val="003F70B0"/>
    <w:rsid w:val="003F7E77"/>
    <w:rsid w:val="0040033D"/>
    <w:rsid w:val="004009E3"/>
    <w:rsid w:val="004015E2"/>
    <w:rsid w:val="00402A37"/>
    <w:rsid w:val="00402A84"/>
    <w:rsid w:val="00403248"/>
    <w:rsid w:val="004034C1"/>
    <w:rsid w:val="004035A5"/>
    <w:rsid w:val="00403A57"/>
    <w:rsid w:val="00403F0C"/>
    <w:rsid w:val="00404310"/>
    <w:rsid w:val="00404477"/>
    <w:rsid w:val="004054DD"/>
    <w:rsid w:val="0040573F"/>
    <w:rsid w:val="004057C7"/>
    <w:rsid w:val="00405C98"/>
    <w:rsid w:val="00405CF4"/>
    <w:rsid w:val="00405E00"/>
    <w:rsid w:val="00406090"/>
    <w:rsid w:val="00406BB7"/>
    <w:rsid w:val="00406ED5"/>
    <w:rsid w:val="004070C3"/>
    <w:rsid w:val="00407975"/>
    <w:rsid w:val="004109BD"/>
    <w:rsid w:val="004111D9"/>
    <w:rsid w:val="004116AB"/>
    <w:rsid w:val="00411C3B"/>
    <w:rsid w:val="00411E9C"/>
    <w:rsid w:val="004120F7"/>
    <w:rsid w:val="0041252E"/>
    <w:rsid w:val="00412623"/>
    <w:rsid w:val="0041322F"/>
    <w:rsid w:val="004132D4"/>
    <w:rsid w:val="0041337F"/>
    <w:rsid w:val="00413414"/>
    <w:rsid w:val="004149D0"/>
    <w:rsid w:val="00414D13"/>
    <w:rsid w:val="004153E2"/>
    <w:rsid w:val="004154B1"/>
    <w:rsid w:val="004162B1"/>
    <w:rsid w:val="004166B3"/>
    <w:rsid w:val="004167D9"/>
    <w:rsid w:val="00416B93"/>
    <w:rsid w:val="00420317"/>
    <w:rsid w:val="00420426"/>
    <w:rsid w:val="004206A2"/>
    <w:rsid w:val="00420D97"/>
    <w:rsid w:val="00421439"/>
    <w:rsid w:val="00421548"/>
    <w:rsid w:val="004218B2"/>
    <w:rsid w:val="0042198B"/>
    <w:rsid w:val="004235FF"/>
    <w:rsid w:val="00424013"/>
    <w:rsid w:val="00424244"/>
    <w:rsid w:val="00424885"/>
    <w:rsid w:val="00424F1F"/>
    <w:rsid w:val="00424FC5"/>
    <w:rsid w:val="00425062"/>
    <w:rsid w:val="00426E4D"/>
    <w:rsid w:val="004273EB"/>
    <w:rsid w:val="00427FBB"/>
    <w:rsid w:val="00430892"/>
    <w:rsid w:val="00430F2C"/>
    <w:rsid w:val="004314C1"/>
    <w:rsid w:val="00431A2A"/>
    <w:rsid w:val="00431BF7"/>
    <w:rsid w:val="00431CC1"/>
    <w:rsid w:val="00431F58"/>
    <w:rsid w:val="00431F74"/>
    <w:rsid w:val="00432394"/>
    <w:rsid w:val="004323CD"/>
    <w:rsid w:val="00432CBE"/>
    <w:rsid w:val="00432F30"/>
    <w:rsid w:val="00432F52"/>
    <w:rsid w:val="004331FC"/>
    <w:rsid w:val="0043387D"/>
    <w:rsid w:val="00433ECA"/>
    <w:rsid w:val="00434966"/>
    <w:rsid w:val="00434B99"/>
    <w:rsid w:val="00434F22"/>
    <w:rsid w:val="00435296"/>
    <w:rsid w:val="00435AC0"/>
    <w:rsid w:val="00436314"/>
    <w:rsid w:val="00436346"/>
    <w:rsid w:val="004363B1"/>
    <w:rsid w:val="004363B8"/>
    <w:rsid w:val="00436AC3"/>
    <w:rsid w:val="0043717B"/>
    <w:rsid w:val="00437746"/>
    <w:rsid w:val="00437881"/>
    <w:rsid w:val="0044061B"/>
    <w:rsid w:val="0044070D"/>
    <w:rsid w:val="0044107D"/>
    <w:rsid w:val="00441C71"/>
    <w:rsid w:val="00441D45"/>
    <w:rsid w:val="00441F03"/>
    <w:rsid w:val="004427CB"/>
    <w:rsid w:val="00442960"/>
    <w:rsid w:val="00442C44"/>
    <w:rsid w:val="00442CAC"/>
    <w:rsid w:val="0044316B"/>
    <w:rsid w:val="00443ADC"/>
    <w:rsid w:val="0044404C"/>
    <w:rsid w:val="00444199"/>
    <w:rsid w:val="004442E1"/>
    <w:rsid w:val="004445ED"/>
    <w:rsid w:val="0044499B"/>
    <w:rsid w:val="00444C1F"/>
    <w:rsid w:val="004459C6"/>
    <w:rsid w:val="00445F11"/>
    <w:rsid w:val="004464DA"/>
    <w:rsid w:val="004468A7"/>
    <w:rsid w:val="00446BEA"/>
    <w:rsid w:val="00447091"/>
    <w:rsid w:val="004475F7"/>
    <w:rsid w:val="00447F7A"/>
    <w:rsid w:val="004500A8"/>
    <w:rsid w:val="0045013A"/>
    <w:rsid w:val="004503F6"/>
    <w:rsid w:val="004508A8"/>
    <w:rsid w:val="00450935"/>
    <w:rsid w:val="004509AC"/>
    <w:rsid w:val="00450A2D"/>
    <w:rsid w:val="00450AD2"/>
    <w:rsid w:val="004512BE"/>
    <w:rsid w:val="00452372"/>
    <w:rsid w:val="00452587"/>
    <w:rsid w:val="00453226"/>
    <w:rsid w:val="00453478"/>
    <w:rsid w:val="004537E3"/>
    <w:rsid w:val="00453826"/>
    <w:rsid w:val="00453886"/>
    <w:rsid w:val="00453BA6"/>
    <w:rsid w:val="0045490A"/>
    <w:rsid w:val="00454C47"/>
    <w:rsid w:val="0045531E"/>
    <w:rsid w:val="00455A13"/>
    <w:rsid w:val="00456222"/>
    <w:rsid w:val="0045644D"/>
    <w:rsid w:val="0045648F"/>
    <w:rsid w:val="004567C6"/>
    <w:rsid w:val="004567CD"/>
    <w:rsid w:val="004568BF"/>
    <w:rsid w:val="00456B9F"/>
    <w:rsid w:val="00456D05"/>
    <w:rsid w:val="00456E3D"/>
    <w:rsid w:val="004572F0"/>
    <w:rsid w:val="004602B6"/>
    <w:rsid w:val="00460D24"/>
    <w:rsid w:val="0046127E"/>
    <w:rsid w:val="00461779"/>
    <w:rsid w:val="00461B9B"/>
    <w:rsid w:val="004622A1"/>
    <w:rsid w:val="00462A30"/>
    <w:rsid w:val="00463147"/>
    <w:rsid w:val="00463526"/>
    <w:rsid w:val="00463569"/>
    <w:rsid w:val="00463625"/>
    <w:rsid w:val="004645F1"/>
    <w:rsid w:val="004648B9"/>
    <w:rsid w:val="004649C5"/>
    <w:rsid w:val="00464C78"/>
    <w:rsid w:val="0046533A"/>
    <w:rsid w:val="00466113"/>
    <w:rsid w:val="0046651E"/>
    <w:rsid w:val="00466A48"/>
    <w:rsid w:val="00466D0C"/>
    <w:rsid w:val="00466DDA"/>
    <w:rsid w:val="00466E18"/>
    <w:rsid w:val="00466FA6"/>
    <w:rsid w:val="00467F1B"/>
    <w:rsid w:val="00470365"/>
    <w:rsid w:val="00470788"/>
    <w:rsid w:val="004714FF"/>
    <w:rsid w:val="004716E7"/>
    <w:rsid w:val="00472041"/>
    <w:rsid w:val="00472069"/>
    <w:rsid w:val="0047224C"/>
    <w:rsid w:val="00472D13"/>
    <w:rsid w:val="00473276"/>
    <w:rsid w:val="004734B4"/>
    <w:rsid w:val="004734FE"/>
    <w:rsid w:val="00473AEA"/>
    <w:rsid w:val="00473C02"/>
    <w:rsid w:val="00474736"/>
    <w:rsid w:val="00475100"/>
    <w:rsid w:val="004751E8"/>
    <w:rsid w:val="00475762"/>
    <w:rsid w:val="00476038"/>
    <w:rsid w:val="004764CD"/>
    <w:rsid w:val="00476B50"/>
    <w:rsid w:val="00477435"/>
    <w:rsid w:val="00477B9E"/>
    <w:rsid w:val="00477BCE"/>
    <w:rsid w:val="00477D32"/>
    <w:rsid w:val="0048021C"/>
    <w:rsid w:val="00480360"/>
    <w:rsid w:val="004804B1"/>
    <w:rsid w:val="00480701"/>
    <w:rsid w:val="00480E6A"/>
    <w:rsid w:val="00482317"/>
    <w:rsid w:val="00482501"/>
    <w:rsid w:val="00482BAF"/>
    <w:rsid w:val="00482E74"/>
    <w:rsid w:val="00483001"/>
    <w:rsid w:val="004832B3"/>
    <w:rsid w:val="004832CB"/>
    <w:rsid w:val="00483A07"/>
    <w:rsid w:val="0048410F"/>
    <w:rsid w:val="00484296"/>
    <w:rsid w:val="00484884"/>
    <w:rsid w:val="00484F89"/>
    <w:rsid w:val="0048562A"/>
    <w:rsid w:val="0048563C"/>
    <w:rsid w:val="004857FE"/>
    <w:rsid w:val="004859DE"/>
    <w:rsid w:val="00485C52"/>
    <w:rsid w:val="00485C96"/>
    <w:rsid w:val="00485DA8"/>
    <w:rsid w:val="00485DAD"/>
    <w:rsid w:val="00486018"/>
    <w:rsid w:val="00486B0E"/>
    <w:rsid w:val="0048735F"/>
    <w:rsid w:val="00487673"/>
    <w:rsid w:val="00490434"/>
    <w:rsid w:val="004908C1"/>
    <w:rsid w:val="00490B5F"/>
    <w:rsid w:val="00490B90"/>
    <w:rsid w:val="00490D97"/>
    <w:rsid w:val="00491068"/>
    <w:rsid w:val="00491174"/>
    <w:rsid w:val="0049142A"/>
    <w:rsid w:val="00491D44"/>
    <w:rsid w:val="0049204C"/>
    <w:rsid w:val="004920EF"/>
    <w:rsid w:val="004920FB"/>
    <w:rsid w:val="00492349"/>
    <w:rsid w:val="0049256B"/>
    <w:rsid w:val="00492730"/>
    <w:rsid w:val="0049283E"/>
    <w:rsid w:val="0049286B"/>
    <w:rsid w:val="004929F1"/>
    <w:rsid w:val="0049357F"/>
    <w:rsid w:val="00493810"/>
    <w:rsid w:val="0049385C"/>
    <w:rsid w:val="00493A45"/>
    <w:rsid w:val="00494D8F"/>
    <w:rsid w:val="00495893"/>
    <w:rsid w:val="00495C31"/>
    <w:rsid w:val="00495C99"/>
    <w:rsid w:val="004964E2"/>
    <w:rsid w:val="0049673B"/>
    <w:rsid w:val="0049720F"/>
    <w:rsid w:val="00497708"/>
    <w:rsid w:val="00497946"/>
    <w:rsid w:val="004A0415"/>
    <w:rsid w:val="004A08D7"/>
    <w:rsid w:val="004A0974"/>
    <w:rsid w:val="004A0CFE"/>
    <w:rsid w:val="004A1139"/>
    <w:rsid w:val="004A178C"/>
    <w:rsid w:val="004A19D1"/>
    <w:rsid w:val="004A1C03"/>
    <w:rsid w:val="004A20BB"/>
    <w:rsid w:val="004A2326"/>
    <w:rsid w:val="004A2720"/>
    <w:rsid w:val="004A2947"/>
    <w:rsid w:val="004A3455"/>
    <w:rsid w:val="004A3895"/>
    <w:rsid w:val="004A39E4"/>
    <w:rsid w:val="004A488C"/>
    <w:rsid w:val="004A5070"/>
    <w:rsid w:val="004A5078"/>
    <w:rsid w:val="004A57ED"/>
    <w:rsid w:val="004A6126"/>
    <w:rsid w:val="004A67BE"/>
    <w:rsid w:val="004A6937"/>
    <w:rsid w:val="004A7677"/>
    <w:rsid w:val="004A7C32"/>
    <w:rsid w:val="004B031A"/>
    <w:rsid w:val="004B0BD2"/>
    <w:rsid w:val="004B0C6A"/>
    <w:rsid w:val="004B1417"/>
    <w:rsid w:val="004B190D"/>
    <w:rsid w:val="004B1C90"/>
    <w:rsid w:val="004B1D6F"/>
    <w:rsid w:val="004B1E2E"/>
    <w:rsid w:val="004B2048"/>
    <w:rsid w:val="004B22FA"/>
    <w:rsid w:val="004B243C"/>
    <w:rsid w:val="004B286B"/>
    <w:rsid w:val="004B2FF9"/>
    <w:rsid w:val="004B358B"/>
    <w:rsid w:val="004B3675"/>
    <w:rsid w:val="004B377B"/>
    <w:rsid w:val="004B40C4"/>
    <w:rsid w:val="004B4121"/>
    <w:rsid w:val="004B4E62"/>
    <w:rsid w:val="004B5578"/>
    <w:rsid w:val="004B56B7"/>
    <w:rsid w:val="004B595F"/>
    <w:rsid w:val="004B5AD9"/>
    <w:rsid w:val="004B5E86"/>
    <w:rsid w:val="004B67DF"/>
    <w:rsid w:val="004B7CB9"/>
    <w:rsid w:val="004B7D3A"/>
    <w:rsid w:val="004B7FD2"/>
    <w:rsid w:val="004C0517"/>
    <w:rsid w:val="004C0752"/>
    <w:rsid w:val="004C098A"/>
    <w:rsid w:val="004C0B41"/>
    <w:rsid w:val="004C0E90"/>
    <w:rsid w:val="004C1172"/>
    <w:rsid w:val="004C1530"/>
    <w:rsid w:val="004C29EF"/>
    <w:rsid w:val="004C2A40"/>
    <w:rsid w:val="004C2A61"/>
    <w:rsid w:val="004C2AF0"/>
    <w:rsid w:val="004C2B8D"/>
    <w:rsid w:val="004C30E4"/>
    <w:rsid w:val="004C341A"/>
    <w:rsid w:val="004C3EFC"/>
    <w:rsid w:val="004C3F7A"/>
    <w:rsid w:val="004C48A9"/>
    <w:rsid w:val="004C4A4D"/>
    <w:rsid w:val="004C4C8F"/>
    <w:rsid w:val="004C5DD5"/>
    <w:rsid w:val="004C60BE"/>
    <w:rsid w:val="004C630C"/>
    <w:rsid w:val="004C665C"/>
    <w:rsid w:val="004C68DB"/>
    <w:rsid w:val="004C6C05"/>
    <w:rsid w:val="004C6DF1"/>
    <w:rsid w:val="004C6EA7"/>
    <w:rsid w:val="004C70CE"/>
    <w:rsid w:val="004C76AF"/>
    <w:rsid w:val="004D0246"/>
    <w:rsid w:val="004D10AA"/>
    <w:rsid w:val="004D13F6"/>
    <w:rsid w:val="004D148E"/>
    <w:rsid w:val="004D189C"/>
    <w:rsid w:val="004D244B"/>
    <w:rsid w:val="004D3767"/>
    <w:rsid w:val="004D39D7"/>
    <w:rsid w:val="004D3AD8"/>
    <w:rsid w:val="004D424C"/>
    <w:rsid w:val="004D42AA"/>
    <w:rsid w:val="004D42DF"/>
    <w:rsid w:val="004D4D09"/>
    <w:rsid w:val="004D5141"/>
    <w:rsid w:val="004D531E"/>
    <w:rsid w:val="004D5CAB"/>
    <w:rsid w:val="004D5E3A"/>
    <w:rsid w:val="004D61F0"/>
    <w:rsid w:val="004D6358"/>
    <w:rsid w:val="004D669F"/>
    <w:rsid w:val="004D7E71"/>
    <w:rsid w:val="004E0219"/>
    <w:rsid w:val="004E04E8"/>
    <w:rsid w:val="004E06F7"/>
    <w:rsid w:val="004E0BBA"/>
    <w:rsid w:val="004E0F9F"/>
    <w:rsid w:val="004E1315"/>
    <w:rsid w:val="004E184D"/>
    <w:rsid w:val="004E1A1B"/>
    <w:rsid w:val="004E1C4F"/>
    <w:rsid w:val="004E1D43"/>
    <w:rsid w:val="004E2329"/>
    <w:rsid w:val="004E2E15"/>
    <w:rsid w:val="004E32D3"/>
    <w:rsid w:val="004E3D2F"/>
    <w:rsid w:val="004E3FAE"/>
    <w:rsid w:val="004E41C4"/>
    <w:rsid w:val="004E42DC"/>
    <w:rsid w:val="004E4C71"/>
    <w:rsid w:val="004E5094"/>
    <w:rsid w:val="004E5955"/>
    <w:rsid w:val="004E5AC1"/>
    <w:rsid w:val="004E5E17"/>
    <w:rsid w:val="004E63B3"/>
    <w:rsid w:val="004E667F"/>
    <w:rsid w:val="004E6BBD"/>
    <w:rsid w:val="004E6E35"/>
    <w:rsid w:val="004E7227"/>
    <w:rsid w:val="004E7AA9"/>
    <w:rsid w:val="004E7CA9"/>
    <w:rsid w:val="004E7DC1"/>
    <w:rsid w:val="004F029E"/>
    <w:rsid w:val="004F0338"/>
    <w:rsid w:val="004F063C"/>
    <w:rsid w:val="004F0B76"/>
    <w:rsid w:val="004F0C93"/>
    <w:rsid w:val="004F13B3"/>
    <w:rsid w:val="004F14FF"/>
    <w:rsid w:val="004F16C0"/>
    <w:rsid w:val="004F1D44"/>
    <w:rsid w:val="004F1F69"/>
    <w:rsid w:val="004F2627"/>
    <w:rsid w:val="004F2A81"/>
    <w:rsid w:val="004F2C3A"/>
    <w:rsid w:val="004F2FF5"/>
    <w:rsid w:val="004F352F"/>
    <w:rsid w:val="004F3A74"/>
    <w:rsid w:val="004F3B18"/>
    <w:rsid w:val="004F3CE3"/>
    <w:rsid w:val="004F420E"/>
    <w:rsid w:val="004F48B5"/>
    <w:rsid w:val="004F4F8C"/>
    <w:rsid w:val="004F545C"/>
    <w:rsid w:val="004F54C2"/>
    <w:rsid w:val="004F6063"/>
    <w:rsid w:val="004F66CE"/>
    <w:rsid w:val="004F6748"/>
    <w:rsid w:val="004F6E5A"/>
    <w:rsid w:val="004F7AB6"/>
    <w:rsid w:val="0050021F"/>
    <w:rsid w:val="00500D23"/>
    <w:rsid w:val="00500FF5"/>
    <w:rsid w:val="00501E74"/>
    <w:rsid w:val="005022C6"/>
    <w:rsid w:val="005023D4"/>
    <w:rsid w:val="00502815"/>
    <w:rsid w:val="00502E27"/>
    <w:rsid w:val="00502FF6"/>
    <w:rsid w:val="00503194"/>
    <w:rsid w:val="0050341E"/>
    <w:rsid w:val="005037E0"/>
    <w:rsid w:val="00503858"/>
    <w:rsid w:val="0050385F"/>
    <w:rsid w:val="00504F1F"/>
    <w:rsid w:val="0050579F"/>
    <w:rsid w:val="00505951"/>
    <w:rsid w:val="00505A80"/>
    <w:rsid w:val="005060C7"/>
    <w:rsid w:val="0050633C"/>
    <w:rsid w:val="0050654C"/>
    <w:rsid w:val="005066FE"/>
    <w:rsid w:val="00506FF1"/>
    <w:rsid w:val="0050712C"/>
    <w:rsid w:val="0050719F"/>
    <w:rsid w:val="00507835"/>
    <w:rsid w:val="00507ED4"/>
    <w:rsid w:val="00507FB0"/>
    <w:rsid w:val="00510654"/>
    <w:rsid w:val="00510655"/>
    <w:rsid w:val="00510C6E"/>
    <w:rsid w:val="005114B4"/>
    <w:rsid w:val="005119B6"/>
    <w:rsid w:val="00511BC5"/>
    <w:rsid w:val="005120BF"/>
    <w:rsid w:val="005122E9"/>
    <w:rsid w:val="00512BB2"/>
    <w:rsid w:val="005131F9"/>
    <w:rsid w:val="005133C6"/>
    <w:rsid w:val="0051357A"/>
    <w:rsid w:val="00513843"/>
    <w:rsid w:val="00513938"/>
    <w:rsid w:val="005139A1"/>
    <w:rsid w:val="00513FDA"/>
    <w:rsid w:val="005149FF"/>
    <w:rsid w:val="00514B1B"/>
    <w:rsid w:val="0051521A"/>
    <w:rsid w:val="005152D4"/>
    <w:rsid w:val="00515779"/>
    <w:rsid w:val="00515ABC"/>
    <w:rsid w:val="00515C7F"/>
    <w:rsid w:val="00515F4B"/>
    <w:rsid w:val="00515F9A"/>
    <w:rsid w:val="00516100"/>
    <w:rsid w:val="0051682A"/>
    <w:rsid w:val="00517AEC"/>
    <w:rsid w:val="005203D3"/>
    <w:rsid w:val="005207C6"/>
    <w:rsid w:val="00520835"/>
    <w:rsid w:val="0052172B"/>
    <w:rsid w:val="00521AF2"/>
    <w:rsid w:val="00521E2A"/>
    <w:rsid w:val="0052276C"/>
    <w:rsid w:val="00522B2E"/>
    <w:rsid w:val="0052351C"/>
    <w:rsid w:val="00523D23"/>
    <w:rsid w:val="00523D86"/>
    <w:rsid w:val="005241F3"/>
    <w:rsid w:val="00524A40"/>
    <w:rsid w:val="00524ED8"/>
    <w:rsid w:val="00525B48"/>
    <w:rsid w:val="00526310"/>
    <w:rsid w:val="005269B6"/>
    <w:rsid w:val="00526A91"/>
    <w:rsid w:val="00526B29"/>
    <w:rsid w:val="00526BF7"/>
    <w:rsid w:val="005274D6"/>
    <w:rsid w:val="005276FF"/>
    <w:rsid w:val="0053005F"/>
    <w:rsid w:val="00530563"/>
    <w:rsid w:val="00530B20"/>
    <w:rsid w:val="0053169B"/>
    <w:rsid w:val="0053183E"/>
    <w:rsid w:val="00532228"/>
    <w:rsid w:val="0053228D"/>
    <w:rsid w:val="0053265C"/>
    <w:rsid w:val="00532ED0"/>
    <w:rsid w:val="00532F5B"/>
    <w:rsid w:val="0053349B"/>
    <w:rsid w:val="00533FB4"/>
    <w:rsid w:val="0053439A"/>
    <w:rsid w:val="00534A5A"/>
    <w:rsid w:val="00534CBB"/>
    <w:rsid w:val="00534F80"/>
    <w:rsid w:val="00534F9C"/>
    <w:rsid w:val="005359BC"/>
    <w:rsid w:val="00535A55"/>
    <w:rsid w:val="0053782A"/>
    <w:rsid w:val="00537879"/>
    <w:rsid w:val="005378DA"/>
    <w:rsid w:val="00540161"/>
    <w:rsid w:val="00540D1A"/>
    <w:rsid w:val="005417F9"/>
    <w:rsid w:val="00541AE6"/>
    <w:rsid w:val="005421CC"/>
    <w:rsid w:val="005423F6"/>
    <w:rsid w:val="00543123"/>
    <w:rsid w:val="005434D1"/>
    <w:rsid w:val="005436BB"/>
    <w:rsid w:val="00543937"/>
    <w:rsid w:val="00543A1E"/>
    <w:rsid w:val="00543BFF"/>
    <w:rsid w:val="005442AD"/>
    <w:rsid w:val="00544734"/>
    <w:rsid w:val="00544757"/>
    <w:rsid w:val="00545070"/>
    <w:rsid w:val="00545746"/>
    <w:rsid w:val="00545856"/>
    <w:rsid w:val="005458DC"/>
    <w:rsid w:val="00545A03"/>
    <w:rsid w:val="00545AD3"/>
    <w:rsid w:val="0054745C"/>
    <w:rsid w:val="00547888"/>
    <w:rsid w:val="0054788D"/>
    <w:rsid w:val="00547EC7"/>
    <w:rsid w:val="00547F16"/>
    <w:rsid w:val="005506DE"/>
    <w:rsid w:val="005506F9"/>
    <w:rsid w:val="0055087D"/>
    <w:rsid w:val="00550B21"/>
    <w:rsid w:val="00550C74"/>
    <w:rsid w:val="00550FA0"/>
    <w:rsid w:val="0055207C"/>
    <w:rsid w:val="0055389F"/>
    <w:rsid w:val="005549F8"/>
    <w:rsid w:val="00554EF9"/>
    <w:rsid w:val="00555419"/>
    <w:rsid w:val="00555967"/>
    <w:rsid w:val="0055599D"/>
    <w:rsid w:val="00555C50"/>
    <w:rsid w:val="00555E8F"/>
    <w:rsid w:val="0055652C"/>
    <w:rsid w:val="00556CDB"/>
    <w:rsid w:val="00556D33"/>
    <w:rsid w:val="005570F0"/>
    <w:rsid w:val="005571E4"/>
    <w:rsid w:val="0055728F"/>
    <w:rsid w:val="00557704"/>
    <w:rsid w:val="005577FA"/>
    <w:rsid w:val="00560B47"/>
    <w:rsid w:val="005614E6"/>
    <w:rsid w:val="005619A4"/>
    <w:rsid w:val="00562064"/>
    <w:rsid w:val="005624ED"/>
    <w:rsid w:val="00562DD7"/>
    <w:rsid w:val="00562EA9"/>
    <w:rsid w:val="00562EE9"/>
    <w:rsid w:val="00563217"/>
    <w:rsid w:val="00563A72"/>
    <w:rsid w:val="00564FA5"/>
    <w:rsid w:val="0056532B"/>
    <w:rsid w:val="00565333"/>
    <w:rsid w:val="0056550F"/>
    <w:rsid w:val="00565984"/>
    <w:rsid w:val="00565F69"/>
    <w:rsid w:val="00566760"/>
    <w:rsid w:val="005674AD"/>
    <w:rsid w:val="0056762B"/>
    <w:rsid w:val="00567D24"/>
    <w:rsid w:val="00570758"/>
    <w:rsid w:val="00571869"/>
    <w:rsid w:val="00571C07"/>
    <w:rsid w:val="0057236B"/>
    <w:rsid w:val="00573113"/>
    <w:rsid w:val="005739F3"/>
    <w:rsid w:val="00573B4D"/>
    <w:rsid w:val="00573B6F"/>
    <w:rsid w:val="00573FBA"/>
    <w:rsid w:val="0057562D"/>
    <w:rsid w:val="00575FA0"/>
    <w:rsid w:val="0057619C"/>
    <w:rsid w:val="0057650D"/>
    <w:rsid w:val="005767C9"/>
    <w:rsid w:val="0057701B"/>
    <w:rsid w:val="005771DD"/>
    <w:rsid w:val="0057741E"/>
    <w:rsid w:val="00577B5C"/>
    <w:rsid w:val="00577B97"/>
    <w:rsid w:val="00580386"/>
    <w:rsid w:val="005803F3"/>
    <w:rsid w:val="0058045F"/>
    <w:rsid w:val="00580810"/>
    <w:rsid w:val="00581F49"/>
    <w:rsid w:val="005823D8"/>
    <w:rsid w:val="00582877"/>
    <w:rsid w:val="0058297B"/>
    <w:rsid w:val="0058307C"/>
    <w:rsid w:val="0058368A"/>
    <w:rsid w:val="00583716"/>
    <w:rsid w:val="00583E80"/>
    <w:rsid w:val="005843B0"/>
    <w:rsid w:val="005843FD"/>
    <w:rsid w:val="0058440F"/>
    <w:rsid w:val="00584499"/>
    <w:rsid w:val="005849C8"/>
    <w:rsid w:val="005858EB"/>
    <w:rsid w:val="005870EF"/>
    <w:rsid w:val="00587DA8"/>
    <w:rsid w:val="00587E7C"/>
    <w:rsid w:val="005903AA"/>
    <w:rsid w:val="00590A3A"/>
    <w:rsid w:val="00590B22"/>
    <w:rsid w:val="00590B59"/>
    <w:rsid w:val="00590D7D"/>
    <w:rsid w:val="00591D38"/>
    <w:rsid w:val="00591DB6"/>
    <w:rsid w:val="00591E2A"/>
    <w:rsid w:val="005923BB"/>
    <w:rsid w:val="005925DD"/>
    <w:rsid w:val="00592D89"/>
    <w:rsid w:val="005933A9"/>
    <w:rsid w:val="005935DF"/>
    <w:rsid w:val="00593789"/>
    <w:rsid w:val="00593805"/>
    <w:rsid w:val="005940DC"/>
    <w:rsid w:val="005945DF"/>
    <w:rsid w:val="005955B2"/>
    <w:rsid w:val="00595BD6"/>
    <w:rsid w:val="00595CD1"/>
    <w:rsid w:val="00595E1E"/>
    <w:rsid w:val="00596042"/>
    <w:rsid w:val="00596263"/>
    <w:rsid w:val="005965C4"/>
    <w:rsid w:val="00596ABB"/>
    <w:rsid w:val="005979F8"/>
    <w:rsid w:val="005A0378"/>
    <w:rsid w:val="005A04CB"/>
    <w:rsid w:val="005A10D9"/>
    <w:rsid w:val="005A1804"/>
    <w:rsid w:val="005A3151"/>
    <w:rsid w:val="005A3AD6"/>
    <w:rsid w:val="005A3DA8"/>
    <w:rsid w:val="005A439F"/>
    <w:rsid w:val="005A486B"/>
    <w:rsid w:val="005A4D54"/>
    <w:rsid w:val="005A51DA"/>
    <w:rsid w:val="005A5ED2"/>
    <w:rsid w:val="005A60E7"/>
    <w:rsid w:val="005A65DE"/>
    <w:rsid w:val="005A6C0B"/>
    <w:rsid w:val="005A6E08"/>
    <w:rsid w:val="005A6E89"/>
    <w:rsid w:val="005A717B"/>
    <w:rsid w:val="005A7573"/>
    <w:rsid w:val="005A7579"/>
    <w:rsid w:val="005A77AC"/>
    <w:rsid w:val="005A78E1"/>
    <w:rsid w:val="005A7A20"/>
    <w:rsid w:val="005A7E3A"/>
    <w:rsid w:val="005B05A6"/>
    <w:rsid w:val="005B0748"/>
    <w:rsid w:val="005B08A0"/>
    <w:rsid w:val="005B0EAD"/>
    <w:rsid w:val="005B14CA"/>
    <w:rsid w:val="005B1534"/>
    <w:rsid w:val="005B1601"/>
    <w:rsid w:val="005B1A6D"/>
    <w:rsid w:val="005B1B25"/>
    <w:rsid w:val="005B1D9E"/>
    <w:rsid w:val="005B2843"/>
    <w:rsid w:val="005B2B67"/>
    <w:rsid w:val="005B2CE8"/>
    <w:rsid w:val="005B3019"/>
    <w:rsid w:val="005B4751"/>
    <w:rsid w:val="005B495F"/>
    <w:rsid w:val="005B4E44"/>
    <w:rsid w:val="005B50E8"/>
    <w:rsid w:val="005B5647"/>
    <w:rsid w:val="005B56C6"/>
    <w:rsid w:val="005B5848"/>
    <w:rsid w:val="005B63F7"/>
    <w:rsid w:val="005B6795"/>
    <w:rsid w:val="005B762D"/>
    <w:rsid w:val="005B7FC4"/>
    <w:rsid w:val="005C05F3"/>
    <w:rsid w:val="005C0830"/>
    <w:rsid w:val="005C08E4"/>
    <w:rsid w:val="005C0B5A"/>
    <w:rsid w:val="005C0BD9"/>
    <w:rsid w:val="005C135E"/>
    <w:rsid w:val="005C172B"/>
    <w:rsid w:val="005C1DB0"/>
    <w:rsid w:val="005C1F7B"/>
    <w:rsid w:val="005C25E1"/>
    <w:rsid w:val="005C277E"/>
    <w:rsid w:val="005C2A62"/>
    <w:rsid w:val="005C31DD"/>
    <w:rsid w:val="005C4247"/>
    <w:rsid w:val="005C4702"/>
    <w:rsid w:val="005C4840"/>
    <w:rsid w:val="005C4BE2"/>
    <w:rsid w:val="005C4C0C"/>
    <w:rsid w:val="005C4C44"/>
    <w:rsid w:val="005C50F8"/>
    <w:rsid w:val="005C52B0"/>
    <w:rsid w:val="005C52D5"/>
    <w:rsid w:val="005C5350"/>
    <w:rsid w:val="005C582D"/>
    <w:rsid w:val="005C5911"/>
    <w:rsid w:val="005C615A"/>
    <w:rsid w:val="005C77FA"/>
    <w:rsid w:val="005C78D5"/>
    <w:rsid w:val="005C7F18"/>
    <w:rsid w:val="005D0032"/>
    <w:rsid w:val="005D02C8"/>
    <w:rsid w:val="005D0C09"/>
    <w:rsid w:val="005D1A15"/>
    <w:rsid w:val="005D1D5B"/>
    <w:rsid w:val="005D1DCC"/>
    <w:rsid w:val="005D277C"/>
    <w:rsid w:val="005D2BE0"/>
    <w:rsid w:val="005D2C7A"/>
    <w:rsid w:val="005D32A9"/>
    <w:rsid w:val="005D4621"/>
    <w:rsid w:val="005D465C"/>
    <w:rsid w:val="005D491C"/>
    <w:rsid w:val="005D4A6F"/>
    <w:rsid w:val="005D4B6F"/>
    <w:rsid w:val="005D583A"/>
    <w:rsid w:val="005D58AC"/>
    <w:rsid w:val="005D5AF2"/>
    <w:rsid w:val="005D5BA6"/>
    <w:rsid w:val="005D6330"/>
    <w:rsid w:val="005D63CE"/>
    <w:rsid w:val="005D649A"/>
    <w:rsid w:val="005D66AD"/>
    <w:rsid w:val="005D6B97"/>
    <w:rsid w:val="005E05BB"/>
    <w:rsid w:val="005E0C7C"/>
    <w:rsid w:val="005E0DFF"/>
    <w:rsid w:val="005E0E83"/>
    <w:rsid w:val="005E127D"/>
    <w:rsid w:val="005E13D4"/>
    <w:rsid w:val="005E159F"/>
    <w:rsid w:val="005E18AF"/>
    <w:rsid w:val="005E1CF8"/>
    <w:rsid w:val="005E2218"/>
    <w:rsid w:val="005E3990"/>
    <w:rsid w:val="005E46E9"/>
    <w:rsid w:val="005E4764"/>
    <w:rsid w:val="005E4D6F"/>
    <w:rsid w:val="005E55F6"/>
    <w:rsid w:val="005E57CE"/>
    <w:rsid w:val="005E5E70"/>
    <w:rsid w:val="005E6613"/>
    <w:rsid w:val="005E7589"/>
    <w:rsid w:val="005E788F"/>
    <w:rsid w:val="005E7896"/>
    <w:rsid w:val="005E78BE"/>
    <w:rsid w:val="005F00AA"/>
    <w:rsid w:val="005F0360"/>
    <w:rsid w:val="005F05BF"/>
    <w:rsid w:val="005F0C86"/>
    <w:rsid w:val="005F134E"/>
    <w:rsid w:val="005F182F"/>
    <w:rsid w:val="005F269C"/>
    <w:rsid w:val="005F3089"/>
    <w:rsid w:val="005F31B4"/>
    <w:rsid w:val="005F35A2"/>
    <w:rsid w:val="005F3C7E"/>
    <w:rsid w:val="005F3DF6"/>
    <w:rsid w:val="005F415B"/>
    <w:rsid w:val="005F41F1"/>
    <w:rsid w:val="005F4310"/>
    <w:rsid w:val="005F43B5"/>
    <w:rsid w:val="005F5859"/>
    <w:rsid w:val="005F697A"/>
    <w:rsid w:val="005F76CA"/>
    <w:rsid w:val="00600556"/>
    <w:rsid w:val="00600F45"/>
    <w:rsid w:val="0060121C"/>
    <w:rsid w:val="006016A8"/>
    <w:rsid w:val="00601A3B"/>
    <w:rsid w:val="006022D3"/>
    <w:rsid w:val="00602D4E"/>
    <w:rsid w:val="00603A34"/>
    <w:rsid w:val="00603A38"/>
    <w:rsid w:val="00603C60"/>
    <w:rsid w:val="00603FA2"/>
    <w:rsid w:val="00604A46"/>
    <w:rsid w:val="00605442"/>
    <w:rsid w:val="00605849"/>
    <w:rsid w:val="00605912"/>
    <w:rsid w:val="00605A83"/>
    <w:rsid w:val="00605EE5"/>
    <w:rsid w:val="00606061"/>
    <w:rsid w:val="006065C6"/>
    <w:rsid w:val="00606763"/>
    <w:rsid w:val="0060693D"/>
    <w:rsid w:val="00606985"/>
    <w:rsid w:val="00606FC2"/>
    <w:rsid w:val="006072E3"/>
    <w:rsid w:val="006075D1"/>
    <w:rsid w:val="00607656"/>
    <w:rsid w:val="00607C37"/>
    <w:rsid w:val="00607DE9"/>
    <w:rsid w:val="00607F8B"/>
    <w:rsid w:val="0061006A"/>
    <w:rsid w:val="0061035E"/>
    <w:rsid w:val="006103FC"/>
    <w:rsid w:val="006109A0"/>
    <w:rsid w:val="00610B4F"/>
    <w:rsid w:val="00610EFC"/>
    <w:rsid w:val="0061110E"/>
    <w:rsid w:val="0061115C"/>
    <w:rsid w:val="00611422"/>
    <w:rsid w:val="0061156A"/>
    <w:rsid w:val="006116DC"/>
    <w:rsid w:val="00611DDA"/>
    <w:rsid w:val="006124A3"/>
    <w:rsid w:val="00613070"/>
    <w:rsid w:val="00613BD3"/>
    <w:rsid w:val="00614630"/>
    <w:rsid w:val="00614A20"/>
    <w:rsid w:val="00615CCF"/>
    <w:rsid w:val="00616184"/>
    <w:rsid w:val="006167B1"/>
    <w:rsid w:val="00616861"/>
    <w:rsid w:val="0061720A"/>
    <w:rsid w:val="006175D5"/>
    <w:rsid w:val="00617B94"/>
    <w:rsid w:val="006203DE"/>
    <w:rsid w:val="006205B5"/>
    <w:rsid w:val="0062083B"/>
    <w:rsid w:val="00620C77"/>
    <w:rsid w:val="00620D4A"/>
    <w:rsid w:val="00621C5F"/>
    <w:rsid w:val="00621FAA"/>
    <w:rsid w:val="006224E0"/>
    <w:rsid w:val="006226C9"/>
    <w:rsid w:val="00622999"/>
    <w:rsid w:val="006230E0"/>
    <w:rsid w:val="006236F3"/>
    <w:rsid w:val="006238F5"/>
    <w:rsid w:val="006240DE"/>
    <w:rsid w:val="00624539"/>
    <w:rsid w:val="006249BA"/>
    <w:rsid w:val="00624A78"/>
    <w:rsid w:val="00624F96"/>
    <w:rsid w:val="006250A5"/>
    <w:rsid w:val="0062607A"/>
    <w:rsid w:val="00626527"/>
    <w:rsid w:val="0062666A"/>
    <w:rsid w:val="006268DD"/>
    <w:rsid w:val="00626B30"/>
    <w:rsid w:val="00626DCA"/>
    <w:rsid w:val="00626E08"/>
    <w:rsid w:val="006275A8"/>
    <w:rsid w:val="006276F9"/>
    <w:rsid w:val="00627881"/>
    <w:rsid w:val="00627889"/>
    <w:rsid w:val="00627BEC"/>
    <w:rsid w:val="00627E1F"/>
    <w:rsid w:val="00627EDF"/>
    <w:rsid w:val="00627FB0"/>
    <w:rsid w:val="006308F0"/>
    <w:rsid w:val="00630EA0"/>
    <w:rsid w:val="006319EC"/>
    <w:rsid w:val="00631C8F"/>
    <w:rsid w:val="006320D5"/>
    <w:rsid w:val="00632229"/>
    <w:rsid w:val="00632ED6"/>
    <w:rsid w:val="006330F2"/>
    <w:rsid w:val="006330F3"/>
    <w:rsid w:val="0063317A"/>
    <w:rsid w:val="00633300"/>
    <w:rsid w:val="00633449"/>
    <w:rsid w:val="006337BD"/>
    <w:rsid w:val="00633F19"/>
    <w:rsid w:val="00634098"/>
    <w:rsid w:val="006342DD"/>
    <w:rsid w:val="0063431F"/>
    <w:rsid w:val="00634C4B"/>
    <w:rsid w:val="00634F93"/>
    <w:rsid w:val="00635115"/>
    <w:rsid w:val="006351C0"/>
    <w:rsid w:val="006351FF"/>
    <w:rsid w:val="00635A1C"/>
    <w:rsid w:val="00635D96"/>
    <w:rsid w:val="00635DB1"/>
    <w:rsid w:val="006361A6"/>
    <w:rsid w:val="006366A5"/>
    <w:rsid w:val="006366F4"/>
    <w:rsid w:val="00636743"/>
    <w:rsid w:val="006371AF"/>
    <w:rsid w:val="006373BF"/>
    <w:rsid w:val="00637BE0"/>
    <w:rsid w:val="00640C62"/>
    <w:rsid w:val="006410E3"/>
    <w:rsid w:val="00641526"/>
    <w:rsid w:val="00641895"/>
    <w:rsid w:val="00642637"/>
    <w:rsid w:val="00642B46"/>
    <w:rsid w:val="00642C00"/>
    <w:rsid w:val="00643991"/>
    <w:rsid w:val="00644095"/>
    <w:rsid w:val="0064430C"/>
    <w:rsid w:val="00644655"/>
    <w:rsid w:val="006447AB"/>
    <w:rsid w:val="00644BD0"/>
    <w:rsid w:val="00644C2B"/>
    <w:rsid w:val="00644D6A"/>
    <w:rsid w:val="00644E01"/>
    <w:rsid w:val="00645563"/>
    <w:rsid w:val="006458AB"/>
    <w:rsid w:val="00646872"/>
    <w:rsid w:val="006471BA"/>
    <w:rsid w:val="006475E3"/>
    <w:rsid w:val="00647752"/>
    <w:rsid w:val="006477CB"/>
    <w:rsid w:val="006479AB"/>
    <w:rsid w:val="00650031"/>
    <w:rsid w:val="006506F7"/>
    <w:rsid w:val="006511C4"/>
    <w:rsid w:val="0065181A"/>
    <w:rsid w:val="0065191A"/>
    <w:rsid w:val="00651E6A"/>
    <w:rsid w:val="00652419"/>
    <w:rsid w:val="00652973"/>
    <w:rsid w:val="00652EC4"/>
    <w:rsid w:val="00653097"/>
    <w:rsid w:val="006537E5"/>
    <w:rsid w:val="00654635"/>
    <w:rsid w:val="00654885"/>
    <w:rsid w:val="00654D84"/>
    <w:rsid w:val="00654EA2"/>
    <w:rsid w:val="006550BA"/>
    <w:rsid w:val="006558F2"/>
    <w:rsid w:val="006564B7"/>
    <w:rsid w:val="00656500"/>
    <w:rsid w:val="0065668B"/>
    <w:rsid w:val="006566DB"/>
    <w:rsid w:val="0065687F"/>
    <w:rsid w:val="00657EE1"/>
    <w:rsid w:val="00657EE6"/>
    <w:rsid w:val="00660319"/>
    <w:rsid w:val="006603E6"/>
    <w:rsid w:val="00660870"/>
    <w:rsid w:val="00660F07"/>
    <w:rsid w:val="006616E0"/>
    <w:rsid w:val="006620C4"/>
    <w:rsid w:val="0066219D"/>
    <w:rsid w:val="00662420"/>
    <w:rsid w:val="00662513"/>
    <w:rsid w:val="00662ADD"/>
    <w:rsid w:val="00662D3F"/>
    <w:rsid w:val="00662EBC"/>
    <w:rsid w:val="00662F21"/>
    <w:rsid w:val="00663160"/>
    <w:rsid w:val="0066344C"/>
    <w:rsid w:val="006644BA"/>
    <w:rsid w:val="00665049"/>
    <w:rsid w:val="0066530F"/>
    <w:rsid w:val="00665938"/>
    <w:rsid w:val="00665DEA"/>
    <w:rsid w:val="0066654F"/>
    <w:rsid w:val="00666A22"/>
    <w:rsid w:val="00666CB6"/>
    <w:rsid w:val="00666D8A"/>
    <w:rsid w:val="00667005"/>
    <w:rsid w:val="00667A2A"/>
    <w:rsid w:val="00667DCC"/>
    <w:rsid w:val="00670571"/>
    <w:rsid w:val="00670657"/>
    <w:rsid w:val="00670BD2"/>
    <w:rsid w:val="006710E9"/>
    <w:rsid w:val="00671CCD"/>
    <w:rsid w:val="00671E25"/>
    <w:rsid w:val="00672564"/>
    <w:rsid w:val="006729B8"/>
    <w:rsid w:val="00672B1C"/>
    <w:rsid w:val="00672C1B"/>
    <w:rsid w:val="006736A5"/>
    <w:rsid w:val="0067437B"/>
    <w:rsid w:val="00674616"/>
    <w:rsid w:val="0067487C"/>
    <w:rsid w:val="0067534B"/>
    <w:rsid w:val="0067625C"/>
    <w:rsid w:val="0067642F"/>
    <w:rsid w:val="0067712D"/>
    <w:rsid w:val="006776FF"/>
    <w:rsid w:val="00680FD6"/>
    <w:rsid w:val="00681182"/>
    <w:rsid w:val="006811A6"/>
    <w:rsid w:val="0068158B"/>
    <w:rsid w:val="00681A3E"/>
    <w:rsid w:val="006822DD"/>
    <w:rsid w:val="006823DD"/>
    <w:rsid w:val="00683225"/>
    <w:rsid w:val="00683422"/>
    <w:rsid w:val="00683AA8"/>
    <w:rsid w:val="00683F93"/>
    <w:rsid w:val="00683FC4"/>
    <w:rsid w:val="00684350"/>
    <w:rsid w:val="00684658"/>
    <w:rsid w:val="006849C0"/>
    <w:rsid w:val="00684BC2"/>
    <w:rsid w:val="0068540D"/>
    <w:rsid w:val="00685CCE"/>
    <w:rsid w:val="006860B8"/>
    <w:rsid w:val="00686B10"/>
    <w:rsid w:val="00687579"/>
    <w:rsid w:val="006878BF"/>
    <w:rsid w:val="00687C3E"/>
    <w:rsid w:val="00687DA5"/>
    <w:rsid w:val="00690108"/>
    <w:rsid w:val="00690CD0"/>
    <w:rsid w:val="00690F83"/>
    <w:rsid w:val="0069114F"/>
    <w:rsid w:val="00691270"/>
    <w:rsid w:val="00691547"/>
    <w:rsid w:val="00691950"/>
    <w:rsid w:val="00691D29"/>
    <w:rsid w:val="00691DF1"/>
    <w:rsid w:val="00692136"/>
    <w:rsid w:val="00692654"/>
    <w:rsid w:val="0069276C"/>
    <w:rsid w:val="00692AA5"/>
    <w:rsid w:val="0069372E"/>
    <w:rsid w:val="006938A6"/>
    <w:rsid w:val="00693930"/>
    <w:rsid w:val="00693ACE"/>
    <w:rsid w:val="00693BE8"/>
    <w:rsid w:val="00693E62"/>
    <w:rsid w:val="006944BA"/>
    <w:rsid w:val="00694509"/>
    <w:rsid w:val="0069564D"/>
    <w:rsid w:val="00695B29"/>
    <w:rsid w:val="00695DB4"/>
    <w:rsid w:val="0069604F"/>
    <w:rsid w:val="0069605B"/>
    <w:rsid w:val="00696933"/>
    <w:rsid w:val="00696A48"/>
    <w:rsid w:val="00697064"/>
    <w:rsid w:val="006970B2"/>
    <w:rsid w:val="006970E7"/>
    <w:rsid w:val="00697961"/>
    <w:rsid w:val="00697E9B"/>
    <w:rsid w:val="00697FD3"/>
    <w:rsid w:val="006A0769"/>
    <w:rsid w:val="006A0C16"/>
    <w:rsid w:val="006A0FFB"/>
    <w:rsid w:val="006A1402"/>
    <w:rsid w:val="006A1715"/>
    <w:rsid w:val="006A1A0F"/>
    <w:rsid w:val="006A1C8A"/>
    <w:rsid w:val="006A1E23"/>
    <w:rsid w:val="006A1EA4"/>
    <w:rsid w:val="006A2129"/>
    <w:rsid w:val="006A227A"/>
    <w:rsid w:val="006A25DB"/>
    <w:rsid w:val="006A29FF"/>
    <w:rsid w:val="006A3065"/>
    <w:rsid w:val="006A333C"/>
    <w:rsid w:val="006A343F"/>
    <w:rsid w:val="006A3C92"/>
    <w:rsid w:val="006A44D5"/>
    <w:rsid w:val="006A4B88"/>
    <w:rsid w:val="006A4DE9"/>
    <w:rsid w:val="006A50F0"/>
    <w:rsid w:val="006A51B3"/>
    <w:rsid w:val="006A53B4"/>
    <w:rsid w:val="006A54D9"/>
    <w:rsid w:val="006A605A"/>
    <w:rsid w:val="006A6099"/>
    <w:rsid w:val="006A679B"/>
    <w:rsid w:val="006A68AE"/>
    <w:rsid w:val="006A6E81"/>
    <w:rsid w:val="006A6EEA"/>
    <w:rsid w:val="006B04C6"/>
    <w:rsid w:val="006B0869"/>
    <w:rsid w:val="006B0B10"/>
    <w:rsid w:val="006B0EEE"/>
    <w:rsid w:val="006B1166"/>
    <w:rsid w:val="006B1298"/>
    <w:rsid w:val="006B189F"/>
    <w:rsid w:val="006B19B6"/>
    <w:rsid w:val="006B2215"/>
    <w:rsid w:val="006B2385"/>
    <w:rsid w:val="006B282D"/>
    <w:rsid w:val="006B2EC4"/>
    <w:rsid w:val="006B310B"/>
    <w:rsid w:val="006B3F60"/>
    <w:rsid w:val="006B41C1"/>
    <w:rsid w:val="006B5255"/>
    <w:rsid w:val="006B525C"/>
    <w:rsid w:val="006B544D"/>
    <w:rsid w:val="006B5785"/>
    <w:rsid w:val="006B592E"/>
    <w:rsid w:val="006B59A4"/>
    <w:rsid w:val="006B5DC6"/>
    <w:rsid w:val="006B64F9"/>
    <w:rsid w:val="006B6CD8"/>
    <w:rsid w:val="006B6D89"/>
    <w:rsid w:val="006B70AE"/>
    <w:rsid w:val="006C0652"/>
    <w:rsid w:val="006C0B77"/>
    <w:rsid w:val="006C0BC2"/>
    <w:rsid w:val="006C1203"/>
    <w:rsid w:val="006C15C7"/>
    <w:rsid w:val="006C192B"/>
    <w:rsid w:val="006C229A"/>
    <w:rsid w:val="006C2472"/>
    <w:rsid w:val="006C271D"/>
    <w:rsid w:val="006C29FC"/>
    <w:rsid w:val="006C2D08"/>
    <w:rsid w:val="006C3104"/>
    <w:rsid w:val="006C3ADE"/>
    <w:rsid w:val="006C3BD3"/>
    <w:rsid w:val="006C429A"/>
    <w:rsid w:val="006C48B6"/>
    <w:rsid w:val="006C4B49"/>
    <w:rsid w:val="006C5290"/>
    <w:rsid w:val="006C5A59"/>
    <w:rsid w:val="006C5C20"/>
    <w:rsid w:val="006C5DA9"/>
    <w:rsid w:val="006C6181"/>
    <w:rsid w:val="006C67A0"/>
    <w:rsid w:val="006C6C89"/>
    <w:rsid w:val="006C6F01"/>
    <w:rsid w:val="006D0A28"/>
    <w:rsid w:val="006D10D2"/>
    <w:rsid w:val="006D1DE7"/>
    <w:rsid w:val="006D1E98"/>
    <w:rsid w:val="006D28C0"/>
    <w:rsid w:val="006D2EFC"/>
    <w:rsid w:val="006D342F"/>
    <w:rsid w:val="006D3E32"/>
    <w:rsid w:val="006D421E"/>
    <w:rsid w:val="006D44B6"/>
    <w:rsid w:val="006D4646"/>
    <w:rsid w:val="006D485A"/>
    <w:rsid w:val="006D4D23"/>
    <w:rsid w:val="006D546E"/>
    <w:rsid w:val="006D5791"/>
    <w:rsid w:val="006D5BEF"/>
    <w:rsid w:val="006D6457"/>
    <w:rsid w:val="006D6564"/>
    <w:rsid w:val="006D7001"/>
    <w:rsid w:val="006D74CC"/>
    <w:rsid w:val="006D7DCA"/>
    <w:rsid w:val="006E02B9"/>
    <w:rsid w:val="006E0715"/>
    <w:rsid w:val="006E0813"/>
    <w:rsid w:val="006E0926"/>
    <w:rsid w:val="006E1A0F"/>
    <w:rsid w:val="006E2131"/>
    <w:rsid w:val="006E225E"/>
    <w:rsid w:val="006E2904"/>
    <w:rsid w:val="006E3433"/>
    <w:rsid w:val="006E367F"/>
    <w:rsid w:val="006E3B73"/>
    <w:rsid w:val="006E3D2F"/>
    <w:rsid w:val="006E45AA"/>
    <w:rsid w:val="006E4E4B"/>
    <w:rsid w:val="006E623C"/>
    <w:rsid w:val="006E682D"/>
    <w:rsid w:val="006E6854"/>
    <w:rsid w:val="006E68E3"/>
    <w:rsid w:val="006E7ADC"/>
    <w:rsid w:val="006E7FB1"/>
    <w:rsid w:val="006F134B"/>
    <w:rsid w:val="006F1656"/>
    <w:rsid w:val="006F16AA"/>
    <w:rsid w:val="006F26B9"/>
    <w:rsid w:val="006F2B74"/>
    <w:rsid w:val="006F2B8E"/>
    <w:rsid w:val="006F2CE5"/>
    <w:rsid w:val="006F2E1B"/>
    <w:rsid w:val="006F3527"/>
    <w:rsid w:val="006F41F6"/>
    <w:rsid w:val="006F4526"/>
    <w:rsid w:val="006F471B"/>
    <w:rsid w:val="006F4A6B"/>
    <w:rsid w:val="006F5044"/>
    <w:rsid w:val="006F55F8"/>
    <w:rsid w:val="006F5680"/>
    <w:rsid w:val="006F59A6"/>
    <w:rsid w:val="006F6716"/>
    <w:rsid w:val="006F6C24"/>
    <w:rsid w:val="006F6E5E"/>
    <w:rsid w:val="006F769F"/>
    <w:rsid w:val="006F7837"/>
    <w:rsid w:val="00700508"/>
    <w:rsid w:val="00700587"/>
    <w:rsid w:val="00700692"/>
    <w:rsid w:val="00700B45"/>
    <w:rsid w:val="0070149A"/>
    <w:rsid w:val="007014AF"/>
    <w:rsid w:val="00702446"/>
    <w:rsid w:val="00702990"/>
    <w:rsid w:val="00702C20"/>
    <w:rsid w:val="007037A4"/>
    <w:rsid w:val="00703942"/>
    <w:rsid w:val="00703E45"/>
    <w:rsid w:val="0070415A"/>
    <w:rsid w:val="0070435F"/>
    <w:rsid w:val="00704457"/>
    <w:rsid w:val="007045C5"/>
    <w:rsid w:val="00704627"/>
    <w:rsid w:val="0070490C"/>
    <w:rsid w:val="00704A39"/>
    <w:rsid w:val="00704F86"/>
    <w:rsid w:val="007059C6"/>
    <w:rsid w:val="00705A02"/>
    <w:rsid w:val="00705F6D"/>
    <w:rsid w:val="00706825"/>
    <w:rsid w:val="00706F76"/>
    <w:rsid w:val="0070735C"/>
    <w:rsid w:val="007104BE"/>
    <w:rsid w:val="00710557"/>
    <w:rsid w:val="00710A24"/>
    <w:rsid w:val="00711603"/>
    <w:rsid w:val="007116D5"/>
    <w:rsid w:val="0071247D"/>
    <w:rsid w:val="00712499"/>
    <w:rsid w:val="00712635"/>
    <w:rsid w:val="007132DB"/>
    <w:rsid w:val="00713958"/>
    <w:rsid w:val="00714491"/>
    <w:rsid w:val="007151F9"/>
    <w:rsid w:val="00715305"/>
    <w:rsid w:val="00715965"/>
    <w:rsid w:val="00716F0A"/>
    <w:rsid w:val="0071766E"/>
    <w:rsid w:val="007179AC"/>
    <w:rsid w:val="00717BB0"/>
    <w:rsid w:val="00717BED"/>
    <w:rsid w:val="00720135"/>
    <w:rsid w:val="007203AB"/>
    <w:rsid w:val="0072124C"/>
    <w:rsid w:val="00721950"/>
    <w:rsid w:val="00722308"/>
    <w:rsid w:val="007228EF"/>
    <w:rsid w:val="00722B7C"/>
    <w:rsid w:val="00722BE2"/>
    <w:rsid w:val="00723048"/>
    <w:rsid w:val="00723354"/>
    <w:rsid w:val="00723B9B"/>
    <w:rsid w:val="0072414A"/>
    <w:rsid w:val="00724DD0"/>
    <w:rsid w:val="00725602"/>
    <w:rsid w:val="00725D8E"/>
    <w:rsid w:val="00725FCF"/>
    <w:rsid w:val="00726541"/>
    <w:rsid w:val="00726908"/>
    <w:rsid w:val="0072692C"/>
    <w:rsid w:val="0072727B"/>
    <w:rsid w:val="0072732F"/>
    <w:rsid w:val="007279E4"/>
    <w:rsid w:val="0073031C"/>
    <w:rsid w:val="007305F4"/>
    <w:rsid w:val="00730D7F"/>
    <w:rsid w:val="007319B2"/>
    <w:rsid w:val="00731EC8"/>
    <w:rsid w:val="0073308D"/>
    <w:rsid w:val="007334C5"/>
    <w:rsid w:val="007335F2"/>
    <w:rsid w:val="00733C17"/>
    <w:rsid w:val="00733CCB"/>
    <w:rsid w:val="0073403B"/>
    <w:rsid w:val="007343BB"/>
    <w:rsid w:val="0073480B"/>
    <w:rsid w:val="00734906"/>
    <w:rsid w:val="00734BAA"/>
    <w:rsid w:val="00735373"/>
    <w:rsid w:val="00735C27"/>
    <w:rsid w:val="00736046"/>
    <w:rsid w:val="007367BC"/>
    <w:rsid w:val="00740191"/>
    <w:rsid w:val="0074083E"/>
    <w:rsid w:val="007408B3"/>
    <w:rsid w:val="007411F6"/>
    <w:rsid w:val="007412E2"/>
    <w:rsid w:val="007415C1"/>
    <w:rsid w:val="00741C54"/>
    <w:rsid w:val="00741C72"/>
    <w:rsid w:val="00741CFF"/>
    <w:rsid w:val="0074226A"/>
    <w:rsid w:val="007423CE"/>
    <w:rsid w:val="00742452"/>
    <w:rsid w:val="0074253B"/>
    <w:rsid w:val="00742544"/>
    <w:rsid w:val="00742A05"/>
    <w:rsid w:val="007433F8"/>
    <w:rsid w:val="007439AB"/>
    <w:rsid w:val="00743A0F"/>
    <w:rsid w:val="00744114"/>
    <w:rsid w:val="00744389"/>
    <w:rsid w:val="0074542D"/>
    <w:rsid w:val="00745577"/>
    <w:rsid w:val="00745992"/>
    <w:rsid w:val="00745EAF"/>
    <w:rsid w:val="00746842"/>
    <w:rsid w:val="00746A21"/>
    <w:rsid w:val="00746D40"/>
    <w:rsid w:val="00746E24"/>
    <w:rsid w:val="00750A66"/>
    <w:rsid w:val="00750B39"/>
    <w:rsid w:val="00750CEF"/>
    <w:rsid w:val="00750CF4"/>
    <w:rsid w:val="00751B77"/>
    <w:rsid w:val="0075256E"/>
    <w:rsid w:val="00752DB8"/>
    <w:rsid w:val="00752EC0"/>
    <w:rsid w:val="00753998"/>
    <w:rsid w:val="00753ACA"/>
    <w:rsid w:val="00753C1D"/>
    <w:rsid w:val="00753E2E"/>
    <w:rsid w:val="00754148"/>
    <w:rsid w:val="00754528"/>
    <w:rsid w:val="00754B98"/>
    <w:rsid w:val="00754E54"/>
    <w:rsid w:val="007555C1"/>
    <w:rsid w:val="007555E0"/>
    <w:rsid w:val="0075572F"/>
    <w:rsid w:val="00755ADC"/>
    <w:rsid w:val="00755C78"/>
    <w:rsid w:val="0075739C"/>
    <w:rsid w:val="00757491"/>
    <w:rsid w:val="007579C3"/>
    <w:rsid w:val="0076013E"/>
    <w:rsid w:val="00760BFC"/>
    <w:rsid w:val="00761A6C"/>
    <w:rsid w:val="00762710"/>
    <w:rsid w:val="00762855"/>
    <w:rsid w:val="00763371"/>
    <w:rsid w:val="007638F5"/>
    <w:rsid w:val="00763C1E"/>
    <w:rsid w:val="00764018"/>
    <w:rsid w:val="00764928"/>
    <w:rsid w:val="00765870"/>
    <w:rsid w:val="00765B8C"/>
    <w:rsid w:val="00766007"/>
    <w:rsid w:val="0076613E"/>
    <w:rsid w:val="00766989"/>
    <w:rsid w:val="007671E4"/>
    <w:rsid w:val="0076776A"/>
    <w:rsid w:val="00767FA4"/>
    <w:rsid w:val="00770018"/>
    <w:rsid w:val="00770139"/>
    <w:rsid w:val="0077094A"/>
    <w:rsid w:val="00770A63"/>
    <w:rsid w:val="00770F88"/>
    <w:rsid w:val="00770FE7"/>
    <w:rsid w:val="00771174"/>
    <w:rsid w:val="00771271"/>
    <w:rsid w:val="007717E0"/>
    <w:rsid w:val="00771AAB"/>
    <w:rsid w:val="007724AF"/>
    <w:rsid w:val="00772787"/>
    <w:rsid w:val="00772914"/>
    <w:rsid w:val="0077294E"/>
    <w:rsid w:val="00772BB9"/>
    <w:rsid w:val="0077316D"/>
    <w:rsid w:val="00773279"/>
    <w:rsid w:val="0077379D"/>
    <w:rsid w:val="007740C3"/>
    <w:rsid w:val="00774214"/>
    <w:rsid w:val="007753DB"/>
    <w:rsid w:val="007756CF"/>
    <w:rsid w:val="00775BBD"/>
    <w:rsid w:val="00776310"/>
    <w:rsid w:val="00776551"/>
    <w:rsid w:val="00776695"/>
    <w:rsid w:val="00777631"/>
    <w:rsid w:val="00777D13"/>
    <w:rsid w:val="00777DCA"/>
    <w:rsid w:val="00777FD2"/>
    <w:rsid w:val="00780566"/>
    <w:rsid w:val="00780A5B"/>
    <w:rsid w:val="00781327"/>
    <w:rsid w:val="007815EF"/>
    <w:rsid w:val="0078173C"/>
    <w:rsid w:val="0078195C"/>
    <w:rsid w:val="00781C32"/>
    <w:rsid w:val="00781D6D"/>
    <w:rsid w:val="0078207A"/>
    <w:rsid w:val="0078210B"/>
    <w:rsid w:val="00782663"/>
    <w:rsid w:val="00782933"/>
    <w:rsid w:val="00782E9C"/>
    <w:rsid w:val="00782F18"/>
    <w:rsid w:val="0078371C"/>
    <w:rsid w:val="00783A72"/>
    <w:rsid w:val="00783F44"/>
    <w:rsid w:val="007841C0"/>
    <w:rsid w:val="00784ADF"/>
    <w:rsid w:val="00784BDD"/>
    <w:rsid w:val="00784CCB"/>
    <w:rsid w:val="00786AF2"/>
    <w:rsid w:val="00787222"/>
    <w:rsid w:val="0078742E"/>
    <w:rsid w:val="0078743E"/>
    <w:rsid w:val="007878CF"/>
    <w:rsid w:val="00787CC5"/>
    <w:rsid w:val="007900C1"/>
    <w:rsid w:val="007901CD"/>
    <w:rsid w:val="007905A6"/>
    <w:rsid w:val="00790679"/>
    <w:rsid w:val="00790781"/>
    <w:rsid w:val="00791134"/>
    <w:rsid w:val="00791B08"/>
    <w:rsid w:val="00791E0C"/>
    <w:rsid w:val="00792B6F"/>
    <w:rsid w:val="00793710"/>
    <w:rsid w:val="007942DC"/>
    <w:rsid w:val="00794FA8"/>
    <w:rsid w:val="007954F5"/>
    <w:rsid w:val="00796210"/>
    <w:rsid w:val="00797391"/>
    <w:rsid w:val="007978E1"/>
    <w:rsid w:val="00797BB4"/>
    <w:rsid w:val="00797E63"/>
    <w:rsid w:val="00797EAB"/>
    <w:rsid w:val="007A093E"/>
    <w:rsid w:val="007A0AF3"/>
    <w:rsid w:val="007A19AD"/>
    <w:rsid w:val="007A1D9A"/>
    <w:rsid w:val="007A1E1D"/>
    <w:rsid w:val="007A287C"/>
    <w:rsid w:val="007A28D9"/>
    <w:rsid w:val="007A2C51"/>
    <w:rsid w:val="007A379F"/>
    <w:rsid w:val="007A3DB9"/>
    <w:rsid w:val="007A3DC0"/>
    <w:rsid w:val="007A3EF0"/>
    <w:rsid w:val="007A3F1C"/>
    <w:rsid w:val="007A4277"/>
    <w:rsid w:val="007A442E"/>
    <w:rsid w:val="007A4846"/>
    <w:rsid w:val="007A485E"/>
    <w:rsid w:val="007A4A75"/>
    <w:rsid w:val="007A53CE"/>
    <w:rsid w:val="007A55AB"/>
    <w:rsid w:val="007A5C5E"/>
    <w:rsid w:val="007A6079"/>
    <w:rsid w:val="007A6CC1"/>
    <w:rsid w:val="007A6E0F"/>
    <w:rsid w:val="007A6FBE"/>
    <w:rsid w:val="007A7161"/>
    <w:rsid w:val="007A784C"/>
    <w:rsid w:val="007A789D"/>
    <w:rsid w:val="007A7BC5"/>
    <w:rsid w:val="007B045F"/>
    <w:rsid w:val="007B10FA"/>
    <w:rsid w:val="007B11AD"/>
    <w:rsid w:val="007B1426"/>
    <w:rsid w:val="007B1671"/>
    <w:rsid w:val="007B19FC"/>
    <w:rsid w:val="007B1D2C"/>
    <w:rsid w:val="007B219C"/>
    <w:rsid w:val="007B21CF"/>
    <w:rsid w:val="007B22B3"/>
    <w:rsid w:val="007B22D1"/>
    <w:rsid w:val="007B23FD"/>
    <w:rsid w:val="007B2D65"/>
    <w:rsid w:val="007B2DD6"/>
    <w:rsid w:val="007B2F16"/>
    <w:rsid w:val="007B32E1"/>
    <w:rsid w:val="007B3769"/>
    <w:rsid w:val="007B40A8"/>
    <w:rsid w:val="007B4A15"/>
    <w:rsid w:val="007B4B41"/>
    <w:rsid w:val="007B4DDE"/>
    <w:rsid w:val="007B5847"/>
    <w:rsid w:val="007B642E"/>
    <w:rsid w:val="007B64B6"/>
    <w:rsid w:val="007B65C2"/>
    <w:rsid w:val="007B6F5C"/>
    <w:rsid w:val="007B73E6"/>
    <w:rsid w:val="007C0208"/>
    <w:rsid w:val="007C03AD"/>
    <w:rsid w:val="007C051E"/>
    <w:rsid w:val="007C0964"/>
    <w:rsid w:val="007C11DC"/>
    <w:rsid w:val="007C1206"/>
    <w:rsid w:val="007C14E6"/>
    <w:rsid w:val="007C1536"/>
    <w:rsid w:val="007C16B6"/>
    <w:rsid w:val="007C2138"/>
    <w:rsid w:val="007C24D4"/>
    <w:rsid w:val="007C2556"/>
    <w:rsid w:val="007C25E8"/>
    <w:rsid w:val="007C2860"/>
    <w:rsid w:val="007C286C"/>
    <w:rsid w:val="007C2A28"/>
    <w:rsid w:val="007C2B88"/>
    <w:rsid w:val="007C2F7B"/>
    <w:rsid w:val="007C3164"/>
    <w:rsid w:val="007C337C"/>
    <w:rsid w:val="007C3712"/>
    <w:rsid w:val="007C3B95"/>
    <w:rsid w:val="007C46BF"/>
    <w:rsid w:val="007C4831"/>
    <w:rsid w:val="007C4D90"/>
    <w:rsid w:val="007C50A7"/>
    <w:rsid w:val="007C50B0"/>
    <w:rsid w:val="007C65A8"/>
    <w:rsid w:val="007C666F"/>
    <w:rsid w:val="007C667B"/>
    <w:rsid w:val="007C68A3"/>
    <w:rsid w:val="007C69A7"/>
    <w:rsid w:val="007C6B59"/>
    <w:rsid w:val="007C70C0"/>
    <w:rsid w:val="007C7223"/>
    <w:rsid w:val="007C746C"/>
    <w:rsid w:val="007C7B99"/>
    <w:rsid w:val="007C7EE8"/>
    <w:rsid w:val="007D12F7"/>
    <w:rsid w:val="007D1D93"/>
    <w:rsid w:val="007D1F93"/>
    <w:rsid w:val="007D21E2"/>
    <w:rsid w:val="007D2DB7"/>
    <w:rsid w:val="007D3107"/>
    <w:rsid w:val="007D4CCD"/>
    <w:rsid w:val="007D4E07"/>
    <w:rsid w:val="007D61A6"/>
    <w:rsid w:val="007D67EE"/>
    <w:rsid w:val="007D70BF"/>
    <w:rsid w:val="007D76EF"/>
    <w:rsid w:val="007D7CB8"/>
    <w:rsid w:val="007E006F"/>
    <w:rsid w:val="007E09E8"/>
    <w:rsid w:val="007E0A01"/>
    <w:rsid w:val="007E0D8C"/>
    <w:rsid w:val="007E0FB3"/>
    <w:rsid w:val="007E1ABC"/>
    <w:rsid w:val="007E1D98"/>
    <w:rsid w:val="007E218E"/>
    <w:rsid w:val="007E2313"/>
    <w:rsid w:val="007E29C4"/>
    <w:rsid w:val="007E32F5"/>
    <w:rsid w:val="007E333A"/>
    <w:rsid w:val="007E3FFB"/>
    <w:rsid w:val="007E4540"/>
    <w:rsid w:val="007E4703"/>
    <w:rsid w:val="007E52E4"/>
    <w:rsid w:val="007E59C3"/>
    <w:rsid w:val="007E5ACB"/>
    <w:rsid w:val="007E5B91"/>
    <w:rsid w:val="007E5DDD"/>
    <w:rsid w:val="007E5F06"/>
    <w:rsid w:val="007E6185"/>
    <w:rsid w:val="007E630D"/>
    <w:rsid w:val="007E67FE"/>
    <w:rsid w:val="007E6942"/>
    <w:rsid w:val="007E7013"/>
    <w:rsid w:val="007E7C15"/>
    <w:rsid w:val="007F021D"/>
    <w:rsid w:val="007F02CC"/>
    <w:rsid w:val="007F0429"/>
    <w:rsid w:val="007F0819"/>
    <w:rsid w:val="007F0953"/>
    <w:rsid w:val="007F0958"/>
    <w:rsid w:val="007F0CD5"/>
    <w:rsid w:val="007F0FEE"/>
    <w:rsid w:val="007F11A1"/>
    <w:rsid w:val="007F1608"/>
    <w:rsid w:val="007F1EEC"/>
    <w:rsid w:val="007F24EE"/>
    <w:rsid w:val="007F28D9"/>
    <w:rsid w:val="007F2946"/>
    <w:rsid w:val="007F30E9"/>
    <w:rsid w:val="007F3FC9"/>
    <w:rsid w:val="007F4448"/>
    <w:rsid w:val="007F5992"/>
    <w:rsid w:val="007F62A2"/>
    <w:rsid w:val="007F65E6"/>
    <w:rsid w:val="007F70C0"/>
    <w:rsid w:val="007F7D8F"/>
    <w:rsid w:val="007F7DF8"/>
    <w:rsid w:val="00800674"/>
    <w:rsid w:val="0080083C"/>
    <w:rsid w:val="00800847"/>
    <w:rsid w:val="00800AF2"/>
    <w:rsid w:val="00800F60"/>
    <w:rsid w:val="00800FCD"/>
    <w:rsid w:val="00801179"/>
    <w:rsid w:val="0080139C"/>
    <w:rsid w:val="008018AF"/>
    <w:rsid w:val="008018EA"/>
    <w:rsid w:val="00801A5F"/>
    <w:rsid w:val="00802303"/>
    <w:rsid w:val="0080237D"/>
    <w:rsid w:val="008029EA"/>
    <w:rsid w:val="008029FB"/>
    <w:rsid w:val="00802BDB"/>
    <w:rsid w:val="00802DFF"/>
    <w:rsid w:val="0080332D"/>
    <w:rsid w:val="008033A0"/>
    <w:rsid w:val="008033BE"/>
    <w:rsid w:val="00803B85"/>
    <w:rsid w:val="008040E1"/>
    <w:rsid w:val="0080423A"/>
    <w:rsid w:val="008049CD"/>
    <w:rsid w:val="00805382"/>
    <w:rsid w:val="008058B6"/>
    <w:rsid w:val="00806827"/>
    <w:rsid w:val="00806C1C"/>
    <w:rsid w:val="00807698"/>
    <w:rsid w:val="008076EF"/>
    <w:rsid w:val="00807913"/>
    <w:rsid w:val="00807DD2"/>
    <w:rsid w:val="00807F35"/>
    <w:rsid w:val="00811A96"/>
    <w:rsid w:val="00811FAB"/>
    <w:rsid w:val="008125A6"/>
    <w:rsid w:val="008127E3"/>
    <w:rsid w:val="00812808"/>
    <w:rsid w:val="00812836"/>
    <w:rsid w:val="00812F26"/>
    <w:rsid w:val="008132D5"/>
    <w:rsid w:val="008139C1"/>
    <w:rsid w:val="00813E2A"/>
    <w:rsid w:val="00814156"/>
    <w:rsid w:val="00814689"/>
    <w:rsid w:val="008152E3"/>
    <w:rsid w:val="0081544E"/>
    <w:rsid w:val="00815C4A"/>
    <w:rsid w:val="00815C4C"/>
    <w:rsid w:val="00816312"/>
    <w:rsid w:val="0081678F"/>
    <w:rsid w:val="00816F90"/>
    <w:rsid w:val="00816FF8"/>
    <w:rsid w:val="0081729E"/>
    <w:rsid w:val="00817487"/>
    <w:rsid w:val="00817E0A"/>
    <w:rsid w:val="00820518"/>
    <w:rsid w:val="0082065D"/>
    <w:rsid w:val="008208BB"/>
    <w:rsid w:val="00820BBA"/>
    <w:rsid w:val="00820CA7"/>
    <w:rsid w:val="00821A32"/>
    <w:rsid w:val="00821E31"/>
    <w:rsid w:val="0082233D"/>
    <w:rsid w:val="00822A4A"/>
    <w:rsid w:val="00822B9C"/>
    <w:rsid w:val="00822EA0"/>
    <w:rsid w:val="0082359D"/>
    <w:rsid w:val="008239D1"/>
    <w:rsid w:val="00823A3C"/>
    <w:rsid w:val="00824A49"/>
    <w:rsid w:val="00824D60"/>
    <w:rsid w:val="00824E4A"/>
    <w:rsid w:val="00824F26"/>
    <w:rsid w:val="00825548"/>
    <w:rsid w:val="00825D29"/>
    <w:rsid w:val="00826757"/>
    <w:rsid w:val="008300C1"/>
    <w:rsid w:val="00830104"/>
    <w:rsid w:val="008301D1"/>
    <w:rsid w:val="00830362"/>
    <w:rsid w:val="00830799"/>
    <w:rsid w:val="00830993"/>
    <w:rsid w:val="00830A3D"/>
    <w:rsid w:val="00831474"/>
    <w:rsid w:val="008314BB"/>
    <w:rsid w:val="00831934"/>
    <w:rsid w:val="00831CCA"/>
    <w:rsid w:val="00831E88"/>
    <w:rsid w:val="008322F9"/>
    <w:rsid w:val="00832ABA"/>
    <w:rsid w:val="00832BE5"/>
    <w:rsid w:val="00832CF3"/>
    <w:rsid w:val="00832F0E"/>
    <w:rsid w:val="00833E9F"/>
    <w:rsid w:val="00834DD0"/>
    <w:rsid w:val="008359ED"/>
    <w:rsid w:val="00835EFE"/>
    <w:rsid w:val="00836A36"/>
    <w:rsid w:val="00836B12"/>
    <w:rsid w:val="0083701A"/>
    <w:rsid w:val="0083715A"/>
    <w:rsid w:val="00837737"/>
    <w:rsid w:val="00840300"/>
    <w:rsid w:val="00840326"/>
    <w:rsid w:val="00840467"/>
    <w:rsid w:val="0084052E"/>
    <w:rsid w:val="00840813"/>
    <w:rsid w:val="0084091C"/>
    <w:rsid w:val="00840A5A"/>
    <w:rsid w:val="00840A7B"/>
    <w:rsid w:val="0084119E"/>
    <w:rsid w:val="00841236"/>
    <w:rsid w:val="008414BA"/>
    <w:rsid w:val="00841658"/>
    <w:rsid w:val="00841C4A"/>
    <w:rsid w:val="00841CD9"/>
    <w:rsid w:val="00841F81"/>
    <w:rsid w:val="0084205A"/>
    <w:rsid w:val="00842304"/>
    <w:rsid w:val="00843389"/>
    <w:rsid w:val="00843421"/>
    <w:rsid w:val="00843BBA"/>
    <w:rsid w:val="00843F79"/>
    <w:rsid w:val="008442AF"/>
    <w:rsid w:val="0084504C"/>
    <w:rsid w:val="0084514A"/>
    <w:rsid w:val="00845CF6"/>
    <w:rsid w:val="00846835"/>
    <w:rsid w:val="00847370"/>
    <w:rsid w:val="00847EF5"/>
    <w:rsid w:val="00847FA8"/>
    <w:rsid w:val="00850072"/>
    <w:rsid w:val="008501F2"/>
    <w:rsid w:val="0085050D"/>
    <w:rsid w:val="008511DD"/>
    <w:rsid w:val="00851950"/>
    <w:rsid w:val="00851A3C"/>
    <w:rsid w:val="00852831"/>
    <w:rsid w:val="00852C94"/>
    <w:rsid w:val="00852D3F"/>
    <w:rsid w:val="008532AC"/>
    <w:rsid w:val="008537C0"/>
    <w:rsid w:val="0085384E"/>
    <w:rsid w:val="008538D1"/>
    <w:rsid w:val="00854C49"/>
    <w:rsid w:val="00854E87"/>
    <w:rsid w:val="0085525A"/>
    <w:rsid w:val="008555B2"/>
    <w:rsid w:val="00855888"/>
    <w:rsid w:val="00855C24"/>
    <w:rsid w:val="00855D20"/>
    <w:rsid w:val="00855ED9"/>
    <w:rsid w:val="00856063"/>
    <w:rsid w:val="00856123"/>
    <w:rsid w:val="008564A2"/>
    <w:rsid w:val="00856579"/>
    <w:rsid w:val="00856A15"/>
    <w:rsid w:val="00857B8A"/>
    <w:rsid w:val="008601C3"/>
    <w:rsid w:val="008602A6"/>
    <w:rsid w:val="0086073D"/>
    <w:rsid w:val="0086079E"/>
    <w:rsid w:val="00860D0B"/>
    <w:rsid w:val="00862088"/>
    <w:rsid w:val="0086298D"/>
    <w:rsid w:val="00862E6A"/>
    <w:rsid w:val="0086406F"/>
    <w:rsid w:val="00864246"/>
    <w:rsid w:val="00864851"/>
    <w:rsid w:val="008648A2"/>
    <w:rsid w:val="00864DDB"/>
    <w:rsid w:val="00865225"/>
    <w:rsid w:val="008666A1"/>
    <w:rsid w:val="0086721A"/>
    <w:rsid w:val="008677EA"/>
    <w:rsid w:val="008678C8"/>
    <w:rsid w:val="00867994"/>
    <w:rsid w:val="00867ADE"/>
    <w:rsid w:val="00867BEB"/>
    <w:rsid w:val="00867C98"/>
    <w:rsid w:val="00870138"/>
    <w:rsid w:val="00870172"/>
    <w:rsid w:val="008708B4"/>
    <w:rsid w:val="00870B13"/>
    <w:rsid w:val="00870C2B"/>
    <w:rsid w:val="00870F3B"/>
    <w:rsid w:val="0087119B"/>
    <w:rsid w:val="008715FA"/>
    <w:rsid w:val="008717F6"/>
    <w:rsid w:val="00871DFF"/>
    <w:rsid w:val="00871F34"/>
    <w:rsid w:val="008725AD"/>
    <w:rsid w:val="008725CF"/>
    <w:rsid w:val="008726A2"/>
    <w:rsid w:val="00872B05"/>
    <w:rsid w:val="00872F06"/>
    <w:rsid w:val="00873357"/>
    <w:rsid w:val="00873396"/>
    <w:rsid w:val="00873545"/>
    <w:rsid w:val="008735F3"/>
    <w:rsid w:val="00873C36"/>
    <w:rsid w:val="008746FB"/>
    <w:rsid w:val="00874986"/>
    <w:rsid w:val="008749A7"/>
    <w:rsid w:val="00875638"/>
    <w:rsid w:val="0087573C"/>
    <w:rsid w:val="00875799"/>
    <w:rsid w:val="008759BD"/>
    <w:rsid w:val="00875EC7"/>
    <w:rsid w:val="008766B7"/>
    <w:rsid w:val="00876DC8"/>
    <w:rsid w:val="00876FD0"/>
    <w:rsid w:val="00877561"/>
    <w:rsid w:val="0088014C"/>
    <w:rsid w:val="00880822"/>
    <w:rsid w:val="008808F6"/>
    <w:rsid w:val="00880D37"/>
    <w:rsid w:val="00880E38"/>
    <w:rsid w:val="0088101E"/>
    <w:rsid w:val="0088110E"/>
    <w:rsid w:val="00882603"/>
    <w:rsid w:val="00882B50"/>
    <w:rsid w:val="0088361A"/>
    <w:rsid w:val="00883648"/>
    <w:rsid w:val="008840B6"/>
    <w:rsid w:val="008842F1"/>
    <w:rsid w:val="0088446A"/>
    <w:rsid w:val="00884CD8"/>
    <w:rsid w:val="008854AB"/>
    <w:rsid w:val="008856CC"/>
    <w:rsid w:val="00886078"/>
    <w:rsid w:val="00886090"/>
    <w:rsid w:val="0088635A"/>
    <w:rsid w:val="0088637C"/>
    <w:rsid w:val="00886658"/>
    <w:rsid w:val="00887218"/>
    <w:rsid w:val="008872FC"/>
    <w:rsid w:val="008879E6"/>
    <w:rsid w:val="00887F79"/>
    <w:rsid w:val="008904AA"/>
    <w:rsid w:val="0089068B"/>
    <w:rsid w:val="008906D7"/>
    <w:rsid w:val="00890783"/>
    <w:rsid w:val="00890A37"/>
    <w:rsid w:val="00890A4C"/>
    <w:rsid w:val="00890C48"/>
    <w:rsid w:val="008910EA"/>
    <w:rsid w:val="00891190"/>
    <w:rsid w:val="008919CE"/>
    <w:rsid w:val="00891FB0"/>
    <w:rsid w:val="008927F4"/>
    <w:rsid w:val="00892F96"/>
    <w:rsid w:val="00893553"/>
    <w:rsid w:val="00893C5F"/>
    <w:rsid w:val="00893DEF"/>
    <w:rsid w:val="0089487C"/>
    <w:rsid w:val="008948B0"/>
    <w:rsid w:val="008948E0"/>
    <w:rsid w:val="00894DF9"/>
    <w:rsid w:val="008960D9"/>
    <w:rsid w:val="00896528"/>
    <w:rsid w:val="00896748"/>
    <w:rsid w:val="00897C12"/>
    <w:rsid w:val="008A0278"/>
    <w:rsid w:val="008A05B3"/>
    <w:rsid w:val="008A0881"/>
    <w:rsid w:val="008A0D2B"/>
    <w:rsid w:val="008A101C"/>
    <w:rsid w:val="008A1162"/>
    <w:rsid w:val="008A11F5"/>
    <w:rsid w:val="008A12B6"/>
    <w:rsid w:val="008A1590"/>
    <w:rsid w:val="008A16E4"/>
    <w:rsid w:val="008A1987"/>
    <w:rsid w:val="008A1E0F"/>
    <w:rsid w:val="008A2EA9"/>
    <w:rsid w:val="008A314D"/>
    <w:rsid w:val="008A3282"/>
    <w:rsid w:val="008A32C1"/>
    <w:rsid w:val="008A3DD3"/>
    <w:rsid w:val="008A3E62"/>
    <w:rsid w:val="008A409B"/>
    <w:rsid w:val="008A525D"/>
    <w:rsid w:val="008A52E3"/>
    <w:rsid w:val="008A5A4C"/>
    <w:rsid w:val="008A5AB8"/>
    <w:rsid w:val="008A5BFE"/>
    <w:rsid w:val="008A5F9C"/>
    <w:rsid w:val="008A606E"/>
    <w:rsid w:val="008A6843"/>
    <w:rsid w:val="008A696D"/>
    <w:rsid w:val="008A6BBA"/>
    <w:rsid w:val="008A6D6D"/>
    <w:rsid w:val="008A6E2B"/>
    <w:rsid w:val="008A7485"/>
    <w:rsid w:val="008A770E"/>
    <w:rsid w:val="008A7F39"/>
    <w:rsid w:val="008B07A7"/>
    <w:rsid w:val="008B0CCC"/>
    <w:rsid w:val="008B12EC"/>
    <w:rsid w:val="008B16B3"/>
    <w:rsid w:val="008B1F92"/>
    <w:rsid w:val="008B1FAB"/>
    <w:rsid w:val="008B1FB1"/>
    <w:rsid w:val="008B209A"/>
    <w:rsid w:val="008B2105"/>
    <w:rsid w:val="008B2F5C"/>
    <w:rsid w:val="008B3151"/>
    <w:rsid w:val="008B34CC"/>
    <w:rsid w:val="008B420C"/>
    <w:rsid w:val="008B443D"/>
    <w:rsid w:val="008B4596"/>
    <w:rsid w:val="008B467C"/>
    <w:rsid w:val="008B4A7F"/>
    <w:rsid w:val="008B5785"/>
    <w:rsid w:val="008B57A2"/>
    <w:rsid w:val="008B58CB"/>
    <w:rsid w:val="008B5D0B"/>
    <w:rsid w:val="008B6EDA"/>
    <w:rsid w:val="008B73B7"/>
    <w:rsid w:val="008B7C6F"/>
    <w:rsid w:val="008B7DD3"/>
    <w:rsid w:val="008B7F4D"/>
    <w:rsid w:val="008C04F8"/>
    <w:rsid w:val="008C0A74"/>
    <w:rsid w:val="008C0C1A"/>
    <w:rsid w:val="008C1161"/>
    <w:rsid w:val="008C12AC"/>
    <w:rsid w:val="008C1677"/>
    <w:rsid w:val="008C19F4"/>
    <w:rsid w:val="008C1ACC"/>
    <w:rsid w:val="008C223A"/>
    <w:rsid w:val="008C2C5E"/>
    <w:rsid w:val="008C3142"/>
    <w:rsid w:val="008C36C2"/>
    <w:rsid w:val="008C3889"/>
    <w:rsid w:val="008C3CBD"/>
    <w:rsid w:val="008C3CF2"/>
    <w:rsid w:val="008C404E"/>
    <w:rsid w:val="008C45E4"/>
    <w:rsid w:val="008C48F2"/>
    <w:rsid w:val="008C5206"/>
    <w:rsid w:val="008C5A04"/>
    <w:rsid w:val="008C5D91"/>
    <w:rsid w:val="008C6252"/>
    <w:rsid w:val="008C6C85"/>
    <w:rsid w:val="008C7A56"/>
    <w:rsid w:val="008C7EA8"/>
    <w:rsid w:val="008D0560"/>
    <w:rsid w:val="008D05FF"/>
    <w:rsid w:val="008D090D"/>
    <w:rsid w:val="008D1963"/>
    <w:rsid w:val="008D22D5"/>
    <w:rsid w:val="008D2586"/>
    <w:rsid w:val="008D2C0B"/>
    <w:rsid w:val="008D2CF9"/>
    <w:rsid w:val="008D3123"/>
    <w:rsid w:val="008D33E7"/>
    <w:rsid w:val="008D36F8"/>
    <w:rsid w:val="008D3D02"/>
    <w:rsid w:val="008D44E1"/>
    <w:rsid w:val="008D477A"/>
    <w:rsid w:val="008D480D"/>
    <w:rsid w:val="008D4F2C"/>
    <w:rsid w:val="008D51A3"/>
    <w:rsid w:val="008D538A"/>
    <w:rsid w:val="008D559F"/>
    <w:rsid w:val="008D5913"/>
    <w:rsid w:val="008D5F64"/>
    <w:rsid w:val="008D5F88"/>
    <w:rsid w:val="008D6026"/>
    <w:rsid w:val="008D62CC"/>
    <w:rsid w:val="008D6FD5"/>
    <w:rsid w:val="008D714D"/>
    <w:rsid w:val="008D7367"/>
    <w:rsid w:val="008D7370"/>
    <w:rsid w:val="008D768A"/>
    <w:rsid w:val="008D7CFC"/>
    <w:rsid w:val="008E0156"/>
    <w:rsid w:val="008E150B"/>
    <w:rsid w:val="008E1CB1"/>
    <w:rsid w:val="008E1CDA"/>
    <w:rsid w:val="008E2420"/>
    <w:rsid w:val="008E258E"/>
    <w:rsid w:val="008E2835"/>
    <w:rsid w:val="008E2ABB"/>
    <w:rsid w:val="008E34D0"/>
    <w:rsid w:val="008E476A"/>
    <w:rsid w:val="008E4AC3"/>
    <w:rsid w:val="008E4B86"/>
    <w:rsid w:val="008E4D82"/>
    <w:rsid w:val="008E5167"/>
    <w:rsid w:val="008E55FD"/>
    <w:rsid w:val="008E5ED4"/>
    <w:rsid w:val="008E6051"/>
    <w:rsid w:val="008E685D"/>
    <w:rsid w:val="008E6A94"/>
    <w:rsid w:val="008E768E"/>
    <w:rsid w:val="008F04FE"/>
    <w:rsid w:val="008F0C2A"/>
    <w:rsid w:val="008F0FAD"/>
    <w:rsid w:val="008F1068"/>
    <w:rsid w:val="008F1A04"/>
    <w:rsid w:val="008F1C3E"/>
    <w:rsid w:val="008F1C8F"/>
    <w:rsid w:val="008F1DC9"/>
    <w:rsid w:val="008F20BA"/>
    <w:rsid w:val="008F2322"/>
    <w:rsid w:val="008F2FF1"/>
    <w:rsid w:val="008F337C"/>
    <w:rsid w:val="008F447B"/>
    <w:rsid w:val="008F4636"/>
    <w:rsid w:val="008F4831"/>
    <w:rsid w:val="008F4FAE"/>
    <w:rsid w:val="008F5023"/>
    <w:rsid w:val="008F5B7A"/>
    <w:rsid w:val="008F5D3E"/>
    <w:rsid w:val="008F64CE"/>
    <w:rsid w:val="008F6986"/>
    <w:rsid w:val="008F6A1F"/>
    <w:rsid w:val="008F6B7E"/>
    <w:rsid w:val="008F6BD7"/>
    <w:rsid w:val="008F74A2"/>
    <w:rsid w:val="00900003"/>
    <w:rsid w:val="00900A15"/>
    <w:rsid w:val="009018BB"/>
    <w:rsid w:val="00901998"/>
    <w:rsid w:val="00901D16"/>
    <w:rsid w:val="0090328D"/>
    <w:rsid w:val="00903F40"/>
    <w:rsid w:val="00904412"/>
    <w:rsid w:val="009047A0"/>
    <w:rsid w:val="0090493D"/>
    <w:rsid w:val="00904980"/>
    <w:rsid w:val="00904AE0"/>
    <w:rsid w:val="00905057"/>
    <w:rsid w:val="009055DA"/>
    <w:rsid w:val="00905730"/>
    <w:rsid w:val="009058B5"/>
    <w:rsid w:val="00905D25"/>
    <w:rsid w:val="0090608E"/>
    <w:rsid w:val="00906551"/>
    <w:rsid w:val="00906E29"/>
    <w:rsid w:val="00906F99"/>
    <w:rsid w:val="00906FCA"/>
    <w:rsid w:val="00907BE4"/>
    <w:rsid w:val="009101B9"/>
    <w:rsid w:val="0091125B"/>
    <w:rsid w:val="0091287E"/>
    <w:rsid w:val="00913704"/>
    <w:rsid w:val="00913853"/>
    <w:rsid w:val="00913891"/>
    <w:rsid w:val="00914715"/>
    <w:rsid w:val="00915988"/>
    <w:rsid w:val="00915C5F"/>
    <w:rsid w:val="00916958"/>
    <w:rsid w:val="0091738B"/>
    <w:rsid w:val="009178BD"/>
    <w:rsid w:val="00917B0F"/>
    <w:rsid w:val="00917DC8"/>
    <w:rsid w:val="00917FD4"/>
    <w:rsid w:val="00920E52"/>
    <w:rsid w:val="009216AF"/>
    <w:rsid w:val="009218E2"/>
    <w:rsid w:val="00921A32"/>
    <w:rsid w:val="00922001"/>
    <w:rsid w:val="009221F1"/>
    <w:rsid w:val="00922DFE"/>
    <w:rsid w:val="00923241"/>
    <w:rsid w:val="009234EC"/>
    <w:rsid w:val="00923EB5"/>
    <w:rsid w:val="00923FC3"/>
    <w:rsid w:val="009241F5"/>
    <w:rsid w:val="00924882"/>
    <w:rsid w:val="00924BF7"/>
    <w:rsid w:val="00925217"/>
    <w:rsid w:val="009257AB"/>
    <w:rsid w:val="009260AF"/>
    <w:rsid w:val="00926784"/>
    <w:rsid w:val="00926823"/>
    <w:rsid w:val="009268CC"/>
    <w:rsid w:val="00926F0D"/>
    <w:rsid w:val="009272DF"/>
    <w:rsid w:val="00927417"/>
    <w:rsid w:val="00927FE0"/>
    <w:rsid w:val="00930456"/>
    <w:rsid w:val="00930671"/>
    <w:rsid w:val="0093074C"/>
    <w:rsid w:val="00930CD7"/>
    <w:rsid w:val="00931191"/>
    <w:rsid w:val="00932D8F"/>
    <w:rsid w:val="00932E69"/>
    <w:rsid w:val="00932E84"/>
    <w:rsid w:val="009331F9"/>
    <w:rsid w:val="00933317"/>
    <w:rsid w:val="00933467"/>
    <w:rsid w:val="00933F8C"/>
    <w:rsid w:val="009342B3"/>
    <w:rsid w:val="009346F4"/>
    <w:rsid w:val="0093485D"/>
    <w:rsid w:val="00934ADA"/>
    <w:rsid w:val="00934B43"/>
    <w:rsid w:val="00935AB1"/>
    <w:rsid w:val="00935CB0"/>
    <w:rsid w:val="00936974"/>
    <w:rsid w:val="00936EE6"/>
    <w:rsid w:val="0093734D"/>
    <w:rsid w:val="00937433"/>
    <w:rsid w:val="00937545"/>
    <w:rsid w:val="00937E87"/>
    <w:rsid w:val="00940924"/>
    <w:rsid w:val="00940FA8"/>
    <w:rsid w:val="00941D3E"/>
    <w:rsid w:val="0094265F"/>
    <w:rsid w:val="0094293D"/>
    <w:rsid w:val="00942F3D"/>
    <w:rsid w:val="0094355D"/>
    <w:rsid w:val="009435E7"/>
    <w:rsid w:val="00943981"/>
    <w:rsid w:val="009447C4"/>
    <w:rsid w:val="009449AC"/>
    <w:rsid w:val="0094533B"/>
    <w:rsid w:val="00945528"/>
    <w:rsid w:val="0094571A"/>
    <w:rsid w:val="00945783"/>
    <w:rsid w:val="009457D4"/>
    <w:rsid w:val="00945C66"/>
    <w:rsid w:val="00945F3A"/>
    <w:rsid w:val="009462BD"/>
    <w:rsid w:val="0094646A"/>
    <w:rsid w:val="00946FE7"/>
    <w:rsid w:val="009478C6"/>
    <w:rsid w:val="009500DD"/>
    <w:rsid w:val="009501F3"/>
    <w:rsid w:val="00950835"/>
    <w:rsid w:val="00951144"/>
    <w:rsid w:val="009518CE"/>
    <w:rsid w:val="00951A73"/>
    <w:rsid w:val="00952413"/>
    <w:rsid w:val="0095245E"/>
    <w:rsid w:val="00952946"/>
    <w:rsid w:val="00952BDA"/>
    <w:rsid w:val="00952F16"/>
    <w:rsid w:val="00952F4D"/>
    <w:rsid w:val="009530A1"/>
    <w:rsid w:val="009530DA"/>
    <w:rsid w:val="009531C2"/>
    <w:rsid w:val="009538E6"/>
    <w:rsid w:val="00953EC7"/>
    <w:rsid w:val="0095595C"/>
    <w:rsid w:val="009560FA"/>
    <w:rsid w:val="0095692E"/>
    <w:rsid w:val="009574D4"/>
    <w:rsid w:val="00957BAC"/>
    <w:rsid w:val="009603EE"/>
    <w:rsid w:val="00960673"/>
    <w:rsid w:val="00961165"/>
    <w:rsid w:val="009613D1"/>
    <w:rsid w:val="00962587"/>
    <w:rsid w:val="009625E2"/>
    <w:rsid w:val="0096263A"/>
    <w:rsid w:val="0096281E"/>
    <w:rsid w:val="009633D0"/>
    <w:rsid w:val="00963874"/>
    <w:rsid w:val="00963995"/>
    <w:rsid w:val="00963A63"/>
    <w:rsid w:val="00963CED"/>
    <w:rsid w:val="00963D86"/>
    <w:rsid w:val="00964013"/>
    <w:rsid w:val="0096457B"/>
    <w:rsid w:val="00964B9F"/>
    <w:rsid w:val="00964C16"/>
    <w:rsid w:val="00965256"/>
    <w:rsid w:val="00965391"/>
    <w:rsid w:val="009654DC"/>
    <w:rsid w:val="00965A9E"/>
    <w:rsid w:val="00965DCD"/>
    <w:rsid w:val="00966196"/>
    <w:rsid w:val="0096624B"/>
    <w:rsid w:val="00966E30"/>
    <w:rsid w:val="00966E76"/>
    <w:rsid w:val="009673F1"/>
    <w:rsid w:val="00967819"/>
    <w:rsid w:val="009678DA"/>
    <w:rsid w:val="009704E4"/>
    <w:rsid w:val="00970694"/>
    <w:rsid w:val="009711B0"/>
    <w:rsid w:val="00971FD0"/>
    <w:rsid w:val="009720A3"/>
    <w:rsid w:val="009723DA"/>
    <w:rsid w:val="009723F5"/>
    <w:rsid w:val="00972825"/>
    <w:rsid w:val="00972AE1"/>
    <w:rsid w:val="009733C8"/>
    <w:rsid w:val="00973488"/>
    <w:rsid w:val="00973539"/>
    <w:rsid w:val="0097381E"/>
    <w:rsid w:val="00974191"/>
    <w:rsid w:val="00974659"/>
    <w:rsid w:val="00974E98"/>
    <w:rsid w:val="009750A3"/>
    <w:rsid w:val="009756F9"/>
    <w:rsid w:val="0097582C"/>
    <w:rsid w:val="0097607F"/>
    <w:rsid w:val="0097615B"/>
    <w:rsid w:val="0097616F"/>
    <w:rsid w:val="009769DA"/>
    <w:rsid w:val="00976D5C"/>
    <w:rsid w:val="00977032"/>
    <w:rsid w:val="00977360"/>
    <w:rsid w:val="009775C7"/>
    <w:rsid w:val="00980051"/>
    <w:rsid w:val="00980376"/>
    <w:rsid w:val="00980517"/>
    <w:rsid w:val="00980596"/>
    <w:rsid w:val="009806D6"/>
    <w:rsid w:val="00980DA3"/>
    <w:rsid w:val="009811A4"/>
    <w:rsid w:val="009812CD"/>
    <w:rsid w:val="00981CB7"/>
    <w:rsid w:val="00981E79"/>
    <w:rsid w:val="00982092"/>
    <w:rsid w:val="009825E7"/>
    <w:rsid w:val="0098272D"/>
    <w:rsid w:val="0098397C"/>
    <w:rsid w:val="009839A0"/>
    <w:rsid w:val="00983FE0"/>
    <w:rsid w:val="00984721"/>
    <w:rsid w:val="00984EB8"/>
    <w:rsid w:val="009850E4"/>
    <w:rsid w:val="00985357"/>
    <w:rsid w:val="00985471"/>
    <w:rsid w:val="009855DF"/>
    <w:rsid w:val="00985AB4"/>
    <w:rsid w:val="00985D65"/>
    <w:rsid w:val="009861A3"/>
    <w:rsid w:val="0098640E"/>
    <w:rsid w:val="00986717"/>
    <w:rsid w:val="00986D33"/>
    <w:rsid w:val="00986F3D"/>
    <w:rsid w:val="009876B7"/>
    <w:rsid w:val="00987790"/>
    <w:rsid w:val="00987C72"/>
    <w:rsid w:val="00990432"/>
    <w:rsid w:val="009905B8"/>
    <w:rsid w:val="00991040"/>
    <w:rsid w:val="00991532"/>
    <w:rsid w:val="009915D3"/>
    <w:rsid w:val="00991A59"/>
    <w:rsid w:val="00991DE5"/>
    <w:rsid w:val="0099215E"/>
    <w:rsid w:val="0099311F"/>
    <w:rsid w:val="00993432"/>
    <w:rsid w:val="00994136"/>
    <w:rsid w:val="00994230"/>
    <w:rsid w:val="0099467B"/>
    <w:rsid w:val="00994C65"/>
    <w:rsid w:val="00994D2C"/>
    <w:rsid w:val="009951FC"/>
    <w:rsid w:val="009953EA"/>
    <w:rsid w:val="00995C74"/>
    <w:rsid w:val="00995DD4"/>
    <w:rsid w:val="00996278"/>
    <w:rsid w:val="00996536"/>
    <w:rsid w:val="00996567"/>
    <w:rsid w:val="00996944"/>
    <w:rsid w:val="00996D7E"/>
    <w:rsid w:val="00997145"/>
    <w:rsid w:val="00997649"/>
    <w:rsid w:val="00997799"/>
    <w:rsid w:val="009A0289"/>
    <w:rsid w:val="009A031F"/>
    <w:rsid w:val="009A0644"/>
    <w:rsid w:val="009A0EA5"/>
    <w:rsid w:val="009A14E6"/>
    <w:rsid w:val="009A157A"/>
    <w:rsid w:val="009A160A"/>
    <w:rsid w:val="009A1B63"/>
    <w:rsid w:val="009A1C11"/>
    <w:rsid w:val="009A29A9"/>
    <w:rsid w:val="009A29C4"/>
    <w:rsid w:val="009A2E0C"/>
    <w:rsid w:val="009A3308"/>
    <w:rsid w:val="009A34D0"/>
    <w:rsid w:val="009A36CD"/>
    <w:rsid w:val="009A4256"/>
    <w:rsid w:val="009A520A"/>
    <w:rsid w:val="009A5DEB"/>
    <w:rsid w:val="009A5E17"/>
    <w:rsid w:val="009A6219"/>
    <w:rsid w:val="009A626A"/>
    <w:rsid w:val="009A6DAF"/>
    <w:rsid w:val="009A7FA6"/>
    <w:rsid w:val="009B0345"/>
    <w:rsid w:val="009B042F"/>
    <w:rsid w:val="009B088C"/>
    <w:rsid w:val="009B0B8D"/>
    <w:rsid w:val="009B0D58"/>
    <w:rsid w:val="009B0E81"/>
    <w:rsid w:val="009B102E"/>
    <w:rsid w:val="009B1116"/>
    <w:rsid w:val="009B1144"/>
    <w:rsid w:val="009B14E0"/>
    <w:rsid w:val="009B1599"/>
    <w:rsid w:val="009B17E3"/>
    <w:rsid w:val="009B2355"/>
    <w:rsid w:val="009B2CE7"/>
    <w:rsid w:val="009B33B1"/>
    <w:rsid w:val="009B379E"/>
    <w:rsid w:val="009B37ED"/>
    <w:rsid w:val="009B4BEF"/>
    <w:rsid w:val="009B53F0"/>
    <w:rsid w:val="009B5785"/>
    <w:rsid w:val="009B5A7B"/>
    <w:rsid w:val="009B633F"/>
    <w:rsid w:val="009B68C0"/>
    <w:rsid w:val="009B6AEF"/>
    <w:rsid w:val="009B6C0E"/>
    <w:rsid w:val="009B7634"/>
    <w:rsid w:val="009B778C"/>
    <w:rsid w:val="009B7A2A"/>
    <w:rsid w:val="009C0133"/>
    <w:rsid w:val="009C0397"/>
    <w:rsid w:val="009C0541"/>
    <w:rsid w:val="009C08B6"/>
    <w:rsid w:val="009C08F1"/>
    <w:rsid w:val="009C0B2F"/>
    <w:rsid w:val="009C0F60"/>
    <w:rsid w:val="009C1136"/>
    <w:rsid w:val="009C15C8"/>
    <w:rsid w:val="009C1A1F"/>
    <w:rsid w:val="009C1AFD"/>
    <w:rsid w:val="009C1E7C"/>
    <w:rsid w:val="009C2281"/>
    <w:rsid w:val="009C22BE"/>
    <w:rsid w:val="009C27EB"/>
    <w:rsid w:val="009C2CD4"/>
    <w:rsid w:val="009C2E15"/>
    <w:rsid w:val="009C2FAE"/>
    <w:rsid w:val="009C388D"/>
    <w:rsid w:val="009C3B7A"/>
    <w:rsid w:val="009C44C9"/>
    <w:rsid w:val="009C4963"/>
    <w:rsid w:val="009C4CC4"/>
    <w:rsid w:val="009C51FE"/>
    <w:rsid w:val="009C520B"/>
    <w:rsid w:val="009C596C"/>
    <w:rsid w:val="009C5AF3"/>
    <w:rsid w:val="009C6982"/>
    <w:rsid w:val="009C6C09"/>
    <w:rsid w:val="009C7284"/>
    <w:rsid w:val="009C7451"/>
    <w:rsid w:val="009C77DD"/>
    <w:rsid w:val="009C7807"/>
    <w:rsid w:val="009C7841"/>
    <w:rsid w:val="009D1CFC"/>
    <w:rsid w:val="009D1FB5"/>
    <w:rsid w:val="009D20BE"/>
    <w:rsid w:val="009D20D2"/>
    <w:rsid w:val="009D2108"/>
    <w:rsid w:val="009D2737"/>
    <w:rsid w:val="009D28A7"/>
    <w:rsid w:val="009D2A76"/>
    <w:rsid w:val="009D2EF3"/>
    <w:rsid w:val="009D3320"/>
    <w:rsid w:val="009D3383"/>
    <w:rsid w:val="009D394D"/>
    <w:rsid w:val="009D3DD4"/>
    <w:rsid w:val="009D4373"/>
    <w:rsid w:val="009D4A48"/>
    <w:rsid w:val="009D4D5B"/>
    <w:rsid w:val="009D5232"/>
    <w:rsid w:val="009D5595"/>
    <w:rsid w:val="009D640C"/>
    <w:rsid w:val="009D65EA"/>
    <w:rsid w:val="009D71A0"/>
    <w:rsid w:val="009D7C3E"/>
    <w:rsid w:val="009D7E93"/>
    <w:rsid w:val="009E0143"/>
    <w:rsid w:val="009E06D8"/>
    <w:rsid w:val="009E0A22"/>
    <w:rsid w:val="009E1A6C"/>
    <w:rsid w:val="009E1FB1"/>
    <w:rsid w:val="009E21A8"/>
    <w:rsid w:val="009E231A"/>
    <w:rsid w:val="009E2754"/>
    <w:rsid w:val="009E2D06"/>
    <w:rsid w:val="009E2F64"/>
    <w:rsid w:val="009E314E"/>
    <w:rsid w:val="009E38BB"/>
    <w:rsid w:val="009E3B80"/>
    <w:rsid w:val="009E3ECA"/>
    <w:rsid w:val="009E3ED3"/>
    <w:rsid w:val="009E4225"/>
    <w:rsid w:val="009E4CAB"/>
    <w:rsid w:val="009E4FA5"/>
    <w:rsid w:val="009E54F0"/>
    <w:rsid w:val="009E56B4"/>
    <w:rsid w:val="009E574E"/>
    <w:rsid w:val="009E61E3"/>
    <w:rsid w:val="009E66E3"/>
    <w:rsid w:val="009E674E"/>
    <w:rsid w:val="009E67D2"/>
    <w:rsid w:val="009E6D8E"/>
    <w:rsid w:val="009E701A"/>
    <w:rsid w:val="009E7311"/>
    <w:rsid w:val="009E73F0"/>
    <w:rsid w:val="009E74DB"/>
    <w:rsid w:val="009E755D"/>
    <w:rsid w:val="009E7567"/>
    <w:rsid w:val="009F0C7A"/>
    <w:rsid w:val="009F0CDC"/>
    <w:rsid w:val="009F10CE"/>
    <w:rsid w:val="009F1DFD"/>
    <w:rsid w:val="009F1EB6"/>
    <w:rsid w:val="009F206D"/>
    <w:rsid w:val="009F22E3"/>
    <w:rsid w:val="009F24E6"/>
    <w:rsid w:val="009F2A61"/>
    <w:rsid w:val="009F2AF2"/>
    <w:rsid w:val="009F2B1D"/>
    <w:rsid w:val="009F2E3D"/>
    <w:rsid w:val="009F315A"/>
    <w:rsid w:val="009F329F"/>
    <w:rsid w:val="009F3482"/>
    <w:rsid w:val="009F3844"/>
    <w:rsid w:val="009F3FC8"/>
    <w:rsid w:val="009F44EF"/>
    <w:rsid w:val="009F4CD7"/>
    <w:rsid w:val="009F4E37"/>
    <w:rsid w:val="009F5173"/>
    <w:rsid w:val="009F51FD"/>
    <w:rsid w:val="009F5859"/>
    <w:rsid w:val="009F61AB"/>
    <w:rsid w:val="009F6947"/>
    <w:rsid w:val="009F6CD1"/>
    <w:rsid w:val="009F6DC7"/>
    <w:rsid w:val="009F6F6F"/>
    <w:rsid w:val="009F6FE6"/>
    <w:rsid w:val="009F7179"/>
    <w:rsid w:val="009F7514"/>
    <w:rsid w:val="00A00165"/>
    <w:rsid w:val="00A005C0"/>
    <w:rsid w:val="00A0084B"/>
    <w:rsid w:val="00A00901"/>
    <w:rsid w:val="00A00DDA"/>
    <w:rsid w:val="00A00E17"/>
    <w:rsid w:val="00A0109A"/>
    <w:rsid w:val="00A01ECC"/>
    <w:rsid w:val="00A0288F"/>
    <w:rsid w:val="00A03313"/>
    <w:rsid w:val="00A0377D"/>
    <w:rsid w:val="00A038E5"/>
    <w:rsid w:val="00A03A25"/>
    <w:rsid w:val="00A03DEB"/>
    <w:rsid w:val="00A04ACF"/>
    <w:rsid w:val="00A04D6A"/>
    <w:rsid w:val="00A05225"/>
    <w:rsid w:val="00A059CE"/>
    <w:rsid w:val="00A05C13"/>
    <w:rsid w:val="00A0602E"/>
    <w:rsid w:val="00A06C25"/>
    <w:rsid w:val="00A06C88"/>
    <w:rsid w:val="00A06F2C"/>
    <w:rsid w:val="00A071F8"/>
    <w:rsid w:val="00A0767E"/>
    <w:rsid w:val="00A07E37"/>
    <w:rsid w:val="00A10C2D"/>
    <w:rsid w:val="00A10E2B"/>
    <w:rsid w:val="00A11073"/>
    <w:rsid w:val="00A112CE"/>
    <w:rsid w:val="00A11897"/>
    <w:rsid w:val="00A11963"/>
    <w:rsid w:val="00A12635"/>
    <w:rsid w:val="00A129A1"/>
    <w:rsid w:val="00A12E76"/>
    <w:rsid w:val="00A13025"/>
    <w:rsid w:val="00A13173"/>
    <w:rsid w:val="00A1319B"/>
    <w:rsid w:val="00A148A9"/>
    <w:rsid w:val="00A1498F"/>
    <w:rsid w:val="00A14C85"/>
    <w:rsid w:val="00A14D4F"/>
    <w:rsid w:val="00A15430"/>
    <w:rsid w:val="00A15D12"/>
    <w:rsid w:val="00A15F0D"/>
    <w:rsid w:val="00A15FDB"/>
    <w:rsid w:val="00A16557"/>
    <w:rsid w:val="00A1702E"/>
    <w:rsid w:val="00A17900"/>
    <w:rsid w:val="00A17AB9"/>
    <w:rsid w:val="00A17B12"/>
    <w:rsid w:val="00A17C2D"/>
    <w:rsid w:val="00A17E6E"/>
    <w:rsid w:val="00A202F3"/>
    <w:rsid w:val="00A22316"/>
    <w:rsid w:val="00A229A9"/>
    <w:rsid w:val="00A22B25"/>
    <w:rsid w:val="00A22C98"/>
    <w:rsid w:val="00A22CF3"/>
    <w:rsid w:val="00A23595"/>
    <w:rsid w:val="00A251FF"/>
    <w:rsid w:val="00A2524F"/>
    <w:rsid w:val="00A2532E"/>
    <w:rsid w:val="00A253B8"/>
    <w:rsid w:val="00A25B42"/>
    <w:rsid w:val="00A2676C"/>
    <w:rsid w:val="00A268AD"/>
    <w:rsid w:val="00A26C2F"/>
    <w:rsid w:val="00A26C84"/>
    <w:rsid w:val="00A275C9"/>
    <w:rsid w:val="00A2765D"/>
    <w:rsid w:val="00A27FD3"/>
    <w:rsid w:val="00A30084"/>
    <w:rsid w:val="00A304A5"/>
    <w:rsid w:val="00A31191"/>
    <w:rsid w:val="00A31390"/>
    <w:rsid w:val="00A314F3"/>
    <w:rsid w:val="00A3153B"/>
    <w:rsid w:val="00A318D6"/>
    <w:rsid w:val="00A3267C"/>
    <w:rsid w:val="00A32860"/>
    <w:rsid w:val="00A32BC9"/>
    <w:rsid w:val="00A33ABC"/>
    <w:rsid w:val="00A35044"/>
    <w:rsid w:val="00A350A5"/>
    <w:rsid w:val="00A35143"/>
    <w:rsid w:val="00A35232"/>
    <w:rsid w:val="00A3569F"/>
    <w:rsid w:val="00A35782"/>
    <w:rsid w:val="00A35D2D"/>
    <w:rsid w:val="00A35F10"/>
    <w:rsid w:val="00A36658"/>
    <w:rsid w:val="00A36AF7"/>
    <w:rsid w:val="00A36F5A"/>
    <w:rsid w:val="00A37D16"/>
    <w:rsid w:val="00A37E0A"/>
    <w:rsid w:val="00A37E3C"/>
    <w:rsid w:val="00A37F77"/>
    <w:rsid w:val="00A37FCE"/>
    <w:rsid w:val="00A403A0"/>
    <w:rsid w:val="00A404C6"/>
    <w:rsid w:val="00A40F3D"/>
    <w:rsid w:val="00A4187D"/>
    <w:rsid w:val="00A41B00"/>
    <w:rsid w:val="00A41B4A"/>
    <w:rsid w:val="00A41D5C"/>
    <w:rsid w:val="00A41F19"/>
    <w:rsid w:val="00A421C6"/>
    <w:rsid w:val="00A42988"/>
    <w:rsid w:val="00A42D7E"/>
    <w:rsid w:val="00A441D1"/>
    <w:rsid w:val="00A44346"/>
    <w:rsid w:val="00A44AA2"/>
    <w:rsid w:val="00A44D90"/>
    <w:rsid w:val="00A45A33"/>
    <w:rsid w:val="00A45DC4"/>
    <w:rsid w:val="00A45E44"/>
    <w:rsid w:val="00A46305"/>
    <w:rsid w:val="00A4630E"/>
    <w:rsid w:val="00A465B6"/>
    <w:rsid w:val="00A4702D"/>
    <w:rsid w:val="00A47350"/>
    <w:rsid w:val="00A47CF8"/>
    <w:rsid w:val="00A50336"/>
    <w:rsid w:val="00A50895"/>
    <w:rsid w:val="00A50B21"/>
    <w:rsid w:val="00A51384"/>
    <w:rsid w:val="00A5138D"/>
    <w:rsid w:val="00A51510"/>
    <w:rsid w:val="00A5236C"/>
    <w:rsid w:val="00A52508"/>
    <w:rsid w:val="00A533B6"/>
    <w:rsid w:val="00A53675"/>
    <w:rsid w:val="00A536A5"/>
    <w:rsid w:val="00A53DEF"/>
    <w:rsid w:val="00A540EB"/>
    <w:rsid w:val="00A54408"/>
    <w:rsid w:val="00A54A76"/>
    <w:rsid w:val="00A54E09"/>
    <w:rsid w:val="00A55DC4"/>
    <w:rsid w:val="00A560B4"/>
    <w:rsid w:val="00A56A30"/>
    <w:rsid w:val="00A5718B"/>
    <w:rsid w:val="00A608C3"/>
    <w:rsid w:val="00A60ED7"/>
    <w:rsid w:val="00A61319"/>
    <w:rsid w:val="00A61325"/>
    <w:rsid w:val="00A613F7"/>
    <w:rsid w:val="00A61746"/>
    <w:rsid w:val="00A61B88"/>
    <w:rsid w:val="00A61CFE"/>
    <w:rsid w:val="00A62BA9"/>
    <w:rsid w:val="00A6315E"/>
    <w:rsid w:val="00A634E9"/>
    <w:rsid w:val="00A63902"/>
    <w:rsid w:val="00A63B25"/>
    <w:rsid w:val="00A63ECF"/>
    <w:rsid w:val="00A64CA1"/>
    <w:rsid w:val="00A64E09"/>
    <w:rsid w:val="00A65119"/>
    <w:rsid w:val="00A6573B"/>
    <w:rsid w:val="00A65EBA"/>
    <w:rsid w:val="00A66531"/>
    <w:rsid w:val="00A67090"/>
    <w:rsid w:val="00A6714A"/>
    <w:rsid w:val="00A67837"/>
    <w:rsid w:val="00A70170"/>
    <w:rsid w:val="00A70768"/>
    <w:rsid w:val="00A7149E"/>
    <w:rsid w:val="00A71E57"/>
    <w:rsid w:val="00A72EB8"/>
    <w:rsid w:val="00A73318"/>
    <w:rsid w:val="00A7369E"/>
    <w:rsid w:val="00A73DBB"/>
    <w:rsid w:val="00A74644"/>
    <w:rsid w:val="00A75016"/>
    <w:rsid w:val="00A75343"/>
    <w:rsid w:val="00A7594D"/>
    <w:rsid w:val="00A768B1"/>
    <w:rsid w:val="00A76C94"/>
    <w:rsid w:val="00A76D3C"/>
    <w:rsid w:val="00A76FAA"/>
    <w:rsid w:val="00A77181"/>
    <w:rsid w:val="00A77E75"/>
    <w:rsid w:val="00A80356"/>
    <w:rsid w:val="00A80945"/>
    <w:rsid w:val="00A80DEB"/>
    <w:rsid w:val="00A810AC"/>
    <w:rsid w:val="00A812F1"/>
    <w:rsid w:val="00A81569"/>
    <w:rsid w:val="00A819D7"/>
    <w:rsid w:val="00A82162"/>
    <w:rsid w:val="00A82D66"/>
    <w:rsid w:val="00A83136"/>
    <w:rsid w:val="00A83781"/>
    <w:rsid w:val="00A83962"/>
    <w:rsid w:val="00A846D8"/>
    <w:rsid w:val="00A84E26"/>
    <w:rsid w:val="00A851F4"/>
    <w:rsid w:val="00A85F38"/>
    <w:rsid w:val="00A86062"/>
    <w:rsid w:val="00A86288"/>
    <w:rsid w:val="00A867D5"/>
    <w:rsid w:val="00A869F9"/>
    <w:rsid w:val="00A869FE"/>
    <w:rsid w:val="00A870D0"/>
    <w:rsid w:val="00A872A0"/>
    <w:rsid w:val="00A8760A"/>
    <w:rsid w:val="00A87838"/>
    <w:rsid w:val="00A87F12"/>
    <w:rsid w:val="00A90265"/>
    <w:rsid w:val="00A90762"/>
    <w:rsid w:val="00A913F9"/>
    <w:rsid w:val="00A915CC"/>
    <w:rsid w:val="00A918FD"/>
    <w:rsid w:val="00A920B8"/>
    <w:rsid w:val="00A92C02"/>
    <w:rsid w:val="00A9334A"/>
    <w:rsid w:val="00A936F3"/>
    <w:rsid w:val="00A93A9F"/>
    <w:rsid w:val="00A93B04"/>
    <w:rsid w:val="00A93DA1"/>
    <w:rsid w:val="00A94453"/>
    <w:rsid w:val="00A94550"/>
    <w:rsid w:val="00A94820"/>
    <w:rsid w:val="00A94CFD"/>
    <w:rsid w:val="00A953EF"/>
    <w:rsid w:val="00A9599A"/>
    <w:rsid w:val="00A95A92"/>
    <w:rsid w:val="00A9619C"/>
    <w:rsid w:val="00A9624D"/>
    <w:rsid w:val="00A962FA"/>
    <w:rsid w:val="00A963A3"/>
    <w:rsid w:val="00A96D58"/>
    <w:rsid w:val="00A972CB"/>
    <w:rsid w:val="00A97B5D"/>
    <w:rsid w:val="00A97CD4"/>
    <w:rsid w:val="00AA0674"/>
    <w:rsid w:val="00AA09A6"/>
    <w:rsid w:val="00AA116C"/>
    <w:rsid w:val="00AA1E31"/>
    <w:rsid w:val="00AA2926"/>
    <w:rsid w:val="00AA34B7"/>
    <w:rsid w:val="00AA34D9"/>
    <w:rsid w:val="00AA3843"/>
    <w:rsid w:val="00AA3983"/>
    <w:rsid w:val="00AA403C"/>
    <w:rsid w:val="00AA44D4"/>
    <w:rsid w:val="00AA5762"/>
    <w:rsid w:val="00AA58F5"/>
    <w:rsid w:val="00AA5949"/>
    <w:rsid w:val="00AA5A20"/>
    <w:rsid w:val="00AA5CA7"/>
    <w:rsid w:val="00AA5E09"/>
    <w:rsid w:val="00AA63A9"/>
    <w:rsid w:val="00AA6FA5"/>
    <w:rsid w:val="00AA7255"/>
    <w:rsid w:val="00AA74D3"/>
    <w:rsid w:val="00AA76EB"/>
    <w:rsid w:val="00AB05AF"/>
    <w:rsid w:val="00AB0900"/>
    <w:rsid w:val="00AB0ADB"/>
    <w:rsid w:val="00AB0AF4"/>
    <w:rsid w:val="00AB1545"/>
    <w:rsid w:val="00AB1596"/>
    <w:rsid w:val="00AB23CA"/>
    <w:rsid w:val="00AB284E"/>
    <w:rsid w:val="00AB29D5"/>
    <w:rsid w:val="00AB2A03"/>
    <w:rsid w:val="00AB2FA3"/>
    <w:rsid w:val="00AB3509"/>
    <w:rsid w:val="00AB4577"/>
    <w:rsid w:val="00AB4EC3"/>
    <w:rsid w:val="00AB5AB5"/>
    <w:rsid w:val="00AB5B40"/>
    <w:rsid w:val="00AB6272"/>
    <w:rsid w:val="00AB6CBD"/>
    <w:rsid w:val="00AB7A71"/>
    <w:rsid w:val="00AB7DA5"/>
    <w:rsid w:val="00AC030B"/>
    <w:rsid w:val="00AC035D"/>
    <w:rsid w:val="00AC0582"/>
    <w:rsid w:val="00AC0862"/>
    <w:rsid w:val="00AC09C5"/>
    <w:rsid w:val="00AC0C2B"/>
    <w:rsid w:val="00AC0E6E"/>
    <w:rsid w:val="00AC1278"/>
    <w:rsid w:val="00AC142C"/>
    <w:rsid w:val="00AC1BD2"/>
    <w:rsid w:val="00AC2123"/>
    <w:rsid w:val="00AC2988"/>
    <w:rsid w:val="00AC2F11"/>
    <w:rsid w:val="00AC3039"/>
    <w:rsid w:val="00AC38DC"/>
    <w:rsid w:val="00AC3C44"/>
    <w:rsid w:val="00AC43CD"/>
    <w:rsid w:val="00AC4485"/>
    <w:rsid w:val="00AC47EF"/>
    <w:rsid w:val="00AC4AC7"/>
    <w:rsid w:val="00AC4ED7"/>
    <w:rsid w:val="00AC5497"/>
    <w:rsid w:val="00AC551C"/>
    <w:rsid w:val="00AC563B"/>
    <w:rsid w:val="00AC57C8"/>
    <w:rsid w:val="00AC5934"/>
    <w:rsid w:val="00AC594A"/>
    <w:rsid w:val="00AC607B"/>
    <w:rsid w:val="00AC6363"/>
    <w:rsid w:val="00AC6672"/>
    <w:rsid w:val="00AC6A86"/>
    <w:rsid w:val="00AC6E16"/>
    <w:rsid w:val="00AC6E46"/>
    <w:rsid w:val="00AC7367"/>
    <w:rsid w:val="00AC7574"/>
    <w:rsid w:val="00AC79A9"/>
    <w:rsid w:val="00AC7CF2"/>
    <w:rsid w:val="00AD02F0"/>
    <w:rsid w:val="00AD0573"/>
    <w:rsid w:val="00AD070E"/>
    <w:rsid w:val="00AD0D0F"/>
    <w:rsid w:val="00AD10F2"/>
    <w:rsid w:val="00AD110D"/>
    <w:rsid w:val="00AD1238"/>
    <w:rsid w:val="00AD17F8"/>
    <w:rsid w:val="00AD1D4E"/>
    <w:rsid w:val="00AD2218"/>
    <w:rsid w:val="00AD2E55"/>
    <w:rsid w:val="00AD383E"/>
    <w:rsid w:val="00AD4050"/>
    <w:rsid w:val="00AD41F4"/>
    <w:rsid w:val="00AD42DD"/>
    <w:rsid w:val="00AD43E1"/>
    <w:rsid w:val="00AD4B75"/>
    <w:rsid w:val="00AD4D89"/>
    <w:rsid w:val="00AD5528"/>
    <w:rsid w:val="00AD58D2"/>
    <w:rsid w:val="00AD59CE"/>
    <w:rsid w:val="00AD5AF8"/>
    <w:rsid w:val="00AD5D89"/>
    <w:rsid w:val="00AD5E4E"/>
    <w:rsid w:val="00AD5F97"/>
    <w:rsid w:val="00AD6233"/>
    <w:rsid w:val="00AD6D46"/>
    <w:rsid w:val="00AD764D"/>
    <w:rsid w:val="00AE079F"/>
    <w:rsid w:val="00AE07E3"/>
    <w:rsid w:val="00AE0D02"/>
    <w:rsid w:val="00AE1325"/>
    <w:rsid w:val="00AE1D85"/>
    <w:rsid w:val="00AE27C3"/>
    <w:rsid w:val="00AE2A5A"/>
    <w:rsid w:val="00AE3771"/>
    <w:rsid w:val="00AE37D8"/>
    <w:rsid w:val="00AE3916"/>
    <w:rsid w:val="00AE3BFE"/>
    <w:rsid w:val="00AE3D98"/>
    <w:rsid w:val="00AE4225"/>
    <w:rsid w:val="00AE4274"/>
    <w:rsid w:val="00AE437E"/>
    <w:rsid w:val="00AE449C"/>
    <w:rsid w:val="00AE44A4"/>
    <w:rsid w:val="00AE45EA"/>
    <w:rsid w:val="00AE4CAD"/>
    <w:rsid w:val="00AE4E2D"/>
    <w:rsid w:val="00AE4F00"/>
    <w:rsid w:val="00AE500E"/>
    <w:rsid w:val="00AE5DFB"/>
    <w:rsid w:val="00AE6712"/>
    <w:rsid w:val="00AE6794"/>
    <w:rsid w:val="00AE679B"/>
    <w:rsid w:val="00AE7364"/>
    <w:rsid w:val="00AF0153"/>
    <w:rsid w:val="00AF1005"/>
    <w:rsid w:val="00AF1155"/>
    <w:rsid w:val="00AF169E"/>
    <w:rsid w:val="00AF1824"/>
    <w:rsid w:val="00AF1CCA"/>
    <w:rsid w:val="00AF1ED5"/>
    <w:rsid w:val="00AF30A0"/>
    <w:rsid w:val="00AF334A"/>
    <w:rsid w:val="00AF37CE"/>
    <w:rsid w:val="00AF382A"/>
    <w:rsid w:val="00AF469C"/>
    <w:rsid w:val="00AF4AC0"/>
    <w:rsid w:val="00AF526B"/>
    <w:rsid w:val="00AF5275"/>
    <w:rsid w:val="00AF5807"/>
    <w:rsid w:val="00AF5CBC"/>
    <w:rsid w:val="00AF6116"/>
    <w:rsid w:val="00AF6630"/>
    <w:rsid w:val="00AF6C99"/>
    <w:rsid w:val="00AF7105"/>
    <w:rsid w:val="00AF7108"/>
    <w:rsid w:val="00AF713E"/>
    <w:rsid w:val="00AF7488"/>
    <w:rsid w:val="00AF74B4"/>
    <w:rsid w:val="00AF7596"/>
    <w:rsid w:val="00AF7BA7"/>
    <w:rsid w:val="00B0018F"/>
    <w:rsid w:val="00B010D8"/>
    <w:rsid w:val="00B02BA1"/>
    <w:rsid w:val="00B0377A"/>
    <w:rsid w:val="00B03D97"/>
    <w:rsid w:val="00B04079"/>
    <w:rsid w:val="00B04385"/>
    <w:rsid w:val="00B049F9"/>
    <w:rsid w:val="00B04A05"/>
    <w:rsid w:val="00B04F60"/>
    <w:rsid w:val="00B053A8"/>
    <w:rsid w:val="00B05A42"/>
    <w:rsid w:val="00B05D0B"/>
    <w:rsid w:val="00B067B8"/>
    <w:rsid w:val="00B06A2E"/>
    <w:rsid w:val="00B07D2B"/>
    <w:rsid w:val="00B11348"/>
    <w:rsid w:val="00B12BDA"/>
    <w:rsid w:val="00B12D43"/>
    <w:rsid w:val="00B13470"/>
    <w:rsid w:val="00B13C29"/>
    <w:rsid w:val="00B13E78"/>
    <w:rsid w:val="00B13FFC"/>
    <w:rsid w:val="00B146EE"/>
    <w:rsid w:val="00B1483D"/>
    <w:rsid w:val="00B14CF7"/>
    <w:rsid w:val="00B14D94"/>
    <w:rsid w:val="00B15D59"/>
    <w:rsid w:val="00B15D86"/>
    <w:rsid w:val="00B15DD8"/>
    <w:rsid w:val="00B15E9B"/>
    <w:rsid w:val="00B161E7"/>
    <w:rsid w:val="00B16490"/>
    <w:rsid w:val="00B16767"/>
    <w:rsid w:val="00B16A5F"/>
    <w:rsid w:val="00B1756F"/>
    <w:rsid w:val="00B1797C"/>
    <w:rsid w:val="00B17D40"/>
    <w:rsid w:val="00B206C4"/>
    <w:rsid w:val="00B211CA"/>
    <w:rsid w:val="00B21204"/>
    <w:rsid w:val="00B218DA"/>
    <w:rsid w:val="00B2226C"/>
    <w:rsid w:val="00B22658"/>
    <w:rsid w:val="00B22EF2"/>
    <w:rsid w:val="00B2305B"/>
    <w:rsid w:val="00B231CB"/>
    <w:rsid w:val="00B23390"/>
    <w:rsid w:val="00B23DE1"/>
    <w:rsid w:val="00B240B4"/>
    <w:rsid w:val="00B24D83"/>
    <w:rsid w:val="00B25221"/>
    <w:rsid w:val="00B256F2"/>
    <w:rsid w:val="00B25757"/>
    <w:rsid w:val="00B25EA3"/>
    <w:rsid w:val="00B27020"/>
    <w:rsid w:val="00B275A0"/>
    <w:rsid w:val="00B27775"/>
    <w:rsid w:val="00B27CA6"/>
    <w:rsid w:val="00B27DEA"/>
    <w:rsid w:val="00B31196"/>
    <w:rsid w:val="00B31497"/>
    <w:rsid w:val="00B31C57"/>
    <w:rsid w:val="00B31D08"/>
    <w:rsid w:val="00B326C9"/>
    <w:rsid w:val="00B3277D"/>
    <w:rsid w:val="00B32CD1"/>
    <w:rsid w:val="00B32D30"/>
    <w:rsid w:val="00B3311D"/>
    <w:rsid w:val="00B333D2"/>
    <w:rsid w:val="00B335D9"/>
    <w:rsid w:val="00B33C76"/>
    <w:rsid w:val="00B34142"/>
    <w:rsid w:val="00B3430E"/>
    <w:rsid w:val="00B3438C"/>
    <w:rsid w:val="00B34445"/>
    <w:rsid w:val="00B346B2"/>
    <w:rsid w:val="00B354BB"/>
    <w:rsid w:val="00B35692"/>
    <w:rsid w:val="00B36180"/>
    <w:rsid w:val="00B36190"/>
    <w:rsid w:val="00B36E60"/>
    <w:rsid w:val="00B37443"/>
    <w:rsid w:val="00B402A4"/>
    <w:rsid w:val="00B40642"/>
    <w:rsid w:val="00B40BB1"/>
    <w:rsid w:val="00B40D86"/>
    <w:rsid w:val="00B41272"/>
    <w:rsid w:val="00B41579"/>
    <w:rsid w:val="00B42891"/>
    <w:rsid w:val="00B42CA2"/>
    <w:rsid w:val="00B43041"/>
    <w:rsid w:val="00B4363A"/>
    <w:rsid w:val="00B43A2C"/>
    <w:rsid w:val="00B44C0F"/>
    <w:rsid w:val="00B44CDA"/>
    <w:rsid w:val="00B44E70"/>
    <w:rsid w:val="00B44EE6"/>
    <w:rsid w:val="00B44F25"/>
    <w:rsid w:val="00B44FC4"/>
    <w:rsid w:val="00B44FE2"/>
    <w:rsid w:val="00B4543C"/>
    <w:rsid w:val="00B45FE8"/>
    <w:rsid w:val="00B46120"/>
    <w:rsid w:val="00B464F8"/>
    <w:rsid w:val="00B4666C"/>
    <w:rsid w:val="00B46A4D"/>
    <w:rsid w:val="00B47024"/>
    <w:rsid w:val="00B47D2D"/>
    <w:rsid w:val="00B47DB2"/>
    <w:rsid w:val="00B503D2"/>
    <w:rsid w:val="00B50466"/>
    <w:rsid w:val="00B50916"/>
    <w:rsid w:val="00B5098D"/>
    <w:rsid w:val="00B50994"/>
    <w:rsid w:val="00B50C63"/>
    <w:rsid w:val="00B50F13"/>
    <w:rsid w:val="00B51559"/>
    <w:rsid w:val="00B520DA"/>
    <w:rsid w:val="00B523C3"/>
    <w:rsid w:val="00B52D5C"/>
    <w:rsid w:val="00B52F2A"/>
    <w:rsid w:val="00B538DC"/>
    <w:rsid w:val="00B53AEA"/>
    <w:rsid w:val="00B540DA"/>
    <w:rsid w:val="00B54598"/>
    <w:rsid w:val="00B545D7"/>
    <w:rsid w:val="00B54674"/>
    <w:rsid w:val="00B54D4D"/>
    <w:rsid w:val="00B5599E"/>
    <w:rsid w:val="00B55C83"/>
    <w:rsid w:val="00B560C3"/>
    <w:rsid w:val="00B56137"/>
    <w:rsid w:val="00B57664"/>
    <w:rsid w:val="00B57B06"/>
    <w:rsid w:val="00B57E2C"/>
    <w:rsid w:val="00B60085"/>
    <w:rsid w:val="00B6045A"/>
    <w:rsid w:val="00B60482"/>
    <w:rsid w:val="00B605D2"/>
    <w:rsid w:val="00B606A0"/>
    <w:rsid w:val="00B60CA2"/>
    <w:rsid w:val="00B60CA4"/>
    <w:rsid w:val="00B61B2C"/>
    <w:rsid w:val="00B61EC3"/>
    <w:rsid w:val="00B61EEB"/>
    <w:rsid w:val="00B61EF1"/>
    <w:rsid w:val="00B6259B"/>
    <w:rsid w:val="00B62607"/>
    <w:rsid w:val="00B626DF"/>
    <w:rsid w:val="00B62786"/>
    <w:rsid w:val="00B62A19"/>
    <w:rsid w:val="00B62A7E"/>
    <w:rsid w:val="00B6302B"/>
    <w:rsid w:val="00B631B4"/>
    <w:rsid w:val="00B63517"/>
    <w:rsid w:val="00B637B2"/>
    <w:rsid w:val="00B64D1D"/>
    <w:rsid w:val="00B6566B"/>
    <w:rsid w:val="00B65CAB"/>
    <w:rsid w:val="00B6620A"/>
    <w:rsid w:val="00B6624D"/>
    <w:rsid w:val="00B66C9D"/>
    <w:rsid w:val="00B6716F"/>
    <w:rsid w:val="00B677DA"/>
    <w:rsid w:val="00B71237"/>
    <w:rsid w:val="00B71261"/>
    <w:rsid w:val="00B714D5"/>
    <w:rsid w:val="00B71DEA"/>
    <w:rsid w:val="00B71EA4"/>
    <w:rsid w:val="00B72DC9"/>
    <w:rsid w:val="00B730B7"/>
    <w:rsid w:val="00B733C6"/>
    <w:rsid w:val="00B73977"/>
    <w:rsid w:val="00B74050"/>
    <w:rsid w:val="00B747B4"/>
    <w:rsid w:val="00B754A6"/>
    <w:rsid w:val="00B755FC"/>
    <w:rsid w:val="00B75734"/>
    <w:rsid w:val="00B75928"/>
    <w:rsid w:val="00B75CDF"/>
    <w:rsid w:val="00B76386"/>
    <w:rsid w:val="00B76517"/>
    <w:rsid w:val="00B76D26"/>
    <w:rsid w:val="00B77019"/>
    <w:rsid w:val="00B7701E"/>
    <w:rsid w:val="00B7713E"/>
    <w:rsid w:val="00B77283"/>
    <w:rsid w:val="00B77513"/>
    <w:rsid w:val="00B776B2"/>
    <w:rsid w:val="00B77F86"/>
    <w:rsid w:val="00B80339"/>
    <w:rsid w:val="00B803F3"/>
    <w:rsid w:val="00B805D5"/>
    <w:rsid w:val="00B81636"/>
    <w:rsid w:val="00B81BC4"/>
    <w:rsid w:val="00B81CD6"/>
    <w:rsid w:val="00B81D0A"/>
    <w:rsid w:val="00B82765"/>
    <w:rsid w:val="00B827E2"/>
    <w:rsid w:val="00B827E5"/>
    <w:rsid w:val="00B8393E"/>
    <w:rsid w:val="00B83B8B"/>
    <w:rsid w:val="00B83F3D"/>
    <w:rsid w:val="00B84EF9"/>
    <w:rsid w:val="00B84F89"/>
    <w:rsid w:val="00B85160"/>
    <w:rsid w:val="00B85904"/>
    <w:rsid w:val="00B85CAC"/>
    <w:rsid w:val="00B86D06"/>
    <w:rsid w:val="00B86F63"/>
    <w:rsid w:val="00B87A2C"/>
    <w:rsid w:val="00B87FBE"/>
    <w:rsid w:val="00B90179"/>
    <w:rsid w:val="00B901A5"/>
    <w:rsid w:val="00B9263E"/>
    <w:rsid w:val="00B93304"/>
    <w:rsid w:val="00B93C69"/>
    <w:rsid w:val="00B93C76"/>
    <w:rsid w:val="00B94802"/>
    <w:rsid w:val="00B9559C"/>
    <w:rsid w:val="00B95AC5"/>
    <w:rsid w:val="00B961C2"/>
    <w:rsid w:val="00B96266"/>
    <w:rsid w:val="00B9631F"/>
    <w:rsid w:val="00B966BE"/>
    <w:rsid w:val="00B9677A"/>
    <w:rsid w:val="00B97847"/>
    <w:rsid w:val="00B97BEE"/>
    <w:rsid w:val="00B97CEC"/>
    <w:rsid w:val="00B97E6F"/>
    <w:rsid w:val="00B97F80"/>
    <w:rsid w:val="00BA050B"/>
    <w:rsid w:val="00BA18AA"/>
    <w:rsid w:val="00BA1A96"/>
    <w:rsid w:val="00BA1E02"/>
    <w:rsid w:val="00BA29BA"/>
    <w:rsid w:val="00BA2D17"/>
    <w:rsid w:val="00BA2EE9"/>
    <w:rsid w:val="00BA3267"/>
    <w:rsid w:val="00BA39E1"/>
    <w:rsid w:val="00BA40E6"/>
    <w:rsid w:val="00BA4177"/>
    <w:rsid w:val="00BA4521"/>
    <w:rsid w:val="00BA5AD0"/>
    <w:rsid w:val="00BA641B"/>
    <w:rsid w:val="00BA68E6"/>
    <w:rsid w:val="00BA6F9E"/>
    <w:rsid w:val="00BA7158"/>
    <w:rsid w:val="00BA769A"/>
    <w:rsid w:val="00BA78C6"/>
    <w:rsid w:val="00BA7ECE"/>
    <w:rsid w:val="00BB01E2"/>
    <w:rsid w:val="00BB05B0"/>
    <w:rsid w:val="00BB13CA"/>
    <w:rsid w:val="00BB154C"/>
    <w:rsid w:val="00BB178A"/>
    <w:rsid w:val="00BB1A0B"/>
    <w:rsid w:val="00BB21D4"/>
    <w:rsid w:val="00BB221B"/>
    <w:rsid w:val="00BB2253"/>
    <w:rsid w:val="00BB22E8"/>
    <w:rsid w:val="00BB278F"/>
    <w:rsid w:val="00BB3199"/>
    <w:rsid w:val="00BB3388"/>
    <w:rsid w:val="00BB41C2"/>
    <w:rsid w:val="00BB41FA"/>
    <w:rsid w:val="00BB4BCC"/>
    <w:rsid w:val="00BB5025"/>
    <w:rsid w:val="00BB5088"/>
    <w:rsid w:val="00BB5270"/>
    <w:rsid w:val="00BB5A8B"/>
    <w:rsid w:val="00BB5E33"/>
    <w:rsid w:val="00BB6B2D"/>
    <w:rsid w:val="00BB738F"/>
    <w:rsid w:val="00BB745A"/>
    <w:rsid w:val="00BB7591"/>
    <w:rsid w:val="00BB76AF"/>
    <w:rsid w:val="00BB7744"/>
    <w:rsid w:val="00BB7E77"/>
    <w:rsid w:val="00BB7EB7"/>
    <w:rsid w:val="00BB7EE3"/>
    <w:rsid w:val="00BC043C"/>
    <w:rsid w:val="00BC078F"/>
    <w:rsid w:val="00BC091F"/>
    <w:rsid w:val="00BC14A7"/>
    <w:rsid w:val="00BC17E0"/>
    <w:rsid w:val="00BC1B01"/>
    <w:rsid w:val="00BC1D64"/>
    <w:rsid w:val="00BC2126"/>
    <w:rsid w:val="00BC23A8"/>
    <w:rsid w:val="00BC25F2"/>
    <w:rsid w:val="00BC28B3"/>
    <w:rsid w:val="00BC2AE5"/>
    <w:rsid w:val="00BC3913"/>
    <w:rsid w:val="00BC3E37"/>
    <w:rsid w:val="00BC4275"/>
    <w:rsid w:val="00BC4716"/>
    <w:rsid w:val="00BC50A6"/>
    <w:rsid w:val="00BC50F6"/>
    <w:rsid w:val="00BC5929"/>
    <w:rsid w:val="00BC5A3A"/>
    <w:rsid w:val="00BC5A7F"/>
    <w:rsid w:val="00BC5D34"/>
    <w:rsid w:val="00BC5DEF"/>
    <w:rsid w:val="00BC5FFF"/>
    <w:rsid w:val="00BC626B"/>
    <w:rsid w:val="00BC6727"/>
    <w:rsid w:val="00BC68DF"/>
    <w:rsid w:val="00BC69D0"/>
    <w:rsid w:val="00BC6C2C"/>
    <w:rsid w:val="00BC7626"/>
    <w:rsid w:val="00BC76B2"/>
    <w:rsid w:val="00BC78CF"/>
    <w:rsid w:val="00BD02B7"/>
    <w:rsid w:val="00BD131F"/>
    <w:rsid w:val="00BD1605"/>
    <w:rsid w:val="00BD1917"/>
    <w:rsid w:val="00BD2352"/>
    <w:rsid w:val="00BD2BE7"/>
    <w:rsid w:val="00BD3633"/>
    <w:rsid w:val="00BD4304"/>
    <w:rsid w:val="00BD4C1C"/>
    <w:rsid w:val="00BD4D59"/>
    <w:rsid w:val="00BD4DDC"/>
    <w:rsid w:val="00BD517E"/>
    <w:rsid w:val="00BD582C"/>
    <w:rsid w:val="00BD5F71"/>
    <w:rsid w:val="00BD65D8"/>
    <w:rsid w:val="00BD694A"/>
    <w:rsid w:val="00BD6BD7"/>
    <w:rsid w:val="00BD7320"/>
    <w:rsid w:val="00BD7445"/>
    <w:rsid w:val="00BE077E"/>
    <w:rsid w:val="00BE088C"/>
    <w:rsid w:val="00BE0D82"/>
    <w:rsid w:val="00BE1748"/>
    <w:rsid w:val="00BE2549"/>
    <w:rsid w:val="00BE28E9"/>
    <w:rsid w:val="00BE2F42"/>
    <w:rsid w:val="00BE3528"/>
    <w:rsid w:val="00BE3610"/>
    <w:rsid w:val="00BE3887"/>
    <w:rsid w:val="00BE3DEA"/>
    <w:rsid w:val="00BE433E"/>
    <w:rsid w:val="00BE4770"/>
    <w:rsid w:val="00BE4FAC"/>
    <w:rsid w:val="00BE527A"/>
    <w:rsid w:val="00BE55EA"/>
    <w:rsid w:val="00BE5A71"/>
    <w:rsid w:val="00BE5DCB"/>
    <w:rsid w:val="00BE5EEB"/>
    <w:rsid w:val="00BE622D"/>
    <w:rsid w:val="00BE655D"/>
    <w:rsid w:val="00BE6D60"/>
    <w:rsid w:val="00BE6F40"/>
    <w:rsid w:val="00BE789D"/>
    <w:rsid w:val="00BE7AF6"/>
    <w:rsid w:val="00BE7E30"/>
    <w:rsid w:val="00BF024C"/>
    <w:rsid w:val="00BF0642"/>
    <w:rsid w:val="00BF074D"/>
    <w:rsid w:val="00BF12B1"/>
    <w:rsid w:val="00BF18C0"/>
    <w:rsid w:val="00BF249E"/>
    <w:rsid w:val="00BF285A"/>
    <w:rsid w:val="00BF2BCA"/>
    <w:rsid w:val="00BF2E5C"/>
    <w:rsid w:val="00BF342E"/>
    <w:rsid w:val="00BF3789"/>
    <w:rsid w:val="00BF456A"/>
    <w:rsid w:val="00BF4798"/>
    <w:rsid w:val="00BF4F83"/>
    <w:rsid w:val="00BF58E4"/>
    <w:rsid w:val="00BF690E"/>
    <w:rsid w:val="00BF692B"/>
    <w:rsid w:val="00BF6D2F"/>
    <w:rsid w:val="00BF6DBD"/>
    <w:rsid w:val="00BF76B1"/>
    <w:rsid w:val="00BF76F2"/>
    <w:rsid w:val="00BF7C30"/>
    <w:rsid w:val="00C00503"/>
    <w:rsid w:val="00C00544"/>
    <w:rsid w:val="00C00F5E"/>
    <w:rsid w:val="00C01A5F"/>
    <w:rsid w:val="00C0208F"/>
    <w:rsid w:val="00C02294"/>
    <w:rsid w:val="00C02F8B"/>
    <w:rsid w:val="00C0372B"/>
    <w:rsid w:val="00C039EC"/>
    <w:rsid w:val="00C03B77"/>
    <w:rsid w:val="00C04150"/>
    <w:rsid w:val="00C042F5"/>
    <w:rsid w:val="00C0445E"/>
    <w:rsid w:val="00C0459B"/>
    <w:rsid w:val="00C045F8"/>
    <w:rsid w:val="00C05093"/>
    <w:rsid w:val="00C053D5"/>
    <w:rsid w:val="00C058B9"/>
    <w:rsid w:val="00C059B2"/>
    <w:rsid w:val="00C059D1"/>
    <w:rsid w:val="00C05C68"/>
    <w:rsid w:val="00C06172"/>
    <w:rsid w:val="00C063CD"/>
    <w:rsid w:val="00C0711E"/>
    <w:rsid w:val="00C0726E"/>
    <w:rsid w:val="00C073EA"/>
    <w:rsid w:val="00C07614"/>
    <w:rsid w:val="00C077B0"/>
    <w:rsid w:val="00C07EF9"/>
    <w:rsid w:val="00C1000F"/>
    <w:rsid w:val="00C1061B"/>
    <w:rsid w:val="00C1077D"/>
    <w:rsid w:val="00C10936"/>
    <w:rsid w:val="00C10B37"/>
    <w:rsid w:val="00C10B8A"/>
    <w:rsid w:val="00C10B8E"/>
    <w:rsid w:val="00C11A24"/>
    <w:rsid w:val="00C1237D"/>
    <w:rsid w:val="00C125E3"/>
    <w:rsid w:val="00C12FBF"/>
    <w:rsid w:val="00C13084"/>
    <w:rsid w:val="00C13252"/>
    <w:rsid w:val="00C1434A"/>
    <w:rsid w:val="00C14CA5"/>
    <w:rsid w:val="00C15B88"/>
    <w:rsid w:val="00C163D4"/>
    <w:rsid w:val="00C166D2"/>
    <w:rsid w:val="00C16700"/>
    <w:rsid w:val="00C16810"/>
    <w:rsid w:val="00C16AE6"/>
    <w:rsid w:val="00C17057"/>
    <w:rsid w:val="00C1721E"/>
    <w:rsid w:val="00C1751C"/>
    <w:rsid w:val="00C175FA"/>
    <w:rsid w:val="00C178A1"/>
    <w:rsid w:val="00C17FD8"/>
    <w:rsid w:val="00C20488"/>
    <w:rsid w:val="00C206A5"/>
    <w:rsid w:val="00C20735"/>
    <w:rsid w:val="00C20806"/>
    <w:rsid w:val="00C20CAD"/>
    <w:rsid w:val="00C214D6"/>
    <w:rsid w:val="00C21C94"/>
    <w:rsid w:val="00C223E2"/>
    <w:rsid w:val="00C23201"/>
    <w:rsid w:val="00C23693"/>
    <w:rsid w:val="00C23911"/>
    <w:rsid w:val="00C23EC5"/>
    <w:rsid w:val="00C254A4"/>
    <w:rsid w:val="00C25F12"/>
    <w:rsid w:val="00C263A5"/>
    <w:rsid w:val="00C2668D"/>
    <w:rsid w:val="00C267BB"/>
    <w:rsid w:val="00C26DC7"/>
    <w:rsid w:val="00C26E8A"/>
    <w:rsid w:val="00C273EC"/>
    <w:rsid w:val="00C30298"/>
    <w:rsid w:val="00C30E03"/>
    <w:rsid w:val="00C312A0"/>
    <w:rsid w:val="00C318D4"/>
    <w:rsid w:val="00C31941"/>
    <w:rsid w:val="00C31FC0"/>
    <w:rsid w:val="00C323F4"/>
    <w:rsid w:val="00C32B7C"/>
    <w:rsid w:val="00C32F30"/>
    <w:rsid w:val="00C334E0"/>
    <w:rsid w:val="00C33629"/>
    <w:rsid w:val="00C3372C"/>
    <w:rsid w:val="00C33DBA"/>
    <w:rsid w:val="00C34057"/>
    <w:rsid w:val="00C3417A"/>
    <w:rsid w:val="00C3439C"/>
    <w:rsid w:val="00C34A93"/>
    <w:rsid w:val="00C35077"/>
    <w:rsid w:val="00C353D4"/>
    <w:rsid w:val="00C35446"/>
    <w:rsid w:val="00C3680F"/>
    <w:rsid w:val="00C36879"/>
    <w:rsid w:val="00C3714F"/>
    <w:rsid w:val="00C37A0A"/>
    <w:rsid w:val="00C40059"/>
    <w:rsid w:val="00C40215"/>
    <w:rsid w:val="00C4035D"/>
    <w:rsid w:val="00C4038C"/>
    <w:rsid w:val="00C415DC"/>
    <w:rsid w:val="00C41D05"/>
    <w:rsid w:val="00C4204A"/>
    <w:rsid w:val="00C4275F"/>
    <w:rsid w:val="00C42935"/>
    <w:rsid w:val="00C42BBF"/>
    <w:rsid w:val="00C42E22"/>
    <w:rsid w:val="00C42ED2"/>
    <w:rsid w:val="00C42F37"/>
    <w:rsid w:val="00C4310E"/>
    <w:rsid w:val="00C436C7"/>
    <w:rsid w:val="00C43B7F"/>
    <w:rsid w:val="00C43D1A"/>
    <w:rsid w:val="00C43E61"/>
    <w:rsid w:val="00C44116"/>
    <w:rsid w:val="00C44C5A"/>
    <w:rsid w:val="00C45086"/>
    <w:rsid w:val="00C45556"/>
    <w:rsid w:val="00C45BD8"/>
    <w:rsid w:val="00C45F77"/>
    <w:rsid w:val="00C46429"/>
    <w:rsid w:val="00C4645B"/>
    <w:rsid w:val="00C464DA"/>
    <w:rsid w:val="00C46C13"/>
    <w:rsid w:val="00C4770A"/>
    <w:rsid w:val="00C47B81"/>
    <w:rsid w:val="00C47BC5"/>
    <w:rsid w:val="00C47D35"/>
    <w:rsid w:val="00C47E23"/>
    <w:rsid w:val="00C47E64"/>
    <w:rsid w:val="00C5021A"/>
    <w:rsid w:val="00C505B8"/>
    <w:rsid w:val="00C50902"/>
    <w:rsid w:val="00C50E86"/>
    <w:rsid w:val="00C5154E"/>
    <w:rsid w:val="00C5220C"/>
    <w:rsid w:val="00C52837"/>
    <w:rsid w:val="00C52D22"/>
    <w:rsid w:val="00C52E7F"/>
    <w:rsid w:val="00C52FD0"/>
    <w:rsid w:val="00C52FFF"/>
    <w:rsid w:val="00C53442"/>
    <w:rsid w:val="00C53932"/>
    <w:rsid w:val="00C54125"/>
    <w:rsid w:val="00C55116"/>
    <w:rsid w:val="00C55F22"/>
    <w:rsid w:val="00C56031"/>
    <w:rsid w:val="00C561EF"/>
    <w:rsid w:val="00C561F6"/>
    <w:rsid w:val="00C56620"/>
    <w:rsid w:val="00C56B10"/>
    <w:rsid w:val="00C56F09"/>
    <w:rsid w:val="00C579F2"/>
    <w:rsid w:val="00C60DB4"/>
    <w:rsid w:val="00C60E5D"/>
    <w:rsid w:val="00C60F74"/>
    <w:rsid w:val="00C61D7D"/>
    <w:rsid w:val="00C62BD4"/>
    <w:rsid w:val="00C63294"/>
    <w:rsid w:val="00C63C48"/>
    <w:rsid w:val="00C63E80"/>
    <w:rsid w:val="00C64FC8"/>
    <w:rsid w:val="00C6521F"/>
    <w:rsid w:val="00C6576B"/>
    <w:rsid w:val="00C65A10"/>
    <w:rsid w:val="00C668CB"/>
    <w:rsid w:val="00C66C4F"/>
    <w:rsid w:val="00C67A7C"/>
    <w:rsid w:val="00C67B9A"/>
    <w:rsid w:val="00C67BCD"/>
    <w:rsid w:val="00C7039E"/>
    <w:rsid w:val="00C70A9C"/>
    <w:rsid w:val="00C70AE7"/>
    <w:rsid w:val="00C71647"/>
    <w:rsid w:val="00C72311"/>
    <w:rsid w:val="00C72D13"/>
    <w:rsid w:val="00C73237"/>
    <w:rsid w:val="00C7355E"/>
    <w:rsid w:val="00C74504"/>
    <w:rsid w:val="00C7474A"/>
    <w:rsid w:val="00C7476D"/>
    <w:rsid w:val="00C755D8"/>
    <w:rsid w:val="00C7565E"/>
    <w:rsid w:val="00C75834"/>
    <w:rsid w:val="00C76484"/>
    <w:rsid w:val="00C76965"/>
    <w:rsid w:val="00C76FFC"/>
    <w:rsid w:val="00C770A7"/>
    <w:rsid w:val="00C7747B"/>
    <w:rsid w:val="00C774DE"/>
    <w:rsid w:val="00C7759C"/>
    <w:rsid w:val="00C77C7A"/>
    <w:rsid w:val="00C77D83"/>
    <w:rsid w:val="00C77DC6"/>
    <w:rsid w:val="00C77EA1"/>
    <w:rsid w:val="00C802D5"/>
    <w:rsid w:val="00C805F0"/>
    <w:rsid w:val="00C80AAB"/>
    <w:rsid w:val="00C80AF3"/>
    <w:rsid w:val="00C80B1C"/>
    <w:rsid w:val="00C80B23"/>
    <w:rsid w:val="00C80C7C"/>
    <w:rsid w:val="00C81594"/>
    <w:rsid w:val="00C815ED"/>
    <w:rsid w:val="00C81908"/>
    <w:rsid w:val="00C81CC3"/>
    <w:rsid w:val="00C81D37"/>
    <w:rsid w:val="00C82EDF"/>
    <w:rsid w:val="00C83099"/>
    <w:rsid w:val="00C8363F"/>
    <w:rsid w:val="00C83D73"/>
    <w:rsid w:val="00C84DAB"/>
    <w:rsid w:val="00C85241"/>
    <w:rsid w:val="00C85983"/>
    <w:rsid w:val="00C85DEE"/>
    <w:rsid w:val="00C8633E"/>
    <w:rsid w:val="00C8661F"/>
    <w:rsid w:val="00C86885"/>
    <w:rsid w:val="00C86E9C"/>
    <w:rsid w:val="00C87422"/>
    <w:rsid w:val="00C901BD"/>
    <w:rsid w:val="00C90324"/>
    <w:rsid w:val="00C9071D"/>
    <w:rsid w:val="00C9079D"/>
    <w:rsid w:val="00C90F68"/>
    <w:rsid w:val="00C910AD"/>
    <w:rsid w:val="00C91736"/>
    <w:rsid w:val="00C91834"/>
    <w:rsid w:val="00C91842"/>
    <w:rsid w:val="00C91BCF"/>
    <w:rsid w:val="00C926F0"/>
    <w:rsid w:val="00C92B2F"/>
    <w:rsid w:val="00C92C33"/>
    <w:rsid w:val="00C936AF"/>
    <w:rsid w:val="00C936D7"/>
    <w:rsid w:val="00C937F6"/>
    <w:rsid w:val="00C93CC5"/>
    <w:rsid w:val="00C942B3"/>
    <w:rsid w:val="00C9454C"/>
    <w:rsid w:val="00C9463E"/>
    <w:rsid w:val="00C94BDC"/>
    <w:rsid w:val="00C94F56"/>
    <w:rsid w:val="00C96044"/>
    <w:rsid w:val="00C968A3"/>
    <w:rsid w:val="00C96B3D"/>
    <w:rsid w:val="00C96E89"/>
    <w:rsid w:val="00C97217"/>
    <w:rsid w:val="00C97434"/>
    <w:rsid w:val="00C9777B"/>
    <w:rsid w:val="00C97808"/>
    <w:rsid w:val="00C97E75"/>
    <w:rsid w:val="00CA01F4"/>
    <w:rsid w:val="00CA0460"/>
    <w:rsid w:val="00CA0647"/>
    <w:rsid w:val="00CA072F"/>
    <w:rsid w:val="00CA090A"/>
    <w:rsid w:val="00CA0D1B"/>
    <w:rsid w:val="00CA1159"/>
    <w:rsid w:val="00CA12E7"/>
    <w:rsid w:val="00CA214D"/>
    <w:rsid w:val="00CA2869"/>
    <w:rsid w:val="00CA28DC"/>
    <w:rsid w:val="00CA2ABA"/>
    <w:rsid w:val="00CA2D54"/>
    <w:rsid w:val="00CA369A"/>
    <w:rsid w:val="00CA3815"/>
    <w:rsid w:val="00CA3CEB"/>
    <w:rsid w:val="00CA4966"/>
    <w:rsid w:val="00CA4A30"/>
    <w:rsid w:val="00CA4CC5"/>
    <w:rsid w:val="00CA4D84"/>
    <w:rsid w:val="00CA4F00"/>
    <w:rsid w:val="00CA5954"/>
    <w:rsid w:val="00CA5DCF"/>
    <w:rsid w:val="00CA655D"/>
    <w:rsid w:val="00CA6A33"/>
    <w:rsid w:val="00CA6EAC"/>
    <w:rsid w:val="00CB0103"/>
    <w:rsid w:val="00CB1500"/>
    <w:rsid w:val="00CB19FC"/>
    <w:rsid w:val="00CB1B79"/>
    <w:rsid w:val="00CB2067"/>
    <w:rsid w:val="00CB2467"/>
    <w:rsid w:val="00CB2ED2"/>
    <w:rsid w:val="00CB3780"/>
    <w:rsid w:val="00CB3C83"/>
    <w:rsid w:val="00CB4174"/>
    <w:rsid w:val="00CB45E0"/>
    <w:rsid w:val="00CB4612"/>
    <w:rsid w:val="00CB4E82"/>
    <w:rsid w:val="00CB4FE7"/>
    <w:rsid w:val="00CB5865"/>
    <w:rsid w:val="00CB655F"/>
    <w:rsid w:val="00CB6A8D"/>
    <w:rsid w:val="00CB71E3"/>
    <w:rsid w:val="00CB7526"/>
    <w:rsid w:val="00CB7BED"/>
    <w:rsid w:val="00CB7C99"/>
    <w:rsid w:val="00CC076B"/>
    <w:rsid w:val="00CC0EA7"/>
    <w:rsid w:val="00CC11C6"/>
    <w:rsid w:val="00CC1338"/>
    <w:rsid w:val="00CC157C"/>
    <w:rsid w:val="00CC346F"/>
    <w:rsid w:val="00CC377B"/>
    <w:rsid w:val="00CC3AEB"/>
    <w:rsid w:val="00CC3B0A"/>
    <w:rsid w:val="00CC4208"/>
    <w:rsid w:val="00CC43B6"/>
    <w:rsid w:val="00CC44D6"/>
    <w:rsid w:val="00CC4AAB"/>
    <w:rsid w:val="00CC4C3B"/>
    <w:rsid w:val="00CC4CF8"/>
    <w:rsid w:val="00CC5736"/>
    <w:rsid w:val="00CC598D"/>
    <w:rsid w:val="00CC5F21"/>
    <w:rsid w:val="00CC6197"/>
    <w:rsid w:val="00CC61F5"/>
    <w:rsid w:val="00CC6461"/>
    <w:rsid w:val="00CC6CC9"/>
    <w:rsid w:val="00CC7260"/>
    <w:rsid w:val="00CC743C"/>
    <w:rsid w:val="00CC7738"/>
    <w:rsid w:val="00CC7AF0"/>
    <w:rsid w:val="00CD0273"/>
    <w:rsid w:val="00CD1939"/>
    <w:rsid w:val="00CD19D7"/>
    <w:rsid w:val="00CD1B9F"/>
    <w:rsid w:val="00CD23D6"/>
    <w:rsid w:val="00CD2686"/>
    <w:rsid w:val="00CD290C"/>
    <w:rsid w:val="00CD2CFA"/>
    <w:rsid w:val="00CD3455"/>
    <w:rsid w:val="00CD34CA"/>
    <w:rsid w:val="00CD352C"/>
    <w:rsid w:val="00CD3CC6"/>
    <w:rsid w:val="00CD3E68"/>
    <w:rsid w:val="00CD41FB"/>
    <w:rsid w:val="00CD4868"/>
    <w:rsid w:val="00CD501A"/>
    <w:rsid w:val="00CD50A8"/>
    <w:rsid w:val="00CD54F2"/>
    <w:rsid w:val="00CD557C"/>
    <w:rsid w:val="00CD5F32"/>
    <w:rsid w:val="00CD6324"/>
    <w:rsid w:val="00CD6748"/>
    <w:rsid w:val="00CD6B04"/>
    <w:rsid w:val="00CD6FE0"/>
    <w:rsid w:val="00CD70A3"/>
    <w:rsid w:val="00CD70E6"/>
    <w:rsid w:val="00CD73DB"/>
    <w:rsid w:val="00CD770B"/>
    <w:rsid w:val="00CD7848"/>
    <w:rsid w:val="00CD790D"/>
    <w:rsid w:val="00CD7A01"/>
    <w:rsid w:val="00CD7C40"/>
    <w:rsid w:val="00CD7C79"/>
    <w:rsid w:val="00CE0390"/>
    <w:rsid w:val="00CE0DE7"/>
    <w:rsid w:val="00CE11BB"/>
    <w:rsid w:val="00CE1536"/>
    <w:rsid w:val="00CE1649"/>
    <w:rsid w:val="00CE181D"/>
    <w:rsid w:val="00CE19C4"/>
    <w:rsid w:val="00CE248F"/>
    <w:rsid w:val="00CE3925"/>
    <w:rsid w:val="00CE3AC5"/>
    <w:rsid w:val="00CE3F0E"/>
    <w:rsid w:val="00CE4291"/>
    <w:rsid w:val="00CE499E"/>
    <w:rsid w:val="00CE4CAA"/>
    <w:rsid w:val="00CE513A"/>
    <w:rsid w:val="00CE52FE"/>
    <w:rsid w:val="00CE550C"/>
    <w:rsid w:val="00CE766B"/>
    <w:rsid w:val="00CE7FAA"/>
    <w:rsid w:val="00CF037A"/>
    <w:rsid w:val="00CF053F"/>
    <w:rsid w:val="00CF07DC"/>
    <w:rsid w:val="00CF0A7A"/>
    <w:rsid w:val="00CF0C89"/>
    <w:rsid w:val="00CF0D25"/>
    <w:rsid w:val="00CF15A6"/>
    <w:rsid w:val="00CF170E"/>
    <w:rsid w:val="00CF1DBE"/>
    <w:rsid w:val="00CF28B3"/>
    <w:rsid w:val="00CF2A25"/>
    <w:rsid w:val="00CF2A70"/>
    <w:rsid w:val="00CF3447"/>
    <w:rsid w:val="00CF36BD"/>
    <w:rsid w:val="00CF3F92"/>
    <w:rsid w:val="00CF4409"/>
    <w:rsid w:val="00CF4A07"/>
    <w:rsid w:val="00CF4E94"/>
    <w:rsid w:val="00CF583A"/>
    <w:rsid w:val="00CF5ED7"/>
    <w:rsid w:val="00CF6267"/>
    <w:rsid w:val="00CF62CB"/>
    <w:rsid w:val="00CF6BAB"/>
    <w:rsid w:val="00CF6F7C"/>
    <w:rsid w:val="00CF71BF"/>
    <w:rsid w:val="00CF773C"/>
    <w:rsid w:val="00CF7B33"/>
    <w:rsid w:val="00CF7E06"/>
    <w:rsid w:val="00D006B8"/>
    <w:rsid w:val="00D0079F"/>
    <w:rsid w:val="00D00881"/>
    <w:rsid w:val="00D00D3F"/>
    <w:rsid w:val="00D01C1E"/>
    <w:rsid w:val="00D01C7A"/>
    <w:rsid w:val="00D02571"/>
    <w:rsid w:val="00D026AC"/>
    <w:rsid w:val="00D027AF"/>
    <w:rsid w:val="00D03D16"/>
    <w:rsid w:val="00D03F23"/>
    <w:rsid w:val="00D042ED"/>
    <w:rsid w:val="00D045BC"/>
    <w:rsid w:val="00D047AB"/>
    <w:rsid w:val="00D04FB7"/>
    <w:rsid w:val="00D04FE2"/>
    <w:rsid w:val="00D051D1"/>
    <w:rsid w:val="00D05334"/>
    <w:rsid w:val="00D056F3"/>
    <w:rsid w:val="00D05BC9"/>
    <w:rsid w:val="00D062E3"/>
    <w:rsid w:val="00D0677B"/>
    <w:rsid w:val="00D06D14"/>
    <w:rsid w:val="00D06F16"/>
    <w:rsid w:val="00D100DA"/>
    <w:rsid w:val="00D101E0"/>
    <w:rsid w:val="00D107AE"/>
    <w:rsid w:val="00D1097B"/>
    <w:rsid w:val="00D10B1C"/>
    <w:rsid w:val="00D10EFD"/>
    <w:rsid w:val="00D11076"/>
    <w:rsid w:val="00D112A4"/>
    <w:rsid w:val="00D11363"/>
    <w:rsid w:val="00D1145A"/>
    <w:rsid w:val="00D11DF4"/>
    <w:rsid w:val="00D1217D"/>
    <w:rsid w:val="00D126CA"/>
    <w:rsid w:val="00D135F7"/>
    <w:rsid w:val="00D1364D"/>
    <w:rsid w:val="00D13989"/>
    <w:rsid w:val="00D13B2B"/>
    <w:rsid w:val="00D142A9"/>
    <w:rsid w:val="00D14574"/>
    <w:rsid w:val="00D14595"/>
    <w:rsid w:val="00D145E3"/>
    <w:rsid w:val="00D145F3"/>
    <w:rsid w:val="00D146AD"/>
    <w:rsid w:val="00D14B28"/>
    <w:rsid w:val="00D14F74"/>
    <w:rsid w:val="00D1574F"/>
    <w:rsid w:val="00D15A0F"/>
    <w:rsid w:val="00D15DF5"/>
    <w:rsid w:val="00D1638B"/>
    <w:rsid w:val="00D163BA"/>
    <w:rsid w:val="00D16926"/>
    <w:rsid w:val="00D200A2"/>
    <w:rsid w:val="00D2035E"/>
    <w:rsid w:val="00D20464"/>
    <w:rsid w:val="00D20993"/>
    <w:rsid w:val="00D20AE0"/>
    <w:rsid w:val="00D20C0B"/>
    <w:rsid w:val="00D20C67"/>
    <w:rsid w:val="00D21403"/>
    <w:rsid w:val="00D21791"/>
    <w:rsid w:val="00D22E6B"/>
    <w:rsid w:val="00D233CE"/>
    <w:rsid w:val="00D235CC"/>
    <w:rsid w:val="00D2396B"/>
    <w:rsid w:val="00D23FFC"/>
    <w:rsid w:val="00D24553"/>
    <w:rsid w:val="00D251C8"/>
    <w:rsid w:val="00D257E5"/>
    <w:rsid w:val="00D259DD"/>
    <w:rsid w:val="00D25C5D"/>
    <w:rsid w:val="00D26519"/>
    <w:rsid w:val="00D26CFE"/>
    <w:rsid w:val="00D26D93"/>
    <w:rsid w:val="00D26ECD"/>
    <w:rsid w:val="00D2703C"/>
    <w:rsid w:val="00D27529"/>
    <w:rsid w:val="00D27B57"/>
    <w:rsid w:val="00D27B6A"/>
    <w:rsid w:val="00D27BC8"/>
    <w:rsid w:val="00D27F57"/>
    <w:rsid w:val="00D27F6D"/>
    <w:rsid w:val="00D31268"/>
    <w:rsid w:val="00D312A4"/>
    <w:rsid w:val="00D31ADA"/>
    <w:rsid w:val="00D32B47"/>
    <w:rsid w:val="00D32CF4"/>
    <w:rsid w:val="00D32DD5"/>
    <w:rsid w:val="00D32F1C"/>
    <w:rsid w:val="00D331E0"/>
    <w:rsid w:val="00D33526"/>
    <w:rsid w:val="00D33571"/>
    <w:rsid w:val="00D33AC3"/>
    <w:rsid w:val="00D34C54"/>
    <w:rsid w:val="00D35102"/>
    <w:rsid w:val="00D3574D"/>
    <w:rsid w:val="00D35AC3"/>
    <w:rsid w:val="00D35CD5"/>
    <w:rsid w:val="00D36086"/>
    <w:rsid w:val="00D366BC"/>
    <w:rsid w:val="00D369D9"/>
    <w:rsid w:val="00D36C84"/>
    <w:rsid w:val="00D3765B"/>
    <w:rsid w:val="00D37693"/>
    <w:rsid w:val="00D376BC"/>
    <w:rsid w:val="00D37F97"/>
    <w:rsid w:val="00D40A02"/>
    <w:rsid w:val="00D41396"/>
    <w:rsid w:val="00D4153F"/>
    <w:rsid w:val="00D418E4"/>
    <w:rsid w:val="00D419CF"/>
    <w:rsid w:val="00D41C0B"/>
    <w:rsid w:val="00D4299D"/>
    <w:rsid w:val="00D431CB"/>
    <w:rsid w:val="00D43238"/>
    <w:rsid w:val="00D4335C"/>
    <w:rsid w:val="00D439EC"/>
    <w:rsid w:val="00D43BE1"/>
    <w:rsid w:val="00D44A7E"/>
    <w:rsid w:val="00D44D0E"/>
    <w:rsid w:val="00D44F06"/>
    <w:rsid w:val="00D45B2B"/>
    <w:rsid w:val="00D45FEC"/>
    <w:rsid w:val="00D466D6"/>
    <w:rsid w:val="00D46C75"/>
    <w:rsid w:val="00D470D3"/>
    <w:rsid w:val="00D503F4"/>
    <w:rsid w:val="00D504AE"/>
    <w:rsid w:val="00D5072E"/>
    <w:rsid w:val="00D5075F"/>
    <w:rsid w:val="00D50FD9"/>
    <w:rsid w:val="00D528BD"/>
    <w:rsid w:val="00D52EF3"/>
    <w:rsid w:val="00D52F5D"/>
    <w:rsid w:val="00D5316F"/>
    <w:rsid w:val="00D5357D"/>
    <w:rsid w:val="00D53E01"/>
    <w:rsid w:val="00D5408F"/>
    <w:rsid w:val="00D545A8"/>
    <w:rsid w:val="00D54880"/>
    <w:rsid w:val="00D54CA5"/>
    <w:rsid w:val="00D5557E"/>
    <w:rsid w:val="00D5645C"/>
    <w:rsid w:val="00D5690B"/>
    <w:rsid w:val="00D5696F"/>
    <w:rsid w:val="00D5738B"/>
    <w:rsid w:val="00D57745"/>
    <w:rsid w:val="00D57D60"/>
    <w:rsid w:val="00D57E13"/>
    <w:rsid w:val="00D60127"/>
    <w:rsid w:val="00D601E6"/>
    <w:rsid w:val="00D60E3F"/>
    <w:rsid w:val="00D6125A"/>
    <w:rsid w:val="00D61550"/>
    <w:rsid w:val="00D616DB"/>
    <w:rsid w:val="00D6174F"/>
    <w:rsid w:val="00D61822"/>
    <w:rsid w:val="00D61BEC"/>
    <w:rsid w:val="00D61D8F"/>
    <w:rsid w:val="00D62C48"/>
    <w:rsid w:val="00D62CAA"/>
    <w:rsid w:val="00D62D54"/>
    <w:rsid w:val="00D64030"/>
    <w:rsid w:val="00D64249"/>
    <w:rsid w:val="00D64351"/>
    <w:rsid w:val="00D64A45"/>
    <w:rsid w:val="00D64CF8"/>
    <w:rsid w:val="00D656F9"/>
    <w:rsid w:val="00D65A97"/>
    <w:rsid w:val="00D65F0F"/>
    <w:rsid w:val="00D661A0"/>
    <w:rsid w:val="00D66418"/>
    <w:rsid w:val="00D66763"/>
    <w:rsid w:val="00D66D3E"/>
    <w:rsid w:val="00D66D9A"/>
    <w:rsid w:val="00D67870"/>
    <w:rsid w:val="00D67BD6"/>
    <w:rsid w:val="00D67C55"/>
    <w:rsid w:val="00D704D4"/>
    <w:rsid w:val="00D712E2"/>
    <w:rsid w:val="00D713A3"/>
    <w:rsid w:val="00D71A77"/>
    <w:rsid w:val="00D71F3B"/>
    <w:rsid w:val="00D721F6"/>
    <w:rsid w:val="00D72204"/>
    <w:rsid w:val="00D723BE"/>
    <w:rsid w:val="00D7254F"/>
    <w:rsid w:val="00D72759"/>
    <w:rsid w:val="00D72813"/>
    <w:rsid w:val="00D72841"/>
    <w:rsid w:val="00D72F8B"/>
    <w:rsid w:val="00D731E1"/>
    <w:rsid w:val="00D73231"/>
    <w:rsid w:val="00D739C2"/>
    <w:rsid w:val="00D74115"/>
    <w:rsid w:val="00D74839"/>
    <w:rsid w:val="00D74A3E"/>
    <w:rsid w:val="00D74A4D"/>
    <w:rsid w:val="00D74A9A"/>
    <w:rsid w:val="00D74E26"/>
    <w:rsid w:val="00D754F9"/>
    <w:rsid w:val="00D75B78"/>
    <w:rsid w:val="00D76246"/>
    <w:rsid w:val="00D768CF"/>
    <w:rsid w:val="00D76A8B"/>
    <w:rsid w:val="00D76ABD"/>
    <w:rsid w:val="00D76E9A"/>
    <w:rsid w:val="00D7758D"/>
    <w:rsid w:val="00D77E3D"/>
    <w:rsid w:val="00D77F4F"/>
    <w:rsid w:val="00D80256"/>
    <w:rsid w:val="00D802E6"/>
    <w:rsid w:val="00D80807"/>
    <w:rsid w:val="00D80B02"/>
    <w:rsid w:val="00D80D81"/>
    <w:rsid w:val="00D8174C"/>
    <w:rsid w:val="00D81FA9"/>
    <w:rsid w:val="00D8227F"/>
    <w:rsid w:val="00D822B1"/>
    <w:rsid w:val="00D82366"/>
    <w:rsid w:val="00D82D9B"/>
    <w:rsid w:val="00D839A5"/>
    <w:rsid w:val="00D83E96"/>
    <w:rsid w:val="00D840A4"/>
    <w:rsid w:val="00D8441A"/>
    <w:rsid w:val="00D850E4"/>
    <w:rsid w:val="00D8612B"/>
    <w:rsid w:val="00D86985"/>
    <w:rsid w:val="00D86F87"/>
    <w:rsid w:val="00D8716A"/>
    <w:rsid w:val="00D87D7A"/>
    <w:rsid w:val="00D87E28"/>
    <w:rsid w:val="00D90173"/>
    <w:rsid w:val="00D9080A"/>
    <w:rsid w:val="00D908F2"/>
    <w:rsid w:val="00D90D84"/>
    <w:rsid w:val="00D90E85"/>
    <w:rsid w:val="00D90E95"/>
    <w:rsid w:val="00D912BD"/>
    <w:rsid w:val="00D914E3"/>
    <w:rsid w:val="00D9211D"/>
    <w:rsid w:val="00D926C7"/>
    <w:rsid w:val="00D927C0"/>
    <w:rsid w:val="00D932F3"/>
    <w:rsid w:val="00D938B5"/>
    <w:rsid w:val="00D94297"/>
    <w:rsid w:val="00D94CDD"/>
    <w:rsid w:val="00D9511B"/>
    <w:rsid w:val="00D95B4F"/>
    <w:rsid w:val="00D95BD3"/>
    <w:rsid w:val="00D963CA"/>
    <w:rsid w:val="00D96B4F"/>
    <w:rsid w:val="00D96CCA"/>
    <w:rsid w:val="00D96E33"/>
    <w:rsid w:val="00D96E35"/>
    <w:rsid w:val="00D96F7F"/>
    <w:rsid w:val="00D97133"/>
    <w:rsid w:val="00D973B7"/>
    <w:rsid w:val="00D97AF2"/>
    <w:rsid w:val="00D97CF0"/>
    <w:rsid w:val="00DA09D5"/>
    <w:rsid w:val="00DA0A66"/>
    <w:rsid w:val="00DA0AA7"/>
    <w:rsid w:val="00DA0CE9"/>
    <w:rsid w:val="00DA0E46"/>
    <w:rsid w:val="00DA102C"/>
    <w:rsid w:val="00DA1131"/>
    <w:rsid w:val="00DA18DD"/>
    <w:rsid w:val="00DA1960"/>
    <w:rsid w:val="00DA221F"/>
    <w:rsid w:val="00DA2290"/>
    <w:rsid w:val="00DA3574"/>
    <w:rsid w:val="00DA3F7D"/>
    <w:rsid w:val="00DA43D2"/>
    <w:rsid w:val="00DA52CA"/>
    <w:rsid w:val="00DA56E7"/>
    <w:rsid w:val="00DA636F"/>
    <w:rsid w:val="00DA64D6"/>
    <w:rsid w:val="00DA6DA8"/>
    <w:rsid w:val="00DA6E46"/>
    <w:rsid w:val="00DA7192"/>
    <w:rsid w:val="00DA71B4"/>
    <w:rsid w:val="00DA7709"/>
    <w:rsid w:val="00DA7EF0"/>
    <w:rsid w:val="00DB0D48"/>
    <w:rsid w:val="00DB1257"/>
    <w:rsid w:val="00DB12A0"/>
    <w:rsid w:val="00DB17C4"/>
    <w:rsid w:val="00DB19AA"/>
    <w:rsid w:val="00DB1A0F"/>
    <w:rsid w:val="00DB1B7A"/>
    <w:rsid w:val="00DB20B4"/>
    <w:rsid w:val="00DB2ACB"/>
    <w:rsid w:val="00DB2EC3"/>
    <w:rsid w:val="00DB3141"/>
    <w:rsid w:val="00DB33F9"/>
    <w:rsid w:val="00DB341F"/>
    <w:rsid w:val="00DB3948"/>
    <w:rsid w:val="00DB3D0C"/>
    <w:rsid w:val="00DB4331"/>
    <w:rsid w:val="00DB4662"/>
    <w:rsid w:val="00DB485A"/>
    <w:rsid w:val="00DB4E92"/>
    <w:rsid w:val="00DB54C5"/>
    <w:rsid w:val="00DB599C"/>
    <w:rsid w:val="00DB5A18"/>
    <w:rsid w:val="00DB614E"/>
    <w:rsid w:val="00DB6184"/>
    <w:rsid w:val="00DB6660"/>
    <w:rsid w:val="00DB6B66"/>
    <w:rsid w:val="00DB6DE0"/>
    <w:rsid w:val="00DB7EBD"/>
    <w:rsid w:val="00DC07DC"/>
    <w:rsid w:val="00DC08F6"/>
    <w:rsid w:val="00DC0C16"/>
    <w:rsid w:val="00DC0EB1"/>
    <w:rsid w:val="00DC0F58"/>
    <w:rsid w:val="00DC2546"/>
    <w:rsid w:val="00DC296E"/>
    <w:rsid w:val="00DC301A"/>
    <w:rsid w:val="00DC31AD"/>
    <w:rsid w:val="00DC379D"/>
    <w:rsid w:val="00DC39A7"/>
    <w:rsid w:val="00DC39D7"/>
    <w:rsid w:val="00DC4505"/>
    <w:rsid w:val="00DC4C85"/>
    <w:rsid w:val="00DC53D7"/>
    <w:rsid w:val="00DC5483"/>
    <w:rsid w:val="00DC5597"/>
    <w:rsid w:val="00DC5F5C"/>
    <w:rsid w:val="00DC6076"/>
    <w:rsid w:val="00DC6A2F"/>
    <w:rsid w:val="00DC6AEE"/>
    <w:rsid w:val="00DC6F22"/>
    <w:rsid w:val="00DC6FA9"/>
    <w:rsid w:val="00DC751A"/>
    <w:rsid w:val="00DC797C"/>
    <w:rsid w:val="00DC7D1E"/>
    <w:rsid w:val="00DC7FAD"/>
    <w:rsid w:val="00DD1414"/>
    <w:rsid w:val="00DD15FD"/>
    <w:rsid w:val="00DD22EC"/>
    <w:rsid w:val="00DD22F3"/>
    <w:rsid w:val="00DD28B2"/>
    <w:rsid w:val="00DD2CED"/>
    <w:rsid w:val="00DD313D"/>
    <w:rsid w:val="00DD3445"/>
    <w:rsid w:val="00DD3462"/>
    <w:rsid w:val="00DD382C"/>
    <w:rsid w:val="00DD3934"/>
    <w:rsid w:val="00DD39AC"/>
    <w:rsid w:val="00DD39F4"/>
    <w:rsid w:val="00DD3EDC"/>
    <w:rsid w:val="00DD4468"/>
    <w:rsid w:val="00DD483C"/>
    <w:rsid w:val="00DD4E3A"/>
    <w:rsid w:val="00DD5057"/>
    <w:rsid w:val="00DD54C7"/>
    <w:rsid w:val="00DD5ABC"/>
    <w:rsid w:val="00DD6088"/>
    <w:rsid w:val="00DD6236"/>
    <w:rsid w:val="00DD64DA"/>
    <w:rsid w:val="00DD69EE"/>
    <w:rsid w:val="00DD6B56"/>
    <w:rsid w:val="00DE0CA7"/>
    <w:rsid w:val="00DE0E38"/>
    <w:rsid w:val="00DE1D10"/>
    <w:rsid w:val="00DE2083"/>
    <w:rsid w:val="00DE2986"/>
    <w:rsid w:val="00DE315D"/>
    <w:rsid w:val="00DE3A8A"/>
    <w:rsid w:val="00DE3E0D"/>
    <w:rsid w:val="00DE428F"/>
    <w:rsid w:val="00DE42A3"/>
    <w:rsid w:val="00DE45B9"/>
    <w:rsid w:val="00DE4635"/>
    <w:rsid w:val="00DE4768"/>
    <w:rsid w:val="00DE49FF"/>
    <w:rsid w:val="00DE4ACA"/>
    <w:rsid w:val="00DE4F22"/>
    <w:rsid w:val="00DE5630"/>
    <w:rsid w:val="00DE58B3"/>
    <w:rsid w:val="00DE62A5"/>
    <w:rsid w:val="00DF0734"/>
    <w:rsid w:val="00DF07D9"/>
    <w:rsid w:val="00DF1219"/>
    <w:rsid w:val="00DF141D"/>
    <w:rsid w:val="00DF1929"/>
    <w:rsid w:val="00DF1AAC"/>
    <w:rsid w:val="00DF2B88"/>
    <w:rsid w:val="00DF2E2D"/>
    <w:rsid w:val="00DF35A7"/>
    <w:rsid w:val="00DF491B"/>
    <w:rsid w:val="00DF4A31"/>
    <w:rsid w:val="00DF5B4C"/>
    <w:rsid w:val="00DF5F9D"/>
    <w:rsid w:val="00DF6657"/>
    <w:rsid w:val="00DF7713"/>
    <w:rsid w:val="00DF7E7A"/>
    <w:rsid w:val="00E004AD"/>
    <w:rsid w:val="00E005F3"/>
    <w:rsid w:val="00E007C8"/>
    <w:rsid w:val="00E00B0A"/>
    <w:rsid w:val="00E01D82"/>
    <w:rsid w:val="00E01EE4"/>
    <w:rsid w:val="00E02078"/>
    <w:rsid w:val="00E02301"/>
    <w:rsid w:val="00E02405"/>
    <w:rsid w:val="00E0244B"/>
    <w:rsid w:val="00E026B9"/>
    <w:rsid w:val="00E02FB6"/>
    <w:rsid w:val="00E033A4"/>
    <w:rsid w:val="00E03761"/>
    <w:rsid w:val="00E03882"/>
    <w:rsid w:val="00E039A5"/>
    <w:rsid w:val="00E041D4"/>
    <w:rsid w:val="00E04280"/>
    <w:rsid w:val="00E049AD"/>
    <w:rsid w:val="00E065D4"/>
    <w:rsid w:val="00E06B95"/>
    <w:rsid w:val="00E06E10"/>
    <w:rsid w:val="00E07B6A"/>
    <w:rsid w:val="00E10E1D"/>
    <w:rsid w:val="00E1135F"/>
    <w:rsid w:val="00E11D0F"/>
    <w:rsid w:val="00E11D9D"/>
    <w:rsid w:val="00E123CB"/>
    <w:rsid w:val="00E12546"/>
    <w:rsid w:val="00E126CF"/>
    <w:rsid w:val="00E12A66"/>
    <w:rsid w:val="00E13116"/>
    <w:rsid w:val="00E1323F"/>
    <w:rsid w:val="00E13290"/>
    <w:rsid w:val="00E137D6"/>
    <w:rsid w:val="00E13EF2"/>
    <w:rsid w:val="00E15B67"/>
    <w:rsid w:val="00E15D0E"/>
    <w:rsid w:val="00E15E70"/>
    <w:rsid w:val="00E163DB"/>
    <w:rsid w:val="00E16AFC"/>
    <w:rsid w:val="00E16B3E"/>
    <w:rsid w:val="00E1756D"/>
    <w:rsid w:val="00E17813"/>
    <w:rsid w:val="00E178F9"/>
    <w:rsid w:val="00E17987"/>
    <w:rsid w:val="00E17C59"/>
    <w:rsid w:val="00E17EFF"/>
    <w:rsid w:val="00E207CC"/>
    <w:rsid w:val="00E20FF2"/>
    <w:rsid w:val="00E2144E"/>
    <w:rsid w:val="00E21809"/>
    <w:rsid w:val="00E21E98"/>
    <w:rsid w:val="00E21FEE"/>
    <w:rsid w:val="00E2259C"/>
    <w:rsid w:val="00E225A9"/>
    <w:rsid w:val="00E2289F"/>
    <w:rsid w:val="00E2299C"/>
    <w:rsid w:val="00E22B1A"/>
    <w:rsid w:val="00E22DF9"/>
    <w:rsid w:val="00E22E7D"/>
    <w:rsid w:val="00E230E8"/>
    <w:rsid w:val="00E2334E"/>
    <w:rsid w:val="00E2358D"/>
    <w:rsid w:val="00E23689"/>
    <w:rsid w:val="00E23BFF"/>
    <w:rsid w:val="00E23E70"/>
    <w:rsid w:val="00E2426B"/>
    <w:rsid w:val="00E24CA7"/>
    <w:rsid w:val="00E24D06"/>
    <w:rsid w:val="00E24E40"/>
    <w:rsid w:val="00E2546A"/>
    <w:rsid w:val="00E25CF8"/>
    <w:rsid w:val="00E26FA0"/>
    <w:rsid w:val="00E277C8"/>
    <w:rsid w:val="00E27AB5"/>
    <w:rsid w:val="00E27C01"/>
    <w:rsid w:val="00E27E61"/>
    <w:rsid w:val="00E3062C"/>
    <w:rsid w:val="00E30D3E"/>
    <w:rsid w:val="00E30E92"/>
    <w:rsid w:val="00E31228"/>
    <w:rsid w:val="00E3146D"/>
    <w:rsid w:val="00E315FE"/>
    <w:rsid w:val="00E3162F"/>
    <w:rsid w:val="00E31748"/>
    <w:rsid w:val="00E31827"/>
    <w:rsid w:val="00E31FEF"/>
    <w:rsid w:val="00E32BA2"/>
    <w:rsid w:val="00E33134"/>
    <w:rsid w:val="00E333AC"/>
    <w:rsid w:val="00E336B9"/>
    <w:rsid w:val="00E33AB3"/>
    <w:rsid w:val="00E340B4"/>
    <w:rsid w:val="00E3463A"/>
    <w:rsid w:val="00E349D1"/>
    <w:rsid w:val="00E34EE9"/>
    <w:rsid w:val="00E34F5C"/>
    <w:rsid w:val="00E354D5"/>
    <w:rsid w:val="00E358C8"/>
    <w:rsid w:val="00E36133"/>
    <w:rsid w:val="00E363AA"/>
    <w:rsid w:val="00E36563"/>
    <w:rsid w:val="00E365F8"/>
    <w:rsid w:val="00E36EF4"/>
    <w:rsid w:val="00E37311"/>
    <w:rsid w:val="00E37635"/>
    <w:rsid w:val="00E4041D"/>
    <w:rsid w:val="00E40501"/>
    <w:rsid w:val="00E40647"/>
    <w:rsid w:val="00E4073C"/>
    <w:rsid w:val="00E40D8C"/>
    <w:rsid w:val="00E41ADA"/>
    <w:rsid w:val="00E41DB5"/>
    <w:rsid w:val="00E41E84"/>
    <w:rsid w:val="00E42BEA"/>
    <w:rsid w:val="00E43356"/>
    <w:rsid w:val="00E43549"/>
    <w:rsid w:val="00E44908"/>
    <w:rsid w:val="00E44A23"/>
    <w:rsid w:val="00E45672"/>
    <w:rsid w:val="00E45726"/>
    <w:rsid w:val="00E45F00"/>
    <w:rsid w:val="00E45FED"/>
    <w:rsid w:val="00E46056"/>
    <w:rsid w:val="00E4621D"/>
    <w:rsid w:val="00E4683D"/>
    <w:rsid w:val="00E473E1"/>
    <w:rsid w:val="00E477C3"/>
    <w:rsid w:val="00E47AC4"/>
    <w:rsid w:val="00E5068D"/>
    <w:rsid w:val="00E508AD"/>
    <w:rsid w:val="00E51BF4"/>
    <w:rsid w:val="00E51D28"/>
    <w:rsid w:val="00E52124"/>
    <w:rsid w:val="00E52313"/>
    <w:rsid w:val="00E53E1A"/>
    <w:rsid w:val="00E54B1E"/>
    <w:rsid w:val="00E54B91"/>
    <w:rsid w:val="00E55474"/>
    <w:rsid w:val="00E55837"/>
    <w:rsid w:val="00E558F9"/>
    <w:rsid w:val="00E55CFA"/>
    <w:rsid w:val="00E55EB9"/>
    <w:rsid w:val="00E55ED7"/>
    <w:rsid w:val="00E56825"/>
    <w:rsid w:val="00E56ACF"/>
    <w:rsid w:val="00E56BA8"/>
    <w:rsid w:val="00E56EC1"/>
    <w:rsid w:val="00E572BB"/>
    <w:rsid w:val="00E575A5"/>
    <w:rsid w:val="00E575BA"/>
    <w:rsid w:val="00E57675"/>
    <w:rsid w:val="00E57E57"/>
    <w:rsid w:val="00E57F56"/>
    <w:rsid w:val="00E6010C"/>
    <w:rsid w:val="00E6049D"/>
    <w:rsid w:val="00E606AD"/>
    <w:rsid w:val="00E60C39"/>
    <w:rsid w:val="00E6119E"/>
    <w:rsid w:val="00E61700"/>
    <w:rsid w:val="00E61ADE"/>
    <w:rsid w:val="00E620C7"/>
    <w:rsid w:val="00E62924"/>
    <w:rsid w:val="00E6294E"/>
    <w:rsid w:val="00E63356"/>
    <w:rsid w:val="00E6492F"/>
    <w:rsid w:val="00E653D9"/>
    <w:rsid w:val="00E65492"/>
    <w:rsid w:val="00E65FDB"/>
    <w:rsid w:val="00E66232"/>
    <w:rsid w:val="00E66328"/>
    <w:rsid w:val="00E6652D"/>
    <w:rsid w:val="00E6655C"/>
    <w:rsid w:val="00E679B3"/>
    <w:rsid w:val="00E70019"/>
    <w:rsid w:val="00E7058D"/>
    <w:rsid w:val="00E707D1"/>
    <w:rsid w:val="00E70962"/>
    <w:rsid w:val="00E709F2"/>
    <w:rsid w:val="00E70A2D"/>
    <w:rsid w:val="00E70AD2"/>
    <w:rsid w:val="00E70B72"/>
    <w:rsid w:val="00E70D30"/>
    <w:rsid w:val="00E70E97"/>
    <w:rsid w:val="00E71E56"/>
    <w:rsid w:val="00E7224C"/>
    <w:rsid w:val="00E7229F"/>
    <w:rsid w:val="00E72ABA"/>
    <w:rsid w:val="00E72EBF"/>
    <w:rsid w:val="00E72ECB"/>
    <w:rsid w:val="00E7355D"/>
    <w:rsid w:val="00E73605"/>
    <w:rsid w:val="00E73B12"/>
    <w:rsid w:val="00E7401B"/>
    <w:rsid w:val="00E7412B"/>
    <w:rsid w:val="00E74466"/>
    <w:rsid w:val="00E74527"/>
    <w:rsid w:val="00E7521E"/>
    <w:rsid w:val="00E75647"/>
    <w:rsid w:val="00E757C3"/>
    <w:rsid w:val="00E75BD5"/>
    <w:rsid w:val="00E765DA"/>
    <w:rsid w:val="00E7675B"/>
    <w:rsid w:val="00E76FFB"/>
    <w:rsid w:val="00E77AA2"/>
    <w:rsid w:val="00E77D3C"/>
    <w:rsid w:val="00E77E34"/>
    <w:rsid w:val="00E80F33"/>
    <w:rsid w:val="00E80FCA"/>
    <w:rsid w:val="00E811B7"/>
    <w:rsid w:val="00E811C3"/>
    <w:rsid w:val="00E81924"/>
    <w:rsid w:val="00E81A91"/>
    <w:rsid w:val="00E81C72"/>
    <w:rsid w:val="00E81F62"/>
    <w:rsid w:val="00E8202F"/>
    <w:rsid w:val="00E828FF"/>
    <w:rsid w:val="00E829D0"/>
    <w:rsid w:val="00E82B5E"/>
    <w:rsid w:val="00E82FCB"/>
    <w:rsid w:val="00E833D3"/>
    <w:rsid w:val="00E833D4"/>
    <w:rsid w:val="00E83B34"/>
    <w:rsid w:val="00E848C8"/>
    <w:rsid w:val="00E84B1F"/>
    <w:rsid w:val="00E84C35"/>
    <w:rsid w:val="00E84EFC"/>
    <w:rsid w:val="00E85225"/>
    <w:rsid w:val="00E85DF4"/>
    <w:rsid w:val="00E85F6A"/>
    <w:rsid w:val="00E86C5F"/>
    <w:rsid w:val="00E875B5"/>
    <w:rsid w:val="00E906C7"/>
    <w:rsid w:val="00E90BD7"/>
    <w:rsid w:val="00E90F86"/>
    <w:rsid w:val="00E9290B"/>
    <w:rsid w:val="00E92F62"/>
    <w:rsid w:val="00E931F0"/>
    <w:rsid w:val="00E933D3"/>
    <w:rsid w:val="00E93C4E"/>
    <w:rsid w:val="00E93D60"/>
    <w:rsid w:val="00E95208"/>
    <w:rsid w:val="00E95948"/>
    <w:rsid w:val="00E95B44"/>
    <w:rsid w:val="00E95DD6"/>
    <w:rsid w:val="00E95F39"/>
    <w:rsid w:val="00E9667C"/>
    <w:rsid w:val="00E96779"/>
    <w:rsid w:val="00E96893"/>
    <w:rsid w:val="00E96C1A"/>
    <w:rsid w:val="00E9719B"/>
    <w:rsid w:val="00E974CF"/>
    <w:rsid w:val="00E97578"/>
    <w:rsid w:val="00E97664"/>
    <w:rsid w:val="00E97FDA"/>
    <w:rsid w:val="00EA01DB"/>
    <w:rsid w:val="00EA038A"/>
    <w:rsid w:val="00EA0A98"/>
    <w:rsid w:val="00EA177B"/>
    <w:rsid w:val="00EA1807"/>
    <w:rsid w:val="00EA18C6"/>
    <w:rsid w:val="00EA1949"/>
    <w:rsid w:val="00EA1FCF"/>
    <w:rsid w:val="00EA286F"/>
    <w:rsid w:val="00EA2B88"/>
    <w:rsid w:val="00EA2ED8"/>
    <w:rsid w:val="00EA31AB"/>
    <w:rsid w:val="00EA3228"/>
    <w:rsid w:val="00EA3490"/>
    <w:rsid w:val="00EA36A3"/>
    <w:rsid w:val="00EA390C"/>
    <w:rsid w:val="00EA3FAF"/>
    <w:rsid w:val="00EA40B7"/>
    <w:rsid w:val="00EA4C10"/>
    <w:rsid w:val="00EA4DC6"/>
    <w:rsid w:val="00EA528C"/>
    <w:rsid w:val="00EA52AC"/>
    <w:rsid w:val="00EA5C3F"/>
    <w:rsid w:val="00EA6CDF"/>
    <w:rsid w:val="00EA71E7"/>
    <w:rsid w:val="00EA7572"/>
    <w:rsid w:val="00EA79F5"/>
    <w:rsid w:val="00EA7C06"/>
    <w:rsid w:val="00EA7DA1"/>
    <w:rsid w:val="00EB06E4"/>
    <w:rsid w:val="00EB0AD7"/>
    <w:rsid w:val="00EB0CEA"/>
    <w:rsid w:val="00EB1418"/>
    <w:rsid w:val="00EB1847"/>
    <w:rsid w:val="00EB2690"/>
    <w:rsid w:val="00EB26CC"/>
    <w:rsid w:val="00EB26F5"/>
    <w:rsid w:val="00EB2AB8"/>
    <w:rsid w:val="00EB2B3A"/>
    <w:rsid w:val="00EB308A"/>
    <w:rsid w:val="00EB3190"/>
    <w:rsid w:val="00EB3265"/>
    <w:rsid w:val="00EB3611"/>
    <w:rsid w:val="00EB3778"/>
    <w:rsid w:val="00EB38EE"/>
    <w:rsid w:val="00EB3A1F"/>
    <w:rsid w:val="00EB3DDD"/>
    <w:rsid w:val="00EB3F85"/>
    <w:rsid w:val="00EB414F"/>
    <w:rsid w:val="00EB4894"/>
    <w:rsid w:val="00EB5089"/>
    <w:rsid w:val="00EB5F3B"/>
    <w:rsid w:val="00EB63D9"/>
    <w:rsid w:val="00EB67A7"/>
    <w:rsid w:val="00EB6C19"/>
    <w:rsid w:val="00EB71D5"/>
    <w:rsid w:val="00EB74B4"/>
    <w:rsid w:val="00EB74BC"/>
    <w:rsid w:val="00EB7E2E"/>
    <w:rsid w:val="00EC01B3"/>
    <w:rsid w:val="00EC0C3A"/>
    <w:rsid w:val="00EC0C6A"/>
    <w:rsid w:val="00EC160D"/>
    <w:rsid w:val="00EC1ACD"/>
    <w:rsid w:val="00EC1AED"/>
    <w:rsid w:val="00EC1D3D"/>
    <w:rsid w:val="00EC1D3F"/>
    <w:rsid w:val="00EC2E99"/>
    <w:rsid w:val="00EC3210"/>
    <w:rsid w:val="00EC3637"/>
    <w:rsid w:val="00EC3A44"/>
    <w:rsid w:val="00EC3C97"/>
    <w:rsid w:val="00EC498B"/>
    <w:rsid w:val="00EC4D85"/>
    <w:rsid w:val="00EC4FB3"/>
    <w:rsid w:val="00EC5377"/>
    <w:rsid w:val="00EC5ACF"/>
    <w:rsid w:val="00EC5F17"/>
    <w:rsid w:val="00EC6048"/>
    <w:rsid w:val="00EC6669"/>
    <w:rsid w:val="00EC6B54"/>
    <w:rsid w:val="00EC6BD2"/>
    <w:rsid w:val="00EC6E83"/>
    <w:rsid w:val="00EC6FB2"/>
    <w:rsid w:val="00EC7140"/>
    <w:rsid w:val="00EC7150"/>
    <w:rsid w:val="00EC7615"/>
    <w:rsid w:val="00EC7AEF"/>
    <w:rsid w:val="00ED0107"/>
    <w:rsid w:val="00ED01AC"/>
    <w:rsid w:val="00ED0C08"/>
    <w:rsid w:val="00ED108B"/>
    <w:rsid w:val="00ED157A"/>
    <w:rsid w:val="00ED1D4B"/>
    <w:rsid w:val="00ED1E8A"/>
    <w:rsid w:val="00ED1ECA"/>
    <w:rsid w:val="00ED2217"/>
    <w:rsid w:val="00ED2B51"/>
    <w:rsid w:val="00ED3716"/>
    <w:rsid w:val="00ED3821"/>
    <w:rsid w:val="00ED4CA0"/>
    <w:rsid w:val="00ED4FC7"/>
    <w:rsid w:val="00ED50FA"/>
    <w:rsid w:val="00ED53ED"/>
    <w:rsid w:val="00ED5705"/>
    <w:rsid w:val="00ED5739"/>
    <w:rsid w:val="00ED66DB"/>
    <w:rsid w:val="00ED67D6"/>
    <w:rsid w:val="00ED6914"/>
    <w:rsid w:val="00ED70CD"/>
    <w:rsid w:val="00ED7752"/>
    <w:rsid w:val="00ED7998"/>
    <w:rsid w:val="00EE1A64"/>
    <w:rsid w:val="00EE2177"/>
    <w:rsid w:val="00EE2231"/>
    <w:rsid w:val="00EE223E"/>
    <w:rsid w:val="00EE25FA"/>
    <w:rsid w:val="00EE2745"/>
    <w:rsid w:val="00EE2BB0"/>
    <w:rsid w:val="00EE3742"/>
    <w:rsid w:val="00EE3B69"/>
    <w:rsid w:val="00EE42D9"/>
    <w:rsid w:val="00EE4B50"/>
    <w:rsid w:val="00EE5B23"/>
    <w:rsid w:val="00EE63DD"/>
    <w:rsid w:val="00EE6AA7"/>
    <w:rsid w:val="00EE6D54"/>
    <w:rsid w:val="00EE7096"/>
    <w:rsid w:val="00EE74C1"/>
    <w:rsid w:val="00EE7AAA"/>
    <w:rsid w:val="00EF00AF"/>
    <w:rsid w:val="00EF07D6"/>
    <w:rsid w:val="00EF1079"/>
    <w:rsid w:val="00EF11F5"/>
    <w:rsid w:val="00EF18D5"/>
    <w:rsid w:val="00EF2059"/>
    <w:rsid w:val="00EF2A4E"/>
    <w:rsid w:val="00EF2AF3"/>
    <w:rsid w:val="00EF3AF1"/>
    <w:rsid w:val="00EF3C0F"/>
    <w:rsid w:val="00EF415F"/>
    <w:rsid w:val="00EF418A"/>
    <w:rsid w:val="00EF4A8F"/>
    <w:rsid w:val="00EF4C57"/>
    <w:rsid w:val="00EF5226"/>
    <w:rsid w:val="00EF53BA"/>
    <w:rsid w:val="00EF5763"/>
    <w:rsid w:val="00EF5A90"/>
    <w:rsid w:val="00EF6975"/>
    <w:rsid w:val="00EF6CB3"/>
    <w:rsid w:val="00EF7380"/>
    <w:rsid w:val="00EF7650"/>
    <w:rsid w:val="00EF7BDF"/>
    <w:rsid w:val="00F00F22"/>
    <w:rsid w:val="00F010FB"/>
    <w:rsid w:val="00F01193"/>
    <w:rsid w:val="00F01194"/>
    <w:rsid w:val="00F0138D"/>
    <w:rsid w:val="00F01B75"/>
    <w:rsid w:val="00F021B4"/>
    <w:rsid w:val="00F0349D"/>
    <w:rsid w:val="00F03562"/>
    <w:rsid w:val="00F03606"/>
    <w:rsid w:val="00F03DAF"/>
    <w:rsid w:val="00F03DC8"/>
    <w:rsid w:val="00F03FA5"/>
    <w:rsid w:val="00F043DA"/>
    <w:rsid w:val="00F050CA"/>
    <w:rsid w:val="00F0538D"/>
    <w:rsid w:val="00F0565E"/>
    <w:rsid w:val="00F05A7B"/>
    <w:rsid w:val="00F05F22"/>
    <w:rsid w:val="00F0642A"/>
    <w:rsid w:val="00F06449"/>
    <w:rsid w:val="00F068BE"/>
    <w:rsid w:val="00F06FE6"/>
    <w:rsid w:val="00F0703E"/>
    <w:rsid w:val="00F073C5"/>
    <w:rsid w:val="00F112DD"/>
    <w:rsid w:val="00F11311"/>
    <w:rsid w:val="00F11C3E"/>
    <w:rsid w:val="00F12A86"/>
    <w:rsid w:val="00F12DFE"/>
    <w:rsid w:val="00F13012"/>
    <w:rsid w:val="00F13E6C"/>
    <w:rsid w:val="00F14784"/>
    <w:rsid w:val="00F14CBA"/>
    <w:rsid w:val="00F1507C"/>
    <w:rsid w:val="00F15E67"/>
    <w:rsid w:val="00F15FE8"/>
    <w:rsid w:val="00F16076"/>
    <w:rsid w:val="00F160B2"/>
    <w:rsid w:val="00F161E7"/>
    <w:rsid w:val="00F170FC"/>
    <w:rsid w:val="00F17738"/>
    <w:rsid w:val="00F17B11"/>
    <w:rsid w:val="00F17DF9"/>
    <w:rsid w:val="00F17E05"/>
    <w:rsid w:val="00F205F4"/>
    <w:rsid w:val="00F20F15"/>
    <w:rsid w:val="00F213EF"/>
    <w:rsid w:val="00F213F9"/>
    <w:rsid w:val="00F219F8"/>
    <w:rsid w:val="00F2204F"/>
    <w:rsid w:val="00F22156"/>
    <w:rsid w:val="00F22877"/>
    <w:rsid w:val="00F22F06"/>
    <w:rsid w:val="00F22F36"/>
    <w:rsid w:val="00F22F9D"/>
    <w:rsid w:val="00F2328A"/>
    <w:rsid w:val="00F2334F"/>
    <w:rsid w:val="00F238DE"/>
    <w:rsid w:val="00F23BEB"/>
    <w:rsid w:val="00F23D2D"/>
    <w:rsid w:val="00F23DFB"/>
    <w:rsid w:val="00F23E98"/>
    <w:rsid w:val="00F23FAC"/>
    <w:rsid w:val="00F2484B"/>
    <w:rsid w:val="00F24FB1"/>
    <w:rsid w:val="00F253D0"/>
    <w:rsid w:val="00F25562"/>
    <w:rsid w:val="00F258D9"/>
    <w:rsid w:val="00F25A1B"/>
    <w:rsid w:val="00F263E4"/>
    <w:rsid w:val="00F2640B"/>
    <w:rsid w:val="00F2684E"/>
    <w:rsid w:val="00F2757C"/>
    <w:rsid w:val="00F3015D"/>
    <w:rsid w:val="00F3066F"/>
    <w:rsid w:val="00F31248"/>
    <w:rsid w:val="00F314ED"/>
    <w:rsid w:val="00F31B3F"/>
    <w:rsid w:val="00F31BC6"/>
    <w:rsid w:val="00F3201A"/>
    <w:rsid w:val="00F321BE"/>
    <w:rsid w:val="00F32228"/>
    <w:rsid w:val="00F32988"/>
    <w:rsid w:val="00F33209"/>
    <w:rsid w:val="00F33526"/>
    <w:rsid w:val="00F336DB"/>
    <w:rsid w:val="00F33784"/>
    <w:rsid w:val="00F33EC2"/>
    <w:rsid w:val="00F3492D"/>
    <w:rsid w:val="00F350E3"/>
    <w:rsid w:val="00F35519"/>
    <w:rsid w:val="00F35879"/>
    <w:rsid w:val="00F36E85"/>
    <w:rsid w:val="00F37039"/>
    <w:rsid w:val="00F370A0"/>
    <w:rsid w:val="00F37885"/>
    <w:rsid w:val="00F37CED"/>
    <w:rsid w:val="00F4000F"/>
    <w:rsid w:val="00F40385"/>
    <w:rsid w:val="00F40423"/>
    <w:rsid w:val="00F408A5"/>
    <w:rsid w:val="00F414AE"/>
    <w:rsid w:val="00F42A58"/>
    <w:rsid w:val="00F430AF"/>
    <w:rsid w:val="00F4388A"/>
    <w:rsid w:val="00F43D06"/>
    <w:rsid w:val="00F43DDD"/>
    <w:rsid w:val="00F44145"/>
    <w:rsid w:val="00F4429A"/>
    <w:rsid w:val="00F44BA1"/>
    <w:rsid w:val="00F44D0D"/>
    <w:rsid w:val="00F45496"/>
    <w:rsid w:val="00F45510"/>
    <w:rsid w:val="00F45A3A"/>
    <w:rsid w:val="00F45F40"/>
    <w:rsid w:val="00F46305"/>
    <w:rsid w:val="00F4729A"/>
    <w:rsid w:val="00F4796F"/>
    <w:rsid w:val="00F50642"/>
    <w:rsid w:val="00F516C6"/>
    <w:rsid w:val="00F51A6C"/>
    <w:rsid w:val="00F524DC"/>
    <w:rsid w:val="00F52F92"/>
    <w:rsid w:val="00F530DC"/>
    <w:rsid w:val="00F54C63"/>
    <w:rsid w:val="00F54F3A"/>
    <w:rsid w:val="00F5501B"/>
    <w:rsid w:val="00F5555A"/>
    <w:rsid w:val="00F5707C"/>
    <w:rsid w:val="00F578B5"/>
    <w:rsid w:val="00F57BD8"/>
    <w:rsid w:val="00F57C2F"/>
    <w:rsid w:val="00F57FD9"/>
    <w:rsid w:val="00F600CB"/>
    <w:rsid w:val="00F600DB"/>
    <w:rsid w:val="00F601D2"/>
    <w:rsid w:val="00F60D08"/>
    <w:rsid w:val="00F60E1A"/>
    <w:rsid w:val="00F61307"/>
    <w:rsid w:val="00F61566"/>
    <w:rsid w:val="00F61FBA"/>
    <w:rsid w:val="00F620B9"/>
    <w:rsid w:val="00F62331"/>
    <w:rsid w:val="00F623C7"/>
    <w:rsid w:val="00F62572"/>
    <w:rsid w:val="00F62596"/>
    <w:rsid w:val="00F629A0"/>
    <w:rsid w:val="00F62C3C"/>
    <w:rsid w:val="00F634FA"/>
    <w:rsid w:val="00F63553"/>
    <w:rsid w:val="00F63699"/>
    <w:rsid w:val="00F63BE5"/>
    <w:rsid w:val="00F6430A"/>
    <w:rsid w:val="00F645F6"/>
    <w:rsid w:val="00F6500B"/>
    <w:rsid w:val="00F65124"/>
    <w:rsid w:val="00F65C91"/>
    <w:rsid w:val="00F6630B"/>
    <w:rsid w:val="00F663FD"/>
    <w:rsid w:val="00F6641A"/>
    <w:rsid w:val="00F6659B"/>
    <w:rsid w:val="00F67264"/>
    <w:rsid w:val="00F6742E"/>
    <w:rsid w:val="00F67862"/>
    <w:rsid w:val="00F70387"/>
    <w:rsid w:val="00F7083E"/>
    <w:rsid w:val="00F709DF"/>
    <w:rsid w:val="00F70CC9"/>
    <w:rsid w:val="00F70E8F"/>
    <w:rsid w:val="00F720C1"/>
    <w:rsid w:val="00F73144"/>
    <w:rsid w:val="00F73618"/>
    <w:rsid w:val="00F737E6"/>
    <w:rsid w:val="00F73EE5"/>
    <w:rsid w:val="00F7424D"/>
    <w:rsid w:val="00F74275"/>
    <w:rsid w:val="00F74A49"/>
    <w:rsid w:val="00F74E79"/>
    <w:rsid w:val="00F76A3F"/>
    <w:rsid w:val="00F76A51"/>
    <w:rsid w:val="00F76DF6"/>
    <w:rsid w:val="00F76FD1"/>
    <w:rsid w:val="00F7767A"/>
    <w:rsid w:val="00F80D2D"/>
    <w:rsid w:val="00F80D47"/>
    <w:rsid w:val="00F817F2"/>
    <w:rsid w:val="00F81967"/>
    <w:rsid w:val="00F82643"/>
    <w:rsid w:val="00F830D0"/>
    <w:rsid w:val="00F843F2"/>
    <w:rsid w:val="00F85659"/>
    <w:rsid w:val="00F857D8"/>
    <w:rsid w:val="00F8633B"/>
    <w:rsid w:val="00F86BDA"/>
    <w:rsid w:val="00F876BA"/>
    <w:rsid w:val="00F878CF"/>
    <w:rsid w:val="00F87A59"/>
    <w:rsid w:val="00F87ABF"/>
    <w:rsid w:val="00F87FD9"/>
    <w:rsid w:val="00F90038"/>
    <w:rsid w:val="00F9054B"/>
    <w:rsid w:val="00F90892"/>
    <w:rsid w:val="00F908A9"/>
    <w:rsid w:val="00F914E9"/>
    <w:rsid w:val="00F9186A"/>
    <w:rsid w:val="00F91BB3"/>
    <w:rsid w:val="00F91EC3"/>
    <w:rsid w:val="00F927CC"/>
    <w:rsid w:val="00F92CEA"/>
    <w:rsid w:val="00F92CF0"/>
    <w:rsid w:val="00F92FF1"/>
    <w:rsid w:val="00F93DD3"/>
    <w:rsid w:val="00F93E03"/>
    <w:rsid w:val="00F9423A"/>
    <w:rsid w:val="00F94244"/>
    <w:rsid w:val="00F94A89"/>
    <w:rsid w:val="00F94FFC"/>
    <w:rsid w:val="00F951F1"/>
    <w:rsid w:val="00F954D6"/>
    <w:rsid w:val="00F9787B"/>
    <w:rsid w:val="00F979E3"/>
    <w:rsid w:val="00F97B90"/>
    <w:rsid w:val="00F97DBD"/>
    <w:rsid w:val="00FA01A3"/>
    <w:rsid w:val="00FA0381"/>
    <w:rsid w:val="00FA095A"/>
    <w:rsid w:val="00FA1004"/>
    <w:rsid w:val="00FA168D"/>
    <w:rsid w:val="00FA19CB"/>
    <w:rsid w:val="00FA1A93"/>
    <w:rsid w:val="00FA1C37"/>
    <w:rsid w:val="00FA1C5F"/>
    <w:rsid w:val="00FA2097"/>
    <w:rsid w:val="00FA2373"/>
    <w:rsid w:val="00FA2CEB"/>
    <w:rsid w:val="00FA2EF0"/>
    <w:rsid w:val="00FA3019"/>
    <w:rsid w:val="00FA34C9"/>
    <w:rsid w:val="00FA37FC"/>
    <w:rsid w:val="00FA3D90"/>
    <w:rsid w:val="00FA3DB1"/>
    <w:rsid w:val="00FA3DEB"/>
    <w:rsid w:val="00FA47F2"/>
    <w:rsid w:val="00FA4FE9"/>
    <w:rsid w:val="00FA6357"/>
    <w:rsid w:val="00FA653A"/>
    <w:rsid w:val="00FA67BD"/>
    <w:rsid w:val="00FA6DCC"/>
    <w:rsid w:val="00FA71D3"/>
    <w:rsid w:val="00FA722F"/>
    <w:rsid w:val="00FA79F7"/>
    <w:rsid w:val="00FB10BD"/>
    <w:rsid w:val="00FB1278"/>
    <w:rsid w:val="00FB158C"/>
    <w:rsid w:val="00FB15EB"/>
    <w:rsid w:val="00FB1A4C"/>
    <w:rsid w:val="00FB1AE2"/>
    <w:rsid w:val="00FB1D9F"/>
    <w:rsid w:val="00FB1EA2"/>
    <w:rsid w:val="00FB2AD9"/>
    <w:rsid w:val="00FB2EAE"/>
    <w:rsid w:val="00FB3F50"/>
    <w:rsid w:val="00FB409A"/>
    <w:rsid w:val="00FB420C"/>
    <w:rsid w:val="00FB44AC"/>
    <w:rsid w:val="00FB456E"/>
    <w:rsid w:val="00FB45C6"/>
    <w:rsid w:val="00FB4802"/>
    <w:rsid w:val="00FB4C14"/>
    <w:rsid w:val="00FB5304"/>
    <w:rsid w:val="00FB558B"/>
    <w:rsid w:val="00FB570D"/>
    <w:rsid w:val="00FB5BA4"/>
    <w:rsid w:val="00FB5D87"/>
    <w:rsid w:val="00FB615B"/>
    <w:rsid w:val="00FB6475"/>
    <w:rsid w:val="00FB68B6"/>
    <w:rsid w:val="00FB6CE5"/>
    <w:rsid w:val="00FB722A"/>
    <w:rsid w:val="00FB7270"/>
    <w:rsid w:val="00FB7A10"/>
    <w:rsid w:val="00FB7C61"/>
    <w:rsid w:val="00FB7FD1"/>
    <w:rsid w:val="00FC03B0"/>
    <w:rsid w:val="00FC0756"/>
    <w:rsid w:val="00FC0889"/>
    <w:rsid w:val="00FC0C03"/>
    <w:rsid w:val="00FC10FA"/>
    <w:rsid w:val="00FC1BAA"/>
    <w:rsid w:val="00FC1C48"/>
    <w:rsid w:val="00FC1CE2"/>
    <w:rsid w:val="00FC21BC"/>
    <w:rsid w:val="00FC23CB"/>
    <w:rsid w:val="00FC25FF"/>
    <w:rsid w:val="00FC3717"/>
    <w:rsid w:val="00FC37FF"/>
    <w:rsid w:val="00FC3B29"/>
    <w:rsid w:val="00FC463C"/>
    <w:rsid w:val="00FC466B"/>
    <w:rsid w:val="00FC4833"/>
    <w:rsid w:val="00FC49B4"/>
    <w:rsid w:val="00FC5101"/>
    <w:rsid w:val="00FC5DAB"/>
    <w:rsid w:val="00FC5E41"/>
    <w:rsid w:val="00FC686B"/>
    <w:rsid w:val="00FC68F5"/>
    <w:rsid w:val="00FC7132"/>
    <w:rsid w:val="00FC729F"/>
    <w:rsid w:val="00FC72FF"/>
    <w:rsid w:val="00FC7B8D"/>
    <w:rsid w:val="00FD0E66"/>
    <w:rsid w:val="00FD0E90"/>
    <w:rsid w:val="00FD14C0"/>
    <w:rsid w:val="00FD17B1"/>
    <w:rsid w:val="00FD1EBE"/>
    <w:rsid w:val="00FD2111"/>
    <w:rsid w:val="00FD291F"/>
    <w:rsid w:val="00FD2B84"/>
    <w:rsid w:val="00FD31D2"/>
    <w:rsid w:val="00FD4F2B"/>
    <w:rsid w:val="00FD542B"/>
    <w:rsid w:val="00FD600B"/>
    <w:rsid w:val="00FD740B"/>
    <w:rsid w:val="00FE0905"/>
    <w:rsid w:val="00FE0A2F"/>
    <w:rsid w:val="00FE17BF"/>
    <w:rsid w:val="00FE1B42"/>
    <w:rsid w:val="00FE1F3D"/>
    <w:rsid w:val="00FE288C"/>
    <w:rsid w:val="00FE2B63"/>
    <w:rsid w:val="00FE2EBC"/>
    <w:rsid w:val="00FE3192"/>
    <w:rsid w:val="00FE3676"/>
    <w:rsid w:val="00FE3A95"/>
    <w:rsid w:val="00FE3F74"/>
    <w:rsid w:val="00FE42CC"/>
    <w:rsid w:val="00FE45B9"/>
    <w:rsid w:val="00FE4734"/>
    <w:rsid w:val="00FE4A2D"/>
    <w:rsid w:val="00FE5497"/>
    <w:rsid w:val="00FE5EA8"/>
    <w:rsid w:val="00FE6387"/>
    <w:rsid w:val="00FE7372"/>
    <w:rsid w:val="00FE73B8"/>
    <w:rsid w:val="00FE792E"/>
    <w:rsid w:val="00FF0122"/>
    <w:rsid w:val="00FF0893"/>
    <w:rsid w:val="00FF090A"/>
    <w:rsid w:val="00FF0CC1"/>
    <w:rsid w:val="00FF15B9"/>
    <w:rsid w:val="00FF1925"/>
    <w:rsid w:val="00FF1E06"/>
    <w:rsid w:val="00FF29F9"/>
    <w:rsid w:val="00FF2CE4"/>
    <w:rsid w:val="00FF304F"/>
    <w:rsid w:val="00FF3236"/>
    <w:rsid w:val="00FF3B2A"/>
    <w:rsid w:val="00FF48E4"/>
    <w:rsid w:val="00FF519A"/>
    <w:rsid w:val="00FF5931"/>
    <w:rsid w:val="00FF59C0"/>
    <w:rsid w:val="00FF6327"/>
    <w:rsid w:val="00FF669D"/>
    <w:rsid w:val="00FF6952"/>
    <w:rsid w:val="00FF6EE4"/>
    <w:rsid w:val="00FF7231"/>
    <w:rsid w:val="00FF7846"/>
    <w:rsid w:val="00FF7B76"/>
    <w:rsid w:val="00FF7D8E"/>
  </w:rsids>
  <m:mathPr>
    <m:mathFont m:val="Cambria Math"/>
    <m:brkBin m:val="before"/>
    <m:brkBinSub m:val="--"/>
    <m:smallFrac m:val="0"/>
    <m:dispDef m:val="0"/>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0"/>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5F00"/>
    <w:pPr>
      <w:spacing w:before="120" w:line="300" w:lineRule="exact"/>
    </w:pPr>
    <w:rPr>
      <w:rFonts w:ascii="Trebuchet MS" w:hAnsi="Trebuchet MS"/>
      <w:sz w:val="19"/>
      <w:szCs w:val="24"/>
      <w:lang w:val="en-AU" w:eastAsia="zh-CN"/>
    </w:rPr>
  </w:style>
  <w:style w:type="paragraph" w:styleId="Heading1">
    <w:name w:val="heading 1"/>
    <w:next w:val="Text"/>
    <w:link w:val="Heading1Char"/>
    <w:qFormat/>
    <w:rsid w:val="004F0B76"/>
    <w:pPr>
      <w:keepNext/>
      <w:spacing w:after="360"/>
      <w:outlineLvl w:val="0"/>
    </w:pPr>
    <w:rPr>
      <w:rFonts w:ascii="Arial" w:hAnsi="Arial" w:cs="Tahoma"/>
      <w:color w:val="000000"/>
      <w:kern w:val="28"/>
      <w:sz w:val="48"/>
      <w:szCs w:val="56"/>
      <w:lang w:val="en-AU"/>
    </w:rPr>
  </w:style>
  <w:style w:type="paragraph" w:styleId="Heading2">
    <w:name w:val="heading 2"/>
    <w:next w:val="Text"/>
    <w:link w:val="Heading2Char"/>
    <w:qFormat/>
    <w:rsid w:val="005378DA"/>
    <w:pPr>
      <w:keepNext/>
      <w:spacing w:before="360"/>
      <w:ind w:right="-1"/>
      <w:outlineLvl w:val="1"/>
    </w:pPr>
    <w:rPr>
      <w:rFonts w:ascii="Arial" w:hAnsi="Arial" w:cs="Tahoma"/>
      <w:sz w:val="28"/>
      <w:lang w:val="en-AU"/>
    </w:rPr>
  </w:style>
  <w:style w:type="paragraph" w:styleId="Heading3">
    <w:name w:val="heading 3"/>
    <w:next w:val="Text"/>
    <w:link w:val="Heading3Char"/>
    <w:qFormat/>
    <w:rsid w:val="004F0B76"/>
    <w:pPr>
      <w:spacing w:before="280"/>
      <w:outlineLvl w:val="2"/>
    </w:pPr>
    <w:rPr>
      <w:rFonts w:ascii="Arial" w:hAnsi="Arial" w:cs="Tahoma"/>
      <w:color w:val="000000"/>
      <w:sz w:val="24"/>
      <w:lang w:val="en-AU"/>
    </w:rPr>
  </w:style>
  <w:style w:type="paragraph" w:styleId="Heading4">
    <w:name w:val="heading 4"/>
    <w:next w:val="Text"/>
    <w:link w:val="Heading4Char"/>
    <w:qFormat/>
    <w:rsid w:val="00E93C4E"/>
    <w:pPr>
      <w:spacing w:before="280"/>
      <w:outlineLvl w:val="3"/>
    </w:pPr>
    <w:rPr>
      <w:rFonts w:ascii="Arial" w:hAnsi="Arial"/>
      <w:i/>
      <w:sz w:val="22"/>
      <w:lang w:val="en-AU"/>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A831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5955B2"/>
    <w:pPr>
      <w:spacing w:before="160" w:line="300" w:lineRule="exact"/>
    </w:pPr>
    <w:rPr>
      <w:rFonts w:ascii="Trebuchet MS" w:hAnsi="Trebuchet MS"/>
      <w:sz w:val="19"/>
      <w:lang w:val="en-AU"/>
    </w:rPr>
  </w:style>
  <w:style w:type="character" w:customStyle="1" w:styleId="TextChar">
    <w:name w:val="Text Char"/>
    <w:basedOn w:val="DefaultParagraphFont"/>
    <w:link w:val="Text"/>
    <w:rsid w:val="005955B2"/>
    <w:rPr>
      <w:rFonts w:ascii="Trebuchet MS" w:hAnsi="Trebuchet MS"/>
      <w:sz w:val="19"/>
      <w:lang w:val="en-AU"/>
    </w:rPr>
  </w:style>
  <w:style w:type="character" w:customStyle="1" w:styleId="Heading3Char">
    <w:name w:val="Heading 3 Char"/>
    <w:basedOn w:val="DefaultParagraphFont"/>
    <w:link w:val="Heading3"/>
    <w:rsid w:val="004F0B76"/>
    <w:rPr>
      <w:rFonts w:ascii="Arial" w:hAnsi="Arial" w:cs="Tahoma"/>
      <w:color w:val="000000"/>
      <w:sz w:val="24"/>
      <w:lang w:val="en-AU"/>
    </w:rPr>
  </w:style>
  <w:style w:type="character" w:customStyle="1" w:styleId="Heading4Char">
    <w:name w:val="Heading 4 Char"/>
    <w:basedOn w:val="DefaultParagraphFont"/>
    <w:link w:val="Heading4"/>
    <w:rsid w:val="00E93C4E"/>
    <w:rPr>
      <w:rFonts w:ascii="Arial" w:hAnsi="Arial"/>
      <w:i/>
      <w:sz w:val="22"/>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rsid w:val="00AD4D89"/>
    <w:pPr>
      <w:tabs>
        <w:tab w:val="right" w:pos="7655"/>
      </w:tabs>
      <w:ind w:right="-1"/>
    </w:pPr>
    <w:rPr>
      <w:rFonts w:ascii="Arial" w:hAnsi="Arial" w:cs="Arial"/>
      <w:b/>
      <w:sz w:val="17"/>
      <w:szCs w:val="17"/>
    </w:rPr>
  </w:style>
  <w:style w:type="character" w:customStyle="1" w:styleId="FooterChar">
    <w:name w:val="Footer Char"/>
    <w:link w:val="Footer"/>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pPr>
  </w:style>
  <w:style w:type="paragraph" w:customStyle="1" w:styleId="Tabletext">
    <w:name w:val="Table text"/>
    <w:next w:val="Text"/>
    <w:qFormat/>
    <w:rsid w:val="00C45556"/>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C45556"/>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7C7223"/>
    <w:pPr>
      <w:spacing w:before="360" w:after="80"/>
      <w:ind w:left="851" w:hanging="851"/>
    </w:pPr>
    <w:rPr>
      <w:rFonts w:ascii="Arial" w:hAnsi="Arial"/>
      <w:b/>
      <w:sz w:val="17"/>
    </w:rPr>
  </w:style>
  <w:style w:type="paragraph" w:customStyle="1" w:styleId="Dotpoint10">
    <w:name w:val="Dotpoint1"/>
    <w:rsid w:val="00E049AD"/>
    <w:pPr>
      <w:numPr>
        <w:numId w:val="1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0"/>
    <w:rsid w:val="00FA653A"/>
    <w:pPr>
      <w:numPr>
        <w:numId w:val="17"/>
      </w:numPr>
      <w:tabs>
        <w:tab w:val="clear" w:pos="284"/>
        <w:tab w:val="left" w:pos="851"/>
      </w:tabs>
      <w:ind w:left="680" w:hanging="340"/>
    </w:pPr>
  </w:style>
  <w:style w:type="paragraph" w:customStyle="1" w:styleId="NumberedListContinuing">
    <w:name w:val="NumberedListContinuing"/>
    <w:basedOn w:val="Dotpoint10"/>
    <w:rsid w:val="00CE4291"/>
    <w:pPr>
      <w:numPr>
        <w:numId w:val="2"/>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val="en-AU"/>
    </w:rPr>
  </w:style>
  <w:style w:type="paragraph" w:styleId="FootnoteText">
    <w:name w:val="footnote text"/>
    <w:basedOn w:val="Text"/>
    <w:link w:val="FootnoteTextChar"/>
    <w:rsid w:val="00FE73B8"/>
    <w:pPr>
      <w:tabs>
        <w:tab w:val="left" w:pos="1418"/>
      </w:tabs>
      <w:spacing w:before="0" w:after="80" w:line="220" w:lineRule="exact"/>
      <w:ind w:left="170" w:hanging="170"/>
    </w:pPr>
    <w:rPr>
      <w:sz w:val="16"/>
    </w:rPr>
  </w:style>
  <w:style w:type="character" w:customStyle="1" w:styleId="FootnoteTextChar">
    <w:name w:val="Footnote Text Char"/>
    <w:basedOn w:val="DefaultParagraphFont"/>
    <w:link w:val="FootnoteText"/>
    <w:rsid w:val="00FE73B8"/>
    <w:rPr>
      <w:rFonts w:ascii="Trebuchet MS" w:hAnsi="Trebuchet MS"/>
      <w:sz w:val="16"/>
      <w:lang w:val="en-AU"/>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qFormat/>
    <w:rsid w:val="00621FAA"/>
    <w:pPr>
      <w:ind w:left="567"/>
    </w:pPr>
    <w:rPr>
      <w:rFonts w:cs="Arial"/>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3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3813E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character" w:styleId="PlaceholderText">
    <w:name w:val="Placeholder Text"/>
    <w:basedOn w:val="DefaultParagraphFont"/>
    <w:uiPriority w:val="99"/>
    <w:semiHidden/>
    <w:rsid w:val="00C5220C"/>
    <w:rPr>
      <w:color w:val="808080"/>
    </w:rPr>
  </w:style>
  <w:style w:type="paragraph" w:customStyle="1" w:styleId="Tabletitle">
    <w:name w:val="Tabletitle"/>
    <w:next w:val="Text"/>
    <w:rsid w:val="00C45556"/>
    <w:pPr>
      <w:spacing w:before="360" w:after="80"/>
      <w:ind w:left="851" w:hanging="851"/>
    </w:pPr>
    <w:rPr>
      <w:rFonts w:ascii="Arial" w:hAnsi="Arial"/>
      <w:b/>
      <w:sz w:val="17"/>
      <w:lang w:val="en-AU"/>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val="en-AU"/>
    </w:rPr>
  </w:style>
  <w:style w:type="paragraph" w:customStyle="1" w:styleId="Contents">
    <w:name w:val="Contents"/>
    <w:qFormat/>
    <w:rsid w:val="003813E4"/>
    <w:pPr>
      <w:spacing w:after="1200"/>
    </w:pPr>
    <w:rPr>
      <w:rFonts w:ascii="Arial" w:hAnsi="Arial" w:cs="Arial"/>
      <w:color w:val="000000"/>
      <w:kern w:val="28"/>
      <w:sz w:val="48"/>
      <w:szCs w:val="48"/>
      <w:lang w:val="en-AU"/>
    </w:rPr>
  </w:style>
  <w:style w:type="paragraph" w:customStyle="1" w:styleId="Abouttheresearchpubtitle">
    <w:name w:val="About the research pub title"/>
    <w:qFormat/>
    <w:rsid w:val="00E93C4E"/>
    <w:pPr>
      <w:spacing w:before="360"/>
    </w:pPr>
    <w:rPr>
      <w:rFonts w:ascii="Arial" w:hAnsi="Arial" w:cs="Tahoma"/>
      <w:i/>
      <w:sz w:val="28"/>
      <w:lang w:val="en-AU"/>
    </w:rPr>
  </w:style>
  <w:style w:type="paragraph" w:customStyle="1" w:styleId="Keymessages">
    <w:name w:val="Key messages"/>
    <w:uiPriority w:val="1"/>
    <w:qFormat/>
    <w:rsid w:val="00E93C4E"/>
    <w:pPr>
      <w:spacing w:before="360"/>
    </w:pPr>
    <w:rPr>
      <w:rFonts w:ascii="Arial" w:hAnsi="Arial" w:cs="Tahoma"/>
      <w:sz w:val="28"/>
      <w:lang w:val="en-AU"/>
    </w:rPr>
  </w:style>
  <w:style w:type="paragraph" w:customStyle="1" w:styleId="Organisation">
    <w:name w:val="Organisation"/>
    <w:basedOn w:val="Normal"/>
    <w:uiPriority w:val="1"/>
    <w:qFormat/>
    <w:rsid w:val="00E3162F"/>
    <w:pPr>
      <w:ind w:left="1701"/>
    </w:pPr>
    <w:rPr>
      <w:rFonts w:ascii="Tahoma" w:hAnsi="Tahoma" w:cs="Tahoma"/>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styleId="CommentText">
    <w:name w:val="annotation text"/>
    <w:basedOn w:val="Normal"/>
    <w:link w:val="CommentTextChar"/>
    <w:uiPriority w:val="99"/>
    <w:semiHidden/>
    <w:rsid w:val="00251024"/>
    <w:rPr>
      <w:sz w:val="20"/>
      <w:lang w:eastAsia="en-AU"/>
    </w:rPr>
  </w:style>
  <w:style w:type="character" w:customStyle="1" w:styleId="CommentTextChar">
    <w:name w:val="Comment Text Char"/>
    <w:basedOn w:val="DefaultParagraphFont"/>
    <w:link w:val="CommentText"/>
    <w:uiPriority w:val="99"/>
    <w:semiHidden/>
    <w:rsid w:val="00251024"/>
    <w:rPr>
      <w:lang w:val="en-AU" w:eastAsia="en-AU"/>
    </w:rPr>
  </w:style>
  <w:style w:type="paragraph" w:styleId="CommentSubject">
    <w:name w:val="annotation subject"/>
    <w:basedOn w:val="CommentText"/>
    <w:next w:val="CommentText"/>
    <w:link w:val="CommentSubjectChar"/>
    <w:uiPriority w:val="99"/>
    <w:semiHidden/>
    <w:rsid w:val="00251024"/>
    <w:rPr>
      <w:b/>
      <w:bCs/>
    </w:rPr>
  </w:style>
  <w:style w:type="character" w:customStyle="1" w:styleId="CommentSubjectChar">
    <w:name w:val="Comment Subject Char"/>
    <w:basedOn w:val="CommentTextChar"/>
    <w:link w:val="CommentSubject"/>
    <w:uiPriority w:val="99"/>
    <w:semiHidden/>
    <w:rsid w:val="00251024"/>
    <w:rPr>
      <w:b/>
      <w:bCs/>
      <w:lang w:val="en-AU" w:eastAsia="en-AU"/>
    </w:rPr>
  </w:style>
  <w:style w:type="character" w:styleId="FollowedHyperlink">
    <w:name w:val="FollowedHyperlink"/>
    <w:uiPriority w:val="99"/>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semiHidden/>
    <w:qFormat/>
    <w:rsid w:val="002510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251024"/>
    <w:rPr>
      <w:rFonts w:asciiTheme="majorHAnsi" w:eastAsiaTheme="majorEastAsia" w:hAnsiTheme="majorHAnsi" w:cstheme="majorBidi"/>
      <w:color w:val="17365D" w:themeColor="text2" w:themeShade="BF"/>
      <w:spacing w:val="5"/>
      <w:kern w:val="28"/>
      <w:sz w:val="52"/>
      <w:szCs w:val="52"/>
      <w:lang w:val="en-AU"/>
    </w:rPr>
  </w:style>
  <w:style w:type="paragraph" w:styleId="Revision">
    <w:name w:val="Revision"/>
    <w:hidden/>
    <w:uiPriority w:val="99"/>
    <w:rsid w:val="00251024"/>
    <w:rPr>
      <w:sz w:val="22"/>
      <w:lang w:val="en-AU" w:eastAsia="en-AU"/>
    </w:rPr>
  </w:style>
  <w:style w:type="paragraph" w:customStyle="1" w:styleId="TableFont">
    <w:name w:val="TableFont"/>
    <w:basedOn w:val="Normal"/>
    <w:link w:val="TableFontChar"/>
    <w:uiPriority w:val="99"/>
    <w:rsid w:val="00251024"/>
    <w:pPr>
      <w:spacing w:before="40" w:after="40"/>
    </w:pPr>
    <w:rPr>
      <w:rFonts w:ascii="Arial" w:hAnsi="Arial" w:cs="Arial"/>
      <w:color w:val="000000"/>
      <w:sz w:val="18"/>
      <w:lang w:val="en-GB"/>
    </w:rPr>
  </w:style>
  <w:style w:type="character" w:customStyle="1" w:styleId="TableFontChar">
    <w:name w:val="TableFont Char"/>
    <w:basedOn w:val="DefaultParagraphFont"/>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1"/>
      </w:numPr>
    </w:pPr>
    <w:rPr>
      <w:lang w:eastAsia="en-AU"/>
    </w:rPr>
  </w:style>
  <w:style w:type="paragraph" w:customStyle="1" w:styleId="BulletList1">
    <w:name w:val="Bullet List 1"/>
    <w:basedOn w:val="BulletList"/>
    <w:rsid w:val="00251024"/>
    <w:rPr>
      <w:rFonts w:ascii="Verdana" w:hAnsi="Verdana"/>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val="en-AU"/>
    </w:rPr>
  </w:style>
  <w:style w:type="character" w:styleId="Emphasis">
    <w:name w:val="Emphasis"/>
    <w:basedOn w:val="DefaultParagraphFont"/>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lang w:eastAsia="en-AU"/>
    </w:rPr>
  </w:style>
  <w:style w:type="paragraph" w:customStyle="1" w:styleId="PullQuote">
    <w:name w:val="PullQuote"/>
    <w:basedOn w:val="Normal"/>
    <w:uiPriority w:val="1"/>
    <w:qFormat/>
    <w:rsid w:val="00543BFF"/>
    <w:pPr>
      <w:pBdr>
        <w:top w:val="single" w:sz="8" w:space="1" w:color="auto"/>
      </w:pBdr>
      <w:spacing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basedOn w:val="DefaultParagraphFont"/>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rsid w:val="00A83136"/>
    <w:pPr>
      <w:spacing w:after="120"/>
    </w:pPr>
    <w:rPr>
      <w:sz w:val="16"/>
      <w:szCs w:val="16"/>
    </w:rPr>
  </w:style>
  <w:style w:type="character" w:customStyle="1" w:styleId="BodyText3Char">
    <w:name w:val="Body Text 3 Char"/>
    <w:basedOn w:val="DefaultParagraphFont"/>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rPr>
  </w:style>
  <w:style w:type="character" w:customStyle="1" w:styleId="BodyTextFirstIndentChar">
    <w:name w:val="Body Text First Indent Char"/>
    <w:basedOn w:val="DefaultParagraphFont"/>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style>
  <w:style w:type="character" w:customStyle="1" w:styleId="BodyTextFirstIndent2Char">
    <w:name w:val="Body Text First Indent 2 Char"/>
    <w:basedOn w:val="DefaultParagraphFont"/>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style>
  <w:style w:type="character" w:customStyle="1" w:styleId="BodyTextIndent2Char">
    <w:name w:val="Body Text Indent 2 Char"/>
    <w:basedOn w:val="DefaultParagraphFont"/>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ind w:left="4252"/>
    </w:pPr>
  </w:style>
  <w:style w:type="character" w:customStyle="1" w:styleId="ClosingChar">
    <w:name w:val="Closing Char"/>
    <w:basedOn w:val="DefaultParagraphFont"/>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style>
  <w:style w:type="character" w:customStyle="1" w:styleId="DateChar">
    <w:name w:val="Date Char"/>
    <w:basedOn w:val="DefaultParagraphFont"/>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rPr>
      <w:rFonts w:ascii="Tahoma" w:hAnsi="Tahoma" w:cs="Tahoma"/>
      <w:sz w:val="16"/>
      <w:szCs w:val="16"/>
    </w:rPr>
  </w:style>
  <w:style w:type="character" w:customStyle="1" w:styleId="DocumentMapChar">
    <w:name w:val="Document Map Char"/>
    <w:basedOn w:val="DefaultParagraphFont"/>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style>
  <w:style w:type="character" w:customStyle="1" w:styleId="E-mailSignatureChar">
    <w:name w:val="E-mail Signature Char"/>
    <w:basedOn w:val="DefaultParagraphFont"/>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rPr>
      <w:sz w:val="20"/>
    </w:rPr>
  </w:style>
  <w:style w:type="character" w:customStyle="1" w:styleId="EndnoteTextChar">
    <w:name w:val="Endnote Text Char"/>
    <w:basedOn w:val="DefaultParagraphFont"/>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A83136"/>
    <w:rPr>
      <w:rFonts w:asciiTheme="majorHAnsi" w:eastAsiaTheme="majorEastAsia" w:hAnsiTheme="majorHAnsi" w:cstheme="majorBidi"/>
      <w:sz w:val="20"/>
    </w:rPr>
  </w:style>
  <w:style w:type="character" w:customStyle="1" w:styleId="Heading9Char">
    <w:name w:val="Heading 9 Char"/>
    <w:basedOn w:val="DefaultParagraphFont"/>
    <w:link w:val="Heading9"/>
    <w:uiPriority w:val="9"/>
    <w:semiHidden/>
    <w:rsid w:val="00A83136"/>
    <w:rPr>
      <w:rFonts w:asciiTheme="majorHAnsi" w:eastAsiaTheme="majorEastAsia" w:hAnsiTheme="majorHAnsi" w:cstheme="majorBidi"/>
      <w:i/>
      <w:iCs/>
      <w:color w:val="404040" w:themeColor="text1" w:themeTint="BF"/>
      <w:lang w:val="en-AU"/>
    </w:rPr>
  </w:style>
  <w:style w:type="paragraph" w:styleId="HTMLAddress">
    <w:name w:val="HTML Address"/>
    <w:basedOn w:val="Normal"/>
    <w:link w:val="HTMLAddressChar"/>
    <w:uiPriority w:val="99"/>
    <w:semiHidden/>
    <w:rsid w:val="00A83136"/>
    <w:rPr>
      <w:i/>
      <w:iCs/>
    </w:rPr>
  </w:style>
  <w:style w:type="character" w:customStyle="1" w:styleId="HTMLAddressChar">
    <w:name w:val="HTML Address Char"/>
    <w:basedOn w:val="DefaultParagraphFont"/>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ind w:left="190" w:hanging="190"/>
    </w:pPr>
  </w:style>
  <w:style w:type="paragraph" w:styleId="Index2">
    <w:name w:val="index 2"/>
    <w:basedOn w:val="Normal"/>
    <w:next w:val="Normal"/>
    <w:autoRedefine/>
    <w:uiPriority w:val="99"/>
    <w:semiHidden/>
    <w:rsid w:val="00A83136"/>
    <w:pPr>
      <w:ind w:left="380" w:hanging="190"/>
    </w:pPr>
  </w:style>
  <w:style w:type="paragraph" w:styleId="Index3">
    <w:name w:val="index 3"/>
    <w:basedOn w:val="Normal"/>
    <w:next w:val="Normal"/>
    <w:autoRedefine/>
    <w:uiPriority w:val="99"/>
    <w:semiHidden/>
    <w:rsid w:val="00A83136"/>
    <w:pPr>
      <w:ind w:left="570" w:hanging="190"/>
    </w:pPr>
  </w:style>
  <w:style w:type="paragraph" w:styleId="Index4">
    <w:name w:val="index 4"/>
    <w:basedOn w:val="Normal"/>
    <w:next w:val="Normal"/>
    <w:autoRedefine/>
    <w:uiPriority w:val="99"/>
    <w:semiHidden/>
    <w:rsid w:val="00A83136"/>
    <w:pPr>
      <w:ind w:left="760" w:hanging="190"/>
    </w:pPr>
  </w:style>
  <w:style w:type="paragraph" w:styleId="Index5">
    <w:name w:val="index 5"/>
    <w:basedOn w:val="Normal"/>
    <w:next w:val="Normal"/>
    <w:autoRedefine/>
    <w:uiPriority w:val="99"/>
    <w:semiHidden/>
    <w:rsid w:val="00A83136"/>
    <w:pPr>
      <w:ind w:left="950" w:hanging="190"/>
    </w:pPr>
  </w:style>
  <w:style w:type="paragraph" w:styleId="Index6">
    <w:name w:val="index 6"/>
    <w:basedOn w:val="Normal"/>
    <w:next w:val="Normal"/>
    <w:autoRedefine/>
    <w:uiPriority w:val="99"/>
    <w:semiHidden/>
    <w:rsid w:val="00A83136"/>
    <w:pPr>
      <w:ind w:left="1140" w:hanging="190"/>
    </w:pPr>
  </w:style>
  <w:style w:type="paragraph" w:styleId="Index7">
    <w:name w:val="index 7"/>
    <w:basedOn w:val="Normal"/>
    <w:next w:val="Normal"/>
    <w:autoRedefine/>
    <w:uiPriority w:val="99"/>
    <w:semiHidden/>
    <w:rsid w:val="00A83136"/>
    <w:pPr>
      <w:ind w:left="1330" w:hanging="190"/>
    </w:pPr>
  </w:style>
  <w:style w:type="paragraph" w:styleId="Index8">
    <w:name w:val="index 8"/>
    <w:basedOn w:val="Normal"/>
    <w:next w:val="Normal"/>
    <w:autoRedefine/>
    <w:uiPriority w:val="99"/>
    <w:semiHidden/>
    <w:rsid w:val="00A83136"/>
    <w:pPr>
      <w:ind w:left="1520" w:hanging="190"/>
    </w:pPr>
  </w:style>
  <w:style w:type="paragraph" w:styleId="Index9">
    <w:name w:val="index 9"/>
    <w:basedOn w:val="Normal"/>
    <w:next w:val="Normal"/>
    <w:autoRedefine/>
    <w:uiPriority w:val="99"/>
    <w:semiHidden/>
    <w:rsid w:val="00A83136"/>
    <w:pPr>
      <w:ind w:left="1710" w:hanging="190"/>
    </w:pPr>
  </w:style>
  <w:style w:type="paragraph" w:styleId="IndexHeading">
    <w:name w:val="index heading"/>
    <w:basedOn w:val="Normal"/>
    <w:next w:val="Index1"/>
    <w:uiPriority w:val="99"/>
    <w:semiHidden/>
    <w:rsid w:val="00A83136"/>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A8313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A83136"/>
    <w:rPr>
      <w:rFonts w:ascii="Trebuchet MS" w:hAnsi="Trebuchet MS"/>
      <w:b/>
      <w:bCs/>
      <w:i/>
      <w:iCs/>
      <w:color w:val="4F81BD" w:themeColor="accent1"/>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3"/>
      </w:numPr>
      <w:contextualSpacing/>
    </w:pPr>
  </w:style>
  <w:style w:type="paragraph" w:styleId="ListBullet3">
    <w:name w:val="List Bullet 3"/>
    <w:basedOn w:val="Normal"/>
    <w:uiPriority w:val="99"/>
    <w:semiHidden/>
    <w:rsid w:val="00A83136"/>
    <w:pPr>
      <w:numPr>
        <w:numId w:val="4"/>
      </w:numPr>
      <w:contextualSpacing/>
    </w:pPr>
  </w:style>
  <w:style w:type="paragraph" w:styleId="ListBullet4">
    <w:name w:val="List Bullet 4"/>
    <w:basedOn w:val="Normal"/>
    <w:uiPriority w:val="99"/>
    <w:semiHidden/>
    <w:rsid w:val="00A83136"/>
    <w:pPr>
      <w:numPr>
        <w:numId w:val="5"/>
      </w:numPr>
      <w:contextualSpacing/>
    </w:pPr>
  </w:style>
  <w:style w:type="paragraph" w:styleId="ListBullet5">
    <w:name w:val="List Bullet 5"/>
    <w:basedOn w:val="Normal"/>
    <w:uiPriority w:val="99"/>
    <w:semiHidden/>
    <w:rsid w:val="00A83136"/>
    <w:pPr>
      <w:numPr>
        <w:numId w:val="6"/>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7"/>
      </w:numPr>
      <w:contextualSpacing/>
    </w:pPr>
  </w:style>
  <w:style w:type="paragraph" w:styleId="ListNumber2">
    <w:name w:val="List Number 2"/>
    <w:basedOn w:val="Normal"/>
    <w:uiPriority w:val="99"/>
    <w:semiHidden/>
    <w:rsid w:val="00A83136"/>
    <w:pPr>
      <w:numPr>
        <w:numId w:val="8"/>
      </w:numPr>
      <w:contextualSpacing/>
    </w:pPr>
  </w:style>
  <w:style w:type="paragraph" w:styleId="ListNumber3">
    <w:name w:val="List Number 3"/>
    <w:basedOn w:val="Normal"/>
    <w:uiPriority w:val="99"/>
    <w:semiHidden/>
    <w:rsid w:val="00A83136"/>
    <w:pPr>
      <w:numPr>
        <w:numId w:val="9"/>
      </w:numPr>
      <w:contextualSpacing/>
    </w:pPr>
  </w:style>
  <w:style w:type="paragraph" w:styleId="ListNumber4">
    <w:name w:val="List Number 4"/>
    <w:basedOn w:val="Normal"/>
    <w:uiPriority w:val="99"/>
    <w:semiHidden/>
    <w:rsid w:val="00A83136"/>
    <w:pPr>
      <w:numPr>
        <w:numId w:val="10"/>
      </w:numPr>
      <w:contextualSpacing/>
    </w:pPr>
  </w:style>
  <w:style w:type="paragraph" w:styleId="ListNumber5">
    <w:name w:val="List Number 5"/>
    <w:basedOn w:val="Normal"/>
    <w:uiPriority w:val="99"/>
    <w:semiHidden/>
    <w:rsid w:val="00A83136"/>
    <w:pPr>
      <w:numPr>
        <w:numId w:val="11"/>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val="en-AU"/>
    </w:rPr>
  </w:style>
  <w:style w:type="character" w:customStyle="1" w:styleId="MacroTextChar">
    <w:name w:val="Macro Text Char"/>
    <w:basedOn w:val="DefaultParagraphFont"/>
    <w:link w:val="MacroText"/>
    <w:uiPriority w:val="99"/>
    <w:semiHidden/>
    <w:rsid w:val="00A83136"/>
    <w:rPr>
      <w:rFonts w:ascii="Consolas" w:hAnsi="Consolas" w:cs="Consolas"/>
      <w:lang w:val="en-AU"/>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A83136"/>
    <w:rPr>
      <w:rFonts w:asciiTheme="majorHAnsi" w:eastAsiaTheme="majorEastAsia" w:hAnsiTheme="majorHAnsi" w:cstheme="majorBidi"/>
      <w:sz w:val="24"/>
      <w:szCs w:val="24"/>
      <w:shd w:val="pct20" w:color="auto" w:fill="auto"/>
      <w:lang w:val="en-AU"/>
    </w:rPr>
  </w:style>
  <w:style w:type="paragraph" w:styleId="NoSpacing">
    <w:name w:val="No Spacing"/>
    <w:link w:val="NoSpacingChar"/>
    <w:uiPriority w:val="1"/>
    <w:qFormat/>
    <w:rsid w:val="00A83136"/>
    <w:rPr>
      <w:rFonts w:ascii="Trebuchet MS" w:hAnsi="Trebuchet MS"/>
      <w:sz w:val="19"/>
      <w:lang w:val="en-AU"/>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style>
  <w:style w:type="character" w:customStyle="1" w:styleId="NoteHeadingChar">
    <w:name w:val="Note Heading Char"/>
    <w:basedOn w:val="DefaultParagraphFont"/>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style>
  <w:style w:type="character" w:customStyle="1" w:styleId="SalutationChar">
    <w:name w:val="Salutation Char"/>
    <w:basedOn w:val="DefaultParagraphFont"/>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ind w:left="4252"/>
    </w:pPr>
  </w:style>
  <w:style w:type="character" w:customStyle="1" w:styleId="SignatureChar">
    <w:name w:val="Signature Char"/>
    <w:basedOn w:val="DefaultParagraphFont"/>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semiHidden/>
    <w:qFormat/>
    <w:rsid w:val="00A8313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semiHidden/>
    <w:rsid w:val="00A83136"/>
    <w:rPr>
      <w:rFonts w:asciiTheme="majorHAnsi" w:eastAsiaTheme="majorEastAsia" w:hAnsiTheme="majorHAnsi" w:cstheme="majorBidi"/>
      <w:i/>
      <w:iCs/>
      <w:color w:val="4F81BD" w:themeColor="accent1"/>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rPr>
      <w:rFonts w:asciiTheme="majorHAnsi" w:eastAsiaTheme="majorEastAsia" w:hAnsiTheme="majorHAnsi" w:cstheme="majorBidi"/>
      <w:b/>
      <w:bCs/>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Theme="majorHAnsi" w:eastAsiaTheme="majorEastAsia" w:hAnsiTheme="majorHAnsi" w:cstheme="majorBidi"/>
      <w:b/>
      <w:bCs/>
      <w:color w:val="365F91" w:themeColor="accent1" w:themeShade="BF"/>
      <w:kern w:val="0"/>
      <w:sz w:val="28"/>
      <w:szCs w:val="28"/>
    </w:rPr>
  </w:style>
  <w:style w:type="paragraph" w:customStyle="1" w:styleId="NumberedList">
    <w:name w:val="NumberedList"/>
    <w:uiPriority w:val="1"/>
    <w:qFormat/>
    <w:rsid w:val="00ED0C08"/>
    <w:pPr>
      <w:numPr>
        <w:numId w:val="12"/>
      </w:numPr>
      <w:spacing w:before="80" w:line="300" w:lineRule="exact"/>
    </w:pPr>
    <w:rPr>
      <w:rFonts w:ascii="Trebuchet MS" w:hAnsi="Trebuchet MS"/>
      <w:sz w:val="19"/>
      <w:lang w:val="en-AU" w:eastAsia="en-AU"/>
    </w:rPr>
  </w:style>
  <w:style w:type="character" w:customStyle="1" w:styleId="UnresolvedMention1">
    <w:name w:val="Unresolved Mention1"/>
    <w:basedOn w:val="DefaultParagraphFont"/>
    <w:uiPriority w:val="99"/>
    <w:semiHidden/>
    <w:unhideWhenUsed/>
    <w:rsid w:val="00F01194"/>
    <w:rPr>
      <w:color w:val="808080"/>
      <w:shd w:val="clear" w:color="auto" w:fill="E6E6E6"/>
    </w:rPr>
  </w:style>
  <w:style w:type="character" w:styleId="FootnoteReference">
    <w:name w:val="footnote reference"/>
    <w:basedOn w:val="DefaultParagraphFont"/>
    <w:uiPriority w:val="99"/>
    <w:unhideWhenUsed/>
    <w:rsid w:val="00882B50"/>
    <w:rPr>
      <w:vertAlign w:val="superscript"/>
    </w:rPr>
  </w:style>
  <w:style w:type="character" w:customStyle="1" w:styleId="NoSpacingChar">
    <w:name w:val="No Spacing Char"/>
    <w:basedOn w:val="DefaultParagraphFont"/>
    <w:link w:val="NoSpacing"/>
    <w:uiPriority w:val="1"/>
    <w:rsid w:val="00BB1A0B"/>
    <w:rPr>
      <w:rFonts w:ascii="Trebuchet MS" w:hAnsi="Trebuchet MS"/>
      <w:sz w:val="19"/>
      <w:lang w:val="en-AU"/>
    </w:rPr>
  </w:style>
  <w:style w:type="paragraph" w:styleId="ListParagraph">
    <w:name w:val="List Paragraph"/>
    <w:basedOn w:val="Normal"/>
    <w:uiPriority w:val="34"/>
    <w:qFormat/>
    <w:rsid w:val="00BB1A0B"/>
    <w:pPr>
      <w:ind w:left="720"/>
    </w:pPr>
    <w:rPr>
      <w:rFonts w:ascii="Calibri" w:eastAsiaTheme="minorHAnsi" w:hAnsi="Calibri" w:cs="Calibri"/>
      <w:sz w:val="22"/>
      <w:szCs w:val="22"/>
    </w:rPr>
  </w:style>
  <w:style w:type="character" w:customStyle="1" w:styleId="Heading2Char">
    <w:name w:val="Heading 2 Char"/>
    <w:basedOn w:val="DefaultParagraphFont"/>
    <w:link w:val="Heading2"/>
    <w:rsid w:val="00206F17"/>
    <w:rPr>
      <w:rFonts w:ascii="Arial" w:hAnsi="Arial" w:cs="Tahoma"/>
      <w:sz w:val="28"/>
      <w:lang w:val="en-AU"/>
    </w:rPr>
  </w:style>
  <w:style w:type="paragraph" w:styleId="Caption">
    <w:name w:val="caption"/>
    <w:basedOn w:val="Normal"/>
    <w:next w:val="Normal"/>
    <w:link w:val="CaptionChar"/>
    <w:uiPriority w:val="35"/>
    <w:unhideWhenUsed/>
    <w:qFormat/>
    <w:rsid w:val="001738F9"/>
    <w:pPr>
      <w:spacing w:before="200" w:after="200"/>
    </w:pPr>
    <w:rPr>
      <w:rFonts w:asciiTheme="minorHAnsi" w:hAnsiTheme="minorHAnsi"/>
      <w:b/>
      <w:bCs/>
      <w:i/>
      <w:color w:val="365F91" w:themeColor="accent1" w:themeShade="BF"/>
      <w:sz w:val="20"/>
    </w:rPr>
  </w:style>
  <w:style w:type="character" w:customStyle="1" w:styleId="CaptionChar">
    <w:name w:val="Caption Char"/>
    <w:basedOn w:val="DefaultParagraphFont"/>
    <w:link w:val="Caption"/>
    <w:uiPriority w:val="35"/>
    <w:rsid w:val="001738F9"/>
    <w:rPr>
      <w:rFonts w:asciiTheme="minorHAnsi" w:hAnsiTheme="minorHAnsi"/>
      <w:b/>
      <w:bCs/>
      <w:i/>
      <w:color w:val="365F91" w:themeColor="accent1" w:themeShade="BF"/>
      <w:lang w:val="en-AU"/>
    </w:rPr>
  </w:style>
  <w:style w:type="paragraph" w:customStyle="1" w:styleId="Dotpoint1">
    <w:name w:val="Dotpoint 1"/>
    <w:basedOn w:val="Text"/>
    <w:rsid w:val="005571E4"/>
    <w:pPr>
      <w:numPr>
        <w:numId w:val="13"/>
      </w:numPr>
      <w:tabs>
        <w:tab w:val="left" w:pos="641"/>
      </w:tabs>
      <w:spacing w:before="120" w:line="240" w:lineRule="auto"/>
    </w:pPr>
    <w:rPr>
      <w:rFonts w:ascii="Times New Roman" w:hAnsi="Times New Roman"/>
      <w:snapToGrid w:val="0"/>
      <w:sz w:val="20"/>
      <w:lang w:val="en-US"/>
    </w:rPr>
  </w:style>
  <w:style w:type="character" w:styleId="SubtleEmphasis">
    <w:name w:val="Subtle Emphasis"/>
    <w:uiPriority w:val="19"/>
    <w:qFormat/>
    <w:rsid w:val="0011409B"/>
    <w:rPr>
      <w:i/>
      <w:iCs/>
    </w:rPr>
  </w:style>
  <w:style w:type="character" w:customStyle="1" w:styleId="UnresolvedMention2">
    <w:name w:val="Unresolved Mention2"/>
    <w:basedOn w:val="DefaultParagraphFont"/>
    <w:uiPriority w:val="99"/>
    <w:semiHidden/>
    <w:unhideWhenUsed/>
    <w:rsid w:val="00C561F6"/>
    <w:rPr>
      <w:color w:val="605E5C"/>
      <w:shd w:val="clear" w:color="auto" w:fill="E1DFDD"/>
    </w:rPr>
  </w:style>
  <w:style w:type="paragraph" w:customStyle="1" w:styleId="MEBasic1">
    <w:name w:val="ME Basic 1"/>
    <w:basedOn w:val="Normal"/>
    <w:rsid w:val="00C55F22"/>
    <w:pPr>
      <w:numPr>
        <w:numId w:val="14"/>
      </w:numPr>
      <w:spacing w:after="140" w:line="280" w:lineRule="atLeast"/>
      <w:outlineLvl w:val="0"/>
    </w:pPr>
    <w:rPr>
      <w:rFonts w:cs="Angsana New"/>
      <w:sz w:val="22"/>
      <w:szCs w:val="22"/>
      <w:lang w:bidi="th-TH"/>
    </w:rPr>
  </w:style>
  <w:style w:type="paragraph" w:customStyle="1" w:styleId="MEBasic2">
    <w:name w:val="ME Basic 2"/>
    <w:basedOn w:val="Normal"/>
    <w:rsid w:val="00C55F22"/>
    <w:pPr>
      <w:numPr>
        <w:ilvl w:val="1"/>
        <w:numId w:val="14"/>
      </w:numPr>
      <w:spacing w:after="140" w:line="280" w:lineRule="atLeast"/>
      <w:outlineLvl w:val="1"/>
    </w:pPr>
    <w:rPr>
      <w:rFonts w:cs="Angsana New"/>
      <w:sz w:val="22"/>
      <w:szCs w:val="22"/>
      <w:lang w:bidi="th-TH"/>
    </w:rPr>
  </w:style>
  <w:style w:type="paragraph" w:customStyle="1" w:styleId="MEBasic3">
    <w:name w:val="ME Basic 3"/>
    <w:basedOn w:val="Normal"/>
    <w:rsid w:val="00C55F22"/>
    <w:pPr>
      <w:numPr>
        <w:ilvl w:val="2"/>
        <w:numId w:val="14"/>
      </w:numPr>
      <w:spacing w:after="140" w:line="280" w:lineRule="atLeast"/>
      <w:outlineLvl w:val="2"/>
    </w:pPr>
    <w:rPr>
      <w:rFonts w:cs="Angsana New"/>
      <w:sz w:val="22"/>
      <w:szCs w:val="22"/>
      <w:lang w:bidi="th-TH"/>
    </w:rPr>
  </w:style>
  <w:style w:type="paragraph" w:customStyle="1" w:styleId="MEBasic4">
    <w:name w:val="ME Basic 4"/>
    <w:basedOn w:val="Normal"/>
    <w:rsid w:val="00C55F22"/>
    <w:pPr>
      <w:numPr>
        <w:ilvl w:val="3"/>
        <w:numId w:val="14"/>
      </w:numPr>
      <w:spacing w:after="140" w:line="280" w:lineRule="atLeast"/>
      <w:outlineLvl w:val="3"/>
    </w:pPr>
    <w:rPr>
      <w:rFonts w:cs="Angsana New"/>
      <w:sz w:val="22"/>
      <w:szCs w:val="22"/>
      <w:lang w:bidi="th-TH"/>
    </w:rPr>
  </w:style>
  <w:style w:type="paragraph" w:customStyle="1" w:styleId="MEBasic5">
    <w:name w:val="ME Basic 5"/>
    <w:basedOn w:val="Normal"/>
    <w:rsid w:val="00C55F22"/>
    <w:pPr>
      <w:numPr>
        <w:ilvl w:val="4"/>
        <w:numId w:val="14"/>
      </w:numPr>
      <w:spacing w:after="140" w:line="280" w:lineRule="atLeast"/>
      <w:outlineLvl w:val="4"/>
    </w:pPr>
    <w:rPr>
      <w:rFonts w:cs="Angsana New"/>
      <w:sz w:val="22"/>
      <w:szCs w:val="22"/>
      <w:lang w:bidi="th-TH"/>
    </w:rPr>
  </w:style>
  <w:style w:type="character" w:customStyle="1" w:styleId="Heading1Char">
    <w:name w:val="Heading 1 Char"/>
    <w:basedOn w:val="DefaultParagraphFont"/>
    <w:link w:val="Heading1"/>
    <w:rsid w:val="00B44FE2"/>
    <w:rPr>
      <w:rFonts w:ascii="Arial" w:hAnsi="Arial" w:cs="Tahoma"/>
      <w:color w:val="000000"/>
      <w:kern w:val="28"/>
      <w:sz w:val="48"/>
      <w:szCs w:val="56"/>
      <w:lang w:val="en-AU"/>
    </w:rPr>
  </w:style>
  <w:style w:type="table" w:customStyle="1" w:styleId="NCVERTable">
    <w:name w:val="NCVER Table"/>
    <w:basedOn w:val="TableNormal"/>
    <w:uiPriority w:val="99"/>
    <w:rsid w:val="0048410F"/>
    <w:pPr>
      <w:jc w:val="both"/>
    </w:pPr>
    <w:rPr>
      <w:rFonts w:ascii="Arial" w:eastAsiaTheme="minorHAnsi" w:hAnsi="Arial" w:cstheme="minorBidi"/>
      <w:sz w:val="17"/>
    </w:rPr>
    <w:tblPr>
      <w:tblStyleRowBandSize w:val="1"/>
      <w:tblBorders>
        <w:top w:val="single" w:sz="4" w:space="0" w:color="auto"/>
        <w:bottom w:val="single" w:sz="4" w:space="0" w:color="auto"/>
      </w:tblBorders>
      <w:tblCellMar>
        <w:top w:w="57" w:type="dxa"/>
        <w:bottom w:w="57"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top w:val="single" w:sz="4" w:space="0" w:color="A6A6A6" w:themeColor="background1" w:themeShade="A6"/>
          <w:left w:val="nil"/>
          <w:bottom w:val="single" w:sz="4" w:space="0" w:color="A6A6A6" w:themeColor="background1" w:themeShade="A6"/>
          <w:right w:val="nil"/>
          <w:insideH w:val="nil"/>
          <w:insideV w:val="nil"/>
          <w:tl2br w:val="nil"/>
          <w:tr2bl w:val="nil"/>
        </w:tcBorders>
      </w:tcPr>
    </w:tblStylePr>
  </w:style>
  <w:style w:type="paragraph" w:customStyle="1" w:styleId="FootnoteText0">
    <w:name w:val="Footnote Text '0"/>
    <w:basedOn w:val="FootnoteText"/>
    <w:uiPriority w:val="1"/>
    <w:qFormat/>
    <w:rsid w:val="0021351D"/>
    <w:pPr>
      <w:spacing w:after="60"/>
      <w:ind w:left="284" w:hanging="284"/>
    </w:pPr>
  </w:style>
  <w:style w:type="character" w:customStyle="1" w:styleId="UnresolvedMention3">
    <w:name w:val="Unresolved Mention3"/>
    <w:basedOn w:val="DefaultParagraphFont"/>
    <w:uiPriority w:val="99"/>
    <w:semiHidden/>
    <w:unhideWhenUsed/>
    <w:rsid w:val="00B4666C"/>
    <w:rPr>
      <w:color w:val="605E5C"/>
      <w:shd w:val="clear" w:color="auto" w:fill="E1DFDD"/>
    </w:rPr>
  </w:style>
  <w:style w:type="character" w:customStyle="1" w:styleId="QuoteChar">
    <w:name w:val="Quote Char"/>
    <w:basedOn w:val="DefaultParagraphFont"/>
    <w:link w:val="Quote"/>
    <w:rsid w:val="00F67264"/>
    <w:rPr>
      <w:rFonts w:ascii="Trebuchet MS" w:hAnsi="Trebuchet MS"/>
      <w:sz w:val="17"/>
      <w:lang w:val="en-AU"/>
    </w:rPr>
  </w:style>
  <w:style w:type="character" w:customStyle="1" w:styleId="UnresolvedMention4">
    <w:name w:val="Unresolved Mention4"/>
    <w:basedOn w:val="DefaultParagraphFont"/>
    <w:uiPriority w:val="99"/>
    <w:semiHidden/>
    <w:unhideWhenUsed/>
    <w:rsid w:val="008C3CF2"/>
    <w:rPr>
      <w:color w:val="605E5C"/>
      <w:shd w:val="clear" w:color="auto" w:fill="E1DFDD"/>
    </w:rPr>
  </w:style>
  <w:style w:type="character" w:customStyle="1" w:styleId="apple-converted-space">
    <w:name w:val="apple-converted-space"/>
    <w:basedOn w:val="DefaultParagraphFont"/>
    <w:rsid w:val="006B19B6"/>
  </w:style>
  <w:style w:type="character" w:customStyle="1" w:styleId="UnresolvedMention5">
    <w:name w:val="Unresolved Mention5"/>
    <w:basedOn w:val="DefaultParagraphFont"/>
    <w:uiPriority w:val="99"/>
    <w:semiHidden/>
    <w:unhideWhenUsed/>
    <w:rsid w:val="00D96F7F"/>
    <w:rPr>
      <w:color w:val="605E5C"/>
      <w:shd w:val="clear" w:color="auto" w:fill="E1DFDD"/>
    </w:rPr>
  </w:style>
  <w:style w:type="character" w:styleId="UnresolvedMention">
    <w:name w:val="Unresolved Mention"/>
    <w:basedOn w:val="DefaultParagraphFont"/>
    <w:uiPriority w:val="99"/>
    <w:semiHidden/>
    <w:unhideWhenUsed/>
    <w:rsid w:val="002C168A"/>
    <w:rPr>
      <w:color w:val="605E5C"/>
      <w:shd w:val="clear" w:color="auto" w:fill="E1DFDD"/>
    </w:rPr>
  </w:style>
  <w:style w:type="paragraph" w:customStyle="1" w:styleId="Heading3Italic">
    <w:name w:val="Heading 3 Italic"/>
    <w:basedOn w:val="Heading3"/>
    <w:uiPriority w:val="1"/>
    <w:qFormat/>
    <w:rsid w:val="00E45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764">
      <w:bodyDiv w:val="1"/>
      <w:marLeft w:val="0"/>
      <w:marRight w:val="0"/>
      <w:marTop w:val="0"/>
      <w:marBottom w:val="0"/>
      <w:divBdr>
        <w:top w:val="none" w:sz="0" w:space="0" w:color="auto"/>
        <w:left w:val="none" w:sz="0" w:space="0" w:color="auto"/>
        <w:bottom w:val="none" w:sz="0" w:space="0" w:color="auto"/>
        <w:right w:val="none" w:sz="0" w:space="0" w:color="auto"/>
      </w:divBdr>
    </w:div>
    <w:div w:id="13462594">
      <w:bodyDiv w:val="1"/>
      <w:marLeft w:val="0"/>
      <w:marRight w:val="0"/>
      <w:marTop w:val="0"/>
      <w:marBottom w:val="0"/>
      <w:divBdr>
        <w:top w:val="none" w:sz="0" w:space="0" w:color="auto"/>
        <w:left w:val="none" w:sz="0" w:space="0" w:color="auto"/>
        <w:bottom w:val="none" w:sz="0" w:space="0" w:color="auto"/>
        <w:right w:val="none" w:sz="0" w:space="0" w:color="auto"/>
      </w:divBdr>
    </w:div>
    <w:div w:id="45301474">
      <w:bodyDiv w:val="1"/>
      <w:marLeft w:val="0"/>
      <w:marRight w:val="0"/>
      <w:marTop w:val="0"/>
      <w:marBottom w:val="0"/>
      <w:divBdr>
        <w:top w:val="none" w:sz="0" w:space="0" w:color="auto"/>
        <w:left w:val="none" w:sz="0" w:space="0" w:color="auto"/>
        <w:bottom w:val="none" w:sz="0" w:space="0" w:color="auto"/>
        <w:right w:val="none" w:sz="0" w:space="0" w:color="auto"/>
      </w:divBdr>
    </w:div>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118186185">
      <w:bodyDiv w:val="1"/>
      <w:marLeft w:val="0"/>
      <w:marRight w:val="0"/>
      <w:marTop w:val="0"/>
      <w:marBottom w:val="0"/>
      <w:divBdr>
        <w:top w:val="none" w:sz="0" w:space="0" w:color="auto"/>
        <w:left w:val="none" w:sz="0" w:space="0" w:color="auto"/>
        <w:bottom w:val="none" w:sz="0" w:space="0" w:color="auto"/>
        <w:right w:val="none" w:sz="0" w:space="0" w:color="auto"/>
      </w:divBdr>
    </w:div>
    <w:div w:id="132187614">
      <w:bodyDiv w:val="1"/>
      <w:marLeft w:val="0"/>
      <w:marRight w:val="0"/>
      <w:marTop w:val="0"/>
      <w:marBottom w:val="0"/>
      <w:divBdr>
        <w:top w:val="none" w:sz="0" w:space="0" w:color="auto"/>
        <w:left w:val="none" w:sz="0" w:space="0" w:color="auto"/>
        <w:bottom w:val="none" w:sz="0" w:space="0" w:color="auto"/>
        <w:right w:val="none" w:sz="0" w:space="0" w:color="auto"/>
      </w:divBdr>
    </w:div>
    <w:div w:id="157573411">
      <w:bodyDiv w:val="1"/>
      <w:marLeft w:val="0"/>
      <w:marRight w:val="0"/>
      <w:marTop w:val="0"/>
      <w:marBottom w:val="0"/>
      <w:divBdr>
        <w:top w:val="none" w:sz="0" w:space="0" w:color="auto"/>
        <w:left w:val="none" w:sz="0" w:space="0" w:color="auto"/>
        <w:bottom w:val="none" w:sz="0" w:space="0" w:color="auto"/>
        <w:right w:val="none" w:sz="0" w:space="0" w:color="auto"/>
      </w:divBdr>
    </w:div>
    <w:div w:id="184293893">
      <w:bodyDiv w:val="1"/>
      <w:marLeft w:val="0"/>
      <w:marRight w:val="0"/>
      <w:marTop w:val="0"/>
      <w:marBottom w:val="0"/>
      <w:divBdr>
        <w:top w:val="none" w:sz="0" w:space="0" w:color="auto"/>
        <w:left w:val="none" w:sz="0" w:space="0" w:color="auto"/>
        <w:bottom w:val="none" w:sz="0" w:space="0" w:color="auto"/>
        <w:right w:val="none" w:sz="0" w:space="0" w:color="auto"/>
      </w:divBdr>
    </w:div>
    <w:div w:id="207498929">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399865485">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05609962">
      <w:bodyDiv w:val="1"/>
      <w:marLeft w:val="0"/>
      <w:marRight w:val="0"/>
      <w:marTop w:val="0"/>
      <w:marBottom w:val="0"/>
      <w:divBdr>
        <w:top w:val="none" w:sz="0" w:space="0" w:color="auto"/>
        <w:left w:val="none" w:sz="0" w:space="0" w:color="auto"/>
        <w:bottom w:val="none" w:sz="0" w:space="0" w:color="auto"/>
        <w:right w:val="none" w:sz="0" w:space="0" w:color="auto"/>
      </w:divBdr>
      <w:divsChild>
        <w:div w:id="2045400684">
          <w:marLeft w:val="0"/>
          <w:marRight w:val="0"/>
          <w:marTop w:val="0"/>
          <w:marBottom w:val="0"/>
          <w:divBdr>
            <w:top w:val="none" w:sz="0" w:space="0" w:color="auto"/>
            <w:left w:val="none" w:sz="0" w:space="0" w:color="auto"/>
            <w:bottom w:val="none" w:sz="0" w:space="0" w:color="auto"/>
            <w:right w:val="none" w:sz="0" w:space="0" w:color="auto"/>
          </w:divBdr>
        </w:div>
      </w:divsChild>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456531774">
      <w:bodyDiv w:val="1"/>
      <w:marLeft w:val="0"/>
      <w:marRight w:val="0"/>
      <w:marTop w:val="0"/>
      <w:marBottom w:val="0"/>
      <w:divBdr>
        <w:top w:val="none" w:sz="0" w:space="0" w:color="auto"/>
        <w:left w:val="none" w:sz="0" w:space="0" w:color="auto"/>
        <w:bottom w:val="none" w:sz="0" w:space="0" w:color="auto"/>
        <w:right w:val="none" w:sz="0" w:space="0" w:color="auto"/>
      </w:divBdr>
    </w:div>
    <w:div w:id="465513633">
      <w:bodyDiv w:val="1"/>
      <w:marLeft w:val="0"/>
      <w:marRight w:val="0"/>
      <w:marTop w:val="0"/>
      <w:marBottom w:val="0"/>
      <w:divBdr>
        <w:top w:val="none" w:sz="0" w:space="0" w:color="auto"/>
        <w:left w:val="none" w:sz="0" w:space="0" w:color="auto"/>
        <w:bottom w:val="none" w:sz="0" w:space="0" w:color="auto"/>
        <w:right w:val="none" w:sz="0" w:space="0" w:color="auto"/>
      </w:divBdr>
    </w:div>
    <w:div w:id="467210981">
      <w:bodyDiv w:val="1"/>
      <w:marLeft w:val="0"/>
      <w:marRight w:val="0"/>
      <w:marTop w:val="0"/>
      <w:marBottom w:val="0"/>
      <w:divBdr>
        <w:top w:val="none" w:sz="0" w:space="0" w:color="auto"/>
        <w:left w:val="none" w:sz="0" w:space="0" w:color="auto"/>
        <w:bottom w:val="none" w:sz="0" w:space="0" w:color="auto"/>
        <w:right w:val="none" w:sz="0" w:space="0" w:color="auto"/>
      </w:divBdr>
    </w:div>
    <w:div w:id="495419247">
      <w:bodyDiv w:val="1"/>
      <w:marLeft w:val="0"/>
      <w:marRight w:val="0"/>
      <w:marTop w:val="0"/>
      <w:marBottom w:val="0"/>
      <w:divBdr>
        <w:top w:val="none" w:sz="0" w:space="0" w:color="auto"/>
        <w:left w:val="none" w:sz="0" w:space="0" w:color="auto"/>
        <w:bottom w:val="none" w:sz="0" w:space="0" w:color="auto"/>
        <w:right w:val="none" w:sz="0" w:space="0" w:color="auto"/>
      </w:divBdr>
    </w:div>
    <w:div w:id="503935211">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600841734">
      <w:bodyDiv w:val="1"/>
      <w:marLeft w:val="0"/>
      <w:marRight w:val="0"/>
      <w:marTop w:val="0"/>
      <w:marBottom w:val="0"/>
      <w:divBdr>
        <w:top w:val="none" w:sz="0" w:space="0" w:color="auto"/>
        <w:left w:val="none" w:sz="0" w:space="0" w:color="auto"/>
        <w:bottom w:val="none" w:sz="0" w:space="0" w:color="auto"/>
        <w:right w:val="none" w:sz="0" w:space="0" w:color="auto"/>
      </w:divBdr>
    </w:div>
    <w:div w:id="670529292">
      <w:bodyDiv w:val="1"/>
      <w:marLeft w:val="0"/>
      <w:marRight w:val="0"/>
      <w:marTop w:val="0"/>
      <w:marBottom w:val="0"/>
      <w:divBdr>
        <w:top w:val="none" w:sz="0" w:space="0" w:color="auto"/>
        <w:left w:val="none" w:sz="0" w:space="0" w:color="auto"/>
        <w:bottom w:val="none" w:sz="0" w:space="0" w:color="auto"/>
        <w:right w:val="none" w:sz="0" w:space="0" w:color="auto"/>
      </w:divBdr>
    </w:div>
    <w:div w:id="683552490">
      <w:bodyDiv w:val="1"/>
      <w:marLeft w:val="0"/>
      <w:marRight w:val="0"/>
      <w:marTop w:val="0"/>
      <w:marBottom w:val="0"/>
      <w:divBdr>
        <w:top w:val="none" w:sz="0" w:space="0" w:color="auto"/>
        <w:left w:val="none" w:sz="0" w:space="0" w:color="auto"/>
        <w:bottom w:val="none" w:sz="0" w:space="0" w:color="auto"/>
        <w:right w:val="none" w:sz="0" w:space="0" w:color="auto"/>
      </w:divBdr>
    </w:div>
    <w:div w:id="710619861">
      <w:bodyDiv w:val="1"/>
      <w:marLeft w:val="0"/>
      <w:marRight w:val="0"/>
      <w:marTop w:val="0"/>
      <w:marBottom w:val="0"/>
      <w:divBdr>
        <w:top w:val="none" w:sz="0" w:space="0" w:color="auto"/>
        <w:left w:val="none" w:sz="0" w:space="0" w:color="auto"/>
        <w:bottom w:val="none" w:sz="0" w:space="0" w:color="auto"/>
        <w:right w:val="none" w:sz="0" w:space="0" w:color="auto"/>
      </w:divBdr>
    </w:div>
    <w:div w:id="729964696">
      <w:bodyDiv w:val="1"/>
      <w:marLeft w:val="0"/>
      <w:marRight w:val="0"/>
      <w:marTop w:val="0"/>
      <w:marBottom w:val="0"/>
      <w:divBdr>
        <w:top w:val="none" w:sz="0" w:space="0" w:color="auto"/>
        <w:left w:val="none" w:sz="0" w:space="0" w:color="auto"/>
        <w:bottom w:val="none" w:sz="0" w:space="0" w:color="auto"/>
        <w:right w:val="none" w:sz="0" w:space="0" w:color="auto"/>
      </w:divBdr>
    </w:div>
    <w:div w:id="735058093">
      <w:bodyDiv w:val="1"/>
      <w:marLeft w:val="0"/>
      <w:marRight w:val="0"/>
      <w:marTop w:val="0"/>
      <w:marBottom w:val="0"/>
      <w:divBdr>
        <w:top w:val="none" w:sz="0" w:space="0" w:color="auto"/>
        <w:left w:val="none" w:sz="0" w:space="0" w:color="auto"/>
        <w:bottom w:val="none" w:sz="0" w:space="0" w:color="auto"/>
        <w:right w:val="none" w:sz="0" w:space="0" w:color="auto"/>
      </w:divBdr>
    </w:div>
    <w:div w:id="762267513">
      <w:bodyDiv w:val="1"/>
      <w:marLeft w:val="0"/>
      <w:marRight w:val="0"/>
      <w:marTop w:val="0"/>
      <w:marBottom w:val="0"/>
      <w:divBdr>
        <w:top w:val="none" w:sz="0" w:space="0" w:color="auto"/>
        <w:left w:val="none" w:sz="0" w:space="0" w:color="auto"/>
        <w:bottom w:val="none" w:sz="0" w:space="0" w:color="auto"/>
        <w:right w:val="none" w:sz="0" w:space="0" w:color="auto"/>
      </w:divBdr>
    </w:div>
    <w:div w:id="767971845">
      <w:bodyDiv w:val="1"/>
      <w:marLeft w:val="0"/>
      <w:marRight w:val="0"/>
      <w:marTop w:val="0"/>
      <w:marBottom w:val="0"/>
      <w:divBdr>
        <w:top w:val="none" w:sz="0" w:space="0" w:color="auto"/>
        <w:left w:val="none" w:sz="0" w:space="0" w:color="auto"/>
        <w:bottom w:val="none" w:sz="0" w:space="0" w:color="auto"/>
        <w:right w:val="none" w:sz="0" w:space="0" w:color="auto"/>
      </w:divBdr>
    </w:div>
    <w:div w:id="778065530">
      <w:bodyDiv w:val="1"/>
      <w:marLeft w:val="0"/>
      <w:marRight w:val="0"/>
      <w:marTop w:val="0"/>
      <w:marBottom w:val="0"/>
      <w:divBdr>
        <w:top w:val="none" w:sz="0" w:space="0" w:color="auto"/>
        <w:left w:val="none" w:sz="0" w:space="0" w:color="auto"/>
        <w:bottom w:val="none" w:sz="0" w:space="0" w:color="auto"/>
        <w:right w:val="none" w:sz="0" w:space="0" w:color="auto"/>
      </w:divBdr>
    </w:div>
    <w:div w:id="791175028">
      <w:bodyDiv w:val="1"/>
      <w:marLeft w:val="0"/>
      <w:marRight w:val="0"/>
      <w:marTop w:val="0"/>
      <w:marBottom w:val="0"/>
      <w:divBdr>
        <w:top w:val="none" w:sz="0" w:space="0" w:color="auto"/>
        <w:left w:val="none" w:sz="0" w:space="0" w:color="auto"/>
        <w:bottom w:val="none" w:sz="0" w:space="0" w:color="auto"/>
        <w:right w:val="none" w:sz="0" w:space="0" w:color="auto"/>
      </w:divBdr>
    </w:div>
    <w:div w:id="839153673">
      <w:bodyDiv w:val="1"/>
      <w:marLeft w:val="0"/>
      <w:marRight w:val="0"/>
      <w:marTop w:val="0"/>
      <w:marBottom w:val="0"/>
      <w:divBdr>
        <w:top w:val="none" w:sz="0" w:space="0" w:color="auto"/>
        <w:left w:val="none" w:sz="0" w:space="0" w:color="auto"/>
        <w:bottom w:val="none" w:sz="0" w:space="0" w:color="auto"/>
        <w:right w:val="none" w:sz="0" w:space="0" w:color="auto"/>
      </w:divBdr>
      <w:divsChild>
        <w:div w:id="1422947701">
          <w:marLeft w:val="0"/>
          <w:marRight w:val="0"/>
          <w:marTop w:val="0"/>
          <w:marBottom w:val="0"/>
          <w:divBdr>
            <w:top w:val="none" w:sz="0" w:space="0" w:color="auto"/>
            <w:left w:val="none" w:sz="0" w:space="0" w:color="auto"/>
            <w:bottom w:val="none" w:sz="0" w:space="0" w:color="auto"/>
            <w:right w:val="none" w:sz="0" w:space="0" w:color="auto"/>
          </w:divBdr>
          <w:divsChild>
            <w:div w:id="292488271">
              <w:marLeft w:val="0"/>
              <w:marRight w:val="0"/>
              <w:marTop w:val="0"/>
              <w:marBottom w:val="0"/>
              <w:divBdr>
                <w:top w:val="none" w:sz="0" w:space="0" w:color="auto"/>
                <w:left w:val="none" w:sz="0" w:space="0" w:color="auto"/>
                <w:bottom w:val="none" w:sz="0" w:space="0" w:color="auto"/>
                <w:right w:val="none" w:sz="0" w:space="0" w:color="auto"/>
              </w:divBdr>
              <w:divsChild>
                <w:div w:id="801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826">
      <w:bodyDiv w:val="1"/>
      <w:marLeft w:val="0"/>
      <w:marRight w:val="0"/>
      <w:marTop w:val="0"/>
      <w:marBottom w:val="0"/>
      <w:divBdr>
        <w:top w:val="none" w:sz="0" w:space="0" w:color="auto"/>
        <w:left w:val="none" w:sz="0" w:space="0" w:color="auto"/>
        <w:bottom w:val="none" w:sz="0" w:space="0" w:color="auto"/>
        <w:right w:val="none" w:sz="0" w:space="0" w:color="auto"/>
      </w:divBdr>
      <w:divsChild>
        <w:div w:id="95828413">
          <w:marLeft w:val="0"/>
          <w:marRight w:val="0"/>
          <w:marTop w:val="0"/>
          <w:marBottom w:val="0"/>
          <w:divBdr>
            <w:top w:val="none" w:sz="0" w:space="0" w:color="auto"/>
            <w:left w:val="none" w:sz="0" w:space="0" w:color="auto"/>
            <w:bottom w:val="none" w:sz="0" w:space="0" w:color="auto"/>
            <w:right w:val="none" w:sz="0" w:space="0" w:color="auto"/>
          </w:divBdr>
          <w:divsChild>
            <w:div w:id="726688715">
              <w:marLeft w:val="0"/>
              <w:marRight w:val="0"/>
              <w:marTop w:val="0"/>
              <w:marBottom w:val="0"/>
              <w:divBdr>
                <w:top w:val="none" w:sz="0" w:space="0" w:color="auto"/>
                <w:left w:val="none" w:sz="0" w:space="0" w:color="auto"/>
                <w:bottom w:val="none" w:sz="0" w:space="0" w:color="auto"/>
                <w:right w:val="none" w:sz="0" w:space="0" w:color="auto"/>
              </w:divBdr>
              <w:divsChild>
                <w:div w:id="5327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898130469">
      <w:bodyDiv w:val="1"/>
      <w:marLeft w:val="0"/>
      <w:marRight w:val="0"/>
      <w:marTop w:val="0"/>
      <w:marBottom w:val="0"/>
      <w:divBdr>
        <w:top w:val="none" w:sz="0" w:space="0" w:color="auto"/>
        <w:left w:val="none" w:sz="0" w:space="0" w:color="auto"/>
        <w:bottom w:val="none" w:sz="0" w:space="0" w:color="auto"/>
        <w:right w:val="none" w:sz="0" w:space="0" w:color="auto"/>
      </w:divBdr>
    </w:div>
    <w:div w:id="928780124">
      <w:bodyDiv w:val="1"/>
      <w:marLeft w:val="0"/>
      <w:marRight w:val="0"/>
      <w:marTop w:val="0"/>
      <w:marBottom w:val="0"/>
      <w:divBdr>
        <w:top w:val="none" w:sz="0" w:space="0" w:color="auto"/>
        <w:left w:val="none" w:sz="0" w:space="0" w:color="auto"/>
        <w:bottom w:val="none" w:sz="0" w:space="0" w:color="auto"/>
        <w:right w:val="none" w:sz="0" w:space="0" w:color="auto"/>
      </w:divBdr>
    </w:div>
    <w:div w:id="953439806">
      <w:bodyDiv w:val="1"/>
      <w:marLeft w:val="0"/>
      <w:marRight w:val="0"/>
      <w:marTop w:val="0"/>
      <w:marBottom w:val="0"/>
      <w:divBdr>
        <w:top w:val="none" w:sz="0" w:space="0" w:color="auto"/>
        <w:left w:val="none" w:sz="0" w:space="0" w:color="auto"/>
        <w:bottom w:val="none" w:sz="0" w:space="0" w:color="auto"/>
        <w:right w:val="none" w:sz="0" w:space="0" w:color="auto"/>
      </w:divBdr>
    </w:div>
    <w:div w:id="980186961">
      <w:bodyDiv w:val="1"/>
      <w:marLeft w:val="0"/>
      <w:marRight w:val="0"/>
      <w:marTop w:val="0"/>
      <w:marBottom w:val="0"/>
      <w:divBdr>
        <w:top w:val="none" w:sz="0" w:space="0" w:color="auto"/>
        <w:left w:val="none" w:sz="0" w:space="0" w:color="auto"/>
        <w:bottom w:val="none" w:sz="0" w:space="0" w:color="auto"/>
        <w:right w:val="none" w:sz="0" w:space="0" w:color="auto"/>
      </w:divBdr>
    </w:div>
    <w:div w:id="996542271">
      <w:bodyDiv w:val="1"/>
      <w:marLeft w:val="0"/>
      <w:marRight w:val="0"/>
      <w:marTop w:val="0"/>
      <w:marBottom w:val="0"/>
      <w:divBdr>
        <w:top w:val="none" w:sz="0" w:space="0" w:color="auto"/>
        <w:left w:val="none" w:sz="0" w:space="0" w:color="auto"/>
        <w:bottom w:val="none" w:sz="0" w:space="0" w:color="auto"/>
        <w:right w:val="none" w:sz="0" w:space="0" w:color="auto"/>
      </w:divBdr>
    </w:div>
    <w:div w:id="1006904601">
      <w:bodyDiv w:val="1"/>
      <w:marLeft w:val="0"/>
      <w:marRight w:val="0"/>
      <w:marTop w:val="0"/>
      <w:marBottom w:val="0"/>
      <w:divBdr>
        <w:top w:val="none" w:sz="0" w:space="0" w:color="auto"/>
        <w:left w:val="none" w:sz="0" w:space="0" w:color="auto"/>
        <w:bottom w:val="none" w:sz="0" w:space="0" w:color="auto"/>
        <w:right w:val="none" w:sz="0" w:space="0" w:color="auto"/>
      </w:divBdr>
    </w:div>
    <w:div w:id="1082991785">
      <w:bodyDiv w:val="1"/>
      <w:marLeft w:val="0"/>
      <w:marRight w:val="0"/>
      <w:marTop w:val="0"/>
      <w:marBottom w:val="0"/>
      <w:divBdr>
        <w:top w:val="none" w:sz="0" w:space="0" w:color="auto"/>
        <w:left w:val="none" w:sz="0" w:space="0" w:color="auto"/>
        <w:bottom w:val="none" w:sz="0" w:space="0" w:color="auto"/>
        <w:right w:val="none" w:sz="0" w:space="0" w:color="auto"/>
      </w:divBdr>
      <w:divsChild>
        <w:div w:id="2126999268">
          <w:marLeft w:val="0"/>
          <w:marRight w:val="0"/>
          <w:marTop w:val="0"/>
          <w:marBottom w:val="0"/>
          <w:divBdr>
            <w:top w:val="none" w:sz="0" w:space="0" w:color="auto"/>
            <w:left w:val="none" w:sz="0" w:space="0" w:color="auto"/>
            <w:bottom w:val="none" w:sz="0" w:space="0" w:color="auto"/>
            <w:right w:val="none" w:sz="0" w:space="0" w:color="auto"/>
          </w:divBdr>
          <w:divsChild>
            <w:div w:id="6947226">
              <w:marLeft w:val="0"/>
              <w:marRight w:val="0"/>
              <w:marTop w:val="0"/>
              <w:marBottom w:val="0"/>
              <w:divBdr>
                <w:top w:val="none" w:sz="0" w:space="0" w:color="auto"/>
                <w:left w:val="none" w:sz="0" w:space="0" w:color="auto"/>
                <w:bottom w:val="none" w:sz="0" w:space="0" w:color="auto"/>
                <w:right w:val="none" w:sz="0" w:space="0" w:color="auto"/>
              </w:divBdr>
              <w:divsChild>
                <w:div w:id="12982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6601">
      <w:bodyDiv w:val="1"/>
      <w:marLeft w:val="0"/>
      <w:marRight w:val="0"/>
      <w:marTop w:val="0"/>
      <w:marBottom w:val="0"/>
      <w:divBdr>
        <w:top w:val="none" w:sz="0" w:space="0" w:color="auto"/>
        <w:left w:val="none" w:sz="0" w:space="0" w:color="auto"/>
        <w:bottom w:val="none" w:sz="0" w:space="0" w:color="auto"/>
        <w:right w:val="none" w:sz="0" w:space="0" w:color="auto"/>
      </w:divBdr>
    </w:div>
    <w:div w:id="1099526840">
      <w:bodyDiv w:val="1"/>
      <w:marLeft w:val="0"/>
      <w:marRight w:val="0"/>
      <w:marTop w:val="0"/>
      <w:marBottom w:val="0"/>
      <w:divBdr>
        <w:top w:val="none" w:sz="0" w:space="0" w:color="auto"/>
        <w:left w:val="none" w:sz="0" w:space="0" w:color="auto"/>
        <w:bottom w:val="none" w:sz="0" w:space="0" w:color="auto"/>
        <w:right w:val="none" w:sz="0" w:space="0" w:color="auto"/>
      </w:divBdr>
    </w:div>
    <w:div w:id="1116370113">
      <w:bodyDiv w:val="1"/>
      <w:marLeft w:val="0"/>
      <w:marRight w:val="0"/>
      <w:marTop w:val="0"/>
      <w:marBottom w:val="0"/>
      <w:divBdr>
        <w:top w:val="none" w:sz="0" w:space="0" w:color="auto"/>
        <w:left w:val="none" w:sz="0" w:space="0" w:color="auto"/>
        <w:bottom w:val="none" w:sz="0" w:space="0" w:color="auto"/>
        <w:right w:val="none" w:sz="0" w:space="0" w:color="auto"/>
      </w:divBdr>
      <w:divsChild>
        <w:div w:id="1476996358">
          <w:marLeft w:val="0"/>
          <w:marRight w:val="0"/>
          <w:marTop w:val="0"/>
          <w:marBottom w:val="0"/>
          <w:divBdr>
            <w:top w:val="none" w:sz="0" w:space="0" w:color="auto"/>
            <w:left w:val="none" w:sz="0" w:space="0" w:color="auto"/>
            <w:bottom w:val="none" w:sz="0" w:space="0" w:color="auto"/>
            <w:right w:val="none" w:sz="0" w:space="0" w:color="auto"/>
          </w:divBdr>
          <w:divsChild>
            <w:div w:id="411588039">
              <w:marLeft w:val="0"/>
              <w:marRight w:val="0"/>
              <w:marTop w:val="0"/>
              <w:marBottom w:val="0"/>
              <w:divBdr>
                <w:top w:val="none" w:sz="0" w:space="0" w:color="auto"/>
                <w:left w:val="none" w:sz="0" w:space="0" w:color="auto"/>
                <w:bottom w:val="none" w:sz="0" w:space="0" w:color="auto"/>
                <w:right w:val="none" w:sz="0" w:space="0" w:color="auto"/>
              </w:divBdr>
              <w:divsChild>
                <w:div w:id="14240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6901">
      <w:bodyDiv w:val="1"/>
      <w:marLeft w:val="0"/>
      <w:marRight w:val="0"/>
      <w:marTop w:val="0"/>
      <w:marBottom w:val="0"/>
      <w:divBdr>
        <w:top w:val="none" w:sz="0" w:space="0" w:color="auto"/>
        <w:left w:val="none" w:sz="0" w:space="0" w:color="auto"/>
        <w:bottom w:val="none" w:sz="0" w:space="0" w:color="auto"/>
        <w:right w:val="none" w:sz="0" w:space="0" w:color="auto"/>
      </w:divBdr>
      <w:divsChild>
        <w:div w:id="1634217732">
          <w:marLeft w:val="0"/>
          <w:marRight w:val="0"/>
          <w:marTop w:val="0"/>
          <w:marBottom w:val="0"/>
          <w:divBdr>
            <w:top w:val="none" w:sz="0" w:space="0" w:color="auto"/>
            <w:left w:val="none" w:sz="0" w:space="0" w:color="auto"/>
            <w:bottom w:val="none" w:sz="0" w:space="0" w:color="auto"/>
            <w:right w:val="none" w:sz="0" w:space="0" w:color="auto"/>
          </w:divBdr>
          <w:divsChild>
            <w:div w:id="194512162">
              <w:marLeft w:val="0"/>
              <w:marRight w:val="0"/>
              <w:marTop w:val="0"/>
              <w:marBottom w:val="0"/>
              <w:divBdr>
                <w:top w:val="none" w:sz="0" w:space="0" w:color="auto"/>
                <w:left w:val="none" w:sz="0" w:space="0" w:color="auto"/>
                <w:bottom w:val="none" w:sz="0" w:space="0" w:color="auto"/>
                <w:right w:val="none" w:sz="0" w:space="0" w:color="auto"/>
              </w:divBdr>
              <w:divsChild>
                <w:div w:id="16658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2647">
      <w:bodyDiv w:val="1"/>
      <w:marLeft w:val="0"/>
      <w:marRight w:val="0"/>
      <w:marTop w:val="0"/>
      <w:marBottom w:val="0"/>
      <w:divBdr>
        <w:top w:val="none" w:sz="0" w:space="0" w:color="auto"/>
        <w:left w:val="none" w:sz="0" w:space="0" w:color="auto"/>
        <w:bottom w:val="none" w:sz="0" w:space="0" w:color="auto"/>
        <w:right w:val="none" w:sz="0" w:space="0" w:color="auto"/>
      </w:divBdr>
    </w:div>
    <w:div w:id="1265724902">
      <w:bodyDiv w:val="1"/>
      <w:marLeft w:val="0"/>
      <w:marRight w:val="0"/>
      <w:marTop w:val="0"/>
      <w:marBottom w:val="0"/>
      <w:divBdr>
        <w:top w:val="none" w:sz="0" w:space="0" w:color="auto"/>
        <w:left w:val="none" w:sz="0" w:space="0" w:color="auto"/>
        <w:bottom w:val="none" w:sz="0" w:space="0" w:color="auto"/>
        <w:right w:val="none" w:sz="0" w:space="0" w:color="auto"/>
      </w:divBdr>
    </w:div>
    <w:div w:id="1342506442">
      <w:bodyDiv w:val="1"/>
      <w:marLeft w:val="0"/>
      <w:marRight w:val="0"/>
      <w:marTop w:val="0"/>
      <w:marBottom w:val="0"/>
      <w:divBdr>
        <w:top w:val="none" w:sz="0" w:space="0" w:color="auto"/>
        <w:left w:val="none" w:sz="0" w:space="0" w:color="auto"/>
        <w:bottom w:val="none" w:sz="0" w:space="0" w:color="auto"/>
        <w:right w:val="none" w:sz="0" w:space="0" w:color="auto"/>
      </w:divBdr>
    </w:div>
    <w:div w:id="1378091706">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438911662">
      <w:bodyDiv w:val="1"/>
      <w:marLeft w:val="0"/>
      <w:marRight w:val="0"/>
      <w:marTop w:val="0"/>
      <w:marBottom w:val="0"/>
      <w:divBdr>
        <w:top w:val="none" w:sz="0" w:space="0" w:color="auto"/>
        <w:left w:val="none" w:sz="0" w:space="0" w:color="auto"/>
        <w:bottom w:val="none" w:sz="0" w:space="0" w:color="auto"/>
        <w:right w:val="none" w:sz="0" w:space="0" w:color="auto"/>
      </w:divBdr>
    </w:div>
    <w:div w:id="1441610288">
      <w:bodyDiv w:val="1"/>
      <w:marLeft w:val="0"/>
      <w:marRight w:val="0"/>
      <w:marTop w:val="0"/>
      <w:marBottom w:val="0"/>
      <w:divBdr>
        <w:top w:val="none" w:sz="0" w:space="0" w:color="auto"/>
        <w:left w:val="none" w:sz="0" w:space="0" w:color="auto"/>
        <w:bottom w:val="none" w:sz="0" w:space="0" w:color="auto"/>
        <w:right w:val="none" w:sz="0" w:space="0" w:color="auto"/>
      </w:divBdr>
    </w:div>
    <w:div w:id="1451781456">
      <w:bodyDiv w:val="1"/>
      <w:marLeft w:val="0"/>
      <w:marRight w:val="0"/>
      <w:marTop w:val="0"/>
      <w:marBottom w:val="0"/>
      <w:divBdr>
        <w:top w:val="none" w:sz="0" w:space="0" w:color="auto"/>
        <w:left w:val="none" w:sz="0" w:space="0" w:color="auto"/>
        <w:bottom w:val="none" w:sz="0" w:space="0" w:color="auto"/>
        <w:right w:val="none" w:sz="0" w:space="0" w:color="auto"/>
      </w:divBdr>
    </w:div>
    <w:div w:id="1499493950">
      <w:bodyDiv w:val="1"/>
      <w:marLeft w:val="0"/>
      <w:marRight w:val="0"/>
      <w:marTop w:val="0"/>
      <w:marBottom w:val="0"/>
      <w:divBdr>
        <w:top w:val="none" w:sz="0" w:space="0" w:color="auto"/>
        <w:left w:val="none" w:sz="0" w:space="0" w:color="auto"/>
        <w:bottom w:val="none" w:sz="0" w:space="0" w:color="auto"/>
        <w:right w:val="none" w:sz="0" w:space="0" w:color="auto"/>
      </w:divBdr>
    </w:div>
    <w:div w:id="1499879074">
      <w:bodyDiv w:val="1"/>
      <w:marLeft w:val="0"/>
      <w:marRight w:val="0"/>
      <w:marTop w:val="0"/>
      <w:marBottom w:val="0"/>
      <w:divBdr>
        <w:top w:val="none" w:sz="0" w:space="0" w:color="auto"/>
        <w:left w:val="none" w:sz="0" w:space="0" w:color="auto"/>
        <w:bottom w:val="none" w:sz="0" w:space="0" w:color="auto"/>
        <w:right w:val="none" w:sz="0" w:space="0" w:color="auto"/>
      </w:divBdr>
    </w:div>
    <w:div w:id="1513030659">
      <w:bodyDiv w:val="1"/>
      <w:marLeft w:val="0"/>
      <w:marRight w:val="0"/>
      <w:marTop w:val="0"/>
      <w:marBottom w:val="0"/>
      <w:divBdr>
        <w:top w:val="none" w:sz="0" w:space="0" w:color="auto"/>
        <w:left w:val="none" w:sz="0" w:space="0" w:color="auto"/>
        <w:bottom w:val="none" w:sz="0" w:space="0" w:color="auto"/>
        <w:right w:val="none" w:sz="0" w:space="0" w:color="auto"/>
      </w:divBdr>
    </w:div>
    <w:div w:id="1583955299">
      <w:bodyDiv w:val="1"/>
      <w:marLeft w:val="0"/>
      <w:marRight w:val="0"/>
      <w:marTop w:val="0"/>
      <w:marBottom w:val="0"/>
      <w:divBdr>
        <w:top w:val="none" w:sz="0" w:space="0" w:color="auto"/>
        <w:left w:val="none" w:sz="0" w:space="0" w:color="auto"/>
        <w:bottom w:val="none" w:sz="0" w:space="0" w:color="auto"/>
        <w:right w:val="none" w:sz="0" w:space="0" w:color="auto"/>
      </w:divBdr>
    </w:div>
    <w:div w:id="1651136484">
      <w:bodyDiv w:val="1"/>
      <w:marLeft w:val="0"/>
      <w:marRight w:val="0"/>
      <w:marTop w:val="0"/>
      <w:marBottom w:val="0"/>
      <w:divBdr>
        <w:top w:val="none" w:sz="0" w:space="0" w:color="auto"/>
        <w:left w:val="none" w:sz="0" w:space="0" w:color="auto"/>
        <w:bottom w:val="none" w:sz="0" w:space="0" w:color="auto"/>
        <w:right w:val="none" w:sz="0" w:space="0" w:color="auto"/>
      </w:divBdr>
    </w:div>
    <w:div w:id="1699814308">
      <w:bodyDiv w:val="1"/>
      <w:marLeft w:val="0"/>
      <w:marRight w:val="0"/>
      <w:marTop w:val="0"/>
      <w:marBottom w:val="0"/>
      <w:divBdr>
        <w:top w:val="none" w:sz="0" w:space="0" w:color="auto"/>
        <w:left w:val="none" w:sz="0" w:space="0" w:color="auto"/>
        <w:bottom w:val="none" w:sz="0" w:space="0" w:color="auto"/>
        <w:right w:val="none" w:sz="0" w:space="0" w:color="auto"/>
      </w:divBdr>
    </w:div>
    <w:div w:id="1703744829">
      <w:bodyDiv w:val="1"/>
      <w:marLeft w:val="0"/>
      <w:marRight w:val="0"/>
      <w:marTop w:val="0"/>
      <w:marBottom w:val="0"/>
      <w:divBdr>
        <w:top w:val="none" w:sz="0" w:space="0" w:color="auto"/>
        <w:left w:val="none" w:sz="0" w:space="0" w:color="auto"/>
        <w:bottom w:val="none" w:sz="0" w:space="0" w:color="auto"/>
        <w:right w:val="none" w:sz="0" w:space="0" w:color="auto"/>
      </w:divBdr>
    </w:div>
    <w:div w:id="1759709698">
      <w:bodyDiv w:val="1"/>
      <w:marLeft w:val="0"/>
      <w:marRight w:val="0"/>
      <w:marTop w:val="0"/>
      <w:marBottom w:val="0"/>
      <w:divBdr>
        <w:top w:val="none" w:sz="0" w:space="0" w:color="auto"/>
        <w:left w:val="none" w:sz="0" w:space="0" w:color="auto"/>
        <w:bottom w:val="none" w:sz="0" w:space="0" w:color="auto"/>
        <w:right w:val="none" w:sz="0" w:space="0" w:color="auto"/>
      </w:divBdr>
    </w:div>
    <w:div w:id="1786727634">
      <w:bodyDiv w:val="1"/>
      <w:marLeft w:val="0"/>
      <w:marRight w:val="0"/>
      <w:marTop w:val="0"/>
      <w:marBottom w:val="0"/>
      <w:divBdr>
        <w:top w:val="none" w:sz="0" w:space="0" w:color="auto"/>
        <w:left w:val="none" w:sz="0" w:space="0" w:color="auto"/>
        <w:bottom w:val="none" w:sz="0" w:space="0" w:color="auto"/>
        <w:right w:val="none" w:sz="0" w:space="0" w:color="auto"/>
      </w:divBdr>
      <w:divsChild>
        <w:div w:id="1064453254">
          <w:marLeft w:val="0"/>
          <w:marRight w:val="0"/>
          <w:marTop w:val="0"/>
          <w:marBottom w:val="0"/>
          <w:divBdr>
            <w:top w:val="none" w:sz="0" w:space="0" w:color="auto"/>
            <w:left w:val="none" w:sz="0" w:space="0" w:color="auto"/>
            <w:bottom w:val="none" w:sz="0" w:space="0" w:color="auto"/>
            <w:right w:val="none" w:sz="0" w:space="0" w:color="auto"/>
          </w:divBdr>
          <w:divsChild>
            <w:div w:id="397023686">
              <w:marLeft w:val="0"/>
              <w:marRight w:val="0"/>
              <w:marTop w:val="0"/>
              <w:marBottom w:val="0"/>
              <w:divBdr>
                <w:top w:val="none" w:sz="0" w:space="0" w:color="auto"/>
                <w:left w:val="none" w:sz="0" w:space="0" w:color="auto"/>
                <w:bottom w:val="none" w:sz="0" w:space="0" w:color="auto"/>
                <w:right w:val="none" w:sz="0" w:space="0" w:color="auto"/>
              </w:divBdr>
              <w:divsChild>
                <w:div w:id="7463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8020">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846507233">
      <w:bodyDiv w:val="1"/>
      <w:marLeft w:val="0"/>
      <w:marRight w:val="0"/>
      <w:marTop w:val="0"/>
      <w:marBottom w:val="0"/>
      <w:divBdr>
        <w:top w:val="none" w:sz="0" w:space="0" w:color="auto"/>
        <w:left w:val="none" w:sz="0" w:space="0" w:color="auto"/>
        <w:bottom w:val="none" w:sz="0" w:space="0" w:color="auto"/>
        <w:right w:val="none" w:sz="0" w:space="0" w:color="auto"/>
      </w:divBdr>
    </w:div>
    <w:div w:id="1894804029">
      <w:bodyDiv w:val="1"/>
      <w:marLeft w:val="0"/>
      <w:marRight w:val="0"/>
      <w:marTop w:val="0"/>
      <w:marBottom w:val="0"/>
      <w:divBdr>
        <w:top w:val="none" w:sz="0" w:space="0" w:color="auto"/>
        <w:left w:val="none" w:sz="0" w:space="0" w:color="auto"/>
        <w:bottom w:val="none" w:sz="0" w:space="0" w:color="auto"/>
        <w:right w:val="none" w:sz="0" w:space="0" w:color="auto"/>
      </w:divBdr>
    </w:div>
    <w:div w:id="1933659366">
      <w:bodyDiv w:val="1"/>
      <w:marLeft w:val="0"/>
      <w:marRight w:val="0"/>
      <w:marTop w:val="0"/>
      <w:marBottom w:val="0"/>
      <w:divBdr>
        <w:top w:val="none" w:sz="0" w:space="0" w:color="auto"/>
        <w:left w:val="none" w:sz="0" w:space="0" w:color="auto"/>
        <w:bottom w:val="none" w:sz="0" w:space="0" w:color="auto"/>
        <w:right w:val="none" w:sz="0" w:space="0" w:color="auto"/>
      </w:divBdr>
    </w:div>
    <w:div w:id="1939562867">
      <w:bodyDiv w:val="1"/>
      <w:marLeft w:val="0"/>
      <w:marRight w:val="0"/>
      <w:marTop w:val="0"/>
      <w:marBottom w:val="0"/>
      <w:divBdr>
        <w:top w:val="none" w:sz="0" w:space="0" w:color="auto"/>
        <w:left w:val="none" w:sz="0" w:space="0" w:color="auto"/>
        <w:bottom w:val="none" w:sz="0" w:space="0" w:color="auto"/>
        <w:right w:val="none" w:sz="0" w:space="0" w:color="auto"/>
      </w:divBdr>
    </w:div>
    <w:div w:id="1971857597">
      <w:bodyDiv w:val="1"/>
      <w:marLeft w:val="0"/>
      <w:marRight w:val="0"/>
      <w:marTop w:val="0"/>
      <w:marBottom w:val="0"/>
      <w:divBdr>
        <w:top w:val="none" w:sz="0" w:space="0" w:color="auto"/>
        <w:left w:val="none" w:sz="0" w:space="0" w:color="auto"/>
        <w:bottom w:val="none" w:sz="0" w:space="0" w:color="auto"/>
        <w:right w:val="none" w:sz="0" w:space="0" w:color="auto"/>
      </w:divBdr>
    </w:div>
    <w:div w:id="1987129566">
      <w:bodyDiv w:val="1"/>
      <w:marLeft w:val="0"/>
      <w:marRight w:val="0"/>
      <w:marTop w:val="0"/>
      <w:marBottom w:val="0"/>
      <w:divBdr>
        <w:top w:val="none" w:sz="0" w:space="0" w:color="auto"/>
        <w:left w:val="none" w:sz="0" w:space="0" w:color="auto"/>
        <w:bottom w:val="none" w:sz="0" w:space="0" w:color="auto"/>
        <w:right w:val="none" w:sz="0" w:space="0" w:color="auto"/>
      </w:divBdr>
      <w:divsChild>
        <w:div w:id="2025545324">
          <w:marLeft w:val="0"/>
          <w:marRight w:val="0"/>
          <w:marTop w:val="0"/>
          <w:marBottom w:val="0"/>
          <w:divBdr>
            <w:top w:val="none" w:sz="0" w:space="0" w:color="auto"/>
            <w:left w:val="none" w:sz="0" w:space="0" w:color="auto"/>
            <w:bottom w:val="none" w:sz="0" w:space="0" w:color="auto"/>
            <w:right w:val="none" w:sz="0" w:space="0" w:color="auto"/>
          </w:divBdr>
          <w:divsChild>
            <w:div w:id="1733457654">
              <w:marLeft w:val="0"/>
              <w:marRight w:val="0"/>
              <w:marTop w:val="0"/>
              <w:marBottom w:val="0"/>
              <w:divBdr>
                <w:top w:val="none" w:sz="0" w:space="0" w:color="auto"/>
                <w:left w:val="none" w:sz="0" w:space="0" w:color="auto"/>
                <w:bottom w:val="none" w:sz="0" w:space="0" w:color="auto"/>
                <w:right w:val="none" w:sz="0" w:space="0" w:color="auto"/>
              </w:divBdr>
              <w:divsChild>
                <w:div w:id="5838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2228">
      <w:bodyDiv w:val="1"/>
      <w:marLeft w:val="0"/>
      <w:marRight w:val="0"/>
      <w:marTop w:val="0"/>
      <w:marBottom w:val="0"/>
      <w:divBdr>
        <w:top w:val="none" w:sz="0" w:space="0" w:color="auto"/>
        <w:left w:val="none" w:sz="0" w:space="0" w:color="auto"/>
        <w:bottom w:val="none" w:sz="0" w:space="0" w:color="auto"/>
        <w:right w:val="none" w:sz="0" w:space="0" w:color="auto"/>
      </w:divBdr>
    </w:div>
    <w:div w:id="1999380859">
      <w:bodyDiv w:val="1"/>
      <w:marLeft w:val="0"/>
      <w:marRight w:val="0"/>
      <w:marTop w:val="0"/>
      <w:marBottom w:val="0"/>
      <w:divBdr>
        <w:top w:val="none" w:sz="0" w:space="0" w:color="auto"/>
        <w:left w:val="none" w:sz="0" w:space="0" w:color="auto"/>
        <w:bottom w:val="none" w:sz="0" w:space="0" w:color="auto"/>
        <w:right w:val="none" w:sz="0" w:space="0" w:color="auto"/>
      </w:divBdr>
    </w:div>
    <w:div w:id="2013218343">
      <w:bodyDiv w:val="1"/>
      <w:marLeft w:val="0"/>
      <w:marRight w:val="0"/>
      <w:marTop w:val="0"/>
      <w:marBottom w:val="0"/>
      <w:divBdr>
        <w:top w:val="none" w:sz="0" w:space="0" w:color="auto"/>
        <w:left w:val="none" w:sz="0" w:space="0" w:color="auto"/>
        <w:bottom w:val="none" w:sz="0" w:space="0" w:color="auto"/>
        <w:right w:val="none" w:sz="0" w:space="0" w:color="auto"/>
      </w:divBdr>
      <w:divsChild>
        <w:div w:id="1062825344">
          <w:marLeft w:val="0"/>
          <w:marRight w:val="0"/>
          <w:marTop w:val="0"/>
          <w:marBottom w:val="0"/>
          <w:divBdr>
            <w:top w:val="none" w:sz="0" w:space="0" w:color="auto"/>
            <w:left w:val="none" w:sz="0" w:space="0" w:color="auto"/>
            <w:bottom w:val="none" w:sz="0" w:space="0" w:color="auto"/>
            <w:right w:val="none" w:sz="0" w:space="0" w:color="auto"/>
          </w:divBdr>
          <w:divsChild>
            <w:div w:id="1683437583">
              <w:marLeft w:val="0"/>
              <w:marRight w:val="0"/>
              <w:marTop w:val="0"/>
              <w:marBottom w:val="0"/>
              <w:divBdr>
                <w:top w:val="none" w:sz="0" w:space="0" w:color="auto"/>
                <w:left w:val="none" w:sz="0" w:space="0" w:color="auto"/>
                <w:bottom w:val="none" w:sz="0" w:space="0" w:color="auto"/>
                <w:right w:val="none" w:sz="0" w:space="0" w:color="auto"/>
              </w:divBdr>
              <w:divsChild>
                <w:div w:id="2386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00617">
      <w:bodyDiv w:val="1"/>
      <w:marLeft w:val="0"/>
      <w:marRight w:val="0"/>
      <w:marTop w:val="0"/>
      <w:marBottom w:val="0"/>
      <w:divBdr>
        <w:top w:val="none" w:sz="0" w:space="0" w:color="auto"/>
        <w:left w:val="none" w:sz="0" w:space="0" w:color="auto"/>
        <w:bottom w:val="none" w:sz="0" w:space="0" w:color="auto"/>
        <w:right w:val="none" w:sz="0" w:space="0" w:color="auto"/>
      </w:divBdr>
    </w:div>
    <w:div w:id="2072383847">
      <w:bodyDiv w:val="1"/>
      <w:marLeft w:val="0"/>
      <w:marRight w:val="0"/>
      <w:marTop w:val="0"/>
      <w:marBottom w:val="0"/>
      <w:divBdr>
        <w:top w:val="none" w:sz="0" w:space="0" w:color="auto"/>
        <w:left w:val="none" w:sz="0" w:space="0" w:color="auto"/>
        <w:bottom w:val="none" w:sz="0" w:space="0" w:color="auto"/>
        <w:right w:val="none" w:sz="0" w:space="0" w:color="auto"/>
      </w:divBdr>
    </w:div>
    <w:div w:id="2083982145">
      <w:bodyDiv w:val="1"/>
      <w:marLeft w:val="0"/>
      <w:marRight w:val="0"/>
      <w:marTop w:val="0"/>
      <w:marBottom w:val="0"/>
      <w:divBdr>
        <w:top w:val="none" w:sz="0" w:space="0" w:color="auto"/>
        <w:left w:val="none" w:sz="0" w:space="0" w:color="auto"/>
        <w:bottom w:val="none" w:sz="0" w:space="0" w:color="auto"/>
        <w:right w:val="none" w:sz="0" w:space="0" w:color="auto"/>
      </w:divBdr>
    </w:div>
    <w:div w:id="2099405793">
      <w:bodyDiv w:val="1"/>
      <w:marLeft w:val="0"/>
      <w:marRight w:val="0"/>
      <w:marTop w:val="0"/>
      <w:marBottom w:val="0"/>
      <w:divBdr>
        <w:top w:val="none" w:sz="0" w:space="0" w:color="auto"/>
        <w:left w:val="none" w:sz="0" w:space="0" w:color="auto"/>
        <w:bottom w:val="none" w:sz="0" w:space="0" w:color="auto"/>
        <w:right w:val="none" w:sz="0" w:space="0" w:color="auto"/>
      </w:divBdr>
    </w:div>
    <w:div w:id="21450053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9.emf"/><Relationship Id="rId39" Type="http://schemas.openxmlformats.org/officeDocument/2006/relationships/hyperlink" Target="https://www.qirc.qld.gov.au/sites/default/files/2019_cb136.pdf?v=1580715050" TargetMode="Externa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hyperlink" Target="https://www.saet.sa.gov.au/app/uploads/2019/11/133P-Award-Nov-2019.pdf" TargetMode="External"/><Relationship Id="rId47" Type="http://schemas.openxmlformats.org/officeDocument/2006/relationships/hyperlink" Target="https://www.aitsl.edu.au/docs/default-source/national-policy-framework/australian-professional-standards-for-teachers.pdf?sfvrsn=5800f33c_64" TargetMode="External"/><Relationship Id="rId50" Type="http://schemas.openxmlformats.org/officeDocument/2006/relationships/hyperlink" Target="https://www.et-foundation.co.uk/wp-content/uploads/2018/07/ETF_Professional_Standards_Framework_Spreads_Web.pdf" TargetMode="External"/><Relationship Id="rId55" Type="http://schemas.openxmlformats.org/officeDocument/2006/relationships/hyperlink" Target="https://www.dtwd.wa.gov.au/sites/default/files/uploads/vet-capability-framework-implementation-guide.pdf" TargetMode="External"/><Relationship Id="rId63" Type="http://schemas.openxmlformats.org/officeDocument/2006/relationships/hyperlink" Target="https://www.avetra.org.au/pages/conference-archives-2012.html" TargetMode="External"/><Relationship Id="rId68" Type="http://schemas.openxmlformats.org/officeDocument/2006/relationships/hyperlink" Target="https://twitter.com/ncver" TargetMode="External"/><Relationship Id="rId7" Type="http://schemas.openxmlformats.org/officeDocument/2006/relationships/endnotes" Target="endnotes.xml"/><Relationship Id="rId71" Type="http://schemas.openxmlformats.org/officeDocument/2006/relationships/hyperlink" Target="https://twitter.com/ncver" TargetMode="Externa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emf"/><Relationship Id="rId11" Type="http://schemas.openxmlformats.org/officeDocument/2006/relationships/hyperlink" Target="https://www.voced.edu.au" TargetMode="External"/><Relationship Id="rId24" Type="http://schemas.openxmlformats.org/officeDocument/2006/relationships/footer" Target="footer4.xml"/><Relationship Id="rId32" Type="http://schemas.openxmlformats.org/officeDocument/2006/relationships/header" Target="header4.xml"/><Relationship Id="rId37" Type="http://schemas.openxmlformats.org/officeDocument/2006/relationships/hyperlink" Target="https://www.aitsl.edu.au/teach/standards" TargetMode="External"/><Relationship Id="rId40" Type="http://schemas.openxmlformats.org/officeDocument/2006/relationships/hyperlink" Target="https://www.sstuwa.org.au/application/files/5115/9669/5635/AG_15-2020_-_gazette_version_-_2020_WAIRC_00679_order_-_agreement_registration_-_6_August_2020.pdf" TargetMode="External"/><Relationship Id="rId45" Type="http://schemas.openxmlformats.org/officeDocument/2006/relationships/footer" Target="footer8.xml"/><Relationship Id="rId53" Type="http://schemas.openxmlformats.org/officeDocument/2006/relationships/hyperlink" Target="https://www.voced.edu.au/vet-knowledge-bank-landmark-documents-training-and-assesment-historical-overview" TargetMode="External"/><Relationship Id="rId58" Type="http://schemas.openxmlformats.org/officeDocument/2006/relationships/hyperlink" Target="http://hdl.voced.edu.au/10707/516572" TargetMode="External"/><Relationship Id="rId66"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yperlink" Target="mailto:ncver@ncver.edu.au" TargetMode="External"/><Relationship Id="rId23" Type="http://schemas.openxmlformats.org/officeDocument/2006/relationships/header" Target="header3.xml"/><Relationship Id="rId28" Type="http://schemas.openxmlformats.org/officeDocument/2006/relationships/image" Target="media/image11.emf"/><Relationship Id="rId36" Type="http://schemas.openxmlformats.org/officeDocument/2006/relationships/header" Target="header6.xml"/><Relationship Id="rId49" Type="http://schemas.openxmlformats.org/officeDocument/2006/relationships/hyperlink" Target="https://education.ky.gov/teachers/PGES/TPGES/Documents/Kentucky%20Framework%20for%20Teaching.pdf" TargetMode="External"/><Relationship Id="rId57" Type="http://schemas.openxmlformats.org/officeDocument/2006/relationships/hyperlink" Target="http://www.oecd.org/education/school/programmeforinternationalstudentassessmentpisa/buildingahigh-qualityteachingprofessionlessonsfromaroundtheworld.htm" TargetMode="External"/><Relationship Id="rId61" Type="http://schemas.openxmlformats.org/officeDocument/2006/relationships/hyperlink" Target="https://www.vta.vic.edu.au/employment-relations/victorian-tafe-teaching-staff-agreement-2018" TargetMode="External"/><Relationship Id="rId10" Type="http://schemas.openxmlformats.org/officeDocument/2006/relationships/image" Target="media/image3.jpeg"/><Relationship Id="rId19" Type="http://schemas.openxmlformats.org/officeDocument/2006/relationships/header" Target="header1.xml"/><Relationship Id="rId31" Type="http://schemas.openxmlformats.org/officeDocument/2006/relationships/image" Target="media/image14.emf"/><Relationship Id="rId44" Type="http://schemas.openxmlformats.org/officeDocument/2006/relationships/footer" Target="footer7.xml"/><Relationship Id="rId52" Type="http://schemas.openxmlformats.org/officeDocument/2006/relationships/hyperlink" Target="https://pdfs.semanticscholar.org/660a/8c4b3d2d94ce233f9a7a61902523800c445e.pdf?_ga=2.187919597.47855781.1601093622-1469514769.1596156669" TargetMode="External"/><Relationship Id="rId60" Type="http://schemas.openxmlformats.org/officeDocument/2006/relationships/hyperlink" Target="https://www.ncver.edu.au/__data/assets/pdf_file/0036/496944/Continuing-professional-development.pdf" TargetMode="External"/><Relationship Id="rId65" Type="http://schemas.openxmlformats.org/officeDocument/2006/relationships/image" Target="media/image15.wmf"/><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ncver@ncver.edu.au" TargetMode="External"/><Relationship Id="rId22" Type="http://schemas.openxmlformats.org/officeDocument/2006/relationships/footer" Target="footer3.xml"/><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footer" Target="footer6.xml"/><Relationship Id="rId43" Type="http://schemas.openxmlformats.org/officeDocument/2006/relationships/header" Target="header7.xml"/><Relationship Id="rId48" Type="http://schemas.openxmlformats.org/officeDocument/2006/relationships/hyperlink" Target="https://humanresources.dearbornschools.org/wp-content/uploads/sites/103/2013/09/FFT-Smart-Card.pdf" TargetMode="External"/><Relationship Id="rId56" Type="http://schemas.openxmlformats.org/officeDocument/2006/relationships/hyperlink" Target="https://www.iteca.edu.au/ITECA-College" TargetMode="External"/><Relationship Id="rId64" Type="http://schemas.openxmlformats.org/officeDocument/2006/relationships/footer" Target="footer9.xml"/><Relationship Id="rId69" Type="http://schemas.openxmlformats.org/officeDocument/2006/relationships/hyperlink" Target="mailto:ncver@ncver.edu.au" TargetMode="External"/><Relationship Id="rId8" Type="http://schemas.openxmlformats.org/officeDocument/2006/relationships/image" Target="media/image1.jpg"/><Relationship Id="rId51" Type="http://schemas.openxmlformats.org/officeDocument/2006/relationships/hyperlink" Target="file://C:\Users\Melinda%20Waters\Documents\Research%20Papers\By%20theme\Pedagogy\Hattie,%20J.A.C.%20(2003,%20October).%20Teachers%20make%20a%20difference:%20What%20is%20the%20research%20evidence?%20Paper%20presented%20at%20the%20Building%20Teacher%20Quality:%20What%20does%20the%20research%20tell%20us%20ACER%20Research%20Conference,%20Melbourne,%20Australia.%20Retrieved%20from%20http:\\research.acer.edu.au\research_conference_2003\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8.emf"/><Relationship Id="rId33" Type="http://schemas.openxmlformats.org/officeDocument/2006/relationships/header" Target="header5.xml"/><Relationship Id="rId38" Type="http://schemas.openxmlformats.org/officeDocument/2006/relationships/hyperlink" Target="https://www.fwc.gov.au/documents/documents/agreements/fwa/ae500437.pdf" TargetMode="External"/><Relationship Id="rId46" Type="http://schemas.openxmlformats.org/officeDocument/2006/relationships/header" Target="header8.xml"/><Relationship Id="rId59" Type="http://schemas.openxmlformats.org/officeDocument/2006/relationships/hyperlink" Target="https://avetra.org.au/pages/conference-archives-2016.html" TargetMode="External"/><Relationship Id="rId67" Type="http://schemas.openxmlformats.org/officeDocument/2006/relationships/hyperlink" Target="http://www.lsay.edu.au" TargetMode="External"/><Relationship Id="rId20" Type="http://schemas.openxmlformats.org/officeDocument/2006/relationships/header" Target="header2.xml"/><Relationship Id="rId41" Type="http://schemas.openxmlformats.org/officeDocument/2006/relationships/hyperlink" Target="https://www.fwc.gov.au/documents/documents/agreements/fwa/ae502222.pdf" TargetMode="External"/><Relationship Id="rId54" Type="http://schemas.openxmlformats.org/officeDocument/2006/relationships/hyperlink" Target="https://www.voced.edu.au/content/ngv%3A85202" TargetMode="External"/><Relationship Id="rId62" Type="http://schemas.openxmlformats.org/officeDocument/2006/relationships/hyperlink" Target="https://vta.vic.edu.au/docman-sortable-list/886-tafe-teachers-guide/file" TargetMode="External"/><Relationship Id="rId70" Type="http://schemas.openxmlformats.org/officeDocument/2006/relationships/hyperlink" Target="http://www.lsay.edu.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vta.vic.edu.au/employment-relations/victorian-tafe-teaching-staff-agreement-2018" TargetMode="External"/><Relationship Id="rId2" Type="http://schemas.openxmlformats.org/officeDocument/2006/relationships/hyperlink" Target="https://avetra.org.au/pages/conference-archives-2016.html" TargetMode="External"/><Relationship Id="rId1" Type="http://schemas.openxmlformats.org/officeDocument/2006/relationships/hyperlink" Target="http://avetra.org.au/data/Conference_2016_pres./Ruth-Schubert-Quality_Teaching.pdf" TargetMode="External"/><Relationship Id="rId4" Type="http://schemas.openxmlformats.org/officeDocument/2006/relationships/hyperlink" Target="https://www.vta.vic.edu.au/docman-sortable-list/886-tafe-teachers-guide/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F8F4-D718-48CA-B0FA-31852F38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0</TotalTime>
  <Pages>48</Pages>
  <Words>20287</Words>
  <Characters>115642</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135658</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2021-02-25T03:27:00Z</dcterms:created>
  <dcterms:modified xsi:type="dcterms:W3CDTF">2021-02-25T03:29:00Z</dcterms:modified>
</cp:coreProperties>
</file>