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34C13"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584FE395" wp14:editId="0BDAACC4">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2DCA4A06" w14:textId="77777777" w:rsidR="009E231A" w:rsidRPr="005C2FCF" w:rsidRDefault="00E30095" w:rsidP="00AB7E26">
      <w:pPr>
        <w:pStyle w:val="PublicationTitle"/>
        <w:spacing w:before="1600"/>
      </w:pPr>
      <w:r>
        <w:t xml:space="preserve">VET’s response to Industry 4.0 and the digital economy: what </w:t>
      </w:r>
      <w:bookmarkStart w:id="2" w:name="_GoBack"/>
      <w:r>
        <w:t>works</w:t>
      </w:r>
    </w:p>
    <w:p w14:paraId="448688D8" w14:textId="77777777" w:rsidR="00177827" w:rsidRDefault="00E30095" w:rsidP="00940830">
      <w:pPr>
        <w:pStyle w:val="Authors"/>
      </w:pPr>
      <w:bookmarkStart w:id="3" w:name="_Toc296423678"/>
      <w:bookmarkStart w:id="4" w:name="_Toc296497509"/>
      <w:bookmarkEnd w:id="2"/>
      <w:r>
        <w:t>Bridget Wibrow</w:t>
      </w:r>
    </w:p>
    <w:p w14:paraId="783C96F0" w14:textId="77777777" w:rsidR="00E30095" w:rsidRDefault="00E30095" w:rsidP="00940830">
      <w:pPr>
        <w:pStyle w:val="Authors"/>
      </w:pPr>
      <w:r>
        <w:t>Michelle Circelli</w:t>
      </w:r>
    </w:p>
    <w:p w14:paraId="47777889" w14:textId="77777777" w:rsidR="00E30095" w:rsidRDefault="00E30095" w:rsidP="00940830">
      <w:pPr>
        <w:pStyle w:val="Authors"/>
      </w:pPr>
      <w:r>
        <w:t>Patrick Korbel</w:t>
      </w:r>
    </w:p>
    <w:bookmarkEnd w:id="3"/>
    <w:bookmarkEnd w:id="4"/>
    <w:p w14:paraId="4D5809A5" w14:textId="77777777" w:rsidR="009E231A" w:rsidRDefault="00E30095" w:rsidP="00940830">
      <w:pPr>
        <w:pStyle w:val="Organisation"/>
      </w:pPr>
      <w:r>
        <w:t>NCVER</w:t>
      </w:r>
    </w:p>
    <w:p w14:paraId="4576CBAB" w14:textId="77777777" w:rsidR="00166281" w:rsidRDefault="00166281" w:rsidP="00940830">
      <w:pPr>
        <w:pStyle w:val="Organisation"/>
      </w:pPr>
    </w:p>
    <w:p w14:paraId="797038F5" w14:textId="77777777" w:rsidR="000315D7" w:rsidRDefault="000315D7" w:rsidP="00940830">
      <w:pPr>
        <w:pStyle w:val="Organisation"/>
      </w:pPr>
    </w:p>
    <w:p w14:paraId="6146070A" w14:textId="7BAACEC3" w:rsidR="006C5DA9" w:rsidRPr="006C5DA9" w:rsidRDefault="006C5DA9" w:rsidP="00A9334E">
      <w:pPr>
        <w:pStyle w:val="Text"/>
        <w:ind w:left="2552"/>
      </w:pPr>
    </w:p>
    <w:p w14:paraId="5688E42C" w14:textId="4DE499C1" w:rsidR="001B43CF" w:rsidRDefault="001B43CF" w:rsidP="00A9334E">
      <w:pPr>
        <w:pStyle w:val="Text"/>
        <w:ind w:left="2552"/>
      </w:pPr>
    </w:p>
    <w:p w14:paraId="5CA64825" w14:textId="302F4178" w:rsidR="001B43CF" w:rsidRDefault="004D46EF" w:rsidP="00A9334E">
      <w:pPr>
        <w:pStyle w:val="Text"/>
        <w:ind w:left="2552"/>
      </w:pPr>
      <w:r>
        <w:rPr>
          <w:noProof/>
          <w:lang w:eastAsia="en-AU"/>
        </w:rPr>
        <mc:AlternateContent>
          <mc:Choice Requires="wps">
            <w:drawing>
              <wp:anchor distT="0" distB="0" distL="114300" distR="114300" simplePos="0" relativeHeight="251658240" behindDoc="0" locked="0" layoutInCell="1" allowOverlap="1" wp14:anchorId="5F228250" wp14:editId="7CCCFE57">
                <wp:simplePos x="0" y="0"/>
                <wp:positionH relativeFrom="column">
                  <wp:posOffset>1588490</wp:posOffset>
                </wp:positionH>
                <wp:positionV relativeFrom="margin">
                  <wp:posOffset>6412153</wp:posOffset>
                </wp:positionV>
                <wp:extent cx="3825875" cy="1762125"/>
                <wp:effectExtent l="0" t="0" r="0" b="952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10EE" w14:textId="02408D10" w:rsidR="00AB0F13" w:rsidRDefault="00AB0F13" w:rsidP="00B57CC9">
                            <w:pPr>
                              <w:pStyle w:val="Text"/>
                              <w:shd w:val="clear" w:color="auto" w:fill="000000" w:themeFill="text1"/>
                            </w:pPr>
                            <w:r w:rsidRPr="006D0E3C">
                              <w:t xml:space="preserve">This document </w:t>
                            </w:r>
                            <w:r w:rsidR="004D46EF">
                              <w:t>is a companion to two Good Practice Guides,</w:t>
                            </w:r>
                            <w:r w:rsidRPr="006D0E3C">
                              <w:t xml:space="preserve"> </w:t>
                            </w:r>
                            <w:r w:rsidRPr="006D0E3C">
                              <w:rPr>
                                <w:i/>
                              </w:rPr>
                              <w:t>I</w:t>
                            </w:r>
                            <w:r w:rsidR="004D46EF">
                              <w:rPr>
                                <w:i/>
                              </w:rPr>
                              <w:t xml:space="preserve">ncorporating digital skills into VET delivery </w:t>
                            </w:r>
                            <w:r w:rsidR="004D46EF" w:rsidRPr="004D46EF">
                              <w:rPr>
                                <w:iCs/>
                              </w:rPr>
                              <w:t>and</w:t>
                            </w:r>
                            <w:r w:rsidR="004D46EF">
                              <w:t xml:space="preserve"> </w:t>
                            </w:r>
                            <w:r w:rsidR="004D46EF" w:rsidRPr="004D46EF">
                              <w:rPr>
                                <w:i/>
                                <w:iCs/>
                              </w:rPr>
                              <w:t>Teaching digital skills: implications for VET educators</w:t>
                            </w:r>
                            <w:r w:rsidR="004D46EF">
                              <w:t xml:space="preserve">, </w:t>
                            </w:r>
                            <w:r w:rsidRPr="006D0E3C">
                              <w:t xml:space="preserve">and is an added resource for further information. The </w:t>
                            </w:r>
                            <w:r w:rsidR="004D46EF">
                              <w:t>Good Practice Guides are</w:t>
                            </w:r>
                            <w:r w:rsidRPr="006D0E3C">
                              <w:t xml:space="preserve"> available on NCVER’s Portal: &lt;</w:t>
                            </w:r>
                            <w:hyperlink r:id="rId9" w:history="1">
                              <w:r w:rsidRPr="006D0E3C">
                                <w:rPr>
                                  <w:rStyle w:val="Hyperlink"/>
                                </w:rPr>
                                <w:t>https://www.ncver.edu.au</w:t>
                              </w:r>
                            </w:hyperlink>
                            <w:r>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28250" id="_x0000_t202" coordsize="21600,21600" o:spt="202" path="m,l,21600r21600,l21600,xe">
                <v:stroke joinstyle="miter"/>
                <v:path gradientshapeok="t" o:connecttype="rect"/>
              </v:shapetype>
              <v:shape id="Text Box 10" o:spid="_x0000_s1026" type="#_x0000_t202" style="position:absolute;left:0;text-align:left;margin-left:125.1pt;margin-top:504.9pt;width:301.25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" filled="f" stroked="f">
                <v:textbox>
                  <w:txbxContent>
                    <w:p w14:paraId="00D610EE" w14:textId="02408D10" w:rsidR="00AB0F13" w:rsidRDefault="00AB0F13" w:rsidP="00B57CC9">
                      <w:pPr>
                        <w:pStyle w:val="Text"/>
                        <w:shd w:val="clear" w:color="auto" w:fill="000000" w:themeFill="text1"/>
                      </w:pPr>
                      <w:r w:rsidRPr="006D0E3C">
                        <w:t xml:space="preserve">This document </w:t>
                      </w:r>
                      <w:r w:rsidR="004D46EF">
                        <w:t>is a companion to two Good Practice Guides,</w:t>
                      </w:r>
                      <w:r w:rsidRPr="006D0E3C">
                        <w:t xml:space="preserve"> </w:t>
                      </w:r>
                      <w:r w:rsidRPr="006D0E3C">
                        <w:rPr>
                          <w:i/>
                        </w:rPr>
                        <w:t>I</w:t>
                      </w:r>
                      <w:r w:rsidR="004D46EF">
                        <w:rPr>
                          <w:i/>
                        </w:rPr>
                        <w:t xml:space="preserve">ncorporating digital skills into VET delivery </w:t>
                      </w:r>
                      <w:r w:rsidR="004D46EF" w:rsidRPr="004D46EF">
                        <w:rPr>
                          <w:iCs/>
                        </w:rPr>
                        <w:t>and</w:t>
                      </w:r>
                      <w:r w:rsidR="004D46EF">
                        <w:t xml:space="preserve"> </w:t>
                      </w:r>
                      <w:r w:rsidR="004D46EF" w:rsidRPr="004D46EF">
                        <w:rPr>
                          <w:i/>
                          <w:iCs/>
                        </w:rPr>
                        <w:t>Teaching digital skills: implications for VET educators</w:t>
                      </w:r>
                      <w:r w:rsidR="004D46EF">
                        <w:t xml:space="preserve">, </w:t>
                      </w:r>
                      <w:r w:rsidRPr="006D0E3C">
                        <w:t xml:space="preserve">and is an added resource for further information. The </w:t>
                      </w:r>
                      <w:r w:rsidR="004D46EF">
                        <w:t>Good Practice Guides are</w:t>
                      </w:r>
                      <w:r w:rsidRPr="006D0E3C">
                        <w:t xml:space="preserve"> available on NCVER’s Portal: &lt;</w:t>
                      </w:r>
                      <w:hyperlink r:id="rId10" w:history="1">
                        <w:r w:rsidRPr="006D0E3C">
                          <w:rPr>
                            <w:rStyle w:val="Hyperlink"/>
                          </w:rPr>
                          <w:t>https://www.ncver.edu.au</w:t>
                        </w:r>
                      </w:hyperlink>
                      <w:r>
                        <w:t xml:space="preserve">&gt;.  </w:t>
                      </w:r>
                    </w:p>
                  </w:txbxContent>
                </v:textbox>
                <w10:wrap anchory="margin"/>
              </v:shape>
            </w:pict>
          </mc:Fallback>
        </mc:AlternateContent>
      </w:r>
    </w:p>
    <w:p w14:paraId="722A9D50" w14:textId="07A5737A" w:rsidR="001B43CF" w:rsidRDefault="001B43CF" w:rsidP="00A9334E">
      <w:pPr>
        <w:pStyle w:val="Text"/>
        <w:ind w:left="2552"/>
      </w:pPr>
    </w:p>
    <w:p w14:paraId="67E1F926" w14:textId="7FA676FA" w:rsidR="001B43CF" w:rsidRDefault="001B43CF" w:rsidP="00A9334E">
      <w:pPr>
        <w:pStyle w:val="Text"/>
        <w:ind w:left="2552"/>
      </w:pPr>
    </w:p>
    <w:p w14:paraId="63202701" w14:textId="2AA4285B" w:rsidR="001B43CF" w:rsidRDefault="001B43CF" w:rsidP="00A9334E">
      <w:pPr>
        <w:pStyle w:val="Text"/>
        <w:ind w:left="2552"/>
      </w:pPr>
    </w:p>
    <w:p w14:paraId="63854966" w14:textId="77777777" w:rsidR="00DB599C" w:rsidRDefault="00DB599C" w:rsidP="00A9334E">
      <w:pPr>
        <w:pStyle w:val="Text"/>
        <w:ind w:left="2552"/>
      </w:pPr>
    </w:p>
    <w:p w14:paraId="0B5DA773" w14:textId="77777777" w:rsidR="00DB599C" w:rsidRDefault="00DB599C" w:rsidP="00A9334E">
      <w:pPr>
        <w:pStyle w:val="Text"/>
        <w:ind w:left="2552"/>
      </w:pPr>
    </w:p>
    <w:p w14:paraId="22ED8EA4" w14:textId="77777777" w:rsidR="00DB599C" w:rsidRDefault="00DB599C" w:rsidP="00A9334E">
      <w:pPr>
        <w:pStyle w:val="Heading3"/>
        <w:ind w:left="2552" w:right="-1"/>
      </w:pPr>
      <w:r>
        <w:softHyphen/>
      </w:r>
    </w:p>
    <w:p w14:paraId="0E85F555"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442189DB" w14:textId="77777777" w:rsidR="008E6C3A" w:rsidRPr="005C2FCF" w:rsidRDefault="008E6C3A" w:rsidP="008E6C3A">
      <w:pPr>
        <w:pStyle w:val="Heading3"/>
        <w:ind w:right="-1"/>
      </w:pPr>
      <w:r w:rsidRPr="005C2FCF">
        <w:lastRenderedPageBreak/>
        <w:t>Publisher’s note</w:t>
      </w:r>
    </w:p>
    <w:p w14:paraId="55B27771" w14:textId="7777777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A9CFE92" w14:textId="77777777" w:rsidR="006A702B" w:rsidRDefault="006A702B" w:rsidP="008E6C3A">
      <w:pPr>
        <w:pStyle w:val="Imprint"/>
      </w:pPr>
    </w:p>
    <w:p w14:paraId="33DEFCAF" w14:textId="77777777" w:rsidR="006A702B" w:rsidRDefault="006A702B" w:rsidP="008E6C3A">
      <w:pPr>
        <w:pStyle w:val="Imprint"/>
      </w:pPr>
    </w:p>
    <w:p w14:paraId="0C9090A8" w14:textId="77777777" w:rsidR="006A702B" w:rsidRDefault="006A702B" w:rsidP="008E6C3A">
      <w:pPr>
        <w:pStyle w:val="Imprint"/>
      </w:pPr>
    </w:p>
    <w:p w14:paraId="210A30A9" w14:textId="77777777" w:rsidR="006A702B" w:rsidRDefault="006A702B" w:rsidP="008E6C3A">
      <w:pPr>
        <w:pStyle w:val="Imprint"/>
      </w:pPr>
    </w:p>
    <w:p w14:paraId="1EF97CA4" w14:textId="77777777" w:rsidR="006A702B" w:rsidRDefault="006A702B" w:rsidP="008E6C3A">
      <w:pPr>
        <w:pStyle w:val="Imprint"/>
      </w:pPr>
    </w:p>
    <w:p w14:paraId="642F70B9" w14:textId="77777777" w:rsidR="006A702B" w:rsidRDefault="006A702B" w:rsidP="008E6C3A">
      <w:pPr>
        <w:pStyle w:val="Imprint"/>
      </w:pPr>
    </w:p>
    <w:p w14:paraId="0B045E8C" w14:textId="77777777" w:rsidR="006A702B" w:rsidRDefault="006A702B" w:rsidP="008E6C3A">
      <w:pPr>
        <w:pStyle w:val="Imprint"/>
      </w:pPr>
    </w:p>
    <w:p w14:paraId="41ABE592" w14:textId="77777777" w:rsidR="006A702B" w:rsidRDefault="006A702B" w:rsidP="008E6C3A">
      <w:pPr>
        <w:pStyle w:val="Imprint"/>
      </w:pPr>
    </w:p>
    <w:p w14:paraId="7A92DB2A" w14:textId="77777777" w:rsidR="006A702B" w:rsidRDefault="006A702B" w:rsidP="006A702B">
      <w:pPr>
        <w:pStyle w:val="Text"/>
      </w:pPr>
    </w:p>
    <w:p w14:paraId="6EEEE53F" w14:textId="77777777" w:rsidR="006A702B" w:rsidRDefault="006A702B" w:rsidP="006A702B">
      <w:pPr>
        <w:pStyle w:val="Text"/>
      </w:pPr>
    </w:p>
    <w:p w14:paraId="5DDD9FFD" w14:textId="77777777" w:rsidR="006A702B" w:rsidRDefault="0084105A" w:rsidP="006A702B">
      <w:pPr>
        <w:pStyle w:val="Text"/>
      </w:pPr>
      <w:r>
        <w:rPr>
          <w:noProof/>
          <w:kern w:val="28"/>
          <w:lang w:eastAsia="en-AU"/>
        </w:rPr>
        <mc:AlternateContent>
          <mc:Choice Requires="wps">
            <w:drawing>
              <wp:anchor distT="0" distB="0" distL="114300" distR="114300" simplePos="0" relativeHeight="251660288" behindDoc="0" locked="0" layoutInCell="1" allowOverlap="1" wp14:anchorId="51BCC988" wp14:editId="169E49E7">
                <wp:simplePos x="0" y="0"/>
                <wp:positionH relativeFrom="margin">
                  <wp:align>left</wp:align>
                </wp:positionH>
                <wp:positionV relativeFrom="margin">
                  <wp:posOffset>3623945</wp:posOffset>
                </wp:positionV>
                <wp:extent cx="5682615" cy="5266944"/>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266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B55A6" w14:textId="35E96CCE" w:rsidR="00AB0F13" w:rsidRPr="00A021FC" w:rsidRDefault="00AB0F13" w:rsidP="00297C1D">
                            <w:pPr>
                              <w:pStyle w:val="Imprint"/>
                              <w:rPr>
                                <w:b/>
                              </w:rPr>
                            </w:pPr>
                            <w:r w:rsidRPr="00A021FC">
                              <w:rPr>
                                <w:b/>
                              </w:rPr>
                              <w:t xml:space="preserve">© </w:t>
                            </w:r>
                            <w:r w:rsidRPr="00453BCD">
                              <w:rPr>
                                <w:b/>
                              </w:rPr>
                              <w:t>Commonwealth of Australia, 2020</w:t>
                            </w:r>
                          </w:p>
                          <w:p w14:paraId="32D1908B" w14:textId="77777777" w:rsidR="00AB0F13" w:rsidRDefault="00AB0F13" w:rsidP="00297C1D">
                            <w:pPr>
                              <w:pStyle w:val="Imprint"/>
                              <w:rPr>
                                <w:sz w:val="20"/>
                              </w:rPr>
                            </w:pPr>
                            <w:r w:rsidRPr="00E80270">
                              <w:rPr>
                                <w:noProof/>
                                <w:sz w:val="20"/>
                                <w:lang w:eastAsia="en-AU"/>
                              </w:rPr>
                              <w:drawing>
                                <wp:inline distT="0" distB="0" distL="0" distR="0" wp14:anchorId="429F7E44" wp14:editId="7BBBD05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2CA2EE60" w14:textId="77777777" w:rsidR="00AB0F13" w:rsidRDefault="00AB0F13"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019FB677" w14:textId="77777777" w:rsidR="00AB0F13" w:rsidRPr="001D321A" w:rsidRDefault="00AB0F13"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6727A1AF" w14:textId="77777777" w:rsidR="00AB0F13" w:rsidRDefault="00AB0F13"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7672A817" w14:textId="5033BC09" w:rsidR="00AB0F13" w:rsidRPr="00A021FC" w:rsidRDefault="00AB0F13" w:rsidP="00297C1D">
                            <w:pPr>
                              <w:pStyle w:val="Imprint"/>
                            </w:pPr>
                            <w:r w:rsidRPr="00A021FC">
                              <w:t xml:space="preserve">This document should be attributed as </w:t>
                            </w:r>
                            <w:r>
                              <w:t xml:space="preserve">Wibrow, B, Circelli, M &amp; Korbel, P 2020, </w:t>
                            </w:r>
                            <w:r w:rsidRPr="004D46EF">
                              <w:rPr>
                                <w:i/>
                                <w:iCs/>
                              </w:rPr>
                              <w:t>VET’s response to Industry 4.0 and the digital economy: what works</w:t>
                            </w:r>
                            <w:r w:rsidRPr="004D46EF">
                              <w:rPr>
                                <w:i/>
                              </w:rPr>
                              <w:t>,</w:t>
                            </w:r>
                            <w:r w:rsidRPr="004D46EF">
                              <w:t xml:space="preserve"> NCVER, Adelaide.</w:t>
                            </w:r>
                            <w:r>
                              <w:t xml:space="preserve"> </w:t>
                            </w:r>
                          </w:p>
                          <w:p w14:paraId="27A766C7" w14:textId="711BBCF7" w:rsidR="00AB0F13" w:rsidRDefault="00AB0F13"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rsidRPr="008936F7">
                              <w:t>Education, Skills and Employment</w:t>
                            </w:r>
                            <w:r w:rsidRPr="001D321A">
                              <w:t xml:space="preserve">. </w:t>
                            </w:r>
                          </w:p>
                          <w:p w14:paraId="7AD91F14" w14:textId="508933ED" w:rsidR="00AB0F13" w:rsidRDefault="00AB0F13" w:rsidP="00D42A61">
                            <w:pPr>
                              <w:pStyle w:val="Imprint"/>
                              <w:rPr>
                                <w:color w:val="000000"/>
                              </w:rPr>
                            </w:pPr>
                            <w:r w:rsidRPr="008936F7">
                              <w:rPr>
                                <w:color w:val="000000"/>
                              </w:rPr>
                              <w:t>TD/TNC</w:t>
                            </w:r>
                            <w:r w:rsidRPr="008936F7">
                              <w:rPr>
                                <w:color w:val="000000"/>
                              </w:rPr>
                              <w:tab/>
                              <w:t>140.03</w:t>
                            </w:r>
                          </w:p>
                          <w:p w14:paraId="5C1EB3D6" w14:textId="28C724BD" w:rsidR="00AB0F13" w:rsidRPr="00D42A61" w:rsidRDefault="00AB0F13" w:rsidP="00D42A61">
                            <w:pPr>
                              <w:pStyle w:val="Imprint"/>
                              <w:rPr>
                                <w:color w:val="000000"/>
                              </w:rPr>
                            </w:pPr>
                            <w:r w:rsidRPr="00D42A61">
                              <w:rPr>
                                <w:color w:val="000000"/>
                              </w:rPr>
                              <w:t>Published by NCVER, ABN 87 007 967 311</w:t>
                            </w:r>
                          </w:p>
                          <w:p w14:paraId="20E606E4" w14:textId="77777777" w:rsidR="00AB0F13" w:rsidRPr="00D42A61" w:rsidRDefault="00AB0F13"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33A30CC1" w14:textId="77777777" w:rsidR="00AB0F13" w:rsidRDefault="00AB0F13"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2" w:history="1">
                              <w:r w:rsidRPr="00D42A61">
                                <w:rPr>
                                  <w:rStyle w:val="Hyperlink"/>
                                  <w:sz w:val="16"/>
                                </w:rPr>
                                <w:t>ncver@ncver.edu.au</w:t>
                              </w:r>
                            </w:hyperlink>
                            <w:r w:rsidRPr="00D42A61">
                              <w:rPr>
                                <w:color w:val="000000"/>
                              </w:rPr>
                              <w:t xml:space="preserve">     </w:t>
                            </w:r>
                          </w:p>
                          <w:p w14:paraId="112D1D3C" w14:textId="77777777" w:rsidR="00AB0F13" w:rsidRPr="00D42A61" w:rsidRDefault="00AB0F13"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r w:rsidRPr="004D46EF">
                              <w:rPr>
                                <w:color w:val="000000"/>
                              </w:rPr>
                              <w:t>&lt;</w:t>
                            </w:r>
                            <w:hyperlink r:id="rId13" w:history="1">
                              <w:r w:rsidRPr="004D46EF">
                                <w:rPr>
                                  <w:rStyle w:val="Hyperlink"/>
                                  <w:sz w:val="16"/>
                                </w:rPr>
                                <w:t>https://www.lsay.edu.au</w:t>
                              </w:r>
                            </w:hyperlink>
                            <w:r w:rsidRPr="004D46EF">
                              <w:rPr>
                                <w:color w:val="000000"/>
                              </w:rPr>
                              <w:t>&gt;</w:t>
                            </w:r>
                          </w:p>
                          <w:p w14:paraId="0AC74777" w14:textId="77777777" w:rsidR="00AB0F13" w:rsidRPr="00D42A61" w:rsidRDefault="00AB0F13"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6F33968E" wp14:editId="2923AB6A">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873D5A7" wp14:editId="6ED840D5">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A0D4A58" w14:textId="77777777" w:rsidR="00AB0F13" w:rsidRPr="00D42A61" w:rsidRDefault="00AB0F13" w:rsidP="00D42A61">
                            <w:pPr>
                              <w:pStyle w:val="Imprint"/>
                            </w:pPr>
                          </w:p>
                          <w:p w14:paraId="0AE9C898" w14:textId="36AEE4C8" w:rsidR="00AB0F13" w:rsidRPr="006A702B" w:rsidRDefault="00AB0F13" w:rsidP="00233C8D">
                            <w:r>
                              <w:softHyphen/>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1BCC988" id="Text Box 22" o:spid="_x0000_s1027" type="#_x0000_t202" style="position:absolute;margin-left:0;margin-top:285.35pt;width:447.45pt;height:414.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S2uQIAAMI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" filled="f" stroked="f">
                <v:textbox>
                  <w:txbxContent>
                    <w:p w14:paraId="49BB55A6" w14:textId="35E96CCE" w:rsidR="00AB0F13" w:rsidRPr="00A021FC" w:rsidRDefault="00AB0F13" w:rsidP="00297C1D">
                      <w:pPr>
                        <w:pStyle w:val="Imprint"/>
                        <w:rPr>
                          <w:b/>
                        </w:rPr>
                      </w:pPr>
                      <w:r w:rsidRPr="00A021FC">
                        <w:rPr>
                          <w:b/>
                        </w:rPr>
                        <w:t xml:space="preserve">© </w:t>
                      </w:r>
                      <w:r w:rsidRPr="00453BCD">
                        <w:rPr>
                          <w:b/>
                        </w:rPr>
                        <w:t>Commonwealth of Australia, 2020</w:t>
                      </w:r>
                    </w:p>
                    <w:p w14:paraId="32D1908B" w14:textId="77777777" w:rsidR="00AB0F13" w:rsidRDefault="00AB0F13" w:rsidP="00297C1D">
                      <w:pPr>
                        <w:pStyle w:val="Imprint"/>
                        <w:rPr>
                          <w:sz w:val="20"/>
                        </w:rPr>
                      </w:pPr>
                      <w:r w:rsidRPr="00E80270">
                        <w:rPr>
                          <w:noProof/>
                          <w:sz w:val="20"/>
                          <w:lang w:eastAsia="en-AU"/>
                        </w:rPr>
                        <w:drawing>
                          <wp:inline distT="0" distB="0" distL="0" distR="0" wp14:anchorId="429F7E44" wp14:editId="7BBBD05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2CA2EE60" w14:textId="77777777" w:rsidR="00AB0F13" w:rsidRDefault="00AB0F13" w:rsidP="00297C1D">
                      <w:pPr>
                        <w:pStyle w:val="Imprint"/>
                      </w:pPr>
                      <w:r w:rsidRPr="001D321A">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14:paraId="019FB677" w14:textId="77777777" w:rsidR="00AB0F13" w:rsidRPr="001D321A" w:rsidRDefault="00AB0F13"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6727A1AF" w14:textId="77777777" w:rsidR="00AB0F13" w:rsidRDefault="00AB0F13"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7672A817" w14:textId="5033BC09" w:rsidR="00AB0F13" w:rsidRPr="00A021FC" w:rsidRDefault="00AB0F13" w:rsidP="00297C1D">
                      <w:pPr>
                        <w:pStyle w:val="Imprint"/>
                      </w:pPr>
                      <w:r w:rsidRPr="00A021FC">
                        <w:t xml:space="preserve">This document should be attributed as </w:t>
                      </w:r>
                      <w:r>
                        <w:t xml:space="preserve">Wibrow, B, Circelli, M &amp; Korbel, P 2020, </w:t>
                      </w:r>
                      <w:r w:rsidRPr="004D46EF">
                        <w:rPr>
                          <w:i/>
                          <w:iCs/>
                        </w:rPr>
                        <w:t>VET’s response to Industry 4.0 and the digital economy: what works</w:t>
                      </w:r>
                      <w:r w:rsidRPr="004D46EF">
                        <w:rPr>
                          <w:i/>
                        </w:rPr>
                        <w:t>,</w:t>
                      </w:r>
                      <w:r w:rsidRPr="004D46EF">
                        <w:t xml:space="preserve"> NCVER, Adelaide.</w:t>
                      </w:r>
                      <w:r>
                        <w:t xml:space="preserve"> </w:t>
                      </w:r>
                    </w:p>
                    <w:p w14:paraId="27A766C7" w14:textId="711BBCF7" w:rsidR="00AB0F13" w:rsidRDefault="00AB0F13" w:rsidP="00297C1D">
                      <w:pPr>
                        <w:pStyle w:val="Imprint"/>
                      </w:pPr>
                      <w:r w:rsidRPr="001D321A">
                        <w:t xml:space="preserve">This work has been produced by NCVER on behalf of the Australian Government and state and territory governments, with funding provided through the </w:t>
                      </w:r>
                      <w:r>
                        <w:t xml:space="preserve">Australian Government </w:t>
                      </w:r>
                      <w:r w:rsidRPr="001D321A">
                        <w:t xml:space="preserve">Department of </w:t>
                      </w:r>
                      <w:r w:rsidRPr="008936F7">
                        <w:t>Education, Skills and Employment</w:t>
                      </w:r>
                      <w:r w:rsidRPr="001D321A">
                        <w:t xml:space="preserve">. </w:t>
                      </w:r>
                    </w:p>
                    <w:p w14:paraId="7AD91F14" w14:textId="508933ED" w:rsidR="00AB0F13" w:rsidRDefault="00AB0F13" w:rsidP="00D42A61">
                      <w:pPr>
                        <w:pStyle w:val="Imprint"/>
                        <w:rPr>
                          <w:color w:val="000000"/>
                        </w:rPr>
                      </w:pPr>
                      <w:r w:rsidRPr="008936F7">
                        <w:rPr>
                          <w:color w:val="000000"/>
                        </w:rPr>
                        <w:t>TD/TNC</w:t>
                      </w:r>
                      <w:r w:rsidRPr="008936F7">
                        <w:rPr>
                          <w:color w:val="000000"/>
                        </w:rPr>
                        <w:tab/>
                        <w:t>140.03</w:t>
                      </w:r>
                    </w:p>
                    <w:p w14:paraId="5C1EB3D6" w14:textId="28C724BD" w:rsidR="00AB0F13" w:rsidRPr="00D42A61" w:rsidRDefault="00AB0F13" w:rsidP="00D42A61">
                      <w:pPr>
                        <w:pStyle w:val="Imprint"/>
                        <w:rPr>
                          <w:color w:val="000000"/>
                        </w:rPr>
                      </w:pPr>
                      <w:r w:rsidRPr="00D42A61">
                        <w:rPr>
                          <w:color w:val="000000"/>
                        </w:rPr>
                        <w:t>Published by NCVER, ABN 87 007 967 311</w:t>
                      </w:r>
                    </w:p>
                    <w:p w14:paraId="20E606E4" w14:textId="77777777" w:rsidR="00AB0F13" w:rsidRPr="00D42A61" w:rsidRDefault="00AB0F13" w:rsidP="00D42A61">
                      <w:pPr>
                        <w:pStyle w:val="Imprint"/>
                        <w:rPr>
                          <w:color w:val="000000"/>
                        </w:rPr>
                      </w:pPr>
                      <w:r w:rsidRPr="00D42A61">
                        <w:rPr>
                          <w:color w:val="000000"/>
                        </w:rPr>
                        <w:t xml:space="preserve">Level </w:t>
                      </w:r>
                      <w:r>
                        <w:rPr>
                          <w:color w:val="000000"/>
                        </w:rPr>
                        <w:t>5, 60 Light Square</w:t>
                      </w:r>
                      <w:r w:rsidRPr="00D42A61">
                        <w:rPr>
                          <w:color w:val="000000"/>
                        </w:rPr>
                        <w:t>, Adelaide, SA 5000</w:t>
                      </w:r>
                      <w:r w:rsidRPr="00D42A61">
                        <w:rPr>
                          <w:color w:val="000000"/>
                        </w:rPr>
                        <w:br/>
                        <w:t>PO Box 8288 Station Arcade, Adelaide SA 5000, Australia</w:t>
                      </w:r>
                    </w:p>
                    <w:p w14:paraId="33A30CC1" w14:textId="77777777" w:rsidR="00AB0F13" w:rsidRDefault="00AB0F13"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sz w:val="16"/>
                          </w:rPr>
                          <w:t>ncver@ncver.edu.au</w:t>
                        </w:r>
                      </w:hyperlink>
                      <w:r w:rsidRPr="00D42A61">
                        <w:rPr>
                          <w:color w:val="000000"/>
                        </w:rPr>
                        <w:t xml:space="preserve">     </w:t>
                      </w:r>
                    </w:p>
                    <w:p w14:paraId="112D1D3C" w14:textId="77777777" w:rsidR="00AB0F13" w:rsidRPr="00D42A61" w:rsidRDefault="00AB0F13" w:rsidP="00D42A61">
                      <w:pPr>
                        <w:pStyle w:val="Imprint"/>
                        <w:rPr>
                          <w:color w:val="000000"/>
                        </w:rPr>
                      </w:pPr>
                      <w:r w:rsidRPr="00D42A61">
                        <w:rPr>
                          <w:b/>
                          <w:color w:val="000000"/>
                        </w:rPr>
                        <w:t>Web</w:t>
                      </w:r>
                      <w:r w:rsidRPr="00D42A61">
                        <w:rPr>
                          <w:color w:val="000000"/>
                        </w:rPr>
                        <w:t xml:space="preserve"> &lt;http</w:t>
                      </w:r>
                      <w:r>
                        <w:rPr>
                          <w:color w:val="000000"/>
                        </w:rPr>
                        <w:t>s</w:t>
                      </w:r>
                      <w:r w:rsidRPr="00D42A61">
                        <w:rPr>
                          <w:color w:val="000000"/>
                        </w:rPr>
                        <w:t xml:space="preserve">://www.ncver.edu.au&gt;  </w:t>
                      </w:r>
                      <w:r w:rsidRPr="004D46EF">
                        <w:rPr>
                          <w:color w:val="000000"/>
                        </w:rPr>
                        <w:t>&lt;</w:t>
                      </w:r>
                      <w:hyperlink r:id="rId17" w:history="1">
                        <w:r w:rsidRPr="004D46EF">
                          <w:rPr>
                            <w:rStyle w:val="Hyperlink"/>
                            <w:sz w:val="16"/>
                          </w:rPr>
                          <w:t>https://www.lsay.edu.au</w:t>
                        </w:r>
                      </w:hyperlink>
                      <w:r w:rsidRPr="004D46EF">
                        <w:rPr>
                          <w:color w:val="000000"/>
                        </w:rPr>
                        <w:t>&gt;</w:t>
                      </w:r>
                    </w:p>
                    <w:p w14:paraId="0AC74777" w14:textId="77777777" w:rsidR="00AB0F13" w:rsidRPr="00D42A61" w:rsidRDefault="00AB0F13"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6F33968E" wp14:editId="2923AB6A">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5873D5A7" wp14:editId="6ED840D5">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Pr>
                          <w:color w:val="000000"/>
                        </w:rPr>
                        <w:t>s</w:t>
                      </w:r>
                      <w:r w:rsidRPr="00D42A61">
                        <w:rPr>
                          <w:color w:val="000000"/>
                        </w:rPr>
                        <w:t>://www.linkedin.com/company/ncver&gt;</w:t>
                      </w:r>
                    </w:p>
                    <w:p w14:paraId="1A0D4A58" w14:textId="77777777" w:rsidR="00AB0F13" w:rsidRPr="00D42A61" w:rsidRDefault="00AB0F13" w:rsidP="00D42A61">
                      <w:pPr>
                        <w:pStyle w:val="Imprint"/>
                      </w:pPr>
                    </w:p>
                    <w:p w14:paraId="0AE9C898" w14:textId="36AEE4C8" w:rsidR="00AB0F13" w:rsidRPr="006A702B" w:rsidRDefault="00AB0F13" w:rsidP="00233C8D">
                      <w:r>
                        <w:softHyphen/>
                      </w:r>
                    </w:p>
                  </w:txbxContent>
                </v:textbox>
                <w10:wrap anchorx="margin" anchory="margin"/>
              </v:shape>
            </w:pict>
          </mc:Fallback>
        </mc:AlternateContent>
      </w:r>
    </w:p>
    <w:p w14:paraId="1A4FA1BA" w14:textId="77777777" w:rsidR="006A702B" w:rsidRDefault="006A702B" w:rsidP="006A702B">
      <w:pPr>
        <w:pStyle w:val="Text"/>
      </w:pPr>
    </w:p>
    <w:p w14:paraId="7BFC16DC" w14:textId="77777777" w:rsidR="006A702B" w:rsidRDefault="006A702B" w:rsidP="006A702B">
      <w:pPr>
        <w:pStyle w:val="Text"/>
      </w:pPr>
    </w:p>
    <w:p w14:paraId="11060244" w14:textId="77777777" w:rsidR="006A702B" w:rsidRDefault="006A702B" w:rsidP="006A702B">
      <w:pPr>
        <w:pStyle w:val="Text"/>
      </w:pPr>
    </w:p>
    <w:p w14:paraId="2E91A66C" w14:textId="77777777" w:rsidR="00177827" w:rsidRDefault="00177827" w:rsidP="00874DA5">
      <w:pPr>
        <w:pStyle w:val="Contents"/>
      </w:pPr>
    </w:p>
    <w:p w14:paraId="24AA4E29" w14:textId="77777777" w:rsidR="00D42A61" w:rsidRDefault="00D42A61" w:rsidP="00874DA5">
      <w:pPr>
        <w:pStyle w:val="Contents"/>
      </w:pPr>
    </w:p>
    <w:p w14:paraId="348534F7" w14:textId="77777777" w:rsidR="00D42A61" w:rsidRDefault="00D42A61" w:rsidP="00874DA5">
      <w:pPr>
        <w:pStyle w:val="Contents"/>
        <w:sectPr w:rsidR="00D42A61" w:rsidSect="00177827">
          <w:footerReference w:type="default" r:id="rId18"/>
          <w:type w:val="continuous"/>
          <w:pgSz w:w="11907" w:h="16840" w:code="9"/>
          <w:pgMar w:top="1418" w:right="1701" w:bottom="1134" w:left="1418" w:header="709" w:footer="556" w:gutter="0"/>
          <w:cols w:space="708" w:equalWidth="0">
            <w:col w:w="8788"/>
          </w:cols>
          <w:docGrid w:linePitch="360"/>
        </w:sectPr>
      </w:pPr>
    </w:p>
    <w:p w14:paraId="754DB8CD"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41B77ED8" w14:textId="5B0C7FBD" w:rsidR="001959C9" w:rsidRDefault="00E110EA">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1959C9">
        <w:t>Tables and figures</w:t>
      </w:r>
      <w:r w:rsidR="001959C9">
        <w:tab/>
      </w:r>
      <w:r w:rsidR="001959C9">
        <w:fldChar w:fldCharType="begin"/>
      </w:r>
      <w:r w:rsidR="001959C9">
        <w:instrText xml:space="preserve"> PAGEREF _Toc31711238 \h </w:instrText>
      </w:r>
      <w:r w:rsidR="001959C9">
        <w:fldChar w:fldCharType="separate"/>
      </w:r>
      <w:r w:rsidR="00F3179D">
        <w:t>4</w:t>
      </w:r>
      <w:r w:rsidR="001959C9">
        <w:fldChar w:fldCharType="end"/>
      </w:r>
    </w:p>
    <w:p w14:paraId="3789ED60" w14:textId="10041296" w:rsidR="001959C9" w:rsidRDefault="001959C9">
      <w:pPr>
        <w:pStyle w:val="TOC2"/>
        <w:rPr>
          <w:rFonts w:asciiTheme="minorHAnsi" w:eastAsiaTheme="minorEastAsia" w:hAnsiTheme="minorHAnsi" w:cstheme="minorBidi"/>
          <w:color w:val="auto"/>
          <w:sz w:val="22"/>
          <w:szCs w:val="22"/>
          <w:lang w:eastAsia="en-AU"/>
        </w:rPr>
      </w:pPr>
      <w:r>
        <w:t>Tables</w:t>
      </w:r>
      <w:r>
        <w:tab/>
      </w:r>
      <w:r>
        <w:fldChar w:fldCharType="begin"/>
      </w:r>
      <w:r>
        <w:instrText xml:space="preserve"> PAGEREF _Toc31711239 \h </w:instrText>
      </w:r>
      <w:r>
        <w:fldChar w:fldCharType="separate"/>
      </w:r>
      <w:r w:rsidR="00F3179D">
        <w:t>4</w:t>
      </w:r>
      <w:r>
        <w:fldChar w:fldCharType="end"/>
      </w:r>
    </w:p>
    <w:p w14:paraId="41644B99" w14:textId="31AABC33" w:rsidR="001959C9" w:rsidRDefault="001959C9">
      <w:pPr>
        <w:pStyle w:val="TOC2"/>
        <w:rPr>
          <w:rFonts w:asciiTheme="minorHAnsi" w:eastAsiaTheme="minorEastAsia" w:hAnsiTheme="minorHAnsi" w:cstheme="minorBidi"/>
          <w:color w:val="auto"/>
          <w:sz w:val="22"/>
          <w:szCs w:val="22"/>
          <w:lang w:eastAsia="en-AU"/>
        </w:rPr>
      </w:pPr>
      <w:r>
        <w:t>Figures</w:t>
      </w:r>
      <w:r>
        <w:tab/>
      </w:r>
      <w:r>
        <w:fldChar w:fldCharType="begin"/>
      </w:r>
      <w:r>
        <w:instrText xml:space="preserve"> PAGEREF _Toc31711240 \h </w:instrText>
      </w:r>
      <w:r>
        <w:fldChar w:fldCharType="separate"/>
      </w:r>
      <w:r w:rsidR="00F3179D">
        <w:t>4</w:t>
      </w:r>
      <w:r>
        <w:fldChar w:fldCharType="end"/>
      </w:r>
    </w:p>
    <w:p w14:paraId="3FB5109D" w14:textId="493A6AED" w:rsidR="001959C9" w:rsidRDefault="001959C9">
      <w:pPr>
        <w:pStyle w:val="TOC1"/>
        <w:rPr>
          <w:rFonts w:asciiTheme="minorHAnsi" w:eastAsiaTheme="minorEastAsia" w:hAnsiTheme="minorHAnsi" w:cstheme="minorBidi"/>
          <w:color w:val="auto"/>
          <w:sz w:val="22"/>
          <w:szCs w:val="22"/>
          <w:lang w:eastAsia="en-AU"/>
        </w:rPr>
      </w:pPr>
      <w:r>
        <w:t>Context</w:t>
      </w:r>
      <w:r>
        <w:tab/>
      </w:r>
      <w:r>
        <w:fldChar w:fldCharType="begin"/>
      </w:r>
      <w:r>
        <w:instrText xml:space="preserve"> PAGEREF _Toc31711241 \h </w:instrText>
      </w:r>
      <w:r>
        <w:fldChar w:fldCharType="separate"/>
      </w:r>
      <w:r w:rsidR="00F3179D">
        <w:t>5</w:t>
      </w:r>
      <w:r>
        <w:fldChar w:fldCharType="end"/>
      </w:r>
    </w:p>
    <w:p w14:paraId="204B1D52" w14:textId="61842B44" w:rsidR="001959C9" w:rsidRDefault="001959C9">
      <w:pPr>
        <w:pStyle w:val="TOC2"/>
        <w:rPr>
          <w:rFonts w:asciiTheme="minorHAnsi" w:eastAsiaTheme="minorEastAsia" w:hAnsiTheme="minorHAnsi" w:cstheme="minorBidi"/>
          <w:color w:val="auto"/>
          <w:sz w:val="22"/>
          <w:szCs w:val="22"/>
          <w:lang w:eastAsia="en-AU"/>
        </w:rPr>
      </w:pPr>
      <w:r>
        <w:t>Purpose of the paper</w:t>
      </w:r>
      <w:r>
        <w:tab/>
      </w:r>
      <w:r>
        <w:fldChar w:fldCharType="begin"/>
      </w:r>
      <w:r>
        <w:instrText xml:space="preserve"> PAGEREF _Toc31711242 \h </w:instrText>
      </w:r>
      <w:r>
        <w:fldChar w:fldCharType="separate"/>
      </w:r>
      <w:r w:rsidR="00F3179D">
        <w:t>5</w:t>
      </w:r>
      <w:r>
        <w:fldChar w:fldCharType="end"/>
      </w:r>
    </w:p>
    <w:p w14:paraId="7CB094CC" w14:textId="1CC80E63" w:rsidR="001959C9" w:rsidRDefault="001959C9">
      <w:pPr>
        <w:pStyle w:val="TOC2"/>
        <w:rPr>
          <w:rFonts w:asciiTheme="minorHAnsi" w:eastAsiaTheme="minorEastAsia" w:hAnsiTheme="minorHAnsi" w:cstheme="minorBidi"/>
          <w:color w:val="auto"/>
          <w:sz w:val="22"/>
          <w:szCs w:val="22"/>
          <w:lang w:eastAsia="en-AU"/>
        </w:rPr>
      </w:pPr>
      <w:r>
        <w:t>Guiding questions for discussion</w:t>
      </w:r>
      <w:r>
        <w:tab/>
      </w:r>
      <w:r>
        <w:fldChar w:fldCharType="begin"/>
      </w:r>
      <w:r>
        <w:instrText xml:space="preserve"> PAGEREF _Toc31711243 \h </w:instrText>
      </w:r>
      <w:r>
        <w:fldChar w:fldCharType="separate"/>
      </w:r>
      <w:r w:rsidR="00F3179D">
        <w:t>5</w:t>
      </w:r>
      <w:r>
        <w:fldChar w:fldCharType="end"/>
      </w:r>
    </w:p>
    <w:p w14:paraId="1D49574A" w14:textId="4ABD629D" w:rsidR="001959C9" w:rsidRDefault="001959C9">
      <w:pPr>
        <w:pStyle w:val="TOC1"/>
        <w:rPr>
          <w:rFonts w:asciiTheme="minorHAnsi" w:eastAsiaTheme="minorEastAsia" w:hAnsiTheme="minorHAnsi" w:cstheme="minorBidi"/>
          <w:color w:val="auto"/>
          <w:sz w:val="22"/>
          <w:szCs w:val="22"/>
          <w:lang w:eastAsia="en-AU"/>
        </w:rPr>
      </w:pPr>
      <w:r>
        <w:t>VET’s place in Industry 4.0</w:t>
      </w:r>
      <w:r w:rsidR="00C4118D">
        <w:t>:</w:t>
      </w:r>
      <w:r>
        <w:t xml:space="preserve"> background</w:t>
      </w:r>
      <w:r>
        <w:tab/>
      </w:r>
      <w:r>
        <w:fldChar w:fldCharType="begin"/>
      </w:r>
      <w:r>
        <w:instrText xml:space="preserve"> PAGEREF _Toc31711244 \h </w:instrText>
      </w:r>
      <w:r>
        <w:fldChar w:fldCharType="separate"/>
      </w:r>
      <w:r w:rsidR="00F3179D">
        <w:t>6</w:t>
      </w:r>
      <w:r>
        <w:fldChar w:fldCharType="end"/>
      </w:r>
    </w:p>
    <w:p w14:paraId="21A66B0E" w14:textId="7E7FD4B6" w:rsidR="001959C9" w:rsidRDefault="001959C9">
      <w:pPr>
        <w:pStyle w:val="TOC2"/>
        <w:rPr>
          <w:rFonts w:asciiTheme="minorHAnsi" w:eastAsiaTheme="minorEastAsia" w:hAnsiTheme="minorHAnsi" w:cstheme="minorBidi"/>
          <w:color w:val="auto"/>
          <w:sz w:val="22"/>
          <w:szCs w:val="22"/>
          <w:lang w:eastAsia="en-AU"/>
        </w:rPr>
      </w:pPr>
      <w:r>
        <w:t>Industry 4.0 and digital skills</w:t>
      </w:r>
      <w:r>
        <w:tab/>
      </w:r>
      <w:r>
        <w:fldChar w:fldCharType="begin"/>
      </w:r>
      <w:r>
        <w:instrText xml:space="preserve"> PAGEREF _Toc31711245 \h </w:instrText>
      </w:r>
      <w:r>
        <w:fldChar w:fldCharType="separate"/>
      </w:r>
      <w:r w:rsidR="00F3179D">
        <w:t>6</w:t>
      </w:r>
      <w:r>
        <w:fldChar w:fldCharType="end"/>
      </w:r>
    </w:p>
    <w:p w14:paraId="0865C245" w14:textId="51C374BE" w:rsidR="001959C9" w:rsidRDefault="001959C9">
      <w:pPr>
        <w:pStyle w:val="TOC2"/>
        <w:rPr>
          <w:rFonts w:asciiTheme="minorHAnsi" w:eastAsiaTheme="minorEastAsia" w:hAnsiTheme="minorHAnsi" w:cstheme="minorBidi"/>
          <w:color w:val="auto"/>
          <w:sz w:val="22"/>
          <w:szCs w:val="22"/>
          <w:lang w:eastAsia="en-AU"/>
        </w:rPr>
      </w:pPr>
      <w:r>
        <w:t>VET and digital skills</w:t>
      </w:r>
      <w:r>
        <w:tab/>
      </w:r>
      <w:r>
        <w:fldChar w:fldCharType="begin"/>
      </w:r>
      <w:r>
        <w:instrText xml:space="preserve"> PAGEREF _Toc31711246 \h </w:instrText>
      </w:r>
      <w:r>
        <w:fldChar w:fldCharType="separate"/>
      </w:r>
      <w:r w:rsidR="00F3179D">
        <w:t>7</w:t>
      </w:r>
      <w:r>
        <w:fldChar w:fldCharType="end"/>
      </w:r>
    </w:p>
    <w:p w14:paraId="42DA7DCC" w14:textId="25B076E2" w:rsidR="001959C9" w:rsidRDefault="001959C9">
      <w:pPr>
        <w:pStyle w:val="TOC1"/>
        <w:rPr>
          <w:rFonts w:asciiTheme="minorHAnsi" w:eastAsiaTheme="minorEastAsia" w:hAnsiTheme="minorHAnsi" w:cstheme="minorBidi"/>
          <w:color w:val="auto"/>
          <w:sz w:val="22"/>
          <w:szCs w:val="22"/>
          <w:lang w:eastAsia="en-AU"/>
        </w:rPr>
      </w:pPr>
      <w:r>
        <w:rPr>
          <w:lang w:eastAsia="en-AU"/>
        </w:rPr>
        <w:t>Incorporating digital skills into VET delivery</w:t>
      </w:r>
      <w:r>
        <w:tab/>
      </w:r>
      <w:r>
        <w:fldChar w:fldCharType="begin"/>
      </w:r>
      <w:r>
        <w:instrText xml:space="preserve"> PAGEREF _Toc31711247 \h </w:instrText>
      </w:r>
      <w:r>
        <w:fldChar w:fldCharType="separate"/>
      </w:r>
      <w:r w:rsidR="00F3179D">
        <w:t>9</w:t>
      </w:r>
      <w:r>
        <w:fldChar w:fldCharType="end"/>
      </w:r>
    </w:p>
    <w:p w14:paraId="5318E5CE" w14:textId="4F8B97ED" w:rsidR="001959C9" w:rsidRDefault="001959C9">
      <w:pPr>
        <w:pStyle w:val="TOC2"/>
        <w:rPr>
          <w:rFonts w:asciiTheme="minorHAnsi" w:eastAsiaTheme="minorEastAsia" w:hAnsiTheme="minorHAnsi" w:cstheme="minorBidi"/>
          <w:color w:val="auto"/>
          <w:sz w:val="22"/>
          <w:szCs w:val="22"/>
          <w:lang w:eastAsia="en-AU"/>
        </w:rPr>
      </w:pPr>
      <w:r>
        <w:t>International lessons</w:t>
      </w:r>
      <w:r>
        <w:tab/>
      </w:r>
      <w:r>
        <w:fldChar w:fldCharType="begin"/>
      </w:r>
      <w:r>
        <w:instrText xml:space="preserve"> PAGEREF _Toc31711248 \h </w:instrText>
      </w:r>
      <w:r>
        <w:fldChar w:fldCharType="separate"/>
      </w:r>
      <w:r w:rsidR="00F3179D">
        <w:t>9</w:t>
      </w:r>
      <w:r>
        <w:fldChar w:fldCharType="end"/>
      </w:r>
    </w:p>
    <w:p w14:paraId="7D3502D9" w14:textId="557722ED" w:rsidR="001959C9" w:rsidRDefault="001959C9">
      <w:pPr>
        <w:pStyle w:val="TOC2"/>
        <w:rPr>
          <w:rFonts w:asciiTheme="minorHAnsi" w:eastAsiaTheme="minorEastAsia" w:hAnsiTheme="minorHAnsi" w:cstheme="minorBidi"/>
          <w:color w:val="auto"/>
          <w:sz w:val="22"/>
          <w:szCs w:val="22"/>
          <w:lang w:eastAsia="en-AU"/>
        </w:rPr>
      </w:pPr>
      <w:r>
        <w:t>Application to the Australian VET sector</w:t>
      </w:r>
      <w:r>
        <w:tab/>
      </w:r>
      <w:r>
        <w:fldChar w:fldCharType="begin"/>
      </w:r>
      <w:r>
        <w:instrText xml:space="preserve"> PAGEREF _Toc31711249 \h </w:instrText>
      </w:r>
      <w:r>
        <w:fldChar w:fldCharType="separate"/>
      </w:r>
      <w:r w:rsidR="00F3179D">
        <w:t>11</w:t>
      </w:r>
      <w:r>
        <w:fldChar w:fldCharType="end"/>
      </w:r>
    </w:p>
    <w:p w14:paraId="75BB3810" w14:textId="1A44D50C" w:rsidR="001959C9" w:rsidRDefault="001959C9">
      <w:pPr>
        <w:pStyle w:val="TOC1"/>
        <w:rPr>
          <w:rFonts w:asciiTheme="minorHAnsi" w:eastAsiaTheme="minorEastAsia" w:hAnsiTheme="minorHAnsi" w:cstheme="minorBidi"/>
          <w:color w:val="auto"/>
          <w:sz w:val="22"/>
          <w:szCs w:val="22"/>
          <w:lang w:eastAsia="en-AU"/>
        </w:rPr>
      </w:pPr>
      <w:r>
        <w:rPr>
          <w:lang w:eastAsia="en-AU"/>
        </w:rPr>
        <w:t>Implications of Industry 4.0 and the digital</w:t>
      </w:r>
      <w:r>
        <w:t xml:space="preserve"> </w:t>
      </w:r>
      <w:r>
        <w:rPr>
          <w:lang w:eastAsia="en-AU"/>
        </w:rPr>
        <w:t>economy for the VET educator workforce</w:t>
      </w:r>
      <w:r>
        <w:tab/>
      </w:r>
      <w:r>
        <w:fldChar w:fldCharType="begin"/>
      </w:r>
      <w:r>
        <w:instrText xml:space="preserve"> PAGEREF _Toc31711250 \h </w:instrText>
      </w:r>
      <w:r>
        <w:fldChar w:fldCharType="separate"/>
      </w:r>
      <w:r w:rsidR="00F3179D">
        <w:t>14</w:t>
      </w:r>
      <w:r>
        <w:fldChar w:fldCharType="end"/>
      </w:r>
    </w:p>
    <w:p w14:paraId="2A62BA1F" w14:textId="732CBCB0" w:rsidR="001959C9" w:rsidRDefault="001959C9">
      <w:pPr>
        <w:pStyle w:val="TOC2"/>
        <w:rPr>
          <w:rFonts w:asciiTheme="minorHAnsi" w:eastAsiaTheme="minorEastAsia" w:hAnsiTheme="minorHAnsi" w:cstheme="minorBidi"/>
          <w:color w:val="auto"/>
          <w:sz w:val="22"/>
          <w:szCs w:val="22"/>
          <w:lang w:eastAsia="en-AU"/>
        </w:rPr>
      </w:pPr>
      <w:r>
        <w:t>Digital competence of educators and educational institutions</w:t>
      </w:r>
      <w:r>
        <w:tab/>
      </w:r>
      <w:r>
        <w:fldChar w:fldCharType="begin"/>
      </w:r>
      <w:r>
        <w:instrText xml:space="preserve"> PAGEREF _Toc31711251 \h </w:instrText>
      </w:r>
      <w:r>
        <w:fldChar w:fldCharType="separate"/>
      </w:r>
      <w:r w:rsidR="00F3179D">
        <w:t>16</w:t>
      </w:r>
      <w:r>
        <w:fldChar w:fldCharType="end"/>
      </w:r>
    </w:p>
    <w:p w14:paraId="288AF7ED" w14:textId="061C1A67" w:rsidR="001959C9" w:rsidRDefault="001959C9">
      <w:pPr>
        <w:pStyle w:val="TOC1"/>
        <w:rPr>
          <w:rFonts w:asciiTheme="minorHAnsi" w:eastAsiaTheme="minorEastAsia" w:hAnsiTheme="minorHAnsi" w:cstheme="minorBidi"/>
          <w:color w:val="auto"/>
          <w:sz w:val="22"/>
          <w:szCs w:val="22"/>
          <w:lang w:eastAsia="en-AU"/>
        </w:rPr>
      </w:pPr>
      <w:r w:rsidRPr="00BF5F5B">
        <w:rPr>
          <w:rFonts w:eastAsiaTheme="minorHAnsi"/>
        </w:rPr>
        <w:t>References</w:t>
      </w:r>
      <w:r>
        <w:tab/>
      </w:r>
      <w:r>
        <w:fldChar w:fldCharType="begin"/>
      </w:r>
      <w:r>
        <w:instrText xml:space="preserve"> PAGEREF _Toc31711252 \h </w:instrText>
      </w:r>
      <w:r>
        <w:fldChar w:fldCharType="separate"/>
      </w:r>
      <w:r w:rsidR="00F3179D">
        <w:t>19</w:t>
      </w:r>
      <w:r>
        <w:fldChar w:fldCharType="end"/>
      </w:r>
    </w:p>
    <w:p w14:paraId="76560F91" w14:textId="12F24427" w:rsidR="001959C9" w:rsidRDefault="001959C9">
      <w:pPr>
        <w:pStyle w:val="TOC1"/>
        <w:rPr>
          <w:rFonts w:asciiTheme="minorHAnsi" w:eastAsiaTheme="minorEastAsia" w:hAnsiTheme="minorHAnsi" w:cstheme="minorBidi"/>
          <w:color w:val="auto"/>
          <w:sz w:val="22"/>
          <w:szCs w:val="22"/>
          <w:lang w:eastAsia="en-AU"/>
        </w:rPr>
      </w:pPr>
      <w:r w:rsidRPr="00BF5F5B">
        <w:rPr>
          <w:rFonts w:eastAsiaTheme="minorHAnsi"/>
          <w:lang w:eastAsia="en-AU"/>
        </w:rPr>
        <w:t>Appendix A Exploration of enrolments in digital skills</w:t>
      </w:r>
      <w:r w:rsidR="00C4118D">
        <w:rPr>
          <w:rFonts w:eastAsiaTheme="minorHAnsi"/>
          <w:lang w:eastAsia="en-AU"/>
        </w:rPr>
        <w:t>-</w:t>
      </w:r>
      <w:r w:rsidRPr="00BF5F5B">
        <w:rPr>
          <w:rFonts w:eastAsiaTheme="minorHAnsi"/>
          <w:lang w:eastAsia="en-AU"/>
        </w:rPr>
        <w:t>related units of competencies</w:t>
      </w:r>
      <w:r>
        <w:tab/>
      </w:r>
      <w:r>
        <w:fldChar w:fldCharType="begin"/>
      </w:r>
      <w:r>
        <w:instrText xml:space="preserve"> PAGEREF _Toc31711253 \h </w:instrText>
      </w:r>
      <w:r>
        <w:fldChar w:fldCharType="separate"/>
      </w:r>
      <w:r w:rsidR="00F3179D">
        <w:t>21</w:t>
      </w:r>
      <w:r>
        <w:fldChar w:fldCharType="end"/>
      </w:r>
    </w:p>
    <w:p w14:paraId="5EA03106" w14:textId="28688034" w:rsidR="001959C9" w:rsidRDefault="001959C9">
      <w:pPr>
        <w:pStyle w:val="TOC2"/>
        <w:rPr>
          <w:rFonts w:asciiTheme="minorHAnsi" w:eastAsiaTheme="minorEastAsia" w:hAnsiTheme="minorHAnsi" w:cstheme="minorBidi"/>
          <w:color w:val="auto"/>
          <w:sz w:val="22"/>
          <w:szCs w:val="22"/>
          <w:lang w:eastAsia="en-AU"/>
        </w:rPr>
      </w:pPr>
      <w:r>
        <w:t xml:space="preserve">Digital skills in </w:t>
      </w:r>
      <w:r w:rsidR="00E1587B">
        <w:t>training packages</w:t>
      </w:r>
      <w:r>
        <w:tab/>
      </w:r>
      <w:r>
        <w:fldChar w:fldCharType="begin"/>
      </w:r>
      <w:r>
        <w:instrText xml:space="preserve"> PAGEREF _Toc31711254 \h </w:instrText>
      </w:r>
      <w:r>
        <w:fldChar w:fldCharType="separate"/>
      </w:r>
      <w:r w:rsidR="00F3179D">
        <w:t>21</w:t>
      </w:r>
      <w:r>
        <w:fldChar w:fldCharType="end"/>
      </w:r>
    </w:p>
    <w:p w14:paraId="42859D0E" w14:textId="604285FC" w:rsidR="001959C9" w:rsidRDefault="001959C9">
      <w:pPr>
        <w:pStyle w:val="TOC2"/>
        <w:rPr>
          <w:rFonts w:asciiTheme="minorHAnsi" w:eastAsiaTheme="minorEastAsia" w:hAnsiTheme="minorHAnsi" w:cstheme="minorBidi"/>
          <w:color w:val="auto"/>
          <w:sz w:val="22"/>
          <w:szCs w:val="22"/>
          <w:lang w:eastAsia="en-AU"/>
        </w:rPr>
      </w:pPr>
      <w:r>
        <w:t>Enrolments in elective and core digital skills</w:t>
      </w:r>
      <w:r w:rsidR="00742545">
        <w:t>-</w:t>
      </w:r>
      <w:r>
        <w:t>related units of competency</w:t>
      </w:r>
      <w:r>
        <w:tab/>
      </w:r>
      <w:r>
        <w:fldChar w:fldCharType="begin"/>
      </w:r>
      <w:r>
        <w:instrText xml:space="preserve"> PAGEREF _Toc31711255 \h </w:instrText>
      </w:r>
      <w:r>
        <w:fldChar w:fldCharType="separate"/>
      </w:r>
      <w:r w:rsidR="00F3179D">
        <w:t>22</w:t>
      </w:r>
      <w:r>
        <w:fldChar w:fldCharType="end"/>
      </w:r>
    </w:p>
    <w:p w14:paraId="1AE6EED1" w14:textId="706821E3" w:rsidR="001959C9" w:rsidRDefault="001959C9">
      <w:pPr>
        <w:pStyle w:val="TOC1"/>
        <w:rPr>
          <w:rFonts w:asciiTheme="minorHAnsi" w:eastAsiaTheme="minorEastAsia" w:hAnsiTheme="minorHAnsi" w:cstheme="minorBidi"/>
          <w:color w:val="auto"/>
          <w:sz w:val="22"/>
          <w:szCs w:val="22"/>
          <w:lang w:eastAsia="en-AU"/>
        </w:rPr>
      </w:pPr>
      <w:r w:rsidRPr="00BF5F5B">
        <w:rPr>
          <w:rFonts w:eastAsiaTheme="minorHAnsi"/>
          <w:lang w:eastAsia="en-AU"/>
        </w:rPr>
        <w:t xml:space="preserve">Appendix B Digital Skills </w:t>
      </w:r>
      <w:r w:rsidRPr="00BF5F5B">
        <w:rPr>
          <w:rFonts w:eastAsiaTheme="minorHAnsi"/>
        </w:rPr>
        <w:t>Framework</w:t>
      </w:r>
      <w:r>
        <w:tab/>
      </w:r>
      <w:r>
        <w:fldChar w:fldCharType="begin"/>
      </w:r>
      <w:r>
        <w:instrText xml:space="preserve"> PAGEREF _Toc31711256 \h </w:instrText>
      </w:r>
      <w:r>
        <w:fldChar w:fldCharType="separate"/>
      </w:r>
      <w:r w:rsidR="00F3179D">
        <w:t>26</w:t>
      </w:r>
      <w:r>
        <w:fldChar w:fldCharType="end"/>
      </w:r>
    </w:p>
    <w:p w14:paraId="28647B67" w14:textId="3342F94A" w:rsidR="001959C9" w:rsidRDefault="001959C9">
      <w:pPr>
        <w:pStyle w:val="TOC1"/>
        <w:rPr>
          <w:rFonts w:asciiTheme="minorHAnsi" w:eastAsiaTheme="minorEastAsia" w:hAnsiTheme="minorHAnsi" w:cstheme="minorBidi"/>
          <w:color w:val="auto"/>
          <w:sz w:val="22"/>
          <w:szCs w:val="22"/>
          <w:lang w:eastAsia="en-AU"/>
        </w:rPr>
      </w:pPr>
      <w:r w:rsidRPr="00BF5F5B">
        <w:rPr>
          <w:rFonts w:eastAsiaTheme="minorHAnsi"/>
          <w:lang w:eastAsia="en-AU"/>
        </w:rPr>
        <w:t xml:space="preserve">Appendix C European </w:t>
      </w:r>
      <w:r w:rsidRPr="00BF5F5B">
        <w:rPr>
          <w:rFonts w:eastAsiaTheme="minorHAnsi"/>
        </w:rPr>
        <w:t>Framework</w:t>
      </w:r>
      <w:r w:rsidRPr="00BF5F5B">
        <w:rPr>
          <w:rFonts w:eastAsiaTheme="minorHAnsi"/>
          <w:lang w:eastAsia="en-AU"/>
        </w:rPr>
        <w:t xml:space="preserve"> for the Digital Competence of Educators (</w:t>
      </w:r>
      <w:r w:rsidRPr="00BF5F5B">
        <w:rPr>
          <w:rFonts w:eastAsiaTheme="minorHAnsi"/>
        </w:rPr>
        <w:t>DigCompEdu</w:t>
      </w:r>
      <w:r w:rsidRPr="00BF5F5B">
        <w:rPr>
          <w:rFonts w:eastAsiaTheme="minorHAnsi"/>
          <w:lang w:eastAsia="en-AU"/>
        </w:rPr>
        <w:t>)</w:t>
      </w:r>
      <w:r w:rsidR="00E1587B">
        <w:rPr>
          <w:rFonts w:eastAsiaTheme="minorHAnsi"/>
          <w:lang w:eastAsia="en-AU"/>
        </w:rPr>
        <w:t>:</w:t>
      </w:r>
      <w:r w:rsidRPr="00BF5F5B">
        <w:rPr>
          <w:rFonts w:eastAsiaTheme="minorHAnsi"/>
          <w:lang w:eastAsia="en-AU"/>
        </w:rPr>
        <w:t xml:space="preserve"> detail</w:t>
      </w:r>
      <w:r>
        <w:tab/>
      </w:r>
      <w:r>
        <w:fldChar w:fldCharType="begin"/>
      </w:r>
      <w:r>
        <w:instrText xml:space="preserve"> PAGEREF _Toc31711257 \h </w:instrText>
      </w:r>
      <w:r>
        <w:fldChar w:fldCharType="separate"/>
      </w:r>
      <w:r w:rsidR="00F3179D">
        <w:t>28</w:t>
      </w:r>
      <w:r>
        <w:fldChar w:fldCharType="end"/>
      </w:r>
    </w:p>
    <w:p w14:paraId="31DEF017" w14:textId="75788352" w:rsidR="001959C9" w:rsidRDefault="001959C9">
      <w:pPr>
        <w:pStyle w:val="TOC1"/>
        <w:rPr>
          <w:rFonts w:asciiTheme="minorHAnsi" w:eastAsiaTheme="minorEastAsia" w:hAnsiTheme="minorHAnsi" w:cstheme="minorBidi"/>
          <w:color w:val="auto"/>
          <w:sz w:val="22"/>
          <w:szCs w:val="22"/>
          <w:lang w:eastAsia="en-AU"/>
        </w:rPr>
      </w:pPr>
      <w:r w:rsidRPr="00BF5F5B">
        <w:rPr>
          <w:rFonts w:eastAsiaTheme="minorHAnsi"/>
          <w:lang w:eastAsia="en-AU"/>
        </w:rPr>
        <w:t>Appendix D European Framework for Digitally Competent Educational Organisations (DigCompOrg)</w:t>
      </w:r>
      <w:r w:rsidR="00E1587B">
        <w:rPr>
          <w:rFonts w:eastAsiaTheme="minorHAnsi"/>
          <w:lang w:eastAsia="en-AU"/>
        </w:rPr>
        <w:t>:</w:t>
      </w:r>
      <w:r w:rsidRPr="00BF5F5B">
        <w:rPr>
          <w:rFonts w:eastAsiaTheme="minorHAnsi"/>
          <w:lang w:eastAsia="en-AU"/>
        </w:rPr>
        <w:t xml:space="preserve"> detail</w:t>
      </w:r>
      <w:r>
        <w:tab/>
      </w:r>
      <w:r>
        <w:fldChar w:fldCharType="begin"/>
      </w:r>
      <w:r>
        <w:instrText xml:space="preserve"> PAGEREF _Toc31711258 \h </w:instrText>
      </w:r>
      <w:r>
        <w:fldChar w:fldCharType="separate"/>
      </w:r>
      <w:r w:rsidR="00F3179D">
        <w:t>32</w:t>
      </w:r>
      <w:r>
        <w:fldChar w:fldCharType="end"/>
      </w:r>
    </w:p>
    <w:p w14:paraId="50AD7BBF" w14:textId="77777777" w:rsidR="004E7227" w:rsidRDefault="00E110EA" w:rsidP="0048643A">
      <w:pPr>
        <w:pStyle w:val="Text"/>
      </w:pPr>
      <w:r w:rsidRPr="009775C7">
        <w:fldChar w:fldCharType="end"/>
      </w:r>
    </w:p>
    <w:p w14:paraId="2A711C9D" w14:textId="77777777" w:rsidR="004E7227" w:rsidRDefault="004E7227" w:rsidP="0048643A">
      <w:pPr>
        <w:pStyle w:val="Text"/>
        <w:rPr>
          <w:rFonts w:ascii="Tahoma" w:hAnsi="Tahoma" w:cs="Tahoma"/>
          <w:color w:val="000000"/>
          <w:kern w:val="28"/>
          <w:sz w:val="56"/>
          <w:szCs w:val="56"/>
        </w:rPr>
      </w:pPr>
      <w:r>
        <w:br w:type="page"/>
      </w:r>
    </w:p>
    <w:p w14:paraId="50637EC9" w14:textId="77777777" w:rsidR="004E7227" w:rsidRDefault="004E7227" w:rsidP="004E7227">
      <w:pPr>
        <w:pStyle w:val="Heading1"/>
      </w:pPr>
      <w:bookmarkStart w:id="12" w:name="_Toc31711238"/>
      <w:r>
        <w:lastRenderedPageBreak/>
        <w:t>Tables and figures</w:t>
      </w:r>
      <w:bookmarkEnd w:id="12"/>
    </w:p>
    <w:p w14:paraId="1403D75D" w14:textId="77777777" w:rsidR="004E7227" w:rsidRDefault="004E7227" w:rsidP="004E7227">
      <w:pPr>
        <w:pStyle w:val="Heading2"/>
      </w:pPr>
      <w:bookmarkStart w:id="13" w:name="_Toc296497516"/>
      <w:bookmarkStart w:id="14" w:name="_Toc298162801"/>
      <w:bookmarkStart w:id="15" w:name="_Toc31711239"/>
      <w:r>
        <w:t>Tables</w:t>
      </w:r>
      <w:bookmarkEnd w:id="13"/>
      <w:bookmarkEnd w:id="14"/>
      <w:bookmarkEnd w:id="15"/>
    </w:p>
    <w:p w14:paraId="7269C54D" w14:textId="56399709" w:rsidR="009B712E" w:rsidRDefault="00E110EA">
      <w:pPr>
        <w:pStyle w:val="TableofFigures"/>
        <w:tabs>
          <w:tab w:val="left" w:pos="1100"/>
        </w:tabs>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9B712E">
        <w:t>A1</w:t>
      </w:r>
      <w:r w:rsidR="009B712E">
        <w:rPr>
          <w:rFonts w:asciiTheme="minorHAnsi" w:eastAsiaTheme="minorEastAsia" w:hAnsiTheme="minorHAnsi" w:cstheme="minorBidi"/>
          <w:color w:val="auto"/>
          <w:sz w:val="22"/>
          <w:szCs w:val="22"/>
          <w:lang w:eastAsia="en-AU"/>
        </w:rPr>
        <w:tab/>
      </w:r>
      <w:r w:rsidR="009B712E">
        <w:t>Digital skills categorisation and search terms and sample content extraction results</w:t>
      </w:r>
      <w:r w:rsidR="009B712E">
        <w:tab/>
      </w:r>
      <w:r w:rsidR="009B712E">
        <w:fldChar w:fldCharType="begin"/>
      </w:r>
      <w:r w:rsidR="009B712E">
        <w:instrText xml:space="preserve"> PAGEREF _Toc31711369 \h </w:instrText>
      </w:r>
      <w:r w:rsidR="009B712E">
        <w:fldChar w:fldCharType="separate"/>
      </w:r>
      <w:r w:rsidR="00F3179D">
        <w:t>22</w:t>
      </w:r>
      <w:r w:rsidR="009B712E">
        <w:fldChar w:fldCharType="end"/>
      </w:r>
    </w:p>
    <w:p w14:paraId="5EC315DA" w14:textId="6B671AE0"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 xml:space="preserve">Number of units specified within qualifications as core, elective or </w:t>
      </w:r>
      <w:r w:rsidR="00571CB5">
        <w:br/>
      </w:r>
      <w:r>
        <w:t>both</w:t>
      </w:r>
      <w:r w:rsidR="00822D95">
        <w:t>,</w:t>
      </w:r>
      <w:r>
        <w:t xml:space="preserve"> by training package</w:t>
      </w:r>
      <w:r>
        <w:tab/>
      </w:r>
      <w:r>
        <w:fldChar w:fldCharType="begin"/>
      </w:r>
      <w:r>
        <w:instrText xml:space="preserve"> PAGEREF _Toc31711370 \h </w:instrText>
      </w:r>
      <w:r>
        <w:fldChar w:fldCharType="separate"/>
      </w:r>
      <w:r w:rsidR="00F3179D">
        <w:t>23</w:t>
      </w:r>
      <w:r>
        <w:fldChar w:fldCharType="end"/>
      </w:r>
    </w:p>
    <w:p w14:paraId="7D2A4833" w14:textId="3BDEA057"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 xml:space="preserve">Number of times units are specified and used within qualifications </w:t>
      </w:r>
      <w:r w:rsidR="00571CB5">
        <w:br/>
      </w:r>
      <w:r>
        <w:t>as core or elective</w:t>
      </w:r>
      <w:r w:rsidR="00822D95">
        <w:t>,</w:t>
      </w:r>
      <w:r>
        <w:t xml:space="preserve"> by training package</w:t>
      </w:r>
      <w:r>
        <w:tab/>
      </w:r>
      <w:r>
        <w:fldChar w:fldCharType="begin"/>
      </w:r>
      <w:r>
        <w:instrText xml:space="preserve"> PAGEREF _Toc31711371 \h </w:instrText>
      </w:r>
      <w:r>
        <w:fldChar w:fldCharType="separate"/>
      </w:r>
      <w:r w:rsidR="00F3179D">
        <w:t>24</w:t>
      </w:r>
      <w:r>
        <w:fldChar w:fldCharType="end"/>
      </w:r>
    </w:p>
    <w:p w14:paraId="5A20BDF8" w14:textId="0B1167D8"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A4</w:t>
      </w:r>
      <w:r>
        <w:rPr>
          <w:rFonts w:asciiTheme="minorHAnsi" w:eastAsiaTheme="minorEastAsia" w:hAnsiTheme="minorHAnsi" w:cstheme="minorBidi"/>
          <w:color w:val="auto"/>
          <w:sz w:val="22"/>
          <w:szCs w:val="22"/>
          <w:lang w:eastAsia="en-AU"/>
        </w:rPr>
        <w:tab/>
      </w:r>
      <w:r>
        <w:t>Top three digital skills</w:t>
      </w:r>
      <w:r w:rsidR="00B04CB0">
        <w:t>-</w:t>
      </w:r>
      <w:r>
        <w:t xml:space="preserve">related units with the most enrolments as </w:t>
      </w:r>
      <w:r w:rsidR="00571CB5">
        <w:br/>
      </w:r>
      <w:r>
        <w:t>a core unit, 2018</w:t>
      </w:r>
      <w:r>
        <w:tab/>
      </w:r>
      <w:r>
        <w:fldChar w:fldCharType="begin"/>
      </w:r>
      <w:r>
        <w:instrText xml:space="preserve"> PAGEREF _Toc31711372 \h </w:instrText>
      </w:r>
      <w:r>
        <w:fldChar w:fldCharType="separate"/>
      </w:r>
      <w:r w:rsidR="00F3179D">
        <w:t>24</w:t>
      </w:r>
      <w:r>
        <w:fldChar w:fldCharType="end"/>
      </w:r>
    </w:p>
    <w:p w14:paraId="3524AD3C" w14:textId="10BC3FB5"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A5</w:t>
      </w:r>
      <w:r>
        <w:rPr>
          <w:rFonts w:asciiTheme="minorHAnsi" w:eastAsiaTheme="minorEastAsia" w:hAnsiTheme="minorHAnsi" w:cstheme="minorBidi"/>
          <w:color w:val="auto"/>
          <w:sz w:val="22"/>
          <w:szCs w:val="22"/>
          <w:lang w:eastAsia="en-AU"/>
        </w:rPr>
        <w:tab/>
      </w:r>
      <w:r>
        <w:t>Top three digital skills</w:t>
      </w:r>
      <w:r w:rsidR="00B04CB0">
        <w:t>-</w:t>
      </w:r>
      <w:r>
        <w:t xml:space="preserve">related units with the most enrolments as </w:t>
      </w:r>
      <w:r w:rsidR="00571CB5">
        <w:br/>
      </w:r>
      <w:r>
        <w:t>an elective unit, 2018</w:t>
      </w:r>
      <w:r>
        <w:tab/>
      </w:r>
      <w:r>
        <w:fldChar w:fldCharType="begin"/>
      </w:r>
      <w:r>
        <w:instrText xml:space="preserve"> PAGEREF _Toc31711373 \h </w:instrText>
      </w:r>
      <w:r>
        <w:fldChar w:fldCharType="separate"/>
      </w:r>
      <w:r w:rsidR="00F3179D">
        <w:t>25</w:t>
      </w:r>
      <w:r>
        <w:fldChar w:fldCharType="end"/>
      </w:r>
    </w:p>
    <w:p w14:paraId="5B169DFA" w14:textId="0049D175"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 xml:space="preserve">B1 </w:t>
      </w:r>
      <w:r>
        <w:rPr>
          <w:rFonts w:asciiTheme="minorHAnsi" w:eastAsiaTheme="minorEastAsia" w:hAnsiTheme="minorHAnsi" w:cstheme="minorBidi"/>
          <w:color w:val="auto"/>
          <w:sz w:val="22"/>
          <w:szCs w:val="22"/>
          <w:lang w:eastAsia="en-AU"/>
        </w:rPr>
        <w:tab/>
      </w:r>
      <w:r>
        <w:t>Australian Workforce Digital Skills Framework</w:t>
      </w:r>
      <w:r>
        <w:tab/>
      </w:r>
      <w:r>
        <w:fldChar w:fldCharType="begin"/>
      </w:r>
      <w:r>
        <w:instrText xml:space="preserve"> PAGEREF _Toc31711374 \h </w:instrText>
      </w:r>
      <w:r>
        <w:fldChar w:fldCharType="separate"/>
      </w:r>
      <w:r w:rsidR="00F3179D">
        <w:t>26</w:t>
      </w:r>
      <w:r>
        <w:fldChar w:fldCharType="end"/>
      </w:r>
    </w:p>
    <w:p w14:paraId="0DB76F18" w14:textId="17CAD289"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t xml:space="preserve">Australian Workforce Digital Skills Framework: </w:t>
      </w:r>
      <w:r w:rsidR="000848A2">
        <w:t>d</w:t>
      </w:r>
      <w:r>
        <w:t>igital skills category dimensions</w:t>
      </w:r>
      <w:r>
        <w:tab/>
      </w:r>
      <w:r>
        <w:fldChar w:fldCharType="begin"/>
      </w:r>
      <w:r>
        <w:instrText xml:space="preserve"> PAGEREF _Toc31711375 \h </w:instrText>
      </w:r>
      <w:r>
        <w:fldChar w:fldCharType="separate"/>
      </w:r>
      <w:r w:rsidR="00F3179D">
        <w:t>27</w:t>
      </w:r>
      <w:r>
        <w:fldChar w:fldCharType="end"/>
      </w:r>
    </w:p>
    <w:p w14:paraId="512D9514" w14:textId="0038FC49"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 xml:space="preserve">Key areas of educator development and associated competencies in </w:t>
      </w:r>
      <w:r w:rsidR="00571CB5">
        <w:br/>
      </w:r>
      <w:r>
        <w:t>the European Framework for the Digital Competence of Educators (DigCompEdu)</w:t>
      </w:r>
      <w:r>
        <w:tab/>
      </w:r>
      <w:r>
        <w:fldChar w:fldCharType="begin"/>
      </w:r>
      <w:r>
        <w:instrText xml:space="preserve"> PAGEREF _Toc31711376 \h </w:instrText>
      </w:r>
      <w:r>
        <w:fldChar w:fldCharType="separate"/>
      </w:r>
      <w:r w:rsidR="00F3179D">
        <w:t>28</w:t>
      </w:r>
      <w:r>
        <w:fldChar w:fldCharType="end"/>
      </w:r>
    </w:p>
    <w:p w14:paraId="5CBD044B" w14:textId="35C57255"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C2</w:t>
      </w:r>
      <w:r>
        <w:rPr>
          <w:rFonts w:asciiTheme="minorHAnsi" w:eastAsiaTheme="minorEastAsia" w:hAnsiTheme="minorHAnsi" w:cstheme="minorBidi"/>
          <w:color w:val="auto"/>
          <w:sz w:val="22"/>
          <w:szCs w:val="22"/>
          <w:lang w:eastAsia="en-AU"/>
        </w:rPr>
        <w:tab/>
      </w:r>
      <w:r>
        <w:t>Levels of educator proficiency as prescribed in the DigCompEdu</w:t>
      </w:r>
      <w:r>
        <w:tab/>
      </w:r>
      <w:r>
        <w:fldChar w:fldCharType="begin"/>
      </w:r>
      <w:r>
        <w:instrText xml:space="preserve"> PAGEREF _Toc31711377 \h </w:instrText>
      </w:r>
      <w:r>
        <w:fldChar w:fldCharType="separate"/>
      </w:r>
      <w:r w:rsidR="00F3179D">
        <w:t>31</w:t>
      </w:r>
      <w:r>
        <w:fldChar w:fldCharType="end"/>
      </w:r>
    </w:p>
    <w:p w14:paraId="5A5A9DE4" w14:textId="47F186A8"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D1</w:t>
      </w:r>
      <w:r>
        <w:rPr>
          <w:rFonts w:asciiTheme="minorHAnsi" w:eastAsiaTheme="minorEastAsia" w:hAnsiTheme="minorHAnsi" w:cstheme="minorBidi"/>
          <w:color w:val="auto"/>
          <w:sz w:val="22"/>
          <w:szCs w:val="22"/>
          <w:lang w:eastAsia="en-AU"/>
        </w:rPr>
        <w:tab/>
      </w:r>
      <w:r>
        <w:t>Elements, sub-elements and descriptors compris</w:t>
      </w:r>
      <w:r w:rsidR="009A781C">
        <w:t>ing</w:t>
      </w:r>
      <w:r>
        <w:t xml:space="preserve"> the European Framework for Digitally Competent Educational Organisations (DigCompOrg)</w:t>
      </w:r>
      <w:r>
        <w:tab/>
      </w:r>
      <w:r>
        <w:fldChar w:fldCharType="begin"/>
      </w:r>
      <w:r>
        <w:instrText xml:space="preserve"> PAGEREF _Toc31711378 \h </w:instrText>
      </w:r>
      <w:r>
        <w:fldChar w:fldCharType="separate"/>
      </w:r>
      <w:r w:rsidR="00F3179D">
        <w:t>32</w:t>
      </w:r>
      <w:r>
        <w:fldChar w:fldCharType="end"/>
      </w:r>
    </w:p>
    <w:p w14:paraId="61681C34" w14:textId="77777777" w:rsidR="009B712E" w:rsidRDefault="00E110EA" w:rsidP="004E7227">
      <w:pPr>
        <w:pStyle w:val="Heading2"/>
        <w:rPr>
          <w:noProof/>
        </w:rPr>
      </w:pPr>
      <w:r>
        <w:fldChar w:fldCharType="end"/>
      </w:r>
      <w:bookmarkStart w:id="16" w:name="_Toc296497517"/>
      <w:bookmarkStart w:id="17" w:name="_Toc298162802"/>
      <w:bookmarkStart w:id="18" w:name="_Toc31711240"/>
      <w:r w:rsidR="004E7227">
        <w:t>Figures</w:t>
      </w:r>
      <w:bookmarkEnd w:id="16"/>
      <w:bookmarkEnd w:id="17"/>
      <w:bookmarkEnd w:id="18"/>
      <w:r>
        <w:rPr>
          <w:rFonts w:ascii="Garamond" w:hAnsi="Garamond"/>
          <w:sz w:val="22"/>
        </w:rPr>
        <w:fldChar w:fldCharType="begin"/>
      </w:r>
      <w:r w:rsidR="004E7227">
        <w:instrText xml:space="preserve"> TOC \t "Figuretitle" \c </w:instrText>
      </w:r>
      <w:r>
        <w:rPr>
          <w:rFonts w:ascii="Garamond" w:hAnsi="Garamond"/>
          <w:sz w:val="22"/>
        </w:rPr>
        <w:fldChar w:fldCharType="separate"/>
      </w:r>
    </w:p>
    <w:p w14:paraId="720ED1B3" w14:textId="008B369E"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European </w:t>
      </w:r>
      <w:r w:rsidR="009A781C">
        <w:t>F</w:t>
      </w:r>
      <w:r>
        <w:t>ramework for the Digital Competence of Educators (DigCompEdu): key areas of digital competence</w:t>
      </w:r>
      <w:r>
        <w:tab/>
      </w:r>
      <w:r>
        <w:fldChar w:fldCharType="begin"/>
      </w:r>
      <w:r>
        <w:instrText xml:space="preserve"> PAGEREF _Toc31711265 \h </w:instrText>
      </w:r>
      <w:r>
        <w:fldChar w:fldCharType="separate"/>
      </w:r>
      <w:r w:rsidR="00F3179D">
        <w:t>17</w:t>
      </w:r>
      <w:r>
        <w:fldChar w:fldCharType="end"/>
      </w:r>
    </w:p>
    <w:p w14:paraId="3D8FC5ED" w14:textId="5BA8765B" w:rsidR="009B712E" w:rsidRDefault="009B712E">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European Framework for Digitally Competent Educational Organisations (DigCompOrg): key elements and sub-elements</w:t>
      </w:r>
      <w:r>
        <w:tab/>
      </w:r>
      <w:r>
        <w:fldChar w:fldCharType="begin"/>
      </w:r>
      <w:r>
        <w:instrText xml:space="preserve"> PAGEREF _Toc31711266 \h </w:instrText>
      </w:r>
      <w:r>
        <w:fldChar w:fldCharType="separate"/>
      </w:r>
      <w:r w:rsidR="00F3179D">
        <w:t>18</w:t>
      </w:r>
      <w:r>
        <w:fldChar w:fldCharType="end"/>
      </w:r>
    </w:p>
    <w:p w14:paraId="4FA8DF5A" w14:textId="77777777" w:rsidR="004E7227" w:rsidRDefault="00E110EA" w:rsidP="004E7227">
      <w:pPr>
        <w:pStyle w:val="TableofFigures"/>
      </w:pPr>
      <w:r>
        <w:fldChar w:fldCharType="end"/>
      </w:r>
    </w:p>
    <w:p w14:paraId="1C8D59C3" w14:textId="77777777" w:rsidR="00AD2774" w:rsidRDefault="00A93867" w:rsidP="00AD2774">
      <w:pPr>
        <w:pStyle w:val="Heading2"/>
        <w:rPr>
          <w:b/>
        </w:rPr>
      </w:pPr>
      <w:bookmarkStart w:id="19" w:name="_Toc298162803"/>
      <w:r w:rsidRPr="00A93867">
        <w:rPr>
          <w:b/>
        </w:rPr>
        <w:br w:type="page"/>
      </w:r>
    </w:p>
    <w:p w14:paraId="75B94E0D" w14:textId="77777777" w:rsidR="00AD2774" w:rsidRDefault="00AD2774" w:rsidP="00AD2774">
      <w:pPr>
        <w:pStyle w:val="Heading1"/>
      </w:pPr>
      <w:bookmarkStart w:id="20" w:name="_Toc31711241"/>
      <w:r>
        <w:lastRenderedPageBreak/>
        <w:t>Context</w:t>
      </w:r>
      <w:bookmarkEnd w:id="20"/>
    </w:p>
    <w:p w14:paraId="60F43C1C" w14:textId="77777777" w:rsidR="00402D6D" w:rsidRPr="001E227C" w:rsidRDefault="00AD2774" w:rsidP="00AD2774">
      <w:pPr>
        <w:pStyle w:val="Heading2"/>
      </w:pPr>
      <w:bookmarkStart w:id="21" w:name="_Toc31711242"/>
      <w:r>
        <w:t>Purpose</w:t>
      </w:r>
      <w:r w:rsidR="00402D6D" w:rsidRPr="001E227C">
        <w:t xml:space="preserve"> of the </w:t>
      </w:r>
      <w:r>
        <w:t>paper</w:t>
      </w:r>
      <w:bookmarkEnd w:id="21"/>
    </w:p>
    <w:p w14:paraId="14B2F3E3" w14:textId="2A0E6D06" w:rsidR="00176EFB" w:rsidRPr="007A0254" w:rsidRDefault="009F6D39" w:rsidP="00AD2774">
      <w:pPr>
        <w:pStyle w:val="Text"/>
        <w:rPr>
          <w:szCs w:val="19"/>
        </w:rPr>
      </w:pPr>
      <w:r w:rsidRPr="007A0254">
        <w:rPr>
          <w:szCs w:val="19"/>
        </w:rPr>
        <w:t xml:space="preserve">This </w:t>
      </w:r>
      <w:r w:rsidR="006C3ACD" w:rsidRPr="007A0254">
        <w:rPr>
          <w:szCs w:val="19"/>
        </w:rPr>
        <w:t>paper was used to guide discussions at the invit</w:t>
      </w:r>
      <w:r w:rsidR="00E83F49" w:rsidRPr="007A0254">
        <w:rPr>
          <w:szCs w:val="19"/>
        </w:rPr>
        <w:t>ation</w:t>
      </w:r>
      <w:r w:rsidR="006C3ACD" w:rsidRPr="007A0254">
        <w:rPr>
          <w:szCs w:val="19"/>
        </w:rPr>
        <w:t xml:space="preserve">-only forum, </w:t>
      </w:r>
      <w:r w:rsidR="006C3ACD" w:rsidRPr="007A0254">
        <w:rPr>
          <w:i/>
          <w:szCs w:val="19"/>
        </w:rPr>
        <w:t>VET’s response to Industry 4.0 and the digital economy: what works</w:t>
      </w:r>
      <w:r w:rsidR="006C3ACD" w:rsidRPr="007A0254">
        <w:rPr>
          <w:szCs w:val="19"/>
        </w:rPr>
        <w:t xml:space="preserve">, </w:t>
      </w:r>
      <w:r w:rsidR="002D7387" w:rsidRPr="007A0254">
        <w:rPr>
          <w:szCs w:val="19"/>
        </w:rPr>
        <w:t>hosted by the National Centre for Vocational Education Research (</w:t>
      </w:r>
      <w:r w:rsidR="00B626E4" w:rsidRPr="007A0254">
        <w:rPr>
          <w:szCs w:val="19"/>
        </w:rPr>
        <w:t xml:space="preserve">NCVER) </w:t>
      </w:r>
      <w:r w:rsidR="006C3ACD" w:rsidRPr="007A0254">
        <w:rPr>
          <w:szCs w:val="19"/>
        </w:rPr>
        <w:t>in Melbourne on 20 November</w:t>
      </w:r>
      <w:r w:rsidR="00176EFB" w:rsidRPr="007A0254">
        <w:rPr>
          <w:szCs w:val="19"/>
        </w:rPr>
        <w:t xml:space="preserve"> 2019</w:t>
      </w:r>
      <w:r w:rsidR="006C3ACD" w:rsidRPr="007A0254">
        <w:rPr>
          <w:szCs w:val="19"/>
        </w:rPr>
        <w:t xml:space="preserve">. The focus of the forum was to develop practical strategies for </w:t>
      </w:r>
      <w:r w:rsidR="00337FF2" w:rsidRPr="007A0254">
        <w:rPr>
          <w:szCs w:val="19"/>
        </w:rPr>
        <w:t>the incorporation of</w:t>
      </w:r>
      <w:r w:rsidR="006C3ACD" w:rsidRPr="007A0254">
        <w:rPr>
          <w:szCs w:val="19"/>
        </w:rPr>
        <w:t xml:space="preserve"> digital skills into </w:t>
      </w:r>
      <w:r w:rsidR="009761E4" w:rsidRPr="007A0254">
        <w:rPr>
          <w:szCs w:val="19"/>
        </w:rPr>
        <w:t>vocational education and trainin</w:t>
      </w:r>
      <w:r w:rsidR="00154CC0" w:rsidRPr="007A0254">
        <w:rPr>
          <w:szCs w:val="19"/>
        </w:rPr>
        <w:t>g (</w:t>
      </w:r>
      <w:r w:rsidR="006C3ACD" w:rsidRPr="007A0254">
        <w:rPr>
          <w:szCs w:val="19"/>
        </w:rPr>
        <w:t>VET</w:t>
      </w:r>
      <w:r w:rsidR="00154CC0" w:rsidRPr="007A0254">
        <w:rPr>
          <w:szCs w:val="19"/>
        </w:rPr>
        <w:t>)</w:t>
      </w:r>
      <w:r w:rsidR="006C3ACD" w:rsidRPr="007A0254">
        <w:rPr>
          <w:szCs w:val="19"/>
        </w:rPr>
        <w:t xml:space="preserve"> delivery and to determine how any implications for the VET educator workforce c</w:t>
      </w:r>
      <w:r w:rsidR="00A37820" w:rsidRPr="007A0254">
        <w:rPr>
          <w:szCs w:val="19"/>
        </w:rPr>
        <w:t>ould</w:t>
      </w:r>
      <w:r w:rsidR="006C3ACD" w:rsidRPr="007A0254">
        <w:rPr>
          <w:szCs w:val="19"/>
        </w:rPr>
        <w:t xml:space="preserve"> be addressed. </w:t>
      </w:r>
      <w:r w:rsidR="005F7B95" w:rsidRPr="007A0254">
        <w:rPr>
          <w:szCs w:val="19"/>
        </w:rPr>
        <w:t xml:space="preserve">Information from the Australian and international literature on digital skills is presented throughout this paper, with questions underneath relevant content to guide discussion. </w:t>
      </w:r>
      <w:r w:rsidR="00176EFB" w:rsidRPr="007A0254">
        <w:rPr>
          <w:szCs w:val="19"/>
        </w:rPr>
        <w:t>The guiding questions for the discussions are</w:t>
      </w:r>
      <w:r w:rsidR="005F7B95" w:rsidRPr="007A0254">
        <w:rPr>
          <w:szCs w:val="19"/>
        </w:rPr>
        <w:t xml:space="preserve"> also</w:t>
      </w:r>
      <w:r w:rsidR="00176EFB" w:rsidRPr="007A0254">
        <w:rPr>
          <w:szCs w:val="19"/>
        </w:rPr>
        <w:t xml:space="preserve"> listed below. </w:t>
      </w:r>
    </w:p>
    <w:p w14:paraId="30430CA7" w14:textId="166C26AC" w:rsidR="006C3ACD" w:rsidRPr="007A0254" w:rsidRDefault="006C3ACD" w:rsidP="00AD2774">
      <w:pPr>
        <w:pStyle w:val="Text"/>
        <w:rPr>
          <w:szCs w:val="19"/>
        </w:rPr>
      </w:pPr>
      <w:r w:rsidRPr="007A0254">
        <w:rPr>
          <w:szCs w:val="19"/>
        </w:rPr>
        <w:t xml:space="preserve">Participants included representatives from </w:t>
      </w:r>
      <w:r w:rsidR="000A2C48" w:rsidRPr="007A0254">
        <w:rPr>
          <w:szCs w:val="19"/>
        </w:rPr>
        <w:t>skills service organisations</w:t>
      </w:r>
      <w:r w:rsidRPr="007A0254">
        <w:rPr>
          <w:szCs w:val="19"/>
        </w:rPr>
        <w:t xml:space="preserve">; members of the Education Industry Reference Committee; industry, provider and practitioner-related bodies; policy-makers; and relevant researchers. </w:t>
      </w:r>
    </w:p>
    <w:p w14:paraId="17493D8F" w14:textId="77777777" w:rsidR="006C3ACD" w:rsidRPr="007A0254" w:rsidRDefault="006C3ACD" w:rsidP="00AD2774">
      <w:pPr>
        <w:pStyle w:val="Text"/>
        <w:rPr>
          <w:szCs w:val="19"/>
        </w:rPr>
      </w:pPr>
      <w:r w:rsidRPr="007A0254">
        <w:rPr>
          <w:szCs w:val="19"/>
        </w:rPr>
        <w:t>The key learnings from this forum can be found in two good practice guides published by NCVER:</w:t>
      </w:r>
    </w:p>
    <w:p w14:paraId="6FCB5716" w14:textId="389291BD" w:rsidR="006C3ACD" w:rsidRDefault="006C3ACD" w:rsidP="006C3ACD">
      <w:pPr>
        <w:pStyle w:val="Dotpoint1"/>
        <w:rPr>
          <w:i/>
        </w:rPr>
      </w:pPr>
      <w:r w:rsidRPr="006C3ACD">
        <w:rPr>
          <w:i/>
        </w:rPr>
        <w:t xml:space="preserve">Incorporating digital skills into VET delivery </w:t>
      </w:r>
    </w:p>
    <w:p w14:paraId="66D8D369" w14:textId="63C0E08D" w:rsidR="006C3ACD" w:rsidRPr="006C3ACD" w:rsidRDefault="006C3ACD" w:rsidP="006C3ACD">
      <w:pPr>
        <w:pStyle w:val="Dotpoint1"/>
        <w:rPr>
          <w:i/>
        </w:rPr>
      </w:pPr>
      <w:r w:rsidRPr="006C3ACD">
        <w:rPr>
          <w:i/>
        </w:rPr>
        <w:t xml:space="preserve">Teaching digital skills: implications for VET educators </w:t>
      </w:r>
    </w:p>
    <w:p w14:paraId="27335D0E" w14:textId="77777777" w:rsidR="00402D6D" w:rsidRDefault="00AD2774" w:rsidP="00AD2774">
      <w:pPr>
        <w:pStyle w:val="Heading2"/>
      </w:pPr>
      <w:bookmarkStart w:id="22" w:name="_Toc31711243"/>
      <w:r w:rsidRPr="001E227C">
        <w:t>Guiding questions</w:t>
      </w:r>
      <w:r w:rsidR="00402D6D" w:rsidRPr="001E227C">
        <w:t xml:space="preserve"> </w:t>
      </w:r>
      <w:r w:rsidRPr="001E227C">
        <w:t>for discussion</w:t>
      </w:r>
      <w:bookmarkEnd w:id="22"/>
    </w:p>
    <w:tbl>
      <w:tblPr>
        <w:tblpPr w:leftFromText="180" w:rightFromText="180" w:vertAnchor="text" w:tblpY="1"/>
        <w:tblOverlap w:val="never"/>
        <w:tblW w:w="0" w:type="auto"/>
        <w:tblBorders>
          <w:top w:val="single" w:sz="4" w:space="0" w:color="auto"/>
          <w:bottom w:val="single" w:sz="4" w:space="0" w:color="auto"/>
        </w:tblBorders>
        <w:tblLook w:val="0000" w:firstRow="0" w:lastRow="0" w:firstColumn="0" w:lastColumn="0" w:noHBand="0" w:noVBand="0"/>
      </w:tblPr>
      <w:tblGrid>
        <w:gridCol w:w="2122"/>
        <w:gridCol w:w="6656"/>
      </w:tblGrid>
      <w:tr w:rsidR="00AD2774" w14:paraId="391C6362" w14:textId="77777777" w:rsidTr="005F7B95">
        <w:tc>
          <w:tcPr>
            <w:tcW w:w="2122" w:type="dxa"/>
            <w:tcBorders>
              <w:top w:val="single" w:sz="4" w:space="0" w:color="auto"/>
              <w:bottom w:val="single" w:sz="4" w:space="0" w:color="auto"/>
            </w:tcBorders>
          </w:tcPr>
          <w:p w14:paraId="7885A9DD" w14:textId="77777777" w:rsidR="00AD2774" w:rsidRDefault="00AD2774" w:rsidP="005F7B95">
            <w:pPr>
              <w:pStyle w:val="Tablehead1"/>
            </w:pPr>
            <w:r>
              <w:t>Key theme</w:t>
            </w:r>
          </w:p>
        </w:tc>
        <w:tc>
          <w:tcPr>
            <w:tcW w:w="6656" w:type="dxa"/>
            <w:tcBorders>
              <w:top w:val="single" w:sz="4" w:space="0" w:color="auto"/>
              <w:bottom w:val="single" w:sz="4" w:space="0" w:color="auto"/>
            </w:tcBorders>
          </w:tcPr>
          <w:p w14:paraId="3AD283F0" w14:textId="77777777" w:rsidR="00AD2774" w:rsidRDefault="00AD2774" w:rsidP="005F7B95">
            <w:pPr>
              <w:pStyle w:val="Tablehead1"/>
            </w:pPr>
            <w:r>
              <w:t>Question</w:t>
            </w:r>
          </w:p>
        </w:tc>
      </w:tr>
      <w:tr w:rsidR="00AD2774" w14:paraId="6A4A4F2A" w14:textId="77777777" w:rsidTr="005F7B95">
        <w:tc>
          <w:tcPr>
            <w:tcW w:w="2122" w:type="dxa"/>
            <w:vMerge w:val="restart"/>
            <w:tcBorders>
              <w:top w:val="single" w:sz="4" w:space="0" w:color="auto"/>
              <w:bottom w:val="nil"/>
            </w:tcBorders>
          </w:tcPr>
          <w:p w14:paraId="111D6E3C" w14:textId="77777777" w:rsidR="00AD2774" w:rsidRDefault="00AD2774" w:rsidP="005F7B95">
            <w:pPr>
              <w:pStyle w:val="Tablehead2"/>
            </w:pPr>
            <w:r>
              <w:t>VET delivery</w:t>
            </w:r>
          </w:p>
        </w:tc>
        <w:tc>
          <w:tcPr>
            <w:tcW w:w="6656" w:type="dxa"/>
            <w:tcBorders>
              <w:top w:val="single" w:sz="4" w:space="0" w:color="auto"/>
              <w:bottom w:val="nil"/>
            </w:tcBorders>
          </w:tcPr>
          <w:p w14:paraId="311AC026" w14:textId="77777777" w:rsidR="00AD2774" w:rsidRPr="001E227C" w:rsidRDefault="00AD2774" w:rsidP="005F7B95">
            <w:pPr>
              <w:pStyle w:val="Tabletext"/>
              <w:rPr>
                <w:noProof/>
                <w:lang w:eastAsia="en-AU"/>
              </w:rPr>
            </w:pPr>
            <w:r w:rsidRPr="001E227C">
              <w:rPr>
                <w:noProof/>
                <w:lang w:eastAsia="en-AU"/>
              </w:rPr>
              <w:t xml:space="preserve">Considering international </w:t>
            </w:r>
            <w:r>
              <w:rPr>
                <w:noProof/>
                <w:lang w:eastAsia="en-AU"/>
              </w:rPr>
              <w:t xml:space="preserve">lessons from </w:t>
            </w:r>
            <w:r w:rsidRPr="001E227C">
              <w:rPr>
                <w:noProof/>
                <w:lang w:eastAsia="en-AU"/>
              </w:rPr>
              <w:t>digital skills delivery within TVET, what would be relevant for the Australian VET system? What would work or wouldn’t work in the Australian context?</w:t>
            </w:r>
          </w:p>
        </w:tc>
      </w:tr>
      <w:tr w:rsidR="00AD2774" w14:paraId="24BB575B" w14:textId="77777777" w:rsidTr="005F7B95">
        <w:tc>
          <w:tcPr>
            <w:tcW w:w="2122" w:type="dxa"/>
            <w:vMerge/>
            <w:tcBorders>
              <w:top w:val="nil"/>
              <w:bottom w:val="nil"/>
            </w:tcBorders>
          </w:tcPr>
          <w:p w14:paraId="3FCBE489" w14:textId="77777777" w:rsidR="00AD2774" w:rsidRDefault="00AD2774" w:rsidP="005F7B95">
            <w:pPr>
              <w:pStyle w:val="Text"/>
            </w:pPr>
          </w:p>
        </w:tc>
        <w:tc>
          <w:tcPr>
            <w:tcW w:w="6656" w:type="dxa"/>
            <w:tcBorders>
              <w:top w:val="nil"/>
              <w:bottom w:val="nil"/>
            </w:tcBorders>
          </w:tcPr>
          <w:p w14:paraId="0C0B334A" w14:textId="5A9C6835" w:rsidR="00AD2774" w:rsidRPr="001E227C" w:rsidRDefault="00AD2774" w:rsidP="005F7B95">
            <w:pPr>
              <w:pStyle w:val="Tabletext"/>
              <w:rPr>
                <w:noProof/>
                <w:lang w:eastAsia="en-AU"/>
              </w:rPr>
            </w:pPr>
            <w:r w:rsidRPr="001E227C">
              <w:rPr>
                <w:noProof/>
                <w:lang w:eastAsia="en-AU"/>
              </w:rPr>
              <w:t>Should more digital skills</w:t>
            </w:r>
            <w:r w:rsidR="00E22D82">
              <w:rPr>
                <w:noProof/>
                <w:lang w:eastAsia="en-AU"/>
              </w:rPr>
              <w:t>-</w:t>
            </w:r>
            <w:r w:rsidRPr="001E227C">
              <w:rPr>
                <w:noProof/>
                <w:lang w:eastAsia="en-AU"/>
              </w:rPr>
              <w:t xml:space="preserve">related elective units become core units? </w:t>
            </w:r>
            <w:r w:rsidRPr="00C84D45">
              <w:rPr>
                <w:noProof/>
                <w:lang w:eastAsia="en-AU"/>
              </w:rPr>
              <w:t>What criteria should be used to determine whether a unit is core or elective?</w:t>
            </w:r>
          </w:p>
        </w:tc>
      </w:tr>
      <w:tr w:rsidR="00AD2774" w14:paraId="4C12C29E" w14:textId="77777777" w:rsidTr="005F7B95">
        <w:tc>
          <w:tcPr>
            <w:tcW w:w="2122" w:type="dxa"/>
            <w:vMerge/>
            <w:tcBorders>
              <w:top w:val="nil"/>
              <w:bottom w:val="nil"/>
            </w:tcBorders>
          </w:tcPr>
          <w:p w14:paraId="4212FDBF" w14:textId="77777777" w:rsidR="00AD2774" w:rsidRDefault="00AD2774" w:rsidP="005F7B95">
            <w:pPr>
              <w:pStyle w:val="Text"/>
            </w:pPr>
          </w:p>
        </w:tc>
        <w:tc>
          <w:tcPr>
            <w:tcW w:w="6656" w:type="dxa"/>
            <w:tcBorders>
              <w:top w:val="nil"/>
              <w:bottom w:val="nil"/>
            </w:tcBorders>
          </w:tcPr>
          <w:p w14:paraId="6D9D715C" w14:textId="77777777" w:rsidR="00AD2774" w:rsidRPr="001E227C" w:rsidRDefault="00AD2774" w:rsidP="005F7B95">
            <w:pPr>
              <w:pStyle w:val="Tabletext"/>
              <w:rPr>
                <w:noProof/>
                <w:lang w:eastAsia="en-AU"/>
              </w:rPr>
            </w:pPr>
            <w:r>
              <w:rPr>
                <w:noProof/>
                <w:lang w:eastAsia="en-AU"/>
              </w:rPr>
              <w:t>I</w:t>
            </w:r>
            <w:r w:rsidRPr="001E227C">
              <w:rPr>
                <w:noProof/>
                <w:lang w:eastAsia="en-AU"/>
              </w:rPr>
              <w:t>s embedding digital skills into courses feasible and how would it work?</w:t>
            </w:r>
          </w:p>
        </w:tc>
      </w:tr>
      <w:tr w:rsidR="00AD2774" w14:paraId="7F80C695" w14:textId="77777777" w:rsidTr="005F7B95">
        <w:tc>
          <w:tcPr>
            <w:tcW w:w="2122" w:type="dxa"/>
            <w:vMerge/>
            <w:tcBorders>
              <w:top w:val="nil"/>
              <w:bottom w:val="nil"/>
            </w:tcBorders>
          </w:tcPr>
          <w:p w14:paraId="06C10C55" w14:textId="77777777" w:rsidR="00AD2774" w:rsidRDefault="00AD2774" w:rsidP="005F7B95">
            <w:pPr>
              <w:pStyle w:val="Text"/>
            </w:pPr>
          </w:p>
        </w:tc>
        <w:tc>
          <w:tcPr>
            <w:tcW w:w="6656" w:type="dxa"/>
            <w:tcBorders>
              <w:top w:val="nil"/>
              <w:bottom w:val="nil"/>
            </w:tcBorders>
          </w:tcPr>
          <w:p w14:paraId="3702BFB1" w14:textId="1EA72A92" w:rsidR="00AD2774" w:rsidRPr="001E227C" w:rsidRDefault="00AD2774" w:rsidP="005F7B95">
            <w:pPr>
              <w:pStyle w:val="Tabletext"/>
              <w:rPr>
                <w:noProof/>
                <w:lang w:eastAsia="en-AU"/>
              </w:rPr>
            </w:pPr>
            <w:r w:rsidRPr="00A33E12">
              <w:rPr>
                <w:noProof/>
                <w:lang w:eastAsia="en-AU"/>
              </w:rPr>
              <w:t>What elements constitute good practice in developing specific digital skills</w:t>
            </w:r>
            <w:r w:rsidR="00481881">
              <w:rPr>
                <w:noProof/>
                <w:lang w:eastAsia="en-AU"/>
              </w:rPr>
              <w:t>-</w:t>
            </w:r>
            <w:r w:rsidRPr="00A33E12">
              <w:rPr>
                <w:noProof/>
                <w:lang w:eastAsia="en-AU"/>
              </w:rPr>
              <w:t>related qualifications?</w:t>
            </w:r>
          </w:p>
        </w:tc>
      </w:tr>
      <w:tr w:rsidR="00AD2774" w14:paraId="0A8794A2" w14:textId="77777777" w:rsidTr="005F7B95">
        <w:tc>
          <w:tcPr>
            <w:tcW w:w="2122" w:type="dxa"/>
            <w:vMerge/>
            <w:tcBorders>
              <w:top w:val="nil"/>
              <w:bottom w:val="nil"/>
            </w:tcBorders>
          </w:tcPr>
          <w:p w14:paraId="0A4F47CE" w14:textId="77777777" w:rsidR="00AD2774" w:rsidRDefault="00AD2774" w:rsidP="005F7B95">
            <w:pPr>
              <w:pStyle w:val="Text"/>
            </w:pPr>
          </w:p>
        </w:tc>
        <w:tc>
          <w:tcPr>
            <w:tcW w:w="6656" w:type="dxa"/>
            <w:tcBorders>
              <w:top w:val="nil"/>
              <w:bottom w:val="nil"/>
            </w:tcBorders>
          </w:tcPr>
          <w:p w14:paraId="1E825F1D" w14:textId="4CAF620A" w:rsidR="00AD2774" w:rsidRPr="001E227C" w:rsidRDefault="00AD2774" w:rsidP="005F7B95">
            <w:pPr>
              <w:pStyle w:val="Tabletext"/>
              <w:rPr>
                <w:noProof/>
                <w:lang w:eastAsia="en-AU"/>
              </w:rPr>
            </w:pPr>
            <w:r>
              <w:rPr>
                <w:noProof/>
                <w:lang w:eastAsia="en-AU"/>
              </w:rPr>
              <w:t>C</w:t>
            </w:r>
            <w:r w:rsidRPr="001E227C">
              <w:rPr>
                <w:noProof/>
                <w:lang w:eastAsia="en-AU"/>
              </w:rPr>
              <w:t>ould modular training or shorter digital skills</w:t>
            </w:r>
            <w:r w:rsidR="00FB015F">
              <w:rPr>
                <w:noProof/>
                <w:lang w:eastAsia="en-AU"/>
              </w:rPr>
              <w:t>-</w:t>
            </w:r>
            <w:r w:rsidRPr="001E227C">
              <w:rPr>
                <w:noProof/>
                <w:lang w:eastAsia="en-AU"/>
              </w:rPr>
              <w:t>related courses work in the Australian VET system and are there any implications for quality</w:t>
            </w:r>
            <w:r>
              <w:rPr>
                <w:noProof/>
                <w:lang w:eastAsia="en-AU"/>
              </w:rPr>
              <w:t>?</w:t>
            </w:r>
          </w:p>
        </w:tc>
      </w:tr>
      <w:tr w:rsidR="00AD2774" w14:paraId="6D61DDDD" w14:textId="77777777" w:rsidTr="005F7B95">
        <w:tc>
          <w:tcPr>
            <w:tcW w:w="2122" w:type="dxa"/>
            <w:vMerge/>
            <w:tcBorders>
              <w:top w:val="nil"/>
              <w:bottom w:val="single" w:sz="4" w:space="0" w:color="auto"/>
            </w:tcBorders>
          </w:tcPr>
          <w:p w14:paraId="0E5DCE11" w14:textId="77777777" w:rsidR="00AD2774" w:rsidRDefault="00AD2774" w:rsidP="005F7B95">
            <w:pPr>
              <w:pStyle w:val="Text"/>
            </w:pPr>
          </w:p>
        </w:tc>
        <w:tc>
          <w:tcPr>
            <w:tcW w:w="6656" w:type="dxa"/>
            <w:tcBorders>
              <w:top w:val="nil"/>
              <w:bottom w:val="single" w:sz="4" w:space="0" w:color="auto"/>
            </w:tcBorders>
          </w:tcPr>
          <w:p w14:paraId="3FB71308" w14:textId="163E1B43" w:rsidR="00AD2774" w:rsidRPr="001E227C" w:rsidRDefault="00AD2774" w:rsidP="005F7B95">
            <w:pPr>
              <w:pStyle w:val="Tabletext"/>
              <w:rPr>
                <w:noProof/>
                <w:lang w:eastAsia="en-AU"/>
              </w:rPr>
            </w:pPr>
            <w:r w:rsidRPr="001E227C">
              <w:rPr>
                <w:noProof/>
                <w:lang w:eastAsia="en-AU"/>
              </w:rPr>
              <w:t xml:space="preserve">What are the implications for VET providers of a </w:t>
            </w:r>
            <w:r w:rsidR="00CB5C7C">
              <w:rPr>
                <w:noProof/>
                <w:lang w:eastAsia="en-AU"/>
              </w:rPr>
              <w:t>move</w:t>
            </w:r>
            <w:r w:rsidRPr="001E227C">
              <w:rPr>
                <w:noProof/>
                <w:lang w:eastAsia="en-AU"/>
              </w:rPr>
              <w:t xml:space="preserve"> to more digital forms of learning?</w:t>
            </w:r>
          </w:p>
        </w:tc>
      </w:tr>
      <w:tr w:rsidR="00AD2774" w14:paraId="16EB7ADE" w14:textId="77777777" w:rsidTr="005F7B95">
        <w:tc>
          <w:tcPr>
            <w:tcW w:w="2122" w:type="dxa"/>
            <w:vMerge w:val="restart"/>
            <w:tcBorders>
              <w:top w:val="single" w:sz="4" w:space="0" w:color="auto"/>
            </w:tcBorders>
          </w:tcPr>
          <w:p w14:paraId="5E895DD2" w14:textId="77777777" w:rsidR="00AD2774" w:rsidRDefault="00AD2774" w:rsidP="005F7B95">
            <w:pPr>
              <w:pStyle w:val="Tablehead2"/>
            </w:pPr>
            <w:r w:rsidRPr="001E227C">
              <w:t>Workforce development for VET educators</w:t>
            </w:r>
          </w:p>
        </w:tc>
        <w:tc>
          <w:tcPr>
            <w:tcW w:w="6656" w:type="dxa"/>
            <w:tcBorders>
              <w:top w:val="single" w:sz="4" w:space="0" w:color="auto"/>
            </w:tcBorders>
          </w:tcPr>
          <w:p w14:paraId="56E128EA" w14:textId="2570DA8E" w:rsidR="00AD2774" w:rsidRPr="001E227C" w:rsidRDefault="00AD2774" w:rsidP="005F7B95">
            <w:pPr>
              <w:pStyle w:val="Tabletext"/>
              <w:rPr>
                <w:noProof/>
                <w:lang w:eastAsia="en-AU"/>
              </w:rPr>
            </w:pPr>
            <w:r w:rsidRPr="001E227C">
              <w:rPr>
                <w:noProof/>
                <w:lang w:eastAsia="en-AU"/>
              </w:rPr>
              <w:t>What are providers currently doing to assist VET educators</w:t>
            </w:r>
            <w:r w:rsidR="00954E71">
              <w:rPr>
                <w:noProof/>
                <w:lang w:eastAsia="en-AU"/>
              </w:rPr>
              <w:t xml:space="preserve"> </w:t>
            </w:r>
            <w:r w:rsidR="00001677">
              <w:rPr>
                <w:noProof/>
                <w:lang w:eastAsia="en-AU"/>
              </w:rPr>
              <w:t xml:space="preserve">to </w:t>
            </w:r>
            <w:r w:rsidRPr="001E227C">
              <w:rPr>
                <w:noProof/>
                <w:lang w:eastAsia="en-AU"/>
              </w:rPr>
              <w:t xml:space="preserve">build </w:t>
            </w:r>
            <w:r>
              <w:rPr>
                <w:noProof/>
                <w:lang w:eastAsia="en-AU"/>
              </w:rPr>
              <w:t xml:space="preserve">digital skills </w:t>
            </w:r>
            <w:r w:rsidRPr="001E227C">
              <w:rPr>
                <w:noProof/>
                <w:lang w:eastAsia="en-AU"/>
              </w:rPr>
              <w:t>capability and what</w:t>
            </w:r>
            <w:r w:rsidR="00F976C0">
              <w:rPr>
                <w:noProof/>
                <w:lang w:eastAsia="en-AU"/>
              </w:rPr>
              <w:t xml:space="preserve"> </w:t>
            </w:r>
            <w:r w:rsidRPr="001E227C">
              <w:rPr>
                <w:noProof/>
                <w:lang w:eastAsia="en-AU"/>
              </w:rPr>
              <w:t xml:space="preserve">could they do more </w:t>
            </w:r>
            <w:r w:rsidR="00AB0F13">
              <w:rPr>
                <w:noProof/>
                <w:lang w:eastAsia="en-AU"/>
              </w:rPr>
              <w:t xml:space="preserve">of </w:t>
            </w:r>
            <w:r w:rsidRPr="001E227C">
              <w:rPr>
                <w:noProof/>
                <w:lang w:eastAsia="en-AU"/>
              </w:rPr>
              <w:t>to facilitate this?</w:t>
            </w:r>
          </w:p>
        </w:tc>
      </w:tr>
      <w:tr w:rsidR="00AD2774" w14:paraId="70408788" w14:textId="77777777" w:rsidTr="005F7B95">
        <w:tc>
          <w:tcPr>
            <w:tcW w:w="2122" w:type="dxa"/>
            <w:vMerge/>
          </w:tcPr>
          <w:p w14:paraId="62D552AA" w14:textId="77777777" w:rsidR="00AD2774" w:rsidRDefault="00AD2774" w:rsidP="005F7B95">
            <w:pPr>
              <w:pStyle w:val="Text"/>
            </w:pPr>
          </w:p>
        </w:tc>
        <w:tc>
          <w:tcPr>
            <w:tcW w:w="6656" w:type="dxa"/>
          </w:tcPr>
          <w:p w14:paraId="2CD1308E" w14:textId="3C7884EE" w:rsidR="00AD2774" w:rsidRPr="001E227C" w:rsidRDefault="00AD2774" w:rsidP="005F7B95">
            <w:pPr>
              <w:pStyle w:val="Tabletext"/>
              <w:rPr>
                <w:noProof/>
                <w:lang w:eastAsia="en-AU"/>
              </w:rPr>
            </w:pPr>
            <w:r>
              <w:rPr>
                <w:noProof/>
                <w:lang w:eastAsia="en-AU"/>
              </w:rPr>
              <w:t>Do VET educators need additional training in digital skills, either general or industry</w:t>
            </w:r>
            <w:r w:rsidR="000157C5">
              <w:rPr>
                <w:noProof/>
                <w:lang w:eastAsia="en-AU"/>
              </w:rPr>
              <w:t>-</w:t>
            </w:r>
            <w:r>
              <w:rPr>
                <w:noProof/>
                <w:lang w:eastAsia="en-AU"/>
              </w:rPr>
              <w:t xml:space="preserve">specific, apart from maintaining industry currency? </w:t>
            </w:r>
            <w:r w:rsidRPr="001E227C">
              <w:rPr>
                <w:noProof/>
                <w:lang w:eastAsia="en-AU"/>
              </w:rPr>
              <w:t>Does the additional training need to be industry</w:t>
            </w:r>
            <w:r w:rsidR="009903DD">
              <w:rPr>
                <w:noProof/>
                <w:lang w:eastAsia="en-AU"/>
              </w:rPr>
              <w:t>-</w:t>
            </w:r>
            <w:r w:rsidRPr="001E227C">
              <w:rPr>
                <w:noProof/>
                <w:lang w:eastAsia="en-AU"/>
              </w:rPr>
              <w:t xml:space="preserve">specific, or is general training </w:t>
            </w:r>
            <w:r w:rsidR="004A08FD">
              <w:rPr>
                <w:noProof/>
                <w:lang w:eastAsia="en-AU"/>
              </w:rPr>
              <w:t>sufficient</w:t>
            </w:r>
            <w:r w:rsidRPr="001E227C">
              <w:rPr>
                <w:noProof/>
                <w:lang w:eastAsia="en-AU"/>
              </w:rPr>
              <w:t xml:space="preserve"> (for example, a new digital learning skill</w:t>
            </w:r>
            <w:r w:rsidR="00A75622">
              <w:rPr>
                <w:noProof/>
                <w:lang w:eastAsia="en-AU"/>
              </w:rPr>
              <w:t xml:space="preserve"> </w:t>
            </w:r>
            <w:r w:rsidRPr="001E227C">
              <w:rPr>
                <w:noProof/>
                <w:lang w:eastAsia="en-AU"/>
              </w:rPr>
              <w:t>set</w:t>
            </w:r>
            <w:r w:rsidR="0092259C">
              <w:rPr>
                <w:noProof/>
                <w:lang w:eastAsia="en-AU"/>
              </w:rPr>
              <w:t xml:space="preserve">, </w:t>
            </w:r>
            <w:r w:rsidR="00751711">
              <w:rPr>
                <w:noProof/>
                <w:lang w:eastAsia="en-AU"/>
              </w:rPr>
              <w:t>‘</w:t>
            </w:r>
            <w:r w:rsidRPr="001E227C">
              <w:rPr>
                <w:noProof/>
                <w:lang w:eastAsia="en-AU"/>
              </w:rPr>
              <w:t>Digital training and assessment’</w:t>
            </w:r>
            <w:r w:rsidR="00751711">
              <w:rPr>
                <w:noProof/>
                <w:lang w:eastAsia="en-AU"/>
              </w:rPr>
              <w:t>,</w:t>
            </w:r>
            <w:r w:rsidRPr="001E227C">
              <w:rPr>
                <w:noProof/>
                <w:lang w:eastAsia="en-AU"/>
              </w:rPr>
              <w:t xml:space="preserve"> as a companion to the Certificate IV in Training and Assessment)?</w:t>
            </w:r>
          </w:p>
        </w:tc>
      </w:tr>
      <w:tr w:rsidR="00AD2774" w14:paraId="3E909FC8" w14:textId="77777777" w:rsidTr="005F7B95">
        <w:tc>
          <w:tcPr>
            <w:tcW w:w="2122" w:type="dxa"/>
            <w:vMerge/>
          </w:tcPr>
          <w:p w14:paraId="769C6556" w14:textId="77777777" w:rsidR="00AD2774" w:rsidRDefault="00AD2774" w:rsidP="005F7B95">
            <w:pPr>
              <w:pStyle w:val="Text"/>
            </w:pPr>
          </w:p>
        </w:tc>
        <w:tc>
          <w:tcPr>
            <w:tcW w:w="6656" w:type="dxa"/>
          </w:tcPr>
          <w:p w14:paraId="68E89B09" w14:textId="77777777" w:rsidR="00AD2774" w:rsidRPr="001E227C" w:rsidRDefault="00AD2774" w:rsidP="005F7B95">
            <w:pPr>
              <w:pStyle w:val="Tabletext"/>
              <w:rPr>
                <w:noProof/>
                <w:lang w:eastAsia="en-AU"/>
              </w:rPr>
            </w:pPr>
            <w:r w:rsidRPr="001E227C">
              <w:rPr>
                <w:noProof/>
                <w:lang w:eastAsia="en-AU"/>
              </w:rPr>
              <w:t>What approaches can be applied to ensure the integrity of competency-based assessment using digital tools?</w:t>
            </w:r>
          </w:p>
        </w:tc>
      </w:tr>
      <w:tr w:rsidR="00AD2774" w14:paraId="0AF4F1AF" w14:textId="77777777" w:rsidTr="005F7B95">
        <w:tc>
          <w:tcPr>
            <w:tcW w:w="2122" w:type="dxa"/>
            <w:vMerge/>
          </w:tcPr>
          <w:p w14:paraId="4D4E8AA1" w14:textId="77777777" w:rsidR="00AD2774" w:rsidRDefault="00AD2774" w:rsidP="005F7B95">
            <w:pPr>
              <w:pStyle w:val="Text"/>
            </w:pPr>
          </w:p>
        </w:tc>
        <w:tc>
          <w:tcPr>
            <w:tcW w:w="6656" w:type="dxa"/>
          </w:tcPr>
          <w:p w14:paraId="59292D8F" w14:textId="77777777" w:rsidR="00AD2774" w:rsidRPr="001E227C" w:rsidRDefault="00AD2774" w:rsidP="005F7B95">
            <w:pPr>
              <w:pStyle w:val="Tabletext"/>
              <w:rPr>
                <w:noProof/>
                <w:lang w:eastAsia="en-AU"/>
              </w:rPr>
            </w:pPr>
            <w:r w:rsidRPr="001E227C">
              <w:rPr>
                <w:noProof/>
                <w:lang w:eastAsia="en-AU"/>
              </w:rPr>
              <w:t>How relevant are the competencies and proficiency levels described in the Digital Competence of Educators (DigCompEdu) framework for Australian VET educators?</w:t>
            </w:r>
          </w:p>
          <w:p w14:paraId="1BC5B672" w14:textId="0702037B" w:rsidR="00AD2774" w:rsidRPr="001E227C" w:rsidRDefault="00AD2774" w:rsidP="008936F7">
            <w:pPr>
              <w:pStyle w:val="Tabletext"/>
              <w:numPr>
                <w:ilvl w:val="0"/>
                <w:numId w:val="35"/>
              </w:numPr>
              <w:ind w:left="325"/>
              <w:rPr>
                <w:noProof/>
                <w:lang w:eastAsia="en-AU"/>
              </w:rPr>
            </w:pPr>
            <w:r w:rsidRPr="001E227C">
              <w:rPr>
                <w:noProof/>
                <w:lang w:eastAsia="en-AU"/>
              </w:rPr>
              <w:t xml:space="preserve">Could this framework complement other current teaching practice frameworks? </w:t>
            </w:r>
            <w:r w:rsidR="00871A1D">
              <w:rPr>
                <w:noProof/>
                <w:lang w:eastAsia="en-AU"/>
              </w:rPr>
              <w:br/>
            </w:r>
            <w:r w:rsidRPr="001E227C">
              <w:rPr>
                <w:noProof/>
                <w:lang w:eastAsia="en-AU"/>
              </w:rPr>
              <w:t>In what way?</w:t>
            </w:r>
          </w:p>
        </w:tc>
      </w:tr>
      <w:tr w:rsidR="00AD2774" w14:paraId="04268FEC" w14:textId="77777777" w:rsidTr="005F7B95">
        <w:tc>
          <w:tcPr>
            <w:tcW w:w="2122" w:type="dxa"/>
            <w:vMerge/>
          </w:tcPr>
          <w:p w14:paraId="71E877E0" w14:textId="77777777" w:rsidR="00AD2774" w:rsidRDefault="00AD2774" w:rsidP="005F7B95">
            <w:pPr>
              <w:pStyle w:val="Text"/>
            </w:pPr>
          </w:p>
        </w:tc>
        <w:tc>
          <w:tcPr>
            <w:tcW w:w="6656" w:type="dxa"/>
          </w:tcPr>
          <w:p w14:paraId="7E4BBA24" w14:textId="1AEC0B35" w:rsidR="00AD2774" w:rsidRPr="001E227C" w:rsidRDefault="00AD2774" w:rsidP="005F7B95">
            <w:pPr>
              <w:pStyle w:val="Tabletext"/>
              <w:rPr>
                <w:noProof/>
                <w:lang w:eastAsia="en-AU"/>
              </w:rPr>
            </w:pPr>
            <w:r w:rsidRPr="001E227C">
              <w:rPr>
                <w:noProof/>
                <w:lang w:eastAsia="en-AU"/>
              </w:rPr>
              <w:t xml:space="preserve">Do the elements described in the </w:t>
            </w:r>
            <w:r w:rsidR="0000202A">
              <w:rPr>
                <w:noProof/>
                <w:lang w:eastAsia="en-AU"/>
              </w:rPr>
              <w:t xml:space="preserve">European Framework for </w:t>
            </w:r>
            <w:r w:rsidRPr="001E227C">
              <w:rPr>
                <w:noProof/>
                <w:lang w:eastAsia="en-AU"/>
              </w:rPr>
              <w:t>Digitally Competent Educational Organisations (DigCompOrg) have relevance to the Australian VET sector? If not, why?</w:t>
            </w:r>
          </w:p>
          <w:p w14:paraId="3A30FB54" w14:textId="734C3855" w:rsidR="00AD2774" w:rsidRPr="001E227C" w:rsidRDefault="00AD2774" w:rsidP="008936F7">
            <w:pPr>
              <w:pStyle w:val="Tabletext"/>
              <w:numPr>
                <w:ilvl w:val="0"/>
                <w:numId w:val="35"/>
              </w:numPr>
              <w:ind w:left="325"/>
              <w:rPr>
                <w:noProof/>
                <w:lang w:eastAsia="en-AU"/>
              </w:rPr>
            </w:pPr>
            <w:r>
              <w:rPr>
                <w:noProof/>
                <w:lang w:eastAsia="en-AU"/>
              </w:rPr>
              <w:t>H</w:t>
            </w:r>
            <w:r w:rsidRPr="001E227C">
              <w:rPr>
                <w:noProof/>
                <w:lang w:eastAsia="en-AU"/>
              </w:rPr>
              <w:t>ow can the constituent parts of the VET system support VET providers to deliver elements of the DigCompOrg framework (e.g. governments providing consistent funding to promote digital infrastructure development)?</w:t>
            </w:r>
          </w:p>
        </w:tc>
      </w:tr>
    </w:tbl>
    <w:p w14:paraId="0B09A4DA" w14:textId="3A90BD5B" w:rsidR="00AD2774" w:rsidRDefault="00AD2774">
      <w:pPr>
        <w:spacing w:before="0" w:line="240" w:lineRule="auto"/>
      </w:pPr>
    </w:p>
    <w:p w14:paraId="0C05E69C" w14:textId="6C57DEE0" w:rsidR="00AD2774" w:rsidRPr="00156A7C" w:rsidRDefault="00AD2774" w:rsidP="00AD2774">
      <w:pPr>
        <w:pStyle w:val="Heading1"/>
      </w:pPr>
      <w:bookmarkStart w:id="23" w:name="_Toc22636825"/>
      <w:bookmarkStart w:id="24" w:name="_Toc31711244"/>
      <w:r w:rsidRPr="00156A7C">
        <w:rPr>
          <w:noProof/>
        </w:rPr>
        <mc:AlternateContent>
          <mc:Choice Requires="wps">
            <w:drawing>
              <wp:anchor distT="45720" distB="45720" distL="114300" distR="114300" simplePos="0" relativeHeight="251665408" behindDoc="0" locked="0" layoutInCell="1" allowOverlap="1" wp14:anchorId="6A07FCDE" wp14:editId="4F7CB487">
                <wp:simplePos x="0" y="0"/>
                <wp:positionH relativeFrom="page">
                  <wp:align>center</wp:align>
                </wp:positionH>
                <wp:positionV relativeFrom="paragraph">
                  <wp:posOffset>897255</wp:posOffset>
                </wp:positionV>
                <wp:extent cx="5505450" cy="19145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914525"/>
                        </a:xfrm>
                        <a:prstGeom prst="rect">
                          <a:avLst/>
                        </a:prstGeom>
                        <a:solidFill>
                          <a:srgbClr val="FFFFFF"/>
                        </a:solidFill>
                        <a:ln w="9525">
                          <a:solidFill>
                            <a:srgbClr val="000000"/>
                          </a:solidFill>
                          <a:miter lim="800000"/>
                          <a:headEnd/>
                          <a:tailEnd/>
                        </a:ln>
                      </wps:spPr>
                      <wps:txbx>
                        <w:txbxContent>
                          <w:p w14:paraId="1FC11CCB" w14:textId="45961854" w:rsidR="00AB0F13" w:rsidRPr="00AD2774" w:rsidRDefault="00AB0F13" w:rsidP="00AD2774">
                            <w:pPr>
                              <w:pStyle w:val="Dotpoint1"/>
                              <w:rPr>
                                <w:rFonts w:eastAsiaTheme="minorHAnsi"/>
                              </w:rPr>
                            </w:pPr>
                            <w:r>
                              <w:rPr>
                                <w:rFonts w:eastAsiaTheme="minorHAnsi"/>
                                <w:noProof/>
                                <w:lang w:eastAsia="en-AU"/>
                              </w:rPr>
                              <w:t>The term ‘</w:t>
                            </w:r>
                            <w:r w:rsidRPr="00AD2774">
                              <w:rPr>
                                <w:rFonts w:eastAsiaTheme="minorHAnsi"/>
                              </w:rPr>
                              <w:t>Industry 4.0</w:t>
                            </w:r>
                            <w:r>
                              <w:rPr>
                                <w:rFonts w:eastAsiaTheme="minorHAnsi"/>
                              </w:rPr>
                              <w:t>’</w:t>
                            </w:r>
                            <w:r w:rsidRPr="00AD2774">
                              <w:rPr>
                                <w:rFonts w:eastAsiaTheme="minorHAnsi"/>
                              </w:rPr>
                              <w:t xml:space="preserve"> re</w:t>
                            </w:r>
                            <w:r>
                              <w:rPr>
                                <w:rFonts w:eastAsiaTheme="minorHAnsi"/>
                              </w:rPr>
                              <w:t>fers</w:t>
                            </w:r>
                            <w:r w:rsidRPr="00AD2774">
                              <w:rPr>
                                <w:rFonts w:eastAsiaTheme="minorHAnsi"/>
                              </w:rPr>
                              <w:t xml:space="preserve"> to the growing rate of advanced technologies in the workplace, such as automation, and the digital disruption occurring to the economy resulting from them. </w:t>
                            </w:r>
                          </w:p>
                          <w:p w14:paraId="4E7A4F58" w14:textId="02F8868E" w:rsidR="00AB0F13" w:rsidRPr="00AD2774" w:rsidRDefault="00AB0F13" w:rsidP="00AD2774">
                            <w:pPr>
                              <w:pStyle w:val="Dotpoint1"/>
                              <w:rPr>
                                <w:rFonts w:eastAsiaTheme="minorHAnsi"/>
                              </w:rPr>
                            </w:pPr>
                            <w:r w:rsidRPr="00AD2774">
                              <w:rPr>
                                <w:rFonts w:eastAsiaTheme="minorHAnsi"/>
                              </w:rPr>
                              <w:t xml:space="preserve">Digital skills refer not only to the more technical or expert skills such as those typically required for software development or complex coding, but </w:t>
                            </w:r>
                            <w:r>
                              <w:rPr>
                                <w:rFonts w:eastAsiaTheme="minorHAnsi"/>
                              </w:rPr>
                              <w:t xml:space="preserve">also to </w:t>
                            </w:r>
                            <w:r w:rsidRPr="00AD2774">
                              <w:rPr>
                                <w:rFonts w:eastAsiaTheme="minorHAnsi"/>
                              </w:rPr>
                              <w:t xml:space="preserve">those required to use digital technologies effectively to communicate and acquire information and operate within a digital work environment. </w:t>
                            </w:r>
                          </w:p>
                          <w:p w14:paraId="4542B444" w14:textId="134EA132" w:rsidR="00AB0F13" w:rsidRPr="00AD2774" w:rsidRDefault="00AB0F13" w:rsidP="00AD2774">
                            <w:pPr>
                              <w:pStyle w:val="Dotpoint1"/>
                              <w:rPr>
                                <w:rFonts w:eastAsiaTheme="minorHAnsi"/>
                              </w:rPr>
                            </w:pPr>
                            <w:r w:rsidRPr="00AD2774">
                              <w:rPr>
                                <w:rFonts w:eastAsiaTheme="minorHAnsi"/>
                              </w:rPr>
                              <w:t>Given its ties to industry, VET has an important role in ensuring the workforce is appropriately skilled to respond to Industry 4.0</w:t>
                            </w:r>
                            <w:r>
                              <w:rPr>
                                <w:rFonts w:eastAsia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7FCDE" id="Text Box 2" o:spid="_x0000_s1028" type="#_x0000_t202" style="position:absolute;margin-left:0;margin-top:70.65pt;width:433.5pt;height:150.75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">
                <v:textbox>
                  <w:txbxContent>
                    <w:p w14:paraId="1FC11CCB" w14:textId="45961854" w:rsidR="00AB0F13" w:rsidRPr="00AD2774" w:rsidRDefault="00AB0F13" w:rsidP="00AD2774">
                      <w:pPr>
                        <w:pStyle w:val="Dotpoint1"/>
                        <w:rPr>
                          <w:rFonts w:eastAsiaTheme="minorHAnsi"/>
                        </w:rPr>
                      </w:pPr>
                      <w:r>
                        <w:rPr>
                          <w:rFonts w:eastAsiaTheme="minorHAnsi"/>
                          <w:noProof/>
                          <w:lang w:eastAsia="en-AU"/>
                        </w:rPr>
                        <w:t>The term ‘</w:t>
                      </w:r>
                      <w:r w:rsidRPr="00AD2774">
                        <w:rPr>
                          <w:rFonts w:eastAsiaTheme="minorHAnsi"/>
                        </w:rPr>
                        <w:t>Industry 4.0</w:t>
                      </w:r>
                      <w:r>
                        <w:rPr>
                          <w:rFonts w:eastAsiaTheme="minorHAnsi"/>
                        </w:rPr>
                        <w:t>’</w:t>
                      </w:r>
                      <w:r w:rsidRPr="00AD2774">
                        <w:rPr>
                          <w:rFonts w:eastAsiaTheme="minorHAnsi"/>
                        </w:rPr>
                        <w:t xml:space="preserve"> re</w:t>
                      </w:r>
                      <w:r>
                        <w:rPr>
                          <w:rFonts w:eastAsiaTheme="minorHAnsi"/>
                        </w:rPr>
                        <w:t>fers</w:t>
                      </w:r>
                      <w:r w:rsidRPr="00AD2774">
                        <w:rPr>
                          <w:rFonts w:eastAsiaTheme="minorHAnsi"/>
                        </w:rPr>
                        <w:t xml:space="preserve"> to the growing rate of advanced technologies in the workplace, such as automation, and the digital disruption occurring to the economy resulting from them. </w:t>
                      </w:r>
                    </w:p>
                    <w:p w14:paraId="4E7A4F58" w14:textId="02F8868E" w:rsidR="00AB0F13" w:rsidRPr="00AD2774" w:rsidRDefault="00AB0F13" w:rsidP="00AD2774">
                      <w:pPr>
                        <w:pStyle w:val="Dotpoint1"/>
                        <w:rPr>
                          <w:rFonts w:eastAsiaTheme="minorHAnsi"/>
                        </w:rPr>
                      </w:pPr>
                      <w:r w:rsidRPr="00AD2774">
                        <w:rPr>
                          <w:rFonts w:eastAsiaTheme="minorHAnsi"/>
                        </w:rPr>
                        <w:t xml:space="preserve">Digital skills refer not only to the more technical or expert skills such as those typically required for software development or complex coding, but </w:t>
                      </w:r>
                      <w:r>
                        <w:rPr>
                          <w:rFonts w:eastAsiaTheme="minorHAnsi"/>
                        </w:rPr>
                        <w:t xml:space="preserve">also to </w:t>
                      </w:r>
                      <w:r w:rsidRPr="00AD2774">
                        <w:rPr>
                          <w:rFonts w:eastAsiaTheme="minorHAnsi"/>
                        </w:rPr>
                        <w:t xml:space="preserve">those required to use digital technologies effectively to communicate and acquire information and operate within a digital work environment. </w:t>
                      </w:r>
                    </w:p>
                    <w:p w14:paraId="4542B444" w14:textId="134EA132" w:rsidR="00AB0F13" w:rsidRPr="00AD2774" w:rsidRDefault="00AB0F13" w:rsidP="00AD2774">
                      <w:pPr>
                        <w:pStyle w:val="Dotpoint1"/>
                        <w:rPr>
                          <w:rFonts w:eastAsiaTheme="minorHAnsi"/>
                        </w:rPr>
                      </w:pPr>
                      <w:r w:rsidRPr="00AD2774">
                        <w:rPr>
                          <w:rFonts w:eastAsiaTheme="minorHAnsi"/>
                        </w:rPr>
                        <w:t>Given its ties to industry, VET has an important role in ensuring the workforce is appropriately skilled to respond to Industry 4.0</w:t>
                      </w:r>
                      <w:r>
                        <w:rPr>
                          <w:rFonts w:eastAsiaTheme="minorHAnsi"/>
                        </w:rPr>
                        <w:t>.</w:t>
                      </w:r>
                    </w:p>
                  </w:txbxContent>
                </v:textbox>
                <w10:wrap type="square" anchorx="page"/>
              </v:shape>
            </w:pict>
          </mc:Fallback>
        </mc:AlternateContent>
      </w:r>
      <w:r w:rsidRPr="00156A7C">
        <w:t>VET’s place in Industry 4.0</w:t>
      </w:r>
      <w:bookmarkEnd w:id="23"/>
      <w:r>
        <w:t xml:space="preserve"> </w:t>
      </w:r>
      <w:r w:rsidR="00D51677">
        <w:t>–</w:t>
      </w:r>
      <w:r>
        <w:t xml:space="preserve"> background</w:t>
      </w:r>
      <w:bookmarkEnd w:id="24"/>
    </w:p>
    <w:p w14:paraId="596CB6FA" w14:textId="57AB8906" w:rsidR="00AD2774" w:rsidRPr="00156A7C" w:rsidRDefault="00AD2774" w:rsidP="007A0254">
      <w:pPr>
        <w:pStyle w:val="Heading2"/>
        <w:spacing w:before="480"/>
      </w:pPr>
      <w:bookmarkStart w:id="25" w:name="_Toc31711245"/>
      <w:r w:rsidRPr="00156A7C">
        <w:t>Industry 4.0 and digital skills</w:t>
      </w:r>
      <w:bookmarkEnd w:id="25"/>
    </w:p>
    <w:p w14:paraId="3AB47986" w14:textId="290DA40C" w:rsidR="00AD2774" w:rsidRPr="00AD2774" w:rsidRDefault="00AD2774" w:rsidP="00AD2774">
      <w:pPr>
        <w:pStyle w:val="Text"/>
      </w:pPr>
      <w:r w:rsidRPr="00AD2774">
        <w:t xml:space="preserve">Interest in the use of new or advanced technologies in the workplace is growing. Examples of these technologies include </w:t>
      </w:r>
      <w:r w:rsidR="00A7653A" w:rsidRPr="00AD2774">
        <w:t>artificial intelligence</w:t>
      </w:r>
      <w:r w:rsidRPr="00AD2774">
        <w:t xml:space="preserve">, automation, augmented and virtual reality, as well as 3D printing and </w:t>
      </w:r>
      <w:r w:rsidR="00A7653A">
        <w:t>c</w:t>
      </w:r>
      <w:r w:rsidRPr="00AD2774">
        <w:t>loud technology. Such technologies contribute to the digital disruption currently occurring to the economy</w:t>
      </w:r>
      <w:r w:rsidR="00042B12">
        <w:t>,</w:t>
      </w:r>
      <w:r w:rsidRPr="00AD2774">
        <w:t xml:space="preserve"> referred to as the Fourth Industrial Revolution</w:t>
      </w:r>
      <w:r w:rsidR="00A62495">
        <w:t>,</w:t>
      </w:r>
      <w:r w:rsidRPr="00AD2774">
        <w:t xml:space="preserve"> or Industry 4.0. </w:t>
      </w:r>
    </w:p>
    <w:p w14:paraId="38A6E851" w14:textId="0DB5C1FE" w:rsidR="00AD2774" w:rsidRPr="00AD2774" w:rsidRDefault="00AD2774" w:rsidP="00AD2774">
      <w:pPr>
        <w:pStyle w:val="Text"/>
      </w:pPr>
      <w:r w:rsidRPr="00AD2774">
        <w:t>With advancing technologies</w:t>
      </w:r>
      <w:r w:rsidR="003C6598">
        <w:t>,</w:t>
      </w:r>
      <w:r w:rsidRPr="00AD2774">
        <w:t xml:space="preserve"> </w:t>
      </w:r>
      <w:r w:rsidR="003C6598">
        <w:t>however,</w:t>
      </w:r>
      <w:r w:rsidRPr="00AD2774">
        <w:t xml:space="preserve"> comes the need to ensure an appropriately skilled workforce. </w:t>
      </w:r>
      <w:r w:rsidR="00910A0A">
        <w:t>Consequently</w:t>
      </w:r>
      <w:r w:rsidRPr="00AD2774">
        <w:t xml:space="preserve">, the role of the VET sector in contributing to this skilled workforce is an important one.  </w:t>
      </w:r>
    </w:p>
    <w:p w14:paraId="762B2EB5" w14:textId="01ED432D" w:rsidR="00AD2774" w:rsidRPr="00AD2774" w:rsidRDefault="000D48E7" w:rsidP="00AD2774">
      <w:pPr>
        <w:pStyle w:val="Text"/>
      </w:pPr>
      <w:r>
        <w:t>O</w:t>
      </w:r>
      <w:r w:rsidRPr="00AD2774">
        <w:t>ur</w:t>
      </w:r>
      <w:r w:rsidR="00AD2774" w:rsidRPr="00AD2774">
        <w:t xml:space="preserve"> interest</w:t>
      </w:r>
      <w:r w:rsidRPr="00AD2774">
        <w:t xml:space="preserve"> </w:t>
      </w:r>
      <w:r>
        <w:t>h</w:t>
      </w:r>
      <w:r w:rsidRPr="00AD2774">
        <w:t>ere</w:t>
      </w:r>
      <w:r w:rsidR="00AD2774" w:rsidRPr="00AD2774">
        <w:t xml:space="preserve"> </w:t>
      </w:r>
      <w:r w:rsidR="009E0736">
        <w:t>lies</w:t>
      </w:r>
      <w:r w:rsidR="00AD2774" w:rsidRPr="00AD2774">
        <w:t xml:space="preserve"> not in the new technologies per se but </w:t>
      </w:r>
      <w:r w:rsidR="00B86D96">
        <w:t xml:space="preserve">in </w:t>
      </w:r>
      <w:r w:rsidR="00AD2774" w:rsidRPr="00AD2774">
        <w:t xml:space="preserve">the digital skills that will be required by the workforce </w:t>
      </w:r>
      <w:r w:rsidR="00F36FB6">
        <w:t>to</w:t>
      </w:r>
      <w:r w:rsidR="00AD2774" w:rsidRPr="00AD2774">
        <w:t xml:space="preserve"> us</w:t>
      </w:r>
      <w:r w:rsidR="00F36FB6">
        <w:t>e</w:t>
      </w:r>
      <w:r w:rsidR="00AD2774" w:rsidRPr="00AD2774">
        <w:t xml:space="preserve"> them</w:t>
      </w:r>
      <w:r>
        <w:t>.</w:t>
      </w:r>
      <w:r w:rsidR="00AD2774" w:rsidRPr="00AD2774">
        <w:t xml:space="preserve"> It is important to note that</w:t>
      </w:r>
      <w:r w:rsidR="002334B8">
        <w:t>,</w:t>
      </w:r>
      <w:r w:rsidR="00AD2774" w:rsidRPr="00AD2774">
        <w:t xml:space="preserve"> </w:t>
      </w:r>
      <w:r w:rsidR="0097461B" w:rsidRPr="00AD2774">
        <w:t>for our purposes</w:t>
      </w:r>
      <w:r w:rsidR="002334B8">
        <w:t>,</w:t>
      </w:r>
      <w:r w:rsidR="0097461B" w:rsidRPr="00AD2774">
        <w:t xml:space="preserve"> </w:t>
      </w:r>
      <w:r w:rsidR="00AD2774" w:rsidRPr="00AD2774">
        <w:t xml:space="preserve">digital skills not only refer to the more technical or expert skills such as those typically required for software development or complex coding, but </w:t>
      </w:r>
      <w:r w:rsidR="00624F0E">
        <w:t xml:space="preserve">also </w:t>
      </w:r>
      <w:r w:rsidR="00AD2774" w:rsidRPr="00AD2774">
        <w:t xml:space="preserve">those required to use digital technologies effectively to communicate and acquire information and operate within a digital work environment. Indeed, a report by the Productivity Commission (2016, p.82) states that </w:t>
      </w:r>
      <w:r w:rsidR="004004F5">
        <w:t>‘</w:t>
      </w:r>
      <w:r w:rsidR="00AD2774" w:rsidRPr="00AD2774">
        <w:t>all workers need the skills to interact with digital technology, whether it is maintaining records in caring professions, taking orders in retail, or operating equipment in the processing plant</w:t>
      </w:r>
      <w:r w:rsidR="004004F5">
        <w:t>’</w:t>
      </w:r>
      <w:r w:rsidR="00AD2774" w:rsidRPr="00AD2774">
        <w:t xml:space="preserve">. </w:t>
      </w:r>
    </w:p>
    <w:p w14:paraId="71ABDA4D" w14:textId="0640680E" w:rsidR="00AD2774" w:rsidRPr="00AD2774" w:rsidRDefault="00AD2774" w:rsidP="00AD2774">
      <w:pPr>
        <w:pStyle w:val="Text"/>
      </w:pPr>
      <w:r w:rsidRPr="00AD2774">
        <w:t xml:space="preserve">Not every worker will require the same level of digital skills or expertise in </w:t>
      </w:r>
      <w:r w:rsidR="004B2CB0">
        <w:t xml:space="preserve">the </w:t>
      </w:r>
      <w:r w:rsidRPr="00AD2774">
        <w:t>us</w:t>
      </w:r>
      <w:r w:rsidR="004B2CB0">
        <w:t>e of</w:t>
      </w:r>
      <w:r w:rsidRPr="00AD2774">
        <w:t xml:space="preserve"> technologies, but most will need the skills to work with technology (Reeson et al</w:t>
      </w:r>
      <w:r w:rsidR="00E47302">
        <w:t>.</w:t>
      </w:r>
      <w:r w:rsidRPr="00AD2774">
        <w:t xml:space="preserve"> 2016). Based on this, Gekara et al. (2019a, p.12) detailed </w:t>
      </w:r>
      <w:r w:rsidR="00FB29E5">
        <w:t xml:space="preserve">the </w:t>
      </w:r>
      <w:r w:rsidRPr="00AD2774">
        <w:t>four levels of workforce digital skills require</w:t>
      </w:r>
      <w:r w:rsidR="00FB29E5">
        <w:t>d</w:t>
      </w:r>
      <w:r w:rsidRPr="00AD2774">
        <w:t>:</w:t>
      </w:r>
    </w:p>
    <w:p w14:paraId="68E2A23F" w14:textId="7C53852D" w:rsidR="00AD2774" w:rsidRPr="00AD2774" w:rsidRDefault="00AD2774" w:rsidP="00871A1D">
      <w:pPr>
        <w:pStyle w:val="Dotpoint1"/>
        <w:rPr>
          <w:rFonts w:eastAsiaTheme="minorHAnsi"/>
        </w:rPr>
      </w:pPr>
      <w:r w:rsidRPr="00AD2774">
        <w:rPr>
          <w:rFonts w:eastAsiaTheme="minorHAnsi"/>
        </w:rPr>
        <w:t xml:space="preserve"> Level 1: having a basic understanding of digital devices </w:t>
      </w:r>
      <w:r w:rsidR="005C1AFC" w:rsidRPr="00AD2774">
        <w:rPr>
          <w:rFonts w:eastAsiaTheme="minorHAnsi"/>
        </w:rPr>
        <w:t xml:space="preserve">and </w:t>
      </w:r>
      <w:r w:rsidR="005C1AFC">
        <w:rPr>
          <w:rFonts w:eastAsiaTheme="minorHAnsi"/>
        </w:rPr>
        <w:t xml:space="preserve">their </w:t>
      </w:r>
      <w:r w:rsidR="005C1AFC" w:rsidRPr="00AD2774">
        <w:rPr>
          <w:rFonts w:eastAsiaTheme="minorHAnsi"/>
        </w:rPr>
        <w:t>operation</w:t>
      </w:r>
      <w:r w:rsidR="005134A5">
        <w:rPr>
          <w:rFonts w:eastAsiaTheme="minorHAnsi"/>
        </w:rPr>
        <w:t>, enabling</w:t>
      </w:r>
      <w:r w:rsidR="00717048">
        <w:rPr>
          <w:rFonts w:eastAsiaTheme="minorHAnsi"/>
        </w:rPr>
        <w:t xml:space="preserve"> </w:t>
      </w:r>
      <w:r w:rsidR="00717048" w:rsidRPr="00AD2774">
        <w:rPr>
          <w:rFonts w:eastAsiaTheme="minorHAnsi"/>
        </w:rPr>
        <w:t>data and information</w:t>
      </w:r>
      <w:r w:rsidR="00717048">
        <w:rPr>
          <w:rFonts w:eastAsiaTheme="minorHAnsi"/>
        </w:rPr>
        <w:t xml:space="preserve"> </w:t>
      </w:r>
      <w:r w:rsidRPr="00AD2774">
        <w:rPr>
          <w:rFonts w:eastAsiaTheme="minorHAnsi"/>
        </w:rPr>
        <w:t>to</w:t>
      </w:r>
      <w:r w:rsidR="00717048">
        <w:rPr>
          <w:rFonts w:eastAsiaTheme="minorHAnsi"/>
        </w:rPr>
        <w:t xml:space="preserve"> be</w:t>
      </w:r>
      <w:r w:rsidRPr="00AD2774">
        <w:rPr>
          <w:rFonts w:eastAsiaTheme="minorHAnsi"/>
        </w:rPr>
        <w:t xml:space="preserve"> search</w:t>
      </w:r>
      <w:r w:rsidR="00717048">
        <w:rPr>
          <w:rFonts w:eastAsiaTheme="minorHAnsi"/>
        </w:rPr>
        <w:t>ed</w:t>
      </w:r>
      <w:r w:rsidRPr="00AD2774">
        <w:rPr>
          <w:rFonts w:eastAsiaTheme="minorHAnsi"/>
        </w:rPr>
        <w:t>, capture</w:t>
      </w:r>
      <w:r w:rsidR="00717048">
        <w:rPr>
          <w:rFonts w:eastAsiaTheme="minorHAnsi"/>
        </w:rPr>
        <w:t>d</w:t>
      </w:r>
      <w:r w:rsidRPr="00AD2774">
        <w:rPr>
          <w:rFonts w:eastAsiaTheme="minorHAnsi"/>
        </w:rPr>
        <w:t>, retrieve</w:t>
      </w:r>
      <w:r w:rsidR="00717048">
        <w:rPr>
          <w:rFonts w:eastAsiaTheme="minorHAnsi"/>
        </w:rPr>
        <w:t>d</w:t>
      </w:r>
      <w:r w:rsidRPr="00AD2774">
        <w:rPr>
          <w:rFonts w:eastAsiaTheme="minorHAnsi"/>
        </w:rPr>
        <w:t xml:space="preserve"> and transmit</w:t>
      </w:r>
      <w:r w:rsidR="00717048">
        <w:rPr>
          <w:rFonts w:eastAsiaTheme="minorHAnsi"/>
        </w:rPr>
        <w:t>ted</w:t>
      </w:r>
      <w:r w:rsidRPr="00AD2774">
        <w:rPr>
          <w:rFonts w:eastAsiaTheme="minorHAnsi"/>
        </w:rPr>
        <w:t xml:space="preserve"> </w:t>
      </w:r>
    </w:p>
    <w:p w14:paraId="597748D7" w14:textId="7DA29F85" w:rsidR="00AD2774" w:rsidRPr="00AD2774" w:rsidRDefault="00AD2774" w:rsidP="00AD2774">
      <w:pPr>
        <w:pStyle w:val="Dotpoint1"/>
        <w:rPr>
          <w:rFonts w:eastAsiaTheme="minorHAnsi"/>
        </w:rPr>
      </w:pPr>
      <w:r w:rsidRPr="00AD2774">
        <w:rPr>
          <w:rFonts w:eastAsiaTheme="minorHAnsi"/>
        </w:rPr>
        <w:t xml:space="preserve"> Level 2: understanding and applying digital knowledge to the management and application of digital systems to process, analyse and manage data and information in order to facilitate efficient organisational operations</w:t>
      </w:r>
    </w:p>
    <w:p w14:paraId="503246E8" w14:textId="7F2F9459" w:rsidR="00AD2774" w:rsidRDefault="00AD2774" w:rsidP="00AD2774">
      <w:pPr>
        <w:pStyle w:val="Dotpoint1"/>
        <w:rPr>
          <w:rFonts w:eastAsiaTheme="minorHAnsi"/>
        </w:rPr>
      </w:pPr>
      <w:r w:rsidRPr="00AD2774">
        <w:rPr>
          <w:rFonts w:eastAsiaTheme="minorHAnsi"/>
        </w:rPr>
        <w:t xml:space="preserve"> Level 3: innovatively using digital technologies to create and enhance organisational systems and capabilities  </w:t>
      </w:r>
    </w:p>
    <w:p w14:paraId="33D71437" w14:textId="77777777" w:rsidR="00AD2774" w:rsidRPr="00AD2774" w:rsidRDefault="00AD2774" w:rsidP="00AD2774">
      <w:pPr>
        <w:pStyle w:val="Text"/>
        <w:jc w:val="right"/>
        <w:rPr>
          <w:rFonts w:eastAsiaTheme="minorHAnsi"/>
        </w:rPr>
      </w:pPr>
    </w:p>
    <w:p w14:paraId="5D2F44F7" w14:textId="77777777" w:rsidR="00AD2774" w:rsidRPr="00AD2774" w:rsidRDefault="00AD2774" w:rsidP="00AD2774">
      <w:pPr>
        <w:pStyle w:val="Dotpoint1"/>
        <w:rPr>
          <w:rFonts w:eastAsiaTheme="minorHAnsi"/>
        </w:rPr>
      </w:pPr>
      <w:r w:rsidRPr="00AD2774">
        <w:rPr>
          <w:rFonts w:eastAsiaTheme="minorHAnsi"/>
        </w:rPr>
        <w:lastRenderedPageBreak/>
        <w:t xml:space="preserve"> Level 4: having a broad and general digital culture and mindset to operate confidently, comfortably and safely within an entrenched digital environment. </w:t>
      </w:r>
    </w:p>
    <w:p w14:paraId="7975A067" w14:textId="5E159E45" w:rsidR="00AD2774" w:rsidRPr="00156A7C" w:rsidRDefault="00AD2774" w:rsidP="00AD2774">
      <w:pPr>
        <w:pStyle w:val="Text"/>
      </w:pPr>
      <w:r w:rsidRPr="00156A7C">
        <w:t>Internationally, there have been similar approaches taken to defin</w:t>
      </w:r>
      <w:r w:rsidR="00F6448E">
        <w:t>ing</w:t>
      </w:r>
      <w:r w:rsidRPr="00156A7C">
        <w:t xml:space="preserve"> digital skills requirements. One example is the UK Digital Skills Taskforce (cited in Miles Morgan </w:t>
      </w:r>
      <w:r w:rsidR="00074FCF">
        <w:t xml:space="preserve">Australia </w:t>
      </w:r>
      <w:r w:rsidRPr="00156A7C">
        <w:t>2017, p.31)</w:t>
      </w:r>
      <w:r w:rsidR="008B63C9">
        <w:t>,</w:t>
      </w:r>
      <w:r w:rsidRPr="00156A7C">
        <w:t xml:space="preserve"> </w:t>
      </w:r>
      <w:r w:rsidR="00920CB0">
        <w:t>in which</w:t>
      </w:r>
      <w:r w:rsidRPr="00156A7C">
        <w:t xml:space="preserve"> four types of occupations</w:t>
      </w:r>
      <w:r w:rsidR="00920CB0">
        <w:t xml:space="preserve"> were</w:t>
      </w:r>
      <w:r w:rsidRPr="00156A7C">
        <w:t xml:space="preserve"> </w:t>
      </w:r>
      <w:r w:rsidR="00920CB0" w:rsidRPr="00156A7C">
        <w:t>defined</w:t>
      </w:r>
      <w:r w:rsidR="00E96E10">
        <w:t>,</w:t>
      </w:r>
      <w:r w:rsidR="00920CB0" w:rsidRPr="00156A7C">
        <w:t xml:space="preserve"> </w:t>
      </w:r>
      <w:r w:rsidRPr="00156A7C">
        <w:t xml:space="preserve">based on their requirements for digital skills. One of these categories </w:t>
      </w:r>
      <w:r w:rsidR="00D50B81">
        <w:t>identified</w:t>
      </w:r>
      <w:r w:rsidRPr="00156A7C">
        <w:t xml:space="preserve"> occupations </w:t>
      </w:r>
      <w:r w:rsidR="00E47216">
        <w:t xml:space="preserve">that </w:t>
      </w:r>
      <w:r w:rsidRPr="00156A7C">
        <w:t>requir</w:t>
      </w:r>
      <w:r w:rsidR="00E47216">
        <w:t>ed</w:t>
      </w:r>
      <w:r w:rsidR="00D50B81">
        <w:t xml:space="preserve"> no</w:t>
      </w:r>
      <w:r w:rsidRPr="00156A7C">
        <w:t xml:space="preserve"> digital skills. The remaining three categories were: </w:t>
      </w:r>
    </w:p>
    <w:p w14:paraId="3097861B" w14:textId="2A0064D8" w:rsidR="00AD2774" w:rsidRPr="00AD2774" w:rsidRDefault="00AD2774" w:rsidP="00AD2774">
      <w:pPr>
        <w:pStyle w:val="Dotpoint1"/>
        <w:rPr>
          <w:rFonts w:eastAsiaTheme="minorHAnsi"/>
        </w:rPr>
      </w:pPr>
      <w:r w:rsidRPr="00AD2774">
        <w:rPr>
          <w:rFonts w:eastAsiaTheme="minorHAnsi"/>
        </w:rPr>
        <w:t xml:space="preserve">Digital </w:t>
      </w:r>
      <w:r w:rsidR="00884457">
        <w:rPr>
          <w:rFonts w:eastAsiaTheme="minorHAnsi"/>
        </w:rPr>
        <w:t>c</w:t>
      </w:r>
      <w:r w:rsidRPr="00AD2774">
        <w:rPr>
          <w:rFonts w:eastAsiaTheme="minorHAnsi"/>
        </w:rPr>
        <w:t xml:space="preserve">itizen: ability to use digital technology purposefully and confidently to communicate, find information and purchase goods/services </w:t>
      </w:r>
    </w:p>
    <w:p w14:paraId="400088DC" w14:textId="0C46FA6F" w:rsidR="00AD2774" w:rsidRPr="00AD2774" w:rsidRDefault="00AD2774" w:rsidP="00AD2774">
      <w:pPr>
        <w:pStyle w:val="Dotpoint1"/>
        <w:rPr>
          <w:rFonts w:eastAsiaTheme="minorHAnsi"/>
        </w:rPr>
      </w:pPr>
      <w:r w:rsidRPr="00AD2774">
        <w:rPr>
          <w:rFonts w:eastAsiaTheme="minorHAnsi"/>
        </w:rPr>
        <w:t xml:space="preserve">Digital </w:t>
      </w:r>
      <w:r w:rsidR="00884457">
        <w:rPr>
          <w:rFonts w:eastAsiaTheme="minorHAnsi"/>
        </w:rPr>
        <w:t>w</w:t>
      </w:r>
      <w:r w:rsidRPr="00AD2774">
        <w:rPr>
          <w:rFonts w:eastAsiaTheme="minorHAnsi"/>
        </w:rPr>
        <w:t xml:space="preserve">orker: ability to evaluate, configure/program, and use complex digital systems </w:t>
      </w:r>
    </w:p>
    <w:p w14:paraId="6F8F2B99" w14:textId="5F1CBC63" w:rsidR="00AD2774" w:rsidRPr="00AD2774" w:rsidRDefault="00AD2774" w:rsidP="00AD2774">
      <w:pPr>
        <w:pStyle w:val="Dotpoint1"/>
        <w:rPr>
          <w:rFonts w:eastAsiaTheme="minorHAnsi"/>
        </w:rPr>
      </w:pPr>
      <w:r w:rsidRPr="00AD2774">
        <w:rPr>
          <w:rFonts w:eastAsiaTheme="minorHAnsi"/>
        </w:rPr>
        <w:t xml:space="preserve">Digital </w:t>
      </w:r>
      <w:r w:rsidR="00884457">
        <w:rPr>
          <w:rFonts w:eastAsiaTheme="minorHAnsi"/>
        </w:rPr>
        <w:t>m</w:t>
      </w:r>
      <w:r w:rsidRPr="00AD2774">
        <w:rPr>
          <w:rFonts w:eastAsiaTheme="minorHAnsi"/>
        </w:rPr>
        <w:t>aker: skills to actually build digital technology (typically software development but including creating complex Excel macros or 3D printing data files).</w:t>
      </w:r>
    </w:p>
    <w:p w14:paraId="628877F4" w14:textId="79736BFE" w:rsidR="00AD2774" w:rsidRPr="00AD2774" w:rsidRDefault="00AD2774" w:rsidP="00AD2774">
      <w:pPr>
        <w:pStyle w:val="Text"/>
      </w:pPr>
      <w:r w:rsidRPr="00AD2774">
        <w:t xml:space="preserve">Examples of how digital skills are </w:t>
      </w:r>
      <w:r w:rsidR="00B53E6A">
        <w:t>pervading</w:t>
      </w:r>
      <w:r w:rsidRPr="00AD2774">
        <w:t xml:space="preserve"> Australian jobs include the use of GPS data for meter readers, telemetry in agricultural machinery</w:t>
      </w:r>
      <w:r w:rsidR="00CE3201">
        <w:t>,</w:t>
      </w:r>
      <w:r w:rsidRPr="00AD2774">
        <w:t xml:space="preserve"> and remote diagnostics for heavy machinery (Misko &amp; Wibrow </w:t>
      </w:r>
      <w:r w:rsidR="005F7B95">
        <w:t>2020</w:t>
      </w:r>
      <w:r w:rsidRPr="00AD2774">
        <w:t xml:space="preserve">). With these skills becoming an everyday part of many jobs, there is growing demand </w:t>
      </w:r>
      <w:r w:rsidR="0082206A">
        <w:t>that</w:t>
      </w:r>
      <w:r w:rsidRPr="00AD2774">
        <w:t xml:space="preserve"> </w:t>
      </w:r>
      <w:r w:rsidR="006F4C2B">
        <w:t xml:space="preserve">the </w:t>
      </w:r>
      <w:r w:rsidRPr="00AD2774">
        <w:t xml:space="preserve">VET sector </w:t>
      </w:r>
      <w:r w:rsidR="00097D1E">
        <w:t>ensure</w:t>
      </w:r>
      <w:r w:rsidR="0082206A">
        <w:t>s</w:t>
      </w:r>
      <w:r w:rsidR="00097D1E">
        <w:t xml:space="preserve"> that</w:t>
      </w:r>
      <w:r w:rsidRPr="00AD2774">
        <w:t xml:space="preserve"> workers </w:t>
      </w:r>
      <w:r w:rsidR="00097D1E">
        <w:t xml:space="preserve">possess </w:t>
      </w:r>
      <w:r w:rsidRPr="00AD2774">
        <w:t>these skills due to the strong relationship between VET and industry.</w:t>
      </w:r>
    </w:p>
    <w:p w14:paraId="286EB0B8" w14:textId="77777777" w:rsidR="00AD2774" w:rsidRPr="00156A7C" w:rsidRDefault="00AD2774" w:rsidP="000B46EF">
      <w:pPr>
        <w:pStyle w:val="Heading2"/>
        <w:spacing w:before="480"/>
      </w:pPr>
      <w:bookmarkStart w:id="26" w:name="_Toc31711246"/>
      <w:r w:rsidRPr="00156A7C">
        <w:t>VET and digital skills</w:t>
      </w:r>
      <w:bookmarkEnd w:id="26"/>
    </w:p>
    <w:p w14:paraId="397E5DF5" w14:textId="5C02E941" w:rsidR="00AD2774" w:rsidRPr="00AD2774" w:rsidRDefault="00AD2774" w:rsidP="00AD2774">
      <w:pPr>
        <w:pStyle w:val="Text"/>
      </w:pPr>
      <w:r w:rsidRPr="00AD2774">
        <w:t xml:space="preserve">Previous research on VET and digital skills has highlighted the role VET can play in not only training new workers with the skills required for emerging technologies but also </w:t>
      </w:r>
      <w:r w:rsidR="000426D4" w:rsidRPr="00AD2774">
        <w:t xml:space="preserve">in </w:t>
      </w:r>
      <w:r w:rsidRPr="00AD2774">
        <w:t xml:space="preserve">upskilling the existing workforce. One suggestion is that VET should be working with firms to reskill or train their workers </w:t>
      </w:r>
      <w:r w:rsidR="004E41C5">
        <w:t>in</w:t>
      </w:r>
      <w:r w:rsidRPr="00AD2774">
        <w:t xml:space="preserve"> the further skills and knowledge </w:t>
      </w:r>
      <w:r w:rsidR="002C641F">
        <w:t xml:space="preserve">they require </w:t>
      </w:r>
      <w:r w:rsidR="0067045E">
        <w:t>as a result of the</w:t>
      </w:r>
      <w:r w:rsidRPr="00AD2774">
        <w:t xml:space="preserve"> disruptive technologies (</w:t>
      </w:r>
      <w:proofErr w:type="spellStart"/>
      <w:r w:rsidRPr="00AD2774">
        <w:t>Seet</w:t>
      </w:r>
      <w:proofErr w:type="spellEnd"/>
      <w:r w:rsidRPr="00AD2774">
        <w:t xml:space="preserve"> et al</w:t>
      </w:r>
      <w:r w:rsidR="003E556D">
        <w:t>.</w:t>
      </w:r>
      <w:r w:rsidRPr="00AD2774">
        <w:t xml:space="preserve"> 2018). VET can also help </w:t>
      </w:r>
      <w:r w:rsidR="002737E5">
        <w:t>in</w:t>
      </w:r>
      <w:r w:rsidRPr="00AD2774">
        <w:t xml:space="preserve"> the development of soft skills, such as creativity, teamwork and communication, </w:t>
      </w:r>
      <w:r w:rsidR="00CE6571">
        <w:t>these skills enabling</w:t>
      </w:r>
      <w:r w:rsidRPr="00AD2774">
        <w:t xml:space="preserve"> workers to adapt to rapidly changing workplaces (Seet et al</w:t>
      </w:r>
      <w:r w:rsidR="00CE6571">
        <w:t>.</w:t>
      </w:r>
      <w:r w:rsidRPr="00AD2774">
        <w:t xml:space="preserve"> 2018). </w:t>
      </w:r>
      <w:r w:rsidR="00B409A1">
        <w:t>T</w:t>
      </w:r>
      <w:r w:rsidRPr="00AD2774">
        <w:t xml:space="preserve">he Prime Minister’s Industry 4.0 </w:t>
      </w:r>
      <w:r w:rsidR="00EA5366">
        <w:t>T</w:t>
      </w:r>
      <w:r w:rsidRPr="00AD2774">
        <w:t xml:space="preserve">askforce </w:t>
      </w:r>
      <w:r w:rsidR="00B409A1">
        <w:t>shares thi</w:t>
      </w:r>
      <w:r w:rsidR="00D24C3E">
        <w:t>s</w:t>
      </w:r>
      <w:r w:rsidR="00B409A1" w:rsidRPr="00AD2774">
        <w:t xml:space="preserve"> view</w:t>
      </w:r>
      <w:r w:rsidR="00D24C3E">
        <w:t xml:space="preserve">, noting </w:t>
      </w:r>
      <w:r w:rsidRPr="00AD2774">
        <w:t xml:space="preserve">that the </w:t>
      </w:r>
      <w:r w:rsidR="00EB2589">
        <w:t>‘</w:t>
      </w:r>
      <w:r w:rsidRPr="00AD2774">
        <w:t>Industry 4.0 workforce requires competency across digital, project coordination and soft skills</w:t>
      </w:r>
      <w:r w:rsidR="00EB2589">
        <w:t>’</w:t>
      </w:r>
      <w:r w:rsidRPr="00AD2774">
        <w:t xml:space="preserve"> (Gallagher 2017, p.40). However, the current prescriptive nature of training packages is limiting the capability of training providers to adjust program offerings to meet future demand for digital skills and capabilities (Seet et al</w:t>
      </w:r>
      <w:r w:rsidR="00DA3886">
        <w:t>.</w:t>
      </w:r>
      <w:r w:rsidRPr="00AD2774">
        <w:t xml:space="preserve"> 2018)</w:t>
      </w:r>
      <w:r w:rsidR="000426D4">
        <w:t>.</w:t>
      </w:r>
      <w:r w:rsidRPr="00AD2774">
        <w:t xml:space="preserve"> </w:t>
      </w:r>
    </w:p>
    <w:p w14:paraId="3FE7550C" w14:textId="56DADB62" w:rsidR="00AD2774" w:rsidRPr="00AD2774" w:rsidRDefault="00AD2774" w:rsidP="00AD2774">
      <w:pPr>
        <w:pStyle w:val="Text"/>
      </w:pPr>
      <w:r w:rsidRPr="00AD2774">
        <w:t>An</w:t>
      </w:r>
      <w:r w:rsidR="003138AA">
        <w:t xml:space="preserve"> an</w:t>
      </w:r>
      <w:r w:rsidRPr="00AD2774">
        <w:t xml:space="preserve">alysis of training packages in two industry areas, </w:t>
      </w:r>
      <w:r w:rsidR="003138AA" w:rsidRPr="00AD2774">
        <w:t>transport and logistics</w:t>
      </w:r>
      <w:r w:rsidR="000A0F69">
        <w:t>,</w:t>
      </w:r>
      <w:r w:rsidR="003138AA" w:rsidRPr="00AD2774">
        <w:t xml:space="preserve"> </w:t>
      </w:r>
      <w:r w:rsidRPr="00AD2774">
        <w:t xml:space="preserve">and </w:t>
      </w:r>
      <w:r w:rsidR="00C167CB" w:rsidRPr="00AD2774">
        <w:t>public safety and correctional services</w:t>
      </w:r>
      <w:r w:rsidRPr="00AD2774">
        <w:t>, by Gekara et al</w:t>
      </w:r>
      <w:r w:rsidR="00C167CB">
        <w:t>.</w:t>
      </w:r>
      <w:r w:rsidRPr="00AD2774">
        <w:t xml:space="preserve"> (2019b) revealed that</w:t>
      </w:r>
      <w:r w:rsidR="000A0F69">
        <w:t>,</w:t>
      </w:r>
      <w:r w:rsidRPr="00AD2774">
        <w:t xml:space="preserve"> </w:t>
      </w:r>
      <w:r w:rsidR="00D8076B">
        <w:t>while each includes a</w:t>
      </w:r>
      <w:r w:rsidRPr="00AD2774">
        <w:t xml:space="preserve"> significant amount of digital training</w:t>
      </w:r>
      <w:r w:rsidR="00D8076B">
        <w:t xml:space="preserve">, </w:t>
      </w:r>
      <w:r w:rsidR="000A0F69">
        <w:t>this training</w:t>
      </w:r>
      <w:r w:rsidRPr="00AD2774">
        <w:t xml:space="preserve"> is mostly at low levels of basic digital literacy. </w:t>
      </w:r>
      <w:r w:rsidR="00D8076B" w:rsidRPr="00AD2774">
        <w:t>Gekara et al</w:t>
      </w:r>
      <w:r w:rsidR="000A0F69">
        <w:t>.</w:t>
      </w:r>
      <w:r w:rsidRPr="00AD2774">
        <w:t xml:space="preserve"> focused on these two industry areas for four main reasons: </w:t>
      </w:r>
      <w:r w:rsidR="00D8076B">
        <w:t xml:space="preserve">the </w:t>
      </w:r>
      <w:r w:rsidRPr="00AD2774">
        <w:t xml:space="preserve">growing need for digital skills in these industries and the threat to performance if the workforce is not adequately skilled; these industries hold great significance to </w:t>
      </w:r>
      <w:r w:rsidR="000A0F69">
        <w:t xml:space="preserve">the </w:t>
      </w:r>
      <w:r w:rsidRPr="00AD2774">
        <w:t xml:space="preserve">economy in terms of the scale of </w:t>
      </w:r>
      <w:r w:rsidR="008E3110">
        <w:t xml:space="preserve">their </w:t>
      </w:r>
      <w:r w:rsidRPr="00AD2774">
        <w:t xml:space="preserve">national revenue and public service provision; </w:t>
      </w:r>
      <w:r w:rsidR="00D8076B" w:rsidRPr="00AD2774">
        <w:t xml:space="preserve">these industries </w:t>
      </w:r>
      <w:r w:rsidR="00D8076B">
        <w:t>experience</w:t>
      </w:r>
      <w:r w:rsidRPr="00AD2774">
        <w:t xml:space="preserve"> persistent skills and workforce challenges; and the diversity of the industries and </w:t>
      </w:r>
      <w:r w:rsidR="00EF264E">
        <w:t xml:space="preserve">their </w:t>
      </w:r>
      <w:r w:rsidRPr="00AD2774">
        <w:t>sub-sectors means the findings are more broadly applicable.</w:t>
      </w:r>
    </w:p>
    <w:p w14:paraId="28B68D6B" w14:textId="156C4DB6" w:rsidR="00AD2774" w:rsidRPr="00AD2774" w:rsidRDefault="00AD2774" w:rsidP="00AD2774">
      <w:pPr>
        <w:pStyle w:val="Text"/>
      </w:pPr>
      <w:r w:rsidRPr="00AD2774">
        <w:t>Gekara et al</w:t>
      </w:r>
      <w:r w:rsidR="00D8076B">
        <w:t>.</w:t>
      </w:r>
      <w:r w:rsidRPr="00AD2774">
        <w:t xml:space="preserve"> (2019b) found that much of the digital training </w:t>
      </w:r>
      <w:r w:rsidR="007B11EE">
        <w:t>occurs</w:t>
      </w:r>
      <w:r w:rsidRPr="00AD2774">
        <w:t xml:space="preserve"> in elective units rather than </w:t>
      </w:r>
      <w:r w:rsidR="00FA44FE">
        <w:t xml:space="preserve">in </w:t>
      </w:r>
      <w:r w:rsidRPr="00AD2774">
        <w:t>core</w:t>
      </w:r>
      <w:r w:rsidR="00FA44FE">
        <w:t xml:space="preserve"> units</w:t>
      </w:r>
      <w:r w:rsidR="00EB2589">
        <w:t>,</w:t>
      </w:r>
      <w:r w:rsidRPr="00AD2774">
        <w:t xml:space="preserve"> meaning that qualifications can be completed without </w:t>
      </w:r>
      <w:r w:rsidR="00282D4F">
        <w:t xml:space="preserve">any training in </w:t>
      </w:r>
      <w:r w:rsidR="00711054">
        <w:t>digital skills</w:t>
      </w:r>
      <w:r w:rsidRPr="00AD2774">
        <w:t xml:space="preserve">. In line with this, the 2018 </w:t>
      </w:r>
      <w:r w:rsidR="00B87584" w:rsidRPr="00AD2774">
        <w:t>A</w:t>
      </w:r>
      <w:r w:rsidR="00B87584">
        <w:t>ustralian Industry and Skills Committee</w:t>
      </w:r>
      <w:r w:rsidR="002D2E3B">
        <w:t>’s</w:t>
      </w:r>
      <w:r w:rsidRPr="00AD2774">
        <w:t xml:space="preserve"> Skills Forecasts rated </w:t>
      </w:r>
      <w:r w:rsidR="00082251" w:rsidRPr="00AD2774">
        <w:t xml:space="preserve">skills </w:t>
      </w:r>
      <w:r w:rsidR="00082251">
        <w:t xml:space="preserve">relating to </w:t>
      </w:r>
      <w:r w:rsidRPr="00AD2774">
        <w:t xml:space="preserve">technology use and application as their third highest priority </w:t>
      </w:r>
      <w:r w:rsidR="0023687D">
        <w:t xml:space="preserve">in the </w:t>
      </w:r>
      <w:r w:rsidRPr="00AD2774">
        <w:t>generic skill category (A</w:t>
      </w:r>
      <w:r w:rsidR="00827D98">
        <w:t xml:space="preserve">ustralian </w:t>
      </w:r>
      <w:r w:rsidR="00B708CC">
        <w:lastRenderedPageBreak/>
        <w:t>Industry and Skills Committee</w:t>
      </w:r>
      <w:r w:rsidRPr="00AD2774">
        <w:t xml:space="preserve"> 2018), which has led to the establishment of the Digital Transformation Expert Panel</w:t>
      </w:r>
      <w:r w:rsidR="00B708CC">
        <w:t>.</w:t>
      </w:r>
      <w:r w:rsidRPr="007465C1">
        <w:rPr>
          <w:rStyle w:val="FootnoteReference"/>
        </w:rPr>
        <w:footnoteReference w:id="1"/>
      </w:r>
      <w:r w:rsidRPr="00AD2774">
        <w:t xml:space="preserve"> The </w:t>
      </w:r>
      <w:r w:rsidR="00B708CC">
        <w:t>p</w:t>
      </w:r>
      <w:r w:rsidRPr="00AD2774">
        <w:t>anel will provide advice on how Australia’s VET system can effectively respond to the digital change occurring in industry</w:t>
      </w:r>
      <w:r w:rsidR="000D17A6">
        <w:t>, along with</w:t>
      </w:r>
      <w:r w:rsidRPr="00AD2774">
        <w:t xml:space="preserve"> its impact on the workforce. Part of this work involves assessing the digital skills</w:t>
      </w:r>
      <w:r w:rsidR="00C244F0">
        <w:t>-</w:t>
      </w:r>
      <w:r w:rsidRPr="00AD2774">
        <w:t>related content in existing training package units</w:t>
      </w:r>
      <w:r w:rsidR="00C244F0">
        <w:t>,</w:t>
      </w:r>
      <w:r w:rsidRPr="00AD2774">
        <w:t xml:space="preserve"> as well as </w:t>
      </w:r>
      <w:r w:rsidR="002C641F">
        <w:t xml:space="preserve">looking at </w:t>
      </w:r>
      <w:r w:rsidRPr="00AD2774">
        <w:t xml:space="preserve">the future digital skills identified in </w:t>
      </w:r>
      <w:r w:rsidR="004118B0" w:rsidRPr="00AD2774">
        <w:t>industry skills forecasts of all the industry reference committees</w:t>
      </w:r>
      <w:r w:rsidR="00282D4F">
        <w:t>.</w:t>
      </w:r>
      <w:r w:rsidRPr="00AD2774">
        <w:t xml:space="preserve"> </w:t>
      </w:r>
    </w:p>
    <w:p w14:paraId="7E5C1676" w14:textId="77777777" w:rsidR="00AD2774" w:rsidRDefault="00AD2774" w:rsidP="00AD2774">
      <w:pPr>
        <w:rPr>
          <w:rFonts w:ascii="Arial MT Std" w:hAnsi="Arial MT Std"/>
          <w:caps/>
          <w:noProof/>
          <w:color w:val="78278B"/>
          <w:spacing w:val="-9"/>
          <w:sz w:val="24"/>
          <w:szCs w:val="24"/>
          <w:lang w:eastAsia="en-AU"/>
        </w:rPr>
      </w:pPr>
      <w:r>
        <w:rPr>
          <w:sz w:val="24"/>
          <w:szCs w:val="24"/>
        </w:rPr>
        <w:br w:type="page"/>
      </w:r>
    </w:p>
    <w:p w14:paraId="2DD6AFD8" w14:textId="77777777" w:rsidR="00AD2774" w:rsidRPr="003354A3" w:rsidRDefault="00AD2774" w:rsidP="00AD2774">
      <w:pPr>
        <w:pStyle w:val="Heading1"/>
      </w:pPr>
      <w:bookmarkStart w:id="27" w:name="_Toc31711247"/>
      <w:r w:rsidRPr="003354A3">
        <w:rPr>
          <w:noProof/>
          <w:lang w:eastAsia="en-AU"/>
        </w:rPr>
        <w:lastRenderedPageBreak/>
        <w:t>Incorporating digital skills into VET delivery</w:t>
      </w:r>
      <w:bookmarkEnd w:id="27"/>
      <w:r w:rsidRPr="00962A08">
        <w:t xml:space="preserve"> </w:t>
      </w:r>
    </w:p>
    <w:p w14:paraId="2024B86E" w14:textId="78F7C668" w:rsidR="00AD2774" w:rsidRPr="00AD2774" w:rsidRDefault="00AD2774" w:rsidP="00AD2774">
      <w:pPr>
        <w:pStyle w:val="Text"/>
      </w:pPr>
      <w:r w:rsidRPr="00AD2774">
        <w:t>Much research into the importance of digital skills and their development focuses on the schooling and university sectors and underestimates the role that VET can play</w:t>
      </w:r>
      <w:r w:rsidR="00D42A24">
        <w:t>.</w:t>
      </w:r>
      <w:r w:rsidR="007465C1">
        <w:rPr>
          <w:rStyle w:val="FootnoteReference"/>
        </w:rPr>
        <w:footnoteReference w:id="2"/>
      </w:r>
      <w:r w:rsidRPr="00AD2774">
        <w:t xml:space="preserve"> However, </w:t>
      </w:r>
      <w:r w:rsidR="00B2616A" w:rsidRPr="00AD2774">
        <w:t xml:space="preserve">because of their links with industry and </w:t>
      </w:r>
      <w:r w:rsidR="00F02966">
        <w:t xml:space="preserve">their </w:t>
      </w:r>
      <w:r w:rsidR="00B2616A" w:rsidRPr="00AD2774">
        <w:t>applied learning focus</w:t>
      </w:r>
      <w:r w:rsidR="00B2616A">
        <w:t>,</w:t>
      </w:r>
      <w:r w:rsidR="00B2616A" w:rsidRPr="00AD2774">
        <w:t xml:space="preserve"> </w:t>
      </w:r>
      <w:r w:rsidRPr="00AD2774">
        <w:t>VET providers are important in the development of digital skills</w:t>
      </w:r>
      <w:r w:rsidR="000C2249">
        <w:t xml:space="preserve"> </w:t>
      </w:r>
      <w:r w:rsidRPr="00AD2774">
        <w:t>(Gallagher 2019; TAFE Directors Australia 2019).</w:t>
      </w:r>
    </w:p>
    <w:p w14:paraId="3BC407F6" w14:textId="7A853475" w:rsidR="00AD2774" w:rsidRPr="00AD2774" w:rsidRDefault="00B2616A" w:rsidP="00AD2774">
      <w:pPr>
        <w:pStyle w:val="Text"/>
        <w:rPr>
          <w:rStyle w:val="Heading3Char"/>
          <w:rFonts w:ascii="Trebuchet MS" w:eastAsiaTheme="minorHAnsi" w:hAnsi="Trebuchet MS" w:cs="Times New Roman"/>
          <w:color w:val="auto"/>
          <w:sz w:val="19"/>
        </w:rPr>
      </w:pPr>
      <w:r>
        <w:t>In this section</w:t>
      </w:r>
      <w:r w:rsidR="00AD2774" w:rsidRPr="00AD2774">
        <w:t xml:space="preserve"> we look at what is occurring internationally and how it can be applied to the Australian VET sector.</w:t>
      </w:r>
      <w:r w:rsidR="00AD2774" w:rsidRPr="00AD2774">
        <w:rPr>
          <w:rStyle w:val="Heading3Char"/>
          <w:rFonts w:ascii="Trebuchet MS" w:eastAsiaTheme="minorHAnsi" w:hAnsi="Trebuchet MS" w:cs="Times New Roman"/>
          <w:color w:val="auto"/>
          <w:sz w:val="19"/>
        </w:rPr>
        <w:t xml:space="preserve"> </w:t>
      </w:r>
    </w:p>
    <w:p w14:paraId="6A724474" w14:textId="77777777" w:rsidR="00AD2774" w:rsidRDefault="00AD2774" w:rsidP="000B46EF">
      <w:pPr>
        <w:pStyle w:val="Heading2"/>
        <w:spacing w:before="480"/>
      </w:pPr>
      <w:bookmarkStart w:id="28" w:name="_Toc22636827"/>
      <w:bookmarkStart w:id="29" w:name="_Toc31711248"/>
      <w:r w:rsidRPr="00962A08">
        <w:rPr>
          <w:noProof/>
        </w:rPr>
        <mc:AlternateContent>
          <mc:Choice Requires="wps">
            <w:drawing>
              <wp:anchor distT="45720" distB="45720" distL="114300" distR="114300" simplePos="0" relativeHeight="251666432" behindDoc="0" locked="0" layoutInCell="1" allowOverlap="1" wp14:anchorId="7E267DC0" wp14:editId="149764D4">
                <wp:simplePos x="0" y="0"/>
                <wp:positionH relativeFrom="column">
                  <wp:posOffset>1574</wp:posOffset>
                </wp:positionH>
                <wp:positionV relativeFrom="paragraph">
                  <wp:posOffset>569112</wp:posOffset>
                </wp:positionV>
                <wp:extent cx="5438775" cy="2543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2543175"/>
                        </a:xfrm>
                        <a:prstGeom prst="rect">
                          <a:avLst/>
                        </a:prstGeom>
                        <a:solidFill>
                          <a:srgbClr val="FFFFFF"/>
                        </a:solidFill>
                        <a:ln w="9525">
                          <a:solidFill>
                            <a:srgbClr val="000000"/>
                          </a:solidFill>
                          <a:miter lim="800000"/>
                          <a:headEnd/>
                          <a:tailEnd/>
                        </a:ln>
                      </wps:spPr>
                      <wps:txbx>
                        <w:txbxContent>
                          <w:p w14:paraId="4AB576DE" w14:textId="77777777" w:rsidR="00AB0F13" w:rsidRPr="00AD2774" w:rsidRDefault="00AB0F13" w:rsidP="00AD2774">
                            <w:pPr>
                              <w:pStyle w:val="Dotpoint1"/>
                              <w:rPr>
                                <w:rFonts w:eastAsiaTheme="minorHAnsi"/>
                              </w:rPr>
                            </w:pPr>
                            <w:r w:rsidRPr="00AD2774">
                              <w:rPr>
                                <w:rFonts w:eastAsiaTheme="minorHAnsi"/>
                              </w:rPr>
                              <w:t>Speaking the same language</w:t>
                            </w:r>
                          </w:p>
                          <w:p w14:paraId="2E9DEC87" w14:textId="77777777" w:rsidR="00AB0F13" w:rsidRPr="00AD2774" w:rsidRDefault="00AB0F13" w:rsidP="00AD2774">
                            <w:pPr>
                              <w:pStyle w:val="Dotpoint1"/>
                              <w:rPr>
                                <w:rFonts w:eastAsiaTheme="minorHAnsi"/>
                              </w:rPr>
                            </w:pPr>
                            <w:r w:rsidRPr="00AD2774">
                              <w:rPr>
                                <w:rFonts w:eastAsiaTheme="minorHAnsi"/>
                              </w:rPr>
                              <w:t>Partnering with employers</w:t>
                            </w:r>
                          </w:p>
                          <w:p w14:paraId="7B87D4A0" w14:textId="77777777" w:rsidR="00AB0F13" w:rsidRPr="00AD2774" w:rsidRDefault="00AB0F13" w:rsidP="00AD2774">
                            <w:pPr>
                              <w:pStyle w:val="Dotpoint1"/>
                              <w:rPr>
                                <w:rFonts w:eastAsiaTheme="minorHAnsi"/>
                              </w:rPr>
                            </w:pPr>
                            <w:r w:rsidRPr="00AD2774">
                              <w:rPr>
                                <w:rFonts w:eastAsiaTheme="minorHAnsi"/>
                              </w:rPr>
                              <w:t>Regularly updating training content</w:t>
                            </w:r>
                          </w:p>
                          <w:p w14:paraId="24F4F94F" w14:textId="77777777" w:rsidR="00AB0F13" w:rsidRPr="00AD2774" w:rsidRDefault="00AB0F13" w:rsidP="00AD2774">
                            <w:pPr>
                              <w:pStyle w:val="Dotpoint1"/>
                              <w:rPr>
                                <w:rFonts w:eastAsiaTheme="minorHAnsi"/>
                              </w:rPr>
                            </w:pPr>
                            <w:r w:rsidRPr="00AD2774">
                              <w:rPr>
                                <w:rFonts w:eastAsiaTheme="minorHAnsi"/>
                              </w:rPr>
                              <w:t>Covering digital skills at all levels</w:t>
                            </w:r>
                          </w:p>
                          <w:p w14:paraId="650D16DA" w14:textId="77777777" w:rsidR="00AB0F13" w:rsidRPr="00AD2774" w:rsidRDefault="00AB0F13" w:rsidP="00AD2774">
                            <w:pPr>
                              <w:pStyle w:val="Dotpoint1"/>
                              <w:rPr>
                                <w:rFonts w:eastAsiaTheme="minorHAnsi"/>
                              </w:rPr>
                            </w:pPr>
                            <w:r w:rsidRPr="00AD2774">
                              <w:rPr>
                                <w:rFonts w:eastAsiaTheme="minorHAnsi"/>
                              </w:rPr>
                              <w:t>Supporting lifelong learning</w:t>
                            </w:r>
                          </w:p>
                          <w:p w14:paraId="42328A27" w14:textId="77777777" w:rsidR="00AB0F13" w:rsidRPr="00AD2774" w:rsidRDefault="00AB0F13" w:rsidP="00AD2774">
                            <w:pPr>
                              <w:pStyle w:val="Dotpoint1"/>
                              <w:rPr>
                                <w:rFonts w:eastAsiaTheme="minorHAnsi"/>
                              </w:rPr>
                            </w:pPr>
                            <w:r w:rsidRPr="00AD2774">
                              <w:rPr>
                                <w:rFonts w:eastAsiaTheme="minorHAnsi"/>
                              </w:rPr>
                              <w:t>Providing flexible training delivery</w:t>
                            </w:r>
                          </w:p>
                          <w:p w14:paraId="27EAD5A8" w14:textId="7D97EFE6" w:rsidR="00AB0F13" w:rsidRPr="00AD2774" w:rsidRDefault="00AB0F13" w:rsidP="00AD2774">
                            <w:pPr>
                              <w:pStyle w:val="Dotpoint1"/>
                              <w:rPr>
                                <w:rFonts w:eastAsiaTheme="minorHAnsi"/>
                              </w:rPr>
                            </w:pPr>
                            <w:r w:rsidRPr="00AD2774">
                              <w:rPr>
                                <w:rFonts w:eastAsiaTheme="minorHAnsi"/>
                              </w:rPr>
                              <w:t>Making digital skills a part of foundation skills</w:t>
                            </w:r>
                          </w:p>
                          <w:p w14:paraId="77135F8D" w14:textId="77777777" w:rsidR="00AB0F13" w:rsidRPr="00AD2774" w:rsidRDefault="00AB0F13" w:rsidP="00AD2774">
                            <w:pPr>
                              <w:pStyle w:val="Dotpoint1"/>
                              <w:rPr>
                                <w:rFonts w:eastAsiaTheme="minorHAnsi"/>
                              </w:rPr>
                            </w:pPr>
                            <w:r w:rsidRPr="00AD2774">
                              <w:rPr>
                                <w:rFonts w:eastAsiaTheme="minorHAnsi"/>
                              </w:rPr>
                              <w:t>Recognising digital skills in government policy</w:t>
                            </w:r>
                          </w:p>
                          <w:p w14:paraId="3D45960A" w14:textId="77777777" w:rsidR="00AB0F13" w:rsidRPr="00AD2774" w:rsidRDefault="00AB0F13" w:rsidP="00AD2774">
                            <w:pPr>
                              <w:pStyle w:val="Dotpoint1"/>
                              <w:rPr>
                                <w:rFonts w:eastAsiaTheme="minorHAnsi"/>
                              </w:rPr>
                            </w:pPr>
                            <w:r w:rsidRPr="00AD2774">
                              <w:rPr>
                                <w:rFonts w:eastAsiaTheme="minorHAnsi"/>
                              </w:rPr>
                              <w:t>Anticipating changing skill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67DC0" id="_x0000_s1029" type="#_x0000_t202" style="position:absolute;margin-left:.1pt;margin-top:44.8pt;width:428.25pt;height:20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">
                <v:textbox>
                  <w:txbxContent>
                    <w:p w14:paraId="4AB576DE" w14:textId="77777777" w:rsidR="00AB0F13" w:rsidRPr="00AD2774" w:rsidRDefault="00AB0F13" w:rsidP="00AD2774">
                      <w:pPr>
                        <w:pStyle w:val="Dotpoint1"/>
                        <w:rPr>
                          <w:rFonts w:eastAsiaTheme="minorHAnsi"/>
                        </w:rPr>
                      </w:pPr>
                      <w:r w:rsidRPr="00AD2774">
                        <w:rPr>
                          <w:rFonts w:eastAsiaTheme="minorHAnsi"/>
                        </w:rPr>
                        <w:t>Speaking the same language</w:t>
                      </w:r>
                    </w:p>
                    <w:p w14:paraId="2E9DEC87" w14:textId="77777777" w:rsidR="00AB0F13" w:rsidRPr="00AD2774" w:rsidRDefault="00AB0F13" w:rsidP="00AD2774">
                      <w:pPr>
                        <w:pStyle w:val="Dotpoint1"/>
                        <w:rPr>
                          <w:rFonts w:eastAsiaTheme="minorHAnsi"/>
                        </w:rPr>
                      </w:pPr>
                      <w:r w:rsidRPr="00AD2774">
                        <w:rPr>
                          <w:rFonts w:eastAsiaTheme="minorHAnsi"/>
                        </w:rPr>
                        <w:t>Partnering with employers</w:t>
                      </w:r>
                    </w:p>
                    <w:p w14:paraId="7B87D4A0" w14:textId="77777777" w:rsidR="00AB0F13" w:rsidRPr="00AD2774" w:rsidRDefault="00AB0F13" w:rsidP="00AD2774">
                      <w:pPr>
                        <w:pStyle w:val="Dotpoint1"/>
                        <w:rPr>
                          <w:rFonts w:eastAsiaTheme="minorHAnsi"/>
                        </w:rPr>
                      </w:pPr>
                      <w:r w:rsidRPr="00AD2774">
                        <w:rPr>
                          <w:rFonts w:eastAsiaTheme="minorHAnsi"/>
                        </w:rPr>
                        <w:t>Regularly updating training content</w:t>
                      </w:r>
                    </w:p>
                    <w:p w14:paraId="24F4F94F" w14:textId="77777777" w:rsidR="00AB0F13" w:rsidRPr="00AD2774" w:rsidRDefault="00AB0F13" w:rsidP="00AD2774">
                      <w:pPr>
                        <w:pStyle w:val="Dotpoint1"/>
                        <w:rPr>
                          <w:rFonts w:eastAsiaTheme="minorHAnsi"/>
                        </w:rPr>
                      </w:pPr>
                      <w:r w:rsidRPr="00AD2774">
                        <w:rPr>
                          <w:rFonts w:eastAsiaTheme="minorHAnsi"/>
                        </w:rPr>
                        <w:t>Covering digital skills at all levels</w:t>
                      </w:r>
                    </w:p>
                    <w:p w14:paraId="650D16DA" w14:textId="77777777" w:rsidR="00AB0F13" w:rsidRPr="00AD2774" w:rsidRDefault="00AB0F13" w:rsidP="00AD2774">
                      <w:pPr>
                        <w:pStyle w:val="Dotpoint1"/>
                        <w:rPr>
                          <w:rFonts w:eastAsiaTheme="minorHAnsi"/>
                        </w:rPr>
                      </w:pPr>
                      <w:r w:rsidRPr="00AD2774">
                        <w:rPr>
                          <w:rFonts w:eastAsiaTheme="minorHAnsi"/>
                        </w:rPr>
                        <w:t>Supporting lifelong learning</w:t>
                      </w:r>
                    </w:p>
                    <w:p w14:paraId="42328A27" w14:textId="77777777" w:rsidR="00AB0F13" w:rsidRPr="00AD2774" w:rsidRDefault="00AB0F13" w:rsidP="00AD2774">
                      <w:pPr>
                        <w:pStyle w:val="Dotpoint1"/>
                        <w:rPr>
                          <w:rFonts w:eastAsiaTheme="minorHAnsi"/>
                        </w:rPr>
                      </w:pPr>
                      <w:r w:rsidRPr="00AD2774">
                        <w:rPr>
                          <w:rFonts w:eastAsiaTheme="minorHAnsi"/>
                        </w:rPr>
                        <w:t>Providing flexible training delivery</w:t>
                      </w:r>
                    </w:p>
                    <w:p w14:paraId="27EAD5A8" w14:textId="7D97EFE6" w:rsidR="00AB0F13" w:rsidRPr="00AD2774" w:rsidRDefault="00AB0F13" w:rsidP="00AD2774">
                      <w:pPr>
                        <w:pStyle w:val="Dotpoint1"/>
                        <w:rPr>
                          <w:rFonts w:eastAsiaTheme="minorHAnsi"/>
                        </w:rPr>
                      </w:pPr>
                      <w:r w:rsidRPr="00AD2774">
                        <w:rPr>
                          <w:rFonts w:eastAsiaTheme="minorHAnsi"/>
                        </w:rPr>
                        <w:t>Making digital skills a part of foundation skills</w:t>
                      </w:r>
                    </w:p>
                    <w:p w14:paraId="77135F8D" w14:textId="77777777" w:rsidR="00AB0F13" w:rsidRPr="00AD2774" w:rsidRDefault="00AB0F13" w:rsidP="00AD2774">
                      <w:pPr>
                        <w:pStyle w:val="Dotpoint1"/>
                        <w:rPr>
                          <w:rFonts w:eastAsiaTheme="minorHAnsi"/>
                        </w:rPr>
                      </w:pPr>
                      <w:r w:rsidRPr="00AD2774">
                        <w:rPr>
                          <w:rFonts w:eastAsiaTheme="minorHAnsi"/>
                        </w:rPr>
                        <w:t>Recognising digital skills in government policy</w:t>
                      </w:r>
                    </w:p>
                    <w:p w14:paraId="3D45960A" w14:textId="77777777" w:rsidR="00AB0F13" w:rsidRPr="00AD2774" w:rsidRDefault="00AB0F13" w:rsidP="00AD2774">
                      <w:pPr>
                        <w:pStyle w:val="Dotpoint1"/>
                        <w:rPr>
                          <w:rFonts w:eastAsiaTheme="minorHAnsi"/>
                        </w:rPr>
                      </w:pPr>
                      <w:r w:rsidRPr="00AD2774">
                        <w:rPr>
                          <w:rFonts w:eastAsiaTheme="minorHAnsi"/>
                        </w:rPr>
                        <w:t>Anticipating changing skill needs</w:t>
                      </w:r>
                    </w:p>
                  </w:txbxContent>
                </v:textbox>
                <w10:wrap type="square"/>
              </v:shape>
            </w:pict>
          </mc:Fallback>
        </mc:AlternateContent>
      </w:r>
      <w:r w:rsidRPr="00962A08">
        <w:t>International lessons</w:t>
      </w:r>
      <w:bookmarkEnd w:id="28"/>
      <w:bookmarkEnd w:id="29"/>
    </w:p>
    <w:p w14:paraId="3CB8F90C" w14:textId="6DAC18C8" w:rsidR="00AD2774" w:rsidRPr="00AD2774" w:rsidRDefault="00AD2774" w:rsidP="00AD2774">
      <w:pPr>
        <w:pStyle w:val="Text"/>
      </w:pPr>
      <w:r w:rsidRPr="00AD2774">
        <w:t xml:space="preserve">Responding to the growing requirement for </w:t>
      </w:r>
      <w:r w:rsidR="007324A3">
        <w:t xml:space="preserve">workers </w:t>
      </w:r>
      <w:r w:rsidR="00526653" w:rsidRPr="00AD2774">
        <w:t xml:space="preserve">across </w:t>
      </w:r>
      <w:r w:rsidR="006D53B9">
        <w:t xml:space="preserve">the </w:t>
      </w:r>
      <w:r w:rsidR="00526653" w:rsidRPr="00AD2774">
        <w:t>job</w:t>
      </w:r>
      <w:r w:rsidR="006D53B9">
        <w:t xml:space="preserve"> spectrum</w:t>
      </w:r>
      <w:r w:rsidR="00526653" w:rsidRPr="00AD2774">
        <w:t xml:space="preserve"> </w:t>
      </w:r>
      <w:r w:rsidR="007324A3">
        <w:t xml:space="preserve">to hold </w:t>
      </w:r>
      <w:r w:rsidRPr="00AD2774">
        <w:t xml:space="preserve">digital skills is a priority in many countries. </w:t>
      </w:r>
      <w:r w:rsidR="00D0726D">
        <w:t>The r</w:t>
      </w:r>
      <w:r w:rsidRPr="00AD2774">
        <w:t>egions examined for this analysis include the United Kingdom, Germany and other European countries</w:t>
      </w:r>
      <w:r w:rsidR="00A902D9">
        <w:t xml:space="preserve"> (</w:t>
      </w:r>
      <w:r w:rsidRPr="00AD2774">
        <w:t>as represented through the European Commission</w:t>
      </w:r>
      <w:r w:rsidR="00A902D9">
        <w:t>)</w:t>
      </w:r>
      <w:r w:rsidRPr="00AD2774">
        <w:t>, Singapore, the United States and Canada. Here</w:t>
      </w:r>
      <w:r w:rsidR="00A04A39">
        <w:t xml:space="preserve"> we identify</w:t>
      </w:r>
      <w:r w:rsidRPr="00AD2774">
        <w:t xml:space="preserve"> the major themes </w:t>
      </w:r>
      <w:r w:rsidR="00FF3249">
        <w:t xml:space="preserve">extracted through </w:t>
      </w:r>
      <w:r w:rsidRPr="00AD2774">
        <w:t xml:space="preserve">this analysis rather </w:t>
      </w:r>
      <w:r w:rsidR="002C641F">
        <w:t xml:space="preserve">than </w:t>
      </w:r>
      <w:r w:rsidR="00FF3249">
        <w:t>examin</w:t>
      </w:r>
      <w:r w:rsidR="00033D04">
        <w:t>e</w:t>
      </w:r>
      <w:r w:rsidR="00FF3249">
        <w:t xml:space="preserve"> </w:t>
      </w:r>
      <w:r w:rsidR="00033D04">
        <w:t xml:space="preserve">individual </w:t>
      </w:r>
      <w:r w:rsidR="00FF3249">
        <w:t>countries.</w:t>
      </w:r>
    </w:p>
    <w:p w14:paraId="1F371236" w14:textId="2BDC3BE0"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962A08">
        <w:rPr>
          <w:rFonts w:eastAsiaTheme="minorHAnsi"/>
          <w:i/>
          <w:noProof/>
          <w:lang w:eastAsia="en-AU"/>
        </w:rPr>
        <w:t>Speaking the same language</w:t>
      </w:r>
      <w:r w:rsidR="00502BA7">
        <w:rPr>
          <w:rFonts w:eastAsiaTheme="minorHAnsi"/>
          <w:noProof/>
          <w:lang w:eastAsia="en-AU"/>
        </w:rPr>
        <w:t>:</w:t>
      </w:r>
      <w:r w:rsidRPr="00962A08">
        <w:rPr>
          <w:rFonts w:eastAsiaTheme="minorHAnsi"/>
          <w:noProof/>
          <w:lang w:eastAsia="en-AU"/>
        </w:rPr>
        <w:t xml:space="preserve"> </w:t>
      </w:r>
      <w:r w:rsidR="00502BA7">
        <w:rPr>
          <w:rFonts w:eastAsiaTheme="minorHAnsi"/>
          <w:noProof/>
          <w:lang w:eastAsia="en-AU"/>
        </w:rPr>
        <w:t>c</w:t>
      </w:r>
      <w:r w:rsidRPr="00962A08">
        <w:rPr>
          <w:rFonts w:eastAsiaTheme="minorHAnsi"/>
          <w:noProof/>
          <w:lang w:eastAsia="en-AU"/>
        </w:rPr>
        <w:t xml:space="preserve">urrently a divide </w:t>
      </w:r>
      <w:r w:rsidR="00FC7F95">
        <w:rPr>
          <w:rFonts w:eastAsiaTheme="minorHAnsi"/>
          <w:noProof/>
          <w:lang w:eastAsia="en-AU"/>
        </w:rPr>
        <w:t xml:space="preserve">exists </w:t>
      </w:r>
      <w:r w:rsidR="00AB7B2C">
        <w:rPr>
          <w:rFonts w:eastAsiaTheme="minorHAnsi"/>
          <w:noProof/>
          <w:lang w:eastAsia="en-AU"/>
        </w:rPr>
        <w:t>in</w:t>
      </w:r>
      <w:r w:rsidRPr="00962A08">
        <w:rPr>
          <w:rFonts w:eastAsiaTheme="minorHAnsi"/>
          <w:noProof/>
          <w:lang w:eastAsia="en-AU"/>
        </w:rPr>
        <w:t xml:space="preserve"> the </w:t>
      </w:r>
      <w:r w:rsidR="006D5839">
        <w:rPr>
          <w:rFonts w:eastAsiaTheme="minorHAnsi"/>
          <w:noProof/>
          <w:lang w:eastAsia="en-AU"/>
        </w:rPr>
        <w:t>language</w:t>
      </w:r>
      <w:r w:rsidRPr="00962A08">
        <w:rPr>
          <w:rFonts w:eastAsiaTheme="minorHAnsi"/>
          <w:noProof/>
          <w:lang w:eastAsia="en-AU"/>
        </w:rPr>
        <w:t xml:space="preserve"> employers </w:t>
      </w:r>
      <w:r w:rsidR="006D5839">
        <w:rPr>
          <w:rFonts w:eastAsiaTheme="minorHAnsi"/>
          <w:noProof/>
          <w:lang w:eastAsia="en-AU"/>
        </w:rPr>
        <w:t xml:space="preserve">use to </w:t>
      </w:r>
      <w:r w:rsidRPr="00962A08">
        <w:rPr>
          <w:rFonts w:eastAsiaTheme="minorHAnsi"/>
          <w:noProof/>
          <w:lang w:eastAsia="en-AU"/>
        </w:rPr>
        <w:t xml:space="preserve">describe skills and </w:t>
      </w:r>
      <w:r w:rsidR="006D5839">
        <w:rPr>
          <w:rFonts w:eastAsiaTheme="minorHAnsi"/>
          <w:noProof/>
          <w:lang w:eastAsia="en-AU"/>
        </w:rPr>
        <w:t>that</w:t>
      </w:r>
      <w:r w:rsidRPr="00962A08">
        <w:rPr>
          <w:rFonts w:eastAsiaTheme="minorHAnsi"/>
          <w:noProof/>
          <w:lang w:eastAsia="en-AU"/>
        </w:rPr>
        <w:t xml:space="preserve"> used in qualifications and training. Having consistency in the language will help to ensure </w:t>
      </w:r>
      <w:r w:rsidR="006D5839">
        <w:rPr>
          <w:rFonts w:eastAsiaTheme="minorHAnsi"/>
          <w:noProof/>
          <w:lang w:eastAsia="en-AU"/>
        </w:rPr>
        <w:t xml:space="preserve">that </w:t>
      </w:r>
      <w:r w:rsidRPr="00962A08">
        <w:rPr>
          <w:rFonts w:eastAsiaTheme="minorHAnsi"/>
          <w:noProof/>
          <w:lang w:eastAsia="en-AU"/>
        </w:rPr>
        <w:t xml:space="preserve">employers and education providers </w:t>
      </w:r>
      <w:r w:rsidR="00EB33C2">
        <w:rPr>
          <w:rFonts w:eastAsiaTheme="minorHAnsi"/>
          <w:noProof/>
          <w:lang w:eastAsia="en-AU"/>
        </w:rPr>
        <w:t xml:space="preserve">have </w:t>
      </w:r>
      <w:r w:rsidR="00AB7FCC">
        <w:rPr>
          <w:rFonts w:eastAsiaTheme="minorHAnsi"/>
          <w:noProof/>
          <w:lang w:eastAsia="en-AU"/>
        </w:rPr>
        <w:t>the same</w:t>
      </w:r>
      <w:r w:rsidR="00D95CE4">
        <w:rPr>
          <w:rFonts w:eastAsiaTheme="minorHAnsi"/>
          <w:noProof/>
          <w:lang w:eastAsia="en-AU"/>
        </w:rPr>
        <w:t xml:space="preserve"> unders</w:t>
      </w:r>
      <w:r w:rsidR="00AB7FCC">
        <w:rPr>
          <w:rFonts w:eastAsiaTheme="minorHAnsi"/>
          <w:noProof/>
          <w:lang w:eastAsia="en-AU"/>
        </w:rPr>
        <w:t>tanding</w:t>
      </w:r>
      <w:r w:rsidR="00AF0335">
        <w:rPr>
          <w:rFonts w:eastAsiaTheme="minorHAnsi"/>
          <w:noProof/>
          <w:lang w:eastAsia="en-AU"/>
        </w:rPr>
        <w:t xml:space="preserve"> </w:t>
      </w:r>
      <w:r w:rsidR="00C45E37">
        <w:rPr>
          <w:rFonts w:eastAsiaTheme="minorHAnsi"/>
          <w:noProof/>
          <w:lang w:eastAsia="en-AU"/>
        </w:rPr>
        <w:t>of the skills</w:t>
      </w:r>
      <w:r w:rsidRPr="00962A08">
        <w:rPr>
          <w:rFonts w:eastAsiaTheme="minorHAnsi"/>
          <w:noProof/>
          <w:lang w:eastAsia="en-AU"/>
        </w:rPr>
        <w:t xml:space="preserve"> (Digital Skills Qualifications </w:t>
      </w:r>
      <w:r w:rsidRPr="00AD2774">
        <w:rPr>
          <w:rFonts w:eastAsiaTheme="minorHAnsi"/>
        </w:rPr>
        <w:t>Review</w:t>
      </w:r>
      <w:r w:rsidRPr="00962A08">
        <w:rPr>
          <w:rFonts w:eastAsiaTheme="minorHAnsi"/>
          <w:noProof/>
          <w:lang w:eastAsia="en-AU"/>
        </w:rPr>
        <w:t xml:space="preserve"> Steering Group 2016). This </w:t>
      </w:r>
      <w:r w:rsidR="00F77478">
        <w:rPr>
          <w:rFonts w:eastAsiaTheme="minorHAnsi"/>
          <w:noProof/>
          <w:lang w:eastAsia="en-AU"/>
        </w:rPr>
        <w:t xml:space="preserve">issue </w:t>
      </w:r>
      <w:r w:rsidRPr="00962A08">
        <w:rPr>
          <w:rFonts w:eastAsiaTheme="minorHAnsi"/>
          <w:noProof/>
          <w:lang w:eastAsia="en-AU"/>
        </w:rPr>
        <w:t>was also raised by Gekara et al</w:t>
      </w:r>
      <w:r w:rsidR="001C3C8B">
        <w:rPr>
          <w:rFonts w:eastAsiaTheme="minorHAnsi"/>
          <w:noProof/>
          <w:lang w:eastAsia="en-AU"/>
        </w:rPr>
        <w:t>.</w:t>
      </w:r>
      <w:r w:rsidRPr="00962A08">
        <w:rPr>
          <w:rFonts w:eastAsiaTheme="minorHAnsi"/>
          <w:noProof/>
          <w:lang w:eastAsia="en-AU"/>
        </w:rPr>
        <w:t xml:space="preserve"> (2017, p.8) </w:t>
      </w:r>
      <w:r w:rsidR="001C3C8B">
        <w:rPr>
          <w:rFonts w:eastAsiaTheme="minorHAnsi"/>
          <w:noProof/>
          <w:lang w:eastAsia="en-AU"/>
        </w:rPr>
        <w:t xml:space="preserve">in relation to </w:t>
      </w:r>
      <w:r w:rsidRPr="00962A08">
        <w:rPr>
          <w:rFonts w:eastAsiaTheme="minorHAnsi"/>
          <w:noProof/>
          <w:lang w:eastAsia="en-AU"/>
        </w:rPr>
        <w:t>the Australian system</w:t>
      </w:r>
      <w:r w:rsidR="00F14609">
        <w:rPr>
          <w:rFonts w:eastAsiaTheme="minorHAnsi"/>
          <w:noProof/>
          <w:lang w:eastAsia="en-AU"/>
        </w:rPr>
        <w:t>:</w:t>
      </w:r>
      <w:r w:rsidRPr="00962A08">
        <w:rPr>
          <w:rFonts w:eastAsiaTheme="minorHAnsi"/>
          <w:noProof/>
          <w:lang w:eastAsia="en-AU"/>
        </w:rPr>
        <w:t xml:space="preserve"> they noted that employers failing to clearly articulate skill needs leads to a basic and open interpretation of technical content by training package developers.</w:t>
      </w:r>
    </w:p>
    <w:p w14:paraId="1EC254B8" w14:textId="78A49A40" w:rsidR="00AD2774" w:rsidRPr="00962A08" w:rsidRDefault="00AD2774" w:rsidP="00AD2774">
      <w:pPr>
        <w:pStyle w:val="Dotpoint1"/>
        <w:rPr>
          <w:rFonts w:eastAsiaTheme="minorHAnsi"/>
          <w:noProof/>
          <w:lang w:eastAsia="en-AU"/>
        </w:rPr>
      </w:pPr>
      <w:r>
        <w:rPr>
          <w:rFonts w:eastAsiaTheme="minorHAnsi"/>
          <w:i/>
          <w:noProof/>
          <w:lang w:eastAsia="en-AU"/>
        </w:rPr>
        <w:lastRenderedPageBreak/>
        <w:t xml:space="preserve"> </w:t>
      </w:r>
      <w:r w:rsidRPr="00962A08">
        <w:rPr>
          <w:rFonts w:eastAsiaTheme="minorHAnsi"/>
          <w:i/>
          <w:noProof/>
          <w:lang w:eastAsia="en-AU"/>
        </w:rPr>
        <w:t>Partnering with employers</w:t>
      </w:r>
      <w:r w:rsidR="000C4FA1">
        <w:rPr>
          <w:rFonts w:eastAsiaTheme="minorHAnsi"/>
          <w:noProof/>
          <w:lang w:eastAsia="en-AU"/>
        </w:rPr>
        <w:t>:</w:t>
      </w:r>
      <w:r w:rsidRPr="00962A08">
        <w:rPr>
          <w:rFonts w:eastAsiaTheme="minorHAnsi"/>
          <w:noProof/>
          <w:lang w:eastAsia="en-AU"/>
        </w:rPr>
        <w:t xml:space="preserve"> VET organisations and businesses should work together to improve cooperation in </w:t>
      </w:r>
      <w:r w:rsidR="00FD27CE">
        <w:rPr>
          <w:rFonts w:eastAsiaTheme="minorHAnsi"/>
          <w:noProof/>
          <w:lang w:eastAsia="en-AU"/>
        </w:rPr>
        <w:t>the</w:t>
      </w:r>
      <w:r w:rsidR="006C404D">
        <w:rPr>
          <w:rFonts w:eastAsiaTheme="minorHAnsi"/>
          <w:noProof/>
          <w:lang w:eastAsia="en-AU"/>
        </w:rPr>
        <w:t xml:space="preserve"> process of </w:t>
      </w:r>
      <w:r w:rsidRPr="00962A08">
        <w:rPr>
          <w:rFonts w:eastAsiaTheme="minorHAnsi"/>
          <w:noProof/>
          <w:lang w:eastAsia="en-AU"/>
        </w:rPr>
        <w:t xml:space="preserve">building digital skills </w:t>
      </w:r>
      <w:r w:rsidR="000C4FA1">
        <w:rPr>
          <w:rFonts w:eastAsiaTheme="minorHAnsi"/>
        </w:rPr>
        <w:t>by</w:t>
      </w:r>
      <w:r w:rsidRPr="00962A08">
        <w:rPr>
          <w:rFonts w:eastAsiaTheme="minorHAnsi"/>
          <w:noProof/>
          <w:lang w:eastAsia="en-AU"/>
        </w:rPr>
        <w:t xml:space="preserve"> </w:t>
      </w:r>
      <w:r w:rsidR="005101DC">
        <w:rPr>
          <w:rFonts w:eastAsiaTheme="minorHAnsi"/>
          <w:noProof/>
          <w:lang w:eastAsia="en-AU"/>
        </w:rPr>
        <w:t>ensuring that each has</w:t>
      </w:r>
      <w:r w:rsidRPr="00962A08">
        <w:rPr>
          <w:rFonts w:eastAsiaTheme="minorHAnsi"/>
          <w:noProof/>
          <w:lang w:eastAsia="en-AU"/>
        </w:rPr>
        <w:t xml:space="preserve"> input into curriculum and VET delivery (Vroonhof et al</w:t>
      </w:r>
      <w:r w:rsidR="006C404D">
        <w:rPr>
          <w:rFonts w:eastAsiaTheme="minorHAnsi"/>
          <w:noProof/>
          <w:lang w:eastAsia="en-AU"/>
        </w:rPr>
        <w:t>.</w:t>
      </w:r>
      <w:r w:rsidRPr="00962A08">
        <w:rPr>
          <w:rFonts w:eastAsiaTheme="minorHAnsi"/>
          <w:noProof/>
          <w:lang w:eastAsia="en-AU"/>
        </w:rPr>
        <w:t xml:space="preserve"> 2017). Strong partnerships also have the potential to improve the quality and attractiveness of VET (Vroonhof et al</w:t>
      </w:r>
      <w:r w:rsidR="006C404D">
        <w:rPr>
          <w:rFonts w:eastAsiaTheme="minorHAnsi"/>
          <w:noProof/>
          <w:lang w:eastAsia="en-AU"/>
        </w:rPr>
        <w:t>.</w:t>
      </w:r>
      <w:r w:rsidRPr="00962A08">
        <w:rPr>
          <w:rFonts w:eastAsiaTheme="minorHAnsi"/>
          <w:noProof/>
          <w:lang w:eastAsia="en-AU"/>
        </w:rPr>
        <w:t xml:space="preserve"> 2017). This </w:t>
      </w:r>
      <w:r w:rsidR="00C66E0C">
        <w:rPr>
          <w:rFonts w:eastAsiaTheme="minorHAnsi"/>
          <w:noProof/>
          <w:lang w:eastAsia="en-AU"/>
        </w:rPr>
        <w:t>appr</w:t>
      </w:r>
      <w:r w:rsidR="007C36EE">
        <w:rPr>
          <w:rFonts w:eastAsiaTheme="minorHAnsi"/>
          <w:noProof/>
          <w:lang w:eastAsia="en-AU"/>
        </w:rPr>
        <w:t xml:space="preserve">oach has been </w:t>
      </w:r>
      <w:r w:rsidR="00A01E00">
        <w:rPr>
          <w:rFonts w:eastAsiaTheme="minorHAnsi"/>
          <w:noProof/>
          <w:lang w:eastAsia="en-AU"/>
        </w:rPr>
        <w:t>adopted</w:t>
      </w:r>
      <w:r w:rsidRPr="00962A08">
        <w:rPr>
          <w:rFonts w:eastAsiaTheme="minorHAnsi"/>
          <w:noProof/>
          <w:lang w:eastAsia="en-AU"/>
        </w:rPr>
        <w:t xml:space="preserve"> </w:t>
      </w:r>
      <w:r w:rsidR="00424A46">
        <w:rPr>
          <w:rFonts w:eastAsiaTheme="minorHAnsi"/>
          <w:noProof/>
          <w:lang w:eastAsia="en-AU"/>
        </w:rPr>
        <w:t>with</w:t>
      </w:r>
      <w:r w:rsidRPr="00962A08">
        <w:rPr>
          <w:rFonts w:eastAsiaTheme="minorHAnsi"/>
          <w:noProof/>
          <w:lang w:eastAsia="en-AU"/>
        </w:rPr>
        <w:t xml:space="preserve"> the UK strategy to introduce </w:t>
      </w:r>
      <w:r w:rsidR="00A01E00" w:rsidRPr="00962A08">
        <w:rPr>
          <w:rFonts w:eastAsiaTheme="minorHAnsi"/>
          <w:noProof/>
          <w:lang w:eastAsia="en-AU"/>
        </w:rPr>
        <w:t xml:space="preserve">digital skills partnerships </w:t>
      </w:r>
      <w:r w:rsidRPr="00962A08">
        <w:rPr>
          <w:rFonts w:eastAsiaTheme="minorHAnsi"/>
          <w:noProof/>
          <w:lang w:eastAsia="en-AU"/>
        </w:rPr>
        <w:t>between government, industry and education providers</w:t>
      </w:r>
      <w:r w:rsidR="00491CD3">
        <w:rPr>
          <w:rFonts w:eastAsiaTheme="minorHAnsi"/>
          <w:noProof/>
          <w:lang w:eastAsia="en-AU"/>
        </w:rPr>
        <w:t>, the aim being</w:t>
      </w:r>
      <w:r w:rsidRPr="00962A08">
        <w:rPr>
          <w:rFonts w:eastAsiaTheme="minorHAnsi"/>
          <w:noProof/>
          <w:lang w:eastAsia="en-AU"/>
        </w:rPr>
        <w:t xml:space="preserve"> to improve </w:t>
      </w:r>
      <w:r w:rsidR="00F62074">
        <w:rPr>
          <w:rFonts w:eastAsiaTheme="minorHAnsi"/>
          <w:noProof/>
          <w:lang w:eastAsia="en-AU"/>
        </w:rPr>
        <w:t xml:space="preserve">both the </w:t>
      </w:r>
      <w:r w:rsidRPr="00962A08">
        <w:rPr>
          <w:rFonts w:eastAsiaTheme="minorHAnsi"/>
          <w:noProof/>
          <w:lang w:eastAsia="en-AU"/>
        </w:rPr>
        <w:t>coherence of digital skills provision and the training on offer (I</w:t>
      </w:r>
      <w:r w:rsidR="00D973AB">
        <w:rPr>
          <w:rFonts w:eastAsiaTheme="minorHAnsi"/>
          <w:noProof/>
          <w:lang w:eastAsia="en-AU"/>
        </w:rPr>
        <w:t xml:space="preserve">nnovation </w:t>
      </w:r>
      <w:r w:rsidR="002E73ED">
        <w:rPr>
          <w:rFonts w:eastAsiaTheme="minorHAnsi"/>
          <w:noProof/>
          <w:lang w:eastAsia="en-AU"/>
        </w:rPr>
        <w:t>&amp; Business Skills Australia</w:t>
      </w:r>
      <w:r w:rsidRPr="00962A08">
        <w:rPr>
          <w:rFonts w:eastAsiaTheme="minorHAnsi"/>
          <w:noProof/>
          <w:lang w:eastAsia="en-AU"/>
        </w:rPr>
        <w:t xml:space="preserve"> </w:t>
      </w:r>
      <w:r w:rsidR="00721170">
        <w:rPr>
          <w:rFonts w:eastAsiaTheme="minorHAnsi"/>
          <w:noProof/>
          <w:lang w:eastAsia="en-AU"/>
        </w:rPr>
        <w:t xml:space="preserve">[IBSA] </w:t>
      </w:r>
      <w:r w:rsidRPr="00962A08">
        <w:rPr>
          <w:rFonts w:eastAsiaTheme="minorHAnsi"/>
          <w:noProof/>
          <w:lang w:eastAsia="en-AU"/>
        </w:rPr>
        <w:t>2017</w:t>
      </w:r>
      <w:r w:rsidR="007465C1">
        <w:rPr>
          <w:rFonts w:eastAsiaTheme="minorHAnsi"/>
          <w:noProof/>
          <w:lang w:eastAsia="en-AU"/>
        </w:rPr>
        <w:t>,</w:t>
      </w:r>
      <w:r w:rsidRPr="00962A08">
        <w:rPr>
          <w:rFonts w:eastAsiaTheme="minorHAnsi"/>
          <w:noProof/>
          <w:lang w:eastAsia="en-AU"/>
        </w:rPr>
        <w:t xml:space="preserve"> Field &amp; Langwell attachment).</w:t>
      </w:r>
    </w:p>
    <w:p w14:paraId="2038EC0A" w14:textId="38136677"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962A08">
        <w:rPr>
          <w:rFonts w:eastAsiaTheme="minorHAnsi"/>
          <w:i/>
          <w:noProof/>
          <w:lang w:eastAsia="en-AU"/>
        </w:rPr>
        <w:t>Regularly updating training content</w:t>
      </w:r>
      <w:r w:rsidR="00276B89">
        <w:rPr>
          <w:rFonts w:eastAsiaTheme="minorHAnsi"/>
          <w:noProof/>
          <w:lang w:eastAsia="en-AU"/>
        </w:rPr>
        <w:t>: a</w:t>
      </w:r>
      <w:r w:rsidRPr="00962A08">
        <w:rPr>
          <w:rFonts w:eastAsiaTheme="minorHAnsi"/>
          <w:noProof/>
          <w:lang w:eastAsia="en-AU"/>
        </w:rPr>
        <w:t xml:space="preserve"> common theme presented in the literature is the need for digital skills training content to be adaptable and </w:t>
      </w:r>
      <w:r w:rsidR="00276B89">
        <w:rPr>
          <w:rFonts w:eastAsiaTheme="minorHAnsi"/>
          <w:noProof/>
          <w:lang w:eastAsia="en-AU"/>
        </w:rPr>
        <w:t>have the capacity</w:t>
      </w:r>
      <w:r w:rsidRPr="00962A08">
        <w:rPr>
          <w:rFonts w:eastAsiaTheme="minorHAnsi"/>
          <w:noProof/>
          <w:lang w:eastAsia="en-AU"/>
        </w:rPr>
        <w:t xml:space="preserve"> to be updated quickly. The case studies presented in Orlik (2018) all advocated for the regular revision of curriculum to </w:t>
      </w:r>
      <w:r w:rsidR="00EA4FB3">
        <w:rPr>
          <w:rFonts w:eastAsiaTheme="minorHAnsi"/>
          <w:noProof/>
          <w:lang w:eastAsia="en-AU"/>
        </w:rPr>
        <w:t>keep abreast</w:t>
      </w:r>
      <w:r w:rsidRPr="00962A08">
        <w:rPr>
          <w:rFonts w:eastAsiaTheme="minorHAnsi"/>
          <w:noProof/>
          <w:lang w:eastAsia="en-AU"/>
        </w:rPr>
        <w:t xml:space="preserve"> of technological advances</w:t>
      </w:r>
      <w:r w:rsidR="009E402E">
        <w:rPr>
          <w:rFonts w:eastAsiaTheme="minorHAnsi"/>
          <w:noProof/>
          <w:lang w:eastAsia="en-AU"/>
        </w:rPr>
        <w:t>,</w:t>
      </w:r>
      <w:r w:rsidRPr="00962A08">
        <w:rPr>
          <w:rFonts w:eastAsiaTheme="minorHAnsi"/>
          <w:noProof/>
          <w:lang w:eastAsia="en-AU"/>
        </w:rPr>
        <w:t xml:space="preserve"> with some programs undertaking this task twice per year. However, it is noted that </w:t>
      </w:r>
      <w:r w:rsidR="00CE63D2">
        <w:rPr>
          <w:rFonts w:eastAsiaTheme="minorHAnsi"/>
          <w:noProof/>
          <w:lang w:eastAsia="en-AU"/>
        </w:rPr>
        <w:t>‘</w:t>
      </w:r>
      <w:r w:rsidRPr="00962A08">
        <w:rPr>
          <w:rFonts w:eastAsiaTheme="minorHAnsi"/>
          <w:noProof/>
          <w:lang w:eastAsia="en-AU"/>
        </w:rPr>
        <w:t>the frequent revision of curricula is a challenge for traditional forms of accreditation</w:t>
      </w:r>
      <w:r w:rsidR="00CE63D2">
        <w:rPr>
          <w:rFonts w:eastAsiaTheme="minorHAnsi"/>
          <w:noProof/>
          <w:lang w:eastAsia="en-AU"/>
        </w:rPr>
        <w:t>’</w:t>
      </w:r>
      <w:r w:rsidRPr="00962A08">
        <w:rPr>
          <w:rFonts w:eastAsiaTheme="minorHAnsi"/>
          <w:noProof/>
          <w:lang w:eastAsia="en-AU"/>
        </w:rPr>
        <w:t xml:space="preserve"> (Orlik 2018, p.28). In Singapore, more modularised training programs for digital skills</w:t>
      </w:r>
      <w:r w:rsidR="00FF21AD">
        <w:rPr>
          <w:rFonts w:eastAsiaTheme="minorHAnsi"/>
          <w:noProof/>
          <w:lang w:eastAsia="en-AU"/>
        </w:rPr>
        <w:t xml:space="preserve"> </w:t>
      </w:r>
      <w:r w:rsidR="001D67CF">
        <w:rPr>
          <w:rFonts w:eastAsiaTheme="minorHAnsi"/>
          <w:noProof/>
          <w:lang w:eastAsia="en-AU"/>
        </w:rPr>
        <w:t>are</w:t>
      </w:r>
      <w:r w:rsidR="00FF21AD">
        <w:rPr>
          <w:rFonts w:eastAsiaTheme="minorHAnsi"/>
          <w:noProof/>
          <w:lang w:eastAsia="en-AU"/>
        </w:rPr>
        <w:t xml:space="preserve"> being supported</w:t>
      </w:r>
      <w:r w:rsidRPr="00962A08">
        <w:rPr>
          <w:rFonts w:eastAsiaTheme="minorHAnsi"/>
          <w:noProof/>
          <w:lang w:eastAsia="en-AU"/>
        </w:rPr>
        <w:t xml:space="preserve"> (IBSA 2017</w:t>
      </w:r>
      <w:r w:rsidR="007465C1">
        <w:rPr>
          <w:rFonts w:eastAsiaTheme="minorHAnsi"/>
          <w:noProof/>
          <w:lang w:eastAsia="en-AU"/>
        </w:rPr>
        <w:t>,</w:t>
      </w:r>
      <w:r w:rsidRPr="00962A08">
        <w:rPr>
          <w:rFonts w:eastAsiaTheme="minorHAnsi"/>
          <w:noProof/>
          <w:lang w:eastAsia="en-AU"/>
        </w:rPr>
        <w:t xml:space="preserve"> Field &amp; Langwell attachment).</w:t>
      </w:r>
    </w:p>
    <w:p w14:paraId="42C40344" w14:textId="1B130B58"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962A08">
        <w:rPr>
          <w:rFonts w:eastAsiaTheme="minorHAnsi"/>
          <w:i/>
          <w:noProof/>
          <w:lang w:eastAsia="en-AU"/>
        </w:rPr>
        <w:t>Covering digital skills at all levels</w:t>
      </w:r>
      <w:r w:rsidR="00365398">
        <w:rPr>
          <w:rFonts w:eastAsiaTheme="minorHAnsi"/>
          <w:noProof/>
          <w:lang w:eastAsia="en-AU"/>
        </w:rPr>
        <w:t>:</w:t>
      </w:r>
      <w:r w:rsidRPr="00962A08">
        <w:rPr>
          <w:rFonts w:eastAsiaTheme="minorHAnsi"/>
          <w:noProof/>
          <w:lang w:eastAsia="en-AU"/>
        </w:rPr>
        <w:t xml:space="preserve"> </w:t>
      </w:r>
      <w:r w:rsidR="00365398">
        <w:rPr>
          <w:rFonts w:eastAsiaTheme="minorHAnsi"/>
          <w:noProof/>
          <w:lang w:eastAsia="en-AU"/>
        </w:rPr>
        <w:t>t</w:t>
      </w:r>
      <w:r w:rsidRPr="00962A08">
        <w:rPr>
          <w:rFonts w:eastAsiaTheme="minorHAnsi"/>
          <w:noProof/>
          <w:lang w:eastAsia="en-AU"/>
        </w:rPr>
        <w:t>he U</w:t>
      </w:r>
      <w:r w:rsidR="00E66BC9">
        <w:rPr>
          <w:rFonts w:eastAsiaTheme="minorHAnsi"/>
          <w:noProof/>
          <w:lang w:eastAsia="en-AU"/>
        </w:rPr>
        <w:t>nited Kingdom’s</w:t>
      </w:r>
      <w:r w:rsidRPr="00962A08">
        <w:rPr>
          <w:rFonts w:eastAsiaTheme="minorHAnsi"/>
          <w:noProof/>
          <w:lang w:eastAsia="en-AU"/>
        </w:rPr>
        <w:t xml:space="preserve"> Digital Skills Qualifications Review Steering Group (2016) pointed to the need to ensure support for the development of digital skills at all levels </w:t>
      </w:r>
      <w:r w:rsidR="00E66BC9">
        <w:rPr>
          <w:rFonts w:eastAsiaTheme="minorHAnsi"/>
          <w:noProof/>
          <w:lang w:eastAsia="en-AU"/>
        </w:rPr>
        <w:t>—</w:t>
      </w:r>
      <w:r w:rsidRPr="00962A08">
        <w:rPr>
          <w:rFonts w:eastAsiaTheme="minorHAnsi"/>
          <w:noProof/>
          <w:lang w:eastAsia="en-AU"/>
        </w:rPr>
        <w:t xml:space="preserve"> basic, general/intermediate and advanced/</w:t>
      </w:r>
      <w:r w:rsidRPr="00AD2774">
        <w:rPr>
          <w:rFonts w:eastAsiaTheme="minorHAnsi"/>
        </w:rPr>
        <w:t>specialist</w:t>
      </w:r>
      <w:r w:rsidRPr="00962A08">
        <w:rPr>
          <w:rFonts w:eastAsiaTheme="minorHAnsi"/>
          <w:noProof/>
          <w:lang w:eastAsia="en-AU"/>
        </w:rPr>
        <w:t xml:space="preserve"> </w:t>
      </w:r>
      <w:r w:rsidR="00E66BC9">
        <w:rPr>
          <w:rFonts w:eastAsiaTheme="minorHAnsi"/>
          <w:noProof/>
          <w:lang w:eastAsia="en-AU"/>
        </w:rPr>
        <w:t>—</w:t>
      </w:r>
      <w:r w:rsidRPr="00962A08">
        <w:rPr>
          <w:rFonts w:eastAsiaTheme="minorHAnsi"/>
          <w:noProof/>
          <w:lang w:eastAsia="en-AU"/>
        </w:rPr>
        <w:t xml:space="preserve"> as well as </w:t>
      </w:r>
      <w:r w:rsidR="008B5465">
        <w:rPr>
          <w:rFonts w:eastAsiaTheme="minorHAnsi"/>
          <w:noProof/>
          <w:lang w:eastAsia="en-AU"/>
        </w:rPr>
        <w:t xml:space="preserve">providing </w:t>
      </w:r>
      <w:r w:rsidRPr="00962A08">
        <w:rPr>
          <w:rFonts w:eastAsiaTheme="minorHAnsi"/>
          <w:noProof/>
          <w:lang w:eastAsia="en-AU"/>
        </w:rPr>
        <w:t xml:space="preserve">the </w:t>
      </w:r>
      <w:r w:rsidR="00A475DF">
        <w:rPr>
          <w:rFonts w:eastAsiaTheme="minorHAnsi"/>
          <w:noProof/>
          <w:lang w:eastAsia="en-AU"/>
        </w:rPr>
        <w:t>capacity</w:t>
      </w:r>
      <w:r w:rsidRPr="00962A08">
        <w:rPr>
          <w:rFonts w:eastAsiaTheme="minorHAnsi"/>
          <w:noProof/>
          <w:lang w:eastAsia="en-AU"/>
        </w:rPr>
        <w:t xml:space="preserve"> </w:t>
      </w:r>
      <w:r w:rsidR="00A715E7">
        <w:rPr>
          <w:rFonts w:eastAsiaTheme="minorHAnsi"/>
          <w:noProof/>
          <w:lang w:eastAsia="en-AU"/>
        </w:rPr>
        <w:t>for</w:t>
      </w:r>
      <w:r w:rsidRPr="00962A08">
        <w:rPr>
          <w:rFonts w:eastAsiaTheme="minorHAnsi"/>
          <w:noProof/>
          <w:lang w:eastAsia="en-AU"/>
        </w:rPr>
        <w:t xml:space="preserve"> progress</w:t>
      </w:r>
      <w:r w:rsidR="00A715E7">
        <w:rPr>
          <w:rFonts w:eastAsiaTheme="minorHAnsi"/>
          <w:noProof/>
          <w:lang w:eastAsia="en-AU"/>
        </w:rPr>
        <w:t>ion to</w:t>
      </w:r>
      <w:r w:rsidR="00475CC0">
        <w:rPr>
          <w:rFonts w:eastAsiaTheme="minorHAnsi"/>
          <w:noProof/>
          <w:lang w:eastAsia="en-AU"/>
        </w:rPr>
        <w:t xml:space="preserve"> higher levels</w:t>
      </w:r>
      <w:r w:rsidRPr="00962A08">
        <w:rPr>
          <w:rFonts w:eastAsiaTheme="minorHAnsi"/>
          <w:noProof/>
          <w:lang w:eastAsia="en-AU"/>
        </w:rPr>
        <w:t>. In Canada, Huynh and Malli (2018) noted that there is currently a lack of intermediate</w:t>
      </w:r>
      <w:r w:rsidR="0046257F">
        <w:rPr>
          <w:rFonts w:eastAsiaTheme="minorHAnsi"/>
          <w:noProof/>
          <w:lang w:eastAsia="en-AU"/>
        </w:rPr>
        <w:t>-</w:t>
      </w:r>
      <w:r w:rsidRPr="00962A08">
        <w:rPr>
          <w:rFonts w:eastAsiaTheme="minorHAnsi"/>
          <w:noProof/>
          <w:lang w:eastAsia="en-AU"/>
        </w:rPr>
        <w:t>level courses</w:t>
      </w:r>
      <w:r w:rsidR="0046257F">
        <w:rPr>
          <w:rFonts w:eastAsiaTheme="minorHAnsi"/>
          <w:noProof/>
          <w:lang w:eastAsia="en-AU"/>
        </w:rPr>
        <w:t>, a situation</w:t>
      </w:r>
      <w:r w:rsidRPr="00962A08">
        <w:rPr>
          <w:rFonts w:eastAsiaTheme="minorHAnsi"/>
          <w:noProof/>
          <w:lang w:eastAsia="en-AU"/>
        </w:rPr>
        <w:t xml:space="preserve"> that needs rectif</w:t>
      </w:r>
      <w:r w:rsidR="0046257F">
        <w:rPr>
          <w:rFonts w:eastAsiaTheme="minorHAnsi"/>
          <w:noProof/>
          <w:lang w:eastAsia="en-AU"/>
        </w:rPr>
        <w:t>ying</w:t>
      </w:r>
      <w:r w:rsidRPr="00962A08">
        <w:rPr>
          <w:rFonts w:eastAsiaTheme="minorHAnsi"/>
          <w:noProof/>
          <w:lang w:eastAsia="en-AU"/>
        </w:rPr>
        <w:t>.</w:t>
      </w:r>
    </w:p>
    <w:p w14:paraId="74BE140D" w14:textId="36752BF1"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962A08">
        <w:rPr>
          <w:rFonts w:eastAsiaTheme="minorHAnsi"/>
          <w:i/>
          <w:noProof/>
          <w:lang w:eastAsia="en-AU"/>
        </w:rPr>
        <w:t>Supporting lifelong learning</w:t>
      </w:r>
      <w:r w:rsidR="0046257F">
        <w:rPr>
          <w:rFonts w:eastAsiaTheme="minorHAnsi"/>
          <w:noProof/>
          <w:lang w:eastAsia="en-AU"/>
        </w:rPr>
        <w:t>: t</w:t>
      </w:r>
      <w:r w:rsidRPr="00962A08">
        <w:rPr>
          <w:rFonts w:eastAsiaTheme="minorHAnsi"/>
          <w:noProof/>
          <w:lang w:eastAsia="en-AU"/>
        </w:rPr>
        <w:t>his is</w:t>
      </w:r>
      <w:r w:rsidR="0046257F">
        <w:rPr>
          <w:rFonts w:eastAsiaTheme="minorHAnsi"/>
          <w:noProof/>
          <w:lang w:eastAsia="en-AU"/>
        </w:rPr>
        <w:t>sue</w:t>
      </w:r>
      <w:r w:rsidRPr="00962A08">
        <w:rPr>
          <w:rFonts w:eastAsiaTheme="minorHAnsi"/>
          <w:noProof/>
          <w:lang w:eastAsia="en-AU"/>
        </w:rPr>
        <w:t xml:space="preserve"> </w:t>
      </w:r>
      <w:r w:rsidR="00404192">
        <w:rPr>
          <w:rFonts w:eastAsiaTheme="minorHAnsi"/>
          <w:noProof/>
          <w:lang w:eastAsia="en-AU"/>
        </w:rPr>
        <w:t xml:space="preserve">is </w:t>
      </w:r>
      <w:r w:rsidRPr="00962A08">
        <w:rPr>
          <w:rFonts w:eastAsiaTheme="minorHAnsi"/>
          <w:noProof/>
          <w:lang w:eastAsia="en-AU"/>
        </w:rPr>
        <w:t>of growing importance</w:t>
      </w:r>
      <w:r w:rsidR="002B65B0">
        <w:rPr>
          <w:rFonts w:eastAsiaTheme="minorHAnsi"/>
          <w:noProof/>
          <w:lang w:eastAsia="en-AU"/>
        </w:rPr>
        <w:t>, with</w:t>
      </w:r>
      <w:r w:rsidRPr="00962A08">
        <w:rPr>
          <w:rFonts w:eastAsiaTheme="minorHAnsi"/>
          <w:noProof/>
          <w:lang w:eastAsia="en-AU"/>
        </w:rPr>
        <w:t xml:space="preserve"> the </w:t>
      </w:r>
      <w:r w:rsidR="002B65B0">
        <w:rPr>
          <w:rFonts w:eastAsiaTheme="minorHAnsi"/>
          <w:noProof/>
          <w:lang w:eastAsia="en-AU"/>
        </w:rPr>
        <w:t xml:space="preserve">increasing </w:t>
      </w:r>
      <w:r w:rsidRPr="00962A08">
        <w:rPr>
          <w:rFonts w:eastAsiaTheme="minorHAnsi"/>
          <w:noProof/>
          <w:lang w:eastAsia="en-AU"/>
        </w:rPr>
        <w:t>need to upskill/reskill workers due to technological advances</w:t>
      </w:r>
      <w:r w:rsidR="005935D2">
        <w:rPr>
          <w:rFonts w:eastAsiaTheme="minorHAnsi"/>
          <w:noProof/>
          <w:lang w:eastAsia="en-AU"/>
        </w:rPr>
        <w:t>,</w:t>
      </w:r>
      <w:r w:rsidR="00404192">
        <w:rPr>
          <w:rFonts w:eastAsiaTheme="minorHAnsi"/>
          <w:noProof/>
          <w:lang w:eastAsia="en-AU"/>
        </w:rPr>
        <w:t xml:space="preserve"> and is</w:t>
      </w:r>
      <w:r w:rsidRPr="00962A08">
        <w:rPr>
          <w:rFonts w:eastAsiaTheme="minorHAnsi"/>
          <w:noProof/>
          <w:lang w:eastAsia="en-AU"/>
        </w:rPr>
        <w:t xml:space="preserve"> particularly </w:t>
      </w:r>
      <w:r w:rsidRPr="00AD2774">
        <w:rPr>
          <w:rFonts w:eastAsiaTheme="minorHAnsi"/>
        </w:rPr>
        <w:t>recognised</w:t>
      </w:r>
      <w:r w:rsidRPr="00962A08">
        <w:rPr>
          <w:rFonts w:eastAsiaTheme="minorHAnsi"/>
          <w:noProof/>
          <w:lang w:eastAsia="en-AU"/>
        </w:rPr>
        <w:t xml:space="preserve"> in Germany</w:t>
      </w:r>
      <w:r w:rsidR="00404192">
        <w:rPr>
          <w:rFonts w:eastAsiaTheme="minorHAnsi"/>
          <w:noProof/>
          <w:lang w:eastAsia="en-AU"/>
        </w:rPr>
        <w:t>,</w:t>
      </w:r>
      <w:r w:rsidRPr="00962A08">
        <w:rPr>
          <w:rFonts w:eastAsiaTheme="minorHAnsi"/>
          <w:noProof/>
          <w:lang w:eastAsia="en-AU"/>
        </w:rPr>
        <w:t xml:space="preserve"> where a national strategy to guide lifelong learning</w:t>
      </w:r>
      <w:r w:rsidR="00184C7D">
        <w:rPr>
          <w:rFonts w:eastAsiaTheme="minorHAnsi"/>
          <w:noProof/>
          <w:lang w:eastAsia="en-AU"/>
        </w:rPr>
        <w:t xml:space="preserve"> is being considered</w:t>
      </w:r>
      <w:r w:rsidRPr="00962A08">
        <w:rPr>
          <w:rFonts w:eastAsiaTheme="minorHAnsi"/>
          <w:noProof/>
          <w:lang w:eastAsia="en-AU"/>
        </w:rPr>
        <w:t xml:space="preserve"> (</w:t>
      </w:r>
      <w:r w:rsidR="000646B6">
        <w:rPr>
          <w:rFonts w:eastAsiaTheme="minorHAnsi"/>
          <w:noProof/>
          <w:lang w:eastAsia="en-AU"/>
        </w:rPr>
        <w:t>IBSA</w:t>
      </w:r>
      <w:r w:rsidR="00294E98" w:rsidRPr="00962A08">
        <w:rPr>
          <w:rFonts w:eastAsiaTheme="minorHAnsi"/>
          <w:noProof/>
          <w:lang w:eastAsia="en-AU"/>
        </w:rPr>
        <w:t xml:space="preserve"> 2017</w:t>
      </w:r>
      <w:r w:rsidR="00294E98">
        <w:rPr>
          <w:rFonts w:eastAsiaTheme="minorHAnsi"/>
          <w:noProof/>
          <w:lang w:eastAsia="en-AU"/>
        </w:rPr>
        <w:t>,</w:t>
      </w:r>
      <w:r w:rsidR="00294E98" w:rsidRPr="00962A08">
        <w:rPr>
          <w:rFonts w:eastAsiaTheme="minorHAnsi"/>
          <w:noProof/>
          <w:lang w:eastAsia="en-AU"/>
        </w:rPr>
        <w:t xml:space="preserve"> Field &amp; Langwell attachment</w:t>
      </w:r>
      <w:r w:rsidRPr="00962A08">
        <w:rPr>
          <w:rFonts w:eastAsiaTheme="minorHAnsi"/>
          <w:noProof/>
          <w:lang w:eastAsia="en-AU"/>
        </w:rPr>
        <w:t>).</w:t>
      </w:r>
    </w:p>
    <w:p w14:paraId="3B143A72" w14:textId="76BB57B9"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962A08">
        <w:rPr>
          <w:rFonts w:eastAsiaTheme="minorHAnsi"/>
          <w:i/>
          <w:noProof/>
          <w:lang w:eastAsia="en-AU"/>
        </w:rPr>
        <w:t>Providing flexible training delivery</w:t>
      </w:r>
      <w:r w:rsidR="00184C7D">
        <w:rPr>
          <w:rFonts w:eastAsiaTheme="minorHAnsi"/>
          <w:noProof/>
          <w:lang w:eastAsia="en-AU"/>
        </w:rPr>
        <w:t>:</w:t>
      </w:r>
      <w:r w:rsidRPr="00962A08">
        <w:rPr>
          <w:rFonts w:eastAsiaTheme="minorHAnsi"/>
          <w:noProof/>
          <w:lang w:eastAsia="en-AU"/>
        </w:rPr>
        <w:t xml:space="preserve"> </w:t>
      </w:r>
      <w:r w:rsidR="00184C7D">
        <w:rPr>
          <w:rFonts w:eastAsiaTheme="minorHAnsi"/>
          <w:noProof/>
          <w:lang w:eastAsia="en-AU"/>
        </w:rPr>
        <w:t>o</w:t>
      </w:r>
      <w:r w:rsidRPr="00962A08">
        <w:rPr>
          <w:rFonts w:eastAsiaTheme="minorHAnsi"/>
          <w:noProof/>
          <w:lang w:eastAsia="en-AU"/>
        </w:rPr>
        <w:t xml:space="preserve">n a similar note, delivery of training must be flexible enough to be delivered as </w:t>
      </w:r>
      <w:r w:rsidR="009A4196">
        <w:rPr>
          <w:rFonts w:eastAsiaTheme="minorHAnsi"/>
          <w:noProof/>
          <w:lang w:eastAsia="en-AU"/>
        </w:rPr>
        <w:t>required</w:t>
      </w:r>
      <w:r w:rsidRPr="00962A08">
        <w:rPr>
          <w:rFonts w:eastAsiaTheme="minorHAnsi"/>
          <w:noProof/>
          <w:lang w:eastAsia="en-AU"/>
        </w:rPr>
        <w:t xml:space="preserve"> and </w:t>
      </w:r>
      <w:r w:rsidR="00184C7D">
        <w:rPr>
          <w:rFonts w:eastAsiaTheme="minorHAnsi"/>
          <w:noProof/>
          <w:lang w:eastAsia="en-AU"/>
        </w:rPr>
        <w:t>have the capacity</w:t>
      </w:r>
      <w:r w:rsidRPr="00962A08">
        <w:rPr>
          <w:rFonts w:eastAsiaTheme="minorHAnsi"/>
          <w:noProof/>
          <w:lang w:eastAsia="en-AU"/>
        </w:rPr>
        <w:t xml:space="preserve"> to meet the needs of individuals as they transition through jobs (</w:t>
      </w:r>
      <w:r w:rsidR="00184C7D">
        <w:rPr>
          <w:rFonts w:eastAsiaTheme="minorHAnsi"/>
          <w:noProof/>
          <w:lang w:eastAsia="en-AU"/>
        </w:rPr>
        <w:t>that is,</w:t>
      </w:r>
      <w:r w:rsidRPr="00962A08">
        <w:rPr>
          <w:rFonts w:eastAsiaTheme="minorHAnsi"/>
          <w:noProof/>
          <w:lang w:eastAsia="en-AU"/>
        </w:rPr>
        <w:t xml:space="preserve"> just</w:t>
      </w:r>
      <w:r w:rsidR="00184C7D">
        <w:rPr>
          <w:rFonts w:eastAsiaTheme="minorHAnsi"/>
          <w:noProof/>
          <w:lang w:eastAsia="en-AU"/>
        </w:rPr>
        <w:t>-</w:t>
      </w:r>
      <w:r w:rsidRPr="00962A08">
        <w:rPr>
          <w:rFonts w:eastAsiaTheme="minorHAnsi"/>
          <w:noProof/>
          <w:lang w:eastAsia="en-AU"/>
        </w:rPr>
        <w:t>in</w:t>
      </w:r>
      <w:r w:rsidR="00184C7D">
        <w:rPr>
          <w:rFonts w:eastAsiaTheme="minorHAnsi"/>
          <w:noProof/>
          <w:lang w:eastAsia="en-AU"/>
        </w:rPr>
        <w:t>-</w:t>
      </w:r>
      <w:r w:rsidRPr="00962A08">
        <w:rPr>
          <w:rFonts w:eastAsiaTheme="minorHAnsi"/>
          <w:noProof/>
          <w:lang w:eastAsia="en-AU"/>
        </w:rPr>
        <w:t xml:space="preserve">time training and flexible delivery options) (Digital </w:t>
      </w:r>
      <w:r w:rsidRPr="00AD2774">
        <w:rPr>
          <w:rFonts w:eastAsiaTheme="minorHAnsi"/>
        </w:rPr>
        <w:t>Skills</w:t>
      </w:r>
      <w:r w:rsidRPr="00962A08">
        <w:rPr>
          <w:rFonts w:eastAsiaTheme="minorHAnsi"/>
          <w:noProof/>
          <w:lang w:eastAsia="en-AU"/>
        </w:rPr>
        <w:t xml:space="preserve"> Qualifications Review Steering Group 2016). The training will also need to be flexible enough to </w:t>
      </w:r>
      <w:r w:rsidR="00184C7D">
        <w:rPr>
          <w:rFonts w:eastAsiaTheme="minorHAnsi"/>
          <w:noProof/>
          <w:lang w:eastAsia="en-AU"/>
        </w:rPr>
        <w:t>accommodate</w:t>
      </w:r>
      <w:r w:rsidRPr="00962A08">
        <w:rPr>
          <w:rFonts w:eastAsiaTheme="minorHAnsi"/>
          <w:noProof/>
          <w:lang w:eastAsia="en-AU"/>
        </w:rPr>
        <w:t xml:space="preserve"> ‘business as usual’ (European Commission 2019). This </w:t>
      </w:r>
      <w:r w:rsidR="00AE5D00">
        <w:rPr>
          <w:rFonts w:eastAsiaTheme="minorHAnsi"/>
          <w:noProof/>
          <w:lang w:eastAsia="en-AU"/>
        </w:rPr>
        <w:t>issue has</w:t>
      </w:r>
      <w:r w:rsidRPr="00962A08">
        <w:rPr>
          <w:rFonts w:eastAsiaTheme="minorHAnsi"/>
          <w:noProof/>
          <w:lang w:eastAsia="en-AU"/>
        </w:rPr>
        <w:t xml:space="preserve"> also </w:t>
      </w:r>
      <w:r w:rsidR="004970AF">
        <w:rPr>
          <w:rFonts w:eastAsiaTheme="minorHAnsi"/>
          <w:noProof/>
          <w:lang w:eastAsia="en-AU"/>
        </w:rPr>
        <w:t xml:space="preserve">been </w:t>
      </w:r>
      <w:r w:rsidRPr="00962A08">
        <w:rPr>
          <w:rFonts w:eastAsiaTheme="minorHAnsi"/>
          <w:noProof/>
          <w:lang w:eastAsia="en-AU"/>
        </w:rPr>
        <w:t>raised in the Australian context by Allen, Teodoro and Manley</w:t>
      </w:r>
      <w:r w:rsidR="002C76E2">
        <w:rPr>
          <w:rFonts w:eastAsiaTheme="minorHAnsi"/>
          <w:noProof/>
          <w:lang w:eastAsia="en-AU"/>
        </w:rPr>
        <w:t xml:space="preserve"> </w:t>
      </w:r>
      <w:r w:rsidR="002C76E2" w:rsidRPr="00020210">
        <w:rPr>
          <w:rFonts w:eastAsiaTheme="minorHAnsi"/>
          <w:noProof/>
          <w:lang w:eastAsia="en-AU"/>
        </w:rPr>
        <w:t>(2017, p.32)</w:t>
      </w:r>
      <w:r w:rsidRPr="00962A08">
        <w:rPr>
          <w:rFonts w:eastAsiaTheme="minorHAnsi"/>
          <w:noProof/>
          <w:lang w:eastAsia="en-AU"/>
        </w:rPr>
        <w:t xml:space="preserve"> in </w:t>
      </w:r>
      <w:r w:rsidR="00210AF6">
        <w:rPr>
          <w:rFonts w:eastAsiaTheme="minorHAnsi"/>
          <w:noProof/>
          <w:lang w:eastAsia="en-AU"/>
        </w:rPr>
        <w:t>the context of</w:t>
      </w:r>
      <w:r w:rsidRPr="00962A08">
        <w:rPr>
          <w:rFonts w:eastAsiaTheme="minorHAnsi"/>
          <w:noProof/>
          <w:lang w:eastAsia="en-AU"/>
        </w:rPr>
        <w:t xml:space="preserve"> VET </w:t>
      </w:r>
      <w:r w:rsidR="00EF6D91">
        <w:rPr>
          <w:rFonts w:eastAsiaTheme="minorHAnsi"/>
          <w:noProof/>
          <w:lang w:eastAsia="en-AU"/>
        </w:rPr>
        <w:t>requiring</w:t>
      </w:r>
      <w:r w:rsidRPr="00962A08">
        <w:rPr>
          <w:rFonts w:eastAsiaTheme="minorHAnsi"/>
          <w:noProof/>
          <w:lang w:eastAsia="en-AU"/>
        </w:rPr>
        <w:t xml:space="preserve"> more </w:t>
      </w:r>
      <w:r w:rsidR="002C641F">
        <w:rPr>
          <w:rFonts w:eastAsiaTheme="minorHAnsi"/>
          <w:noProof/>
          <w:lang w:eastAsia="en-AU"/>
        </w:rPr>
        <w:t>flexibility</w:t>
      </w:r>
      <w:r w:rsidRPr="00962A08">
        <w:rPr>
          <w:rFonts w:eastAsiaTheme="minorHAnsi"/>
          <w:noProof/>
          <w:lang w:eastAsia="en-AU"/>
        </w:rPr>
        <w:t xml:space="preserve">: </w:t>
      </w:r>
    </w:p>
    <w:p w14:paraId="12130DD8" w14:textId="54F60CC7" w:rsidR="00AD2774" w:rsidRPr="00020210" w:rsidRDefault="00AD2774" w:rsidP="00AD2774">
      <w:pPr>
        <w:pStyle w:val="Quote"/>
        <w:rPr>
          <w:rFonts w:eastAsiaTheme="minorHAnsi"/>
          <w:noProof/>
          <w:lang w:eastAsia="en-AU"/>
        </w:rPr>
      </w:pPr>
      <w:r w:rsidRPr="00020210">
        <w:rPr>
          <w:rFonts w:eastAsiaTheme="minorHAnsi"/>
          <w:noProof/>
          <w:lang w:eastAsia="en-AU"/>
        </w:rPr>
        <w:t>[there is] the growing expectation that training and education should adjust and cater to individual needs, at the right time, in the right way, and at the right price. To meet these demands a training system that does not delay or hinder continued learning and participation is needed</w:t>
      </w:r>
      <w:r w:rsidR="002C76E2">
        <w:rPr>
          <w:rFonts w:eastAsiaTheme="minorHAnsi"/>
          <w:noProof/>
          <w:lang w:eastAsia="en-AU"/>
        </w:rPr>
        <w:t>.</w:t>
      </w:r>
      <w:r w:rsidRPr="00020210">
        <w:rPr>
          <w:rFonts w:eastAsiaTheme="minorHAnsi"/>
          <w:noProof/>
          <w:lang w:eastAsia="en-AU"/>
        </w:rPr>
        <w:t xml:space="preserve"> </w:t>
      </w:r>
    </w:p>
    <w:p w14:paraId="0006D690" w14:textId="28285D56" w:rsidR="00AD2774" w:rsidRPr="00962A08" w:rsidRDefault="00AD2774" w:rsidP="00AD2774">
      <w:pPr>
        <w:pStyle w:val="Dotpoint1"/>
        <w:numPr>
          <w:ilvl w:val="0"/>
          <w:numId w:val="0"/>
        </w:numPr>
        <w:ind w:left="284"/>
        <w:rPr>
          <w:rFonts w:eastAsiaTheme="minorHAnsi"/>
          <w:noProof/>
          <w:lang w:eastAsia="en-AU"/>
        </w:rPr>
      </w:pPr>
      <w:r w:rsidRPr="00962A08">
        <w:rPr>
          <w:rFonts w:eastAsiaTheme="minorHAnsi"/>
          <w:noProof/>
          <w:lang w:eastAsia="en-AU"/>
        </w:rPr>
        <w:t xml:space="preserve">While recognising the need for </w:t>
      </w:r>
      <w:r w:rsidRPr="00AD2774">
        <w:rPr>
          <w:rFonts w:eastAsiaTheme="minorHAnsi"/>
        </w:rPr>
        <w:t>flexibility</w:t>
      </w:r>
      <w:r w:rsidRPr="00962A08">
        <w:rPr>
          <w:rFonts w:eastAsiaTheme="minorHAnsi"/>
          <w:noProof/>
          <w:lang w:eastAsia="en-AU"/>
        </w:rPr>
        <w:t xml:space="preserve"> to </w:t>
      </w:r>
      <w:r w:rsidR="002C76E2">
        <w:rPr>
          <w:rFonts w:eastAsiaTheme="minorHAnsi"/>
          <w:noProof/>
          <w:lang w:eastAsia="en-AU"/>
        </w:rPr>
        <w:t xml:space="preserve">enable </w:t>
      </w:r>
      <w:r w:rsidR="00CC4543">
        <w:rPr>
          <w:rFonts w:eastAsiaTheme="minorHAnsi"/>
          <w:noProof/>
          <w:lang w:eastAsia="en-AU"/>
        </w:rPr>
        <w:t>a rapid</w:t>
      </w:r>
      <w:r w:rsidR="00B53972">
        <w:rPr>
          <w:rFonts w:eastAsiaTheme="minorHAnsi"/>
          <w:noProof/>
          <w:lang w:eastAsia="en-AU"/>
        </w:rPr>
        <w:t xml:space="preserve"> response </w:t>
      </w:r>
      <w:r w:rsidRPr="00962A08">
        <w:rPr>
          <w:rFonts w:eastAsiaTheme="minorHAnsi"/>
          <w:noProof/>
          <w:lang w:eastAsia="en-AU"/>
        </w:rPr>
        <w:t xml:space="preserve">to changes, Brolpito (2018) </w:t>
      </w:r>
      <w:r w:rsidR="002A62EB">
        <w:rPr>
          <w:rFonts w:eastAsiaTheme="minorHAnsi"/>
          <w:noProof/>
          <w:lang w:eastAsia="en-AU"/>
        </w:rPr>
        <w:t>argues</w:t>
      </w:r>
      <w:r w:rsidRPr="00962A08">
        <w:rPr>
          <w:rFonts w:eastAsiaTheme="minorHAnsi"/>
          <w:noProof/>
          <w:lang w:eastAsia="en-AU"/>
        </w:rPr>
        <w:t xml:space="preserve"> that VET needs to balance this with stability.</w:t>
      </w:r>
    </w:p>
    <w:p w14:paraId="2162038B" w14:textId="7523384D"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962A08">
        <w:rPr>
          <w:rFonts w:eastAsiaTheme="minorHAnsi"/>
          <w:i/>
          <w:noProof/>
          <w:lang w:eastAsia="en-AU"/>
        </w:rPr>
        <w:t>Making digital skills a part of foundation skills</w:t>
      </w:r>
      <w:r w:rsidR="002A62EB">
        <w:rPr>
          <w:rFonts w:eastAsiaTheme="minorHAnsi"/>
          <w:noProof/>
          <w:lang w:eastAsia="en-AU"/>
        </w:rPr>
        <w:t>: d</w:t>
      </w:r>
      <w:r w:rsidRPr="00962A08">
        <w:rPr>
          <w:rFonts w:eastAsiaTheme="minorHAnsi"/>
          <w:noProof/>
          <w:lang w:eastAsia="en-AU"/>
        </w:rPr>
        <w:t xml:space="preserve">igital skills are increasingly seen as fundamental to </w:t>
      </w:r>
      <w:r w:rsidR="00CD4C40">
        <w:rPr>
          <w:rFonts w:eastAsiaTheme="minorHAnsi"/>
          <w:noProof/>
          <w:lang w:eastAsia="en-AU"/>
        </w:rPr>
        <w:t>a number of</w:t>
      </w:r>
      <w:r w:rsidRPr="00962A08">
        <w:rPr>
          <w:rFonts w:eastAsiaTheme="minorHAnsi"/>
          <w:noProof/>
          <w:lang w:eastAsia="en-AU"/>
        </w:rPr>
        <w:t xml:space="preserve"> vocations outside the traditional digitally intense occupations (</w:t>
      </w:r>
      <w:r w:rsidR="002A62EB">
        <w:rPr>
          <w:rFonts w:eastAsiaTheme="minorHAnsi"/>
          <w:noProof/>
          <w:lang w:eastAsia="en-AU"/>
        </w:rPr>
        <w:t>for example,</w:t>
      </w:r>
      <w:r w:rsidRPr="00962A08">
        <w:rPr>
          <w:rFonts w:eastAsiaTheme="minorHAnsi"/>
          <w:noProof/>
          <w:lang w:eastAsia="en-AU"/>
        </w:rPr>
        <w:t xml:space="preserve"> ICT</w:t>
      </w:r>
      <w:r w:rsidR="00CD4C40">
        <w:rPr>
          <w:rFonts w:eastAsiaTheme="minorHAnsi"/>
          <w:noProof/>
          <w:lang w:eastAsia="en-AU"/>
        </w:rPr>
        <w:t>-</w:t>
      </w:r>
      <w:r w:rsidRPr="00962A08">
        <w:rPr>
          <w:rFonts w:eastAsiaTheme="minorHAnsi"/>
          <w:noProof/>
          <w:lang w:eastAsia="en-AU"/>
        </w:rPr>
        <w:t xml:space="preserve">related) and as </w:t>
      </w:r>
      <w:r w:rsidRPr="00AD2774">
        <w:rPr>
          <w:rFonts w:eastAsiaTheme="minorHAnsi"/>
        </w:rPr>
        <w:t>such</w:t>
      </w:r>
      <w:r w:rsidRPr="00962A08">
        <w:rPr>
          <w:rFonts w:eastAsiaTheme="minorHAnsi"/>
          <w:noProof/>
          <w:lang w:eastAsia="en-AU"/>
        </w:rPr>
        <w:t xml:space="preserve"> should be recognised as foundation skills (Markow, Hughes &amp; Bundy 2018). </w:t>
      </w:r>
    </w:p>
    <w:p w14:paraId="482EABF0" w14:textId="1C7AEF73"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962A08">
        <w:rPr>
          <w:rFonts w:eastAsiaTheme="minorHAnsi"/>
          <w:i/>
          <w:noProof/>
          <w:lang w:eastAsia="en-AU"/>
        </w:rPr>
        <w:t>Recognising digital skills in government policy</w:t>
      </w:r>
      <w:r w:rsidR="00292892">
        <w:rPr>
          <w:rFonts w:eastAsiaTheme="minorHAnsi"/>
          <w:noProof/>
          <w:lang w:eastAsia="en-AU"/>
        </w:rPr>
        <w:t xml:space="preserve">: </w:t>
      </w:r>
      <w:r w:rsidRPr="00962A08">
        <w:rPr>
          <w:rFonts w:eastAsiaTheme="minorHAnsi"/>
          <w:noProof/>
          <w:lang w:eastAsia="en-AU"/>
        </w:rPr>
        <w:t xml:space="preserve">digital skills development is recognised as a priority in government policy, for example, </w:t>
      </w:r>
      <w:r w:rsidR="00CF02DC">
        <w:rPr>
          <w:rFonts w:eastAsiaTheme="minorHAnsi"/>
          <w:noProof/>
          <w:lang w:eastAsia="en-AU"/>
        </w:rPr>
        <w:t xml:space="preserve">in </w:t>
      </w:r>
      <w:r w:rsidRPr="00962A08">
        <w:rPr>
          <w:rFonts w:eastAsiaTheme="minorHAnsi"/>
          <w:noProof/>
          <w:lang w:eastAsia="en-AU"/>
        </w:rPr>
        <w:t xml:space="preserve">Singapore, the UK and Germany. In a working paper for UNESCO, Fau and Moreau (2018) </w:t>
      </w:r>
      <w:r w:rsidR="00C22BA5">
        <w:rPr>
          <w:rFonts w:eastAsiaTheme="minorHAnsi"/>
          <w:noProof/>
          <w:lang w:eastAsia="en-AU"/>
        </w:rPr>
        <w:t>argued that</w:t>
      </w:r>
      <w:r w:rsidRPr="00962A08">
        <w:rPr>
          <w:rFonts w:eastAsiaTheme="minorHAnsi"/>
          <w:noProof/>
          <w:lang w:eastAsia="en-AU"/>
        </w:rPr>
        <w:t xml:space="preserve"> two types of public policy need to be considered in the development of digital skills: policies that create a supportive framework, such as </w:t>
      </w:r>
      <w:r w:rsidRPr="00962A08">
        <w:rPr>
          <w:rFonts w:eastAsiaTheme="minorHAnsi"/>
          <w:noProof/>
          <w:lang w:eastAsia="en-AU"/>
        </w:rPr>
        <w:lastRenderedPageBreak/>
        <w:t>technological infrastructure, digitalisation of businesses and the development of online content; and sectoral policies for basic and further training, for instance</w:t>
      </w:r>
      <w:r w:rsidR="00C22BA5">
        <w:rPr>
          <w:rFonts w:eastAsiaTheme="minorHAnsi"/>
          <w:noProof/>
          <w:lang w:eastAsia="en-AU"/>
        </w:rPr>
        <w:t>,</w:t>
      </w:r>
      <w:r w:rsidRPr="00962A08">
        <w:rPr>
          <w:rFonts w:eastAsiaTheme="minorHAnsi"/>
          <w:noProof/>
          <w:lang w:eastAsia="en-AU"/>
        </w:rPr>
        <w:t xml:space="preserve"> teaching more advanced technological skills at school, providing teacher training, monitoring digital skills, </w:t>
      </w:r>
      <w:r w:rsidR="00741FFC" w:rsidRPr="00962A08">
        <w:rPr>
          <w:rFonts w:eastAsiaTheme="minorHAnsi"/>
          <w:noProof/>
          <w:lang w:eastAsia="en-AU"/>
        </w:rPr>
        <w:t>combating digital exclusion</w:t>
      </w:r>
      <w:r w:rsidR="000358D5">
        <w:rPr>
          <w:rFonts w:eastAsiaTheme="minorHAnsi"/>
          <w:noProof/>
          <w:lang w:eastAsia="en-AU"/>
        </w:rPr>
        <w:t>, and</w:t>
      </w:r>
      <w:r w:rsidR="00741FFC" w:rsidRPr="00962A08">
        <w:rPr>
          <w:rFonts w:eastAsiaTheme="minorHAnsi"/>
          <w:noProof/>
          <w:lang w:eastAsia="en-AU"/>
        </w:rPr>
        <w:t xml:space="preserve"> </w:t>
      </w:r>
      <w:r w:rsidRPr="00962A08">
        <w:rPr>
          <w:rFonts w:eastAsiaTheme="minorHAnsi"/>
          <w:noProof/>
          <w:lang w:eastAsia="en-AU"/>
        </w:rPr>
        <w:t xml:space="preserve">collaborating with government, educational institutions and businesses. </w:t>
      </w:r>
    </w:p>
    <w:p w14:paraId="4186DF65" w14:textId="0253A942" w:rsidR="00AD2774" w:rsidRPr="00962A08" w:rsidRDefault="00AD2774" w:rsidP="00AD2774">
      <w:pPr>
        <w:pStyle w:val="Dotpoint1"/>
        <w:rPr>
          <w:rFonts w:eastAsiaTheme="minorHAnsi"/>
          <w:noProof/>
          <w:lang w:eastAsia="en-AU"/>
        </w:rPr>
      </w:pPr>
      <w:r>
        <w:rPr>
          <w:rFonts w:eastAsiaTheme="minorHAnsi"/>
          <w:i/>
          <w:noProof/>
          <w:lang w:eastAsia="en-AU"/>
        </w:rPr>
        <w:t xml:space="preserve"> </w:t>
      </w:r>
      <w:r w:rsidRPr="00020210">
        <w:rPr>
          <w:rFonts w:eastAsiaTheme="minorHAnsi"/>
          <w:i/>
          <w:noProof/>
          <w:lang w:eastAsia="en-AU"/>
        </w:rPr>
        <w:t>Anticipating changing skill needs</w:t>
      </w:r>
      <w:r w:rsidR="00960230">
        <w:rPr>
          <w:rFonts w:eastAsiaTheme="minorHAnsi"/>
          <w:noProof/>
          <w:lang w:eastAsia="en-AU"/>
        </w:rPr>
        <w:t>:</w:t>
      </w:r>
      <w:r w:rsidRPr="00962A08">
        <w:rPr>
          <w:rFonts w:eastAsiaTheme="minorHAnsi"/>
          <w:noProof/>
          <w:lang w:eastAsia="en-AU"/>
        </w:rPr>
        <w:t xml:space="preserve"> as recognised by the </w:t>
      </w:r>
      <w:r w:rsidR="00960230">
        <w:rPr>
          <w:rFonts w:eastAsiaTheme="minorHAnsi"/>
          <w:noProof/>
          <w:lang w:eastAsia="en-AU"/>
        </w:rPr>
        <w:t>Organisation for Economic Co-operation and Development (</w:t>
      </w:r>
      <w:r w:rsidRPr="00962A08">
        <w:rPr>
          <w:rFonts w:eastAsiaTheme="minorHAnsi"/>
          <w:noProof/>
          <w:lang w:eastAsia="en-AU"/>
        </w:rPr>
        <w:t>OECD</w:t>
      </w:r>
      <w:r w:rsidR="00960230">
        <w:rPr>
          <w:rFonts w:eastAsiaTheme="minorHAnsi"/>
          <w:noProof/>
          <w:lang w:eastAsia="en-AU"/>
        </w:rPr>
        <w:t>)</w:t>
      </w:r>
      <w:r w:rsidRPr="00962A08">
        <w:rPr>
          <w:rFonts w:eastAsiaTheme="minorHAnsi"/>
          <w:noProof/>
          <w:lang w:eastAsia="en-AU"/>
        </w:rPr>
        <w:t>, it is crucial for education and training system</w:t>
      </w:r>
      <w:r>
        <w:rPr>
          <w:rFonts w:eastAsiaTheme="minorHAnsi"/>
          <w:noProof/>
          <w:lang w:eastAsia="en-AU"/>
        </w:rPr>
        <w:t>s</w:t>
      </w:r>
      <w:r w:rsidRPr="00962A08">
        <w:rPr>
          <w:rFonts w:eastAsiaTheme="minorHAnsi"/>
          <w:noProof/>
          <w:lang w:eastAsia="en-AU"/>
        </w:rPr>
        <w:t xml:space="preserve"> to </w:t>
      </w:r>
      <w:r w:rsidR="00CE63D2">
        <w:rPr>
          <w:rFonts w:eastAsiaTheme="minorHAnsi"/>
          <w:noProof/>
          <w:lang w:eastAsia="en-AU"/>
        </w:rPr>
        <w:t>‘</w:t>
      </w:r>
      <w:r w:rsidRPr="00962A08">
        <w:rPr>
          <w:rFonts w:eastAsiaTheme="minorHAnsi"/>
          <w:noProof/>
          <w:lang w:eastAsia="en-AU"/>
        </w:rPr>
        <w:t>better assess and anticipate changing skill needs (including through the use of big data)</w:t>
      </w:r>
      <w:r w:rsidR="00CE63D2">
        <w:rPr>
          <w:rFonts w:eastAsiaTheme="minorHAnsi"/>
          <w:noProof/>
          <w:lang w:eastAsia="en-AU"/>
        </w:rPr>
        <w:t>’</w:t>
      </w:r>
      <w:r w:rsidRPr="00962A08">
        <w:rPr>
          <w:rFonts w:eastAsiaTheme="minorHAnsi"/>
          <w:noProof/>
          <w:lang w:eastAsia="en-AU"/>
        </w:rPr>
        <w:t xml:space="preserve"> in order to meet the challenges </w:t>
      </w:r>
      <w:r w:rsidR="00F74BED">
        <w:rPr>
          <w:rFonts w:eastAsiaTheme="minorHAnsi"/>
          <w:noProof/>
          <w:lang w:eastAsia="en-AU"/>
        </w:rPr>
        <w:t>raised</w:t>
      </w:r>
      <w:r w:rsidRPr="00962A08">
        <w:rPr>
          <w:rFonts w:eastAsiaTheme="minorHAnsi"/>
          <w:noProof/>
          <w:lang w:eastAsia="en-AU"/>
        </w:rPr>
        <w:t xml:space="preserve"> by the </w:t>
      </w:r>
      <w:r w:rsidR="001B2A8F" w:rsidRPr="00962A08">
        <w:rPr>
          <w:rFonts w:eastAsiaTheme="minorHAnsi"/>
          <w:noProof/>
          <w:lang w:eastAsia="en-AU"/>
        </w:rPr>
        <w:t xml:space="preserve">Fourth Industrial Revolution </w:t>
      </w:r>
      <w:r w:rsidRPr="00962A08">
        <w:rPr>
          <w:rFonts w:eastAsiaTheme="minorHAnsi"/>
          <w:noProof/>
          <w:lang w:eastAsia="en-AU"/>
        </w:rPr>
        <w:t>(IBSA 2017</w:t>
      </w:r>
      <w:r w:rsidR="007465C1">
        <w:rPr>
          <w:rFonts w:eastAsiaTheme="minorHAnsi"/>
          <w:noProof/>
          <w:lang w:eastAsia="en-AU"/>
        </w:rPr>
        <w:t>,</w:t>
      </w:r>
      <w:r w:rsidRPr="00962A08">
        <w:rPr>
          <w:rFonts w:eastAsiaTheme="minorHAnsi"/>
          <w:noProof/>
          <w:lang w:eastAsia="en-AU"/>
        </w:rPr>
        <w:t xml:space="preserve"> Field Langwell attachment, p.17). The European Commission (2017) suggests that this can be achieved </w:t>
      </w:r>
      <w:r w:rsidR="0043101E">
        <w:rPr>
          <w:rFonts w:eastAsiaTheme="minorHAnsi"/>
          <w:noProof/>
          <w:lang w:eastAsia="en-AU"/>
        </w:rPr>
        <w:t>by</w:t>
      </w:r>
      <w:r w:rsidR="00F1370B">
        <w:rPr>
          <w:rFonts w:eastAsiaTheme="minorHAnsi"/>
          <w:noProof/>
          <w:lang w:eastAsia="en-AU"/>
        </w:rPr>
        <w:t>:</w:t>
      </w:r>
      <w:r w:rsidRPr="00962A08">
        <w:rPr>
          <w:rFonts w:eastAsiaTheme="minorHAnsi"/>
          <w:noProof/>
          <w:lang w:eastAsia="en-AU"/>
        </w:rPr>
        <w:t xml:space="preserve"> making use of the EU skills panorama</w:t>
      </w:r>
      <w:r w:rsidR="00805B76">
        <w:rPr>
          <w:rFonts w:eastAsiaTheme="minorHAnsi"/>
          <w:noProof/>
          <w:lang w:eastAsia="en-AU"/>
        </w:rPr>
        <w:t>;</w:t>
      </w:r>
      <w:r w:rsidRPr="00962A08">
        <w:rPr>
          <w:rFonts w:eastAsiaTheme="minorHAnsi"/>
          <w:noProof/>
          <w:lang w:eastAsia="en-AU"/>
        </w:rPr>
        <w:t xml:space="preserve"> using advanced web analytic tools</w:t>
      </w:r>
      <w:r w:rsidR="00805B76">
        <w:rPr>
          <w:rFonts w:eastAsiaTheme="minorHAnsi"/>
          <w:noProof/>
          <w:lang w:eastAsia="en-AU"/>
        </w:rPr>
        <w:t>;</w:t>
      </w:r>
      <w:r w:rsidRPr="00962A08">
        <w:rPr>
          <w:rFonts w:eastAsiaTheme="minorHAnsi"/>
          <w:noProof/>
          <w:lang w:eastAsia="en-AU"/>
        </w:rPr>
        <w:t xml:space="preserve"> gathering evidence from different sectors on their digital skill</w:t>
      </w:r>
      <w:r>
        <w:rPr>
          <w:rFonts w:eastAsiaTheme="minorHAnsi"/>
          <w:noProof/>
          <w:lang w:eastAsia="en-AU"/>
        </w:rPr>
        <w:t>s</w:t>
      </w:r>
      <w:r w:rsidRPr="00962A08">
        <w:rPr>
          <w:rFonts w:eastAsiaTheme="minorHAnsi"/>
          <w:noProof/>
          <w:lang w:eastAsia="en-AU"/>
        </w:rPr>
        <w:t xml:space="preserve"> needs</w:t>
      </w:r>
      <w:r w:rsidR="00805B76">
        <w:rPr>
          <w:rFonts w:eastAsiaTheme="minorHAnsi"/>
          <w:noProof/>
          <w:lang w:eastAsia="en-AU"/>
        </w:rPr>
        <w:t>;</w:t>
      </w:r>
      <w:r w:rsidRPr="00962A08">
        <w:rPr>
          <w:rFonts w:eastAsiaTheme="minorHAnsi"/>
          <w:noProof/>
          <w:lang w:eastAsia="en-AU"/>
        </w:rPr>
        <w:t xml:space="preserve"> and accounting for geographic scope.</w:t>
      </w:r>
    </w:p>
    <w:p w14:paraId="6E34EAEC" w14:textId="77777777" w:rsidR="00AD2774" w:rsidRPr="00AD2774" w:rsidRDefault="00AD2774" w:rsidP="00AD2774">
      <w:pPr>
        <w:pStyle w:val="Text"/>
        <w:rPr>
          <w:b/>
        </w:rPr>
      </w:pPr>
      <w:r w:rsidRPr="00AD2774">
        <w:rPr>
          <w:b/>
        </w:rPr>
        <w:t>Q: Considering international lessons from digital skills delivery within TVET, what would be relevant for the Australian VET system? What would work or wouldn’t work in the Australian context?</w:t>
      </w:r>
    </w:p>
    <w:p w14:paraId="7F2559A4" w14:textId="77777777" w:rsidR="00AD2774" w:rsidRDefault="00AD2774" w:rsidP="000B46EF">
      <w:pPr>
        <w:pStyle w:val="Heading2"/>
        <w:spacing w:before="480"/>
      </w:pPr>
      <w:bookmarkStart w:id="30" w:name="_Toc22636828"/>
      <w:bookmarkStart w:id="31" w:name="_Toc31711249"/>
      <w:r w:rsidRPr="00020210">
        <w:rPr>
          <w:noProof/>
        </w:rPr>
        <mc:AlternateContent>
          <mc:Choice Requires="wps">
            <w:drawing>
              <wp:anchor distT="45720" distB="45720" distL="114300" distR="114300" simplePos="0" relativeHeight="251667456" behindDoc="0" locked="0" layoutInCell="1" allowOverlap="1" wp14:anchorId="63C73349" wp14:editId="6119BC52">
                <wp:simplePos x="0" y="0"/>
                <wp:positionH relativeFrom="margin">
                  <wp:align>left</wp:align>
                </wp:positionH>
                <wp:positionV relativeFrom="paragraph">
                  <wp:posOffset>619989</wp:posOffset>
                </wp:positionV>
                <wp:extent cx="5362575" cy="1509395"/>
                <wp:effectExtent l="0" t="0" r="28575" b="146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509395"/>
                        </a:xfrm>
                        <a:prstGeom prst="rect">
                          <a:avLst/>
                        </a:prstGeom>
                        <a:solidFill>
                          <a:srgbClr val="FFFFFF"/>
                        </a:solidFill>
                        <a:ln w="9525">
                          <a:solidFill>
                            <a:srgbClr val="000000"/>
                          </a:solidFill>
                          <a:miter lim="800000"/>
                          <a:headEnd/>
                          <a:tailEnd/>
                        </a:ln>
                      </wps:spPr>
                      <wps:txbx>
                        <w:txbxContent>
                          <w:p w14:paraId="756D9451" w14:textId="481CDDC0" w:rsidR="00AB0F13" w:rsidRPr="00AD2774" w:rsidRDefault="00AB0F13" w:rsidP="00AD2774">
                            <w:pPr>
                              <w:pStyle w:val="Dotpoint1"/>
                              <w:rPr>
                                <w:rFonts w:eastAsiaTheme="minorHAnsi"/>
                              </w:rPr>
                            </w:pPr>
                            <w:r w:rsidRPr="00AD2774">
                              <w:rPr>
                                <w:rFonts w:eastAsiaTheme="minorHAnsi"/>
                              </w:rPr>
                              <w:t>Change digital skills</w:t>
                            </w:r>
                            <w:r>
                              <w:rPr>
                                <w:rFonts w:eastAsiaTheme="minorHAnsi"/>
                              </w:rPr>
                              <w:t>-</w:t>
                            </w:r>
                            <w:r w:rsidRPr="00AD2774">
                              <w:rPr>
                                <w:rFonts w:eastAsiaTheme="minorHAnsi"/>
                              </w:rPr>
                              <w:t>related units from elective to core</w:t>
                            </w:r>
                            <w:r>
                              <w:rPr>
                                <w:rFonts w:eastAsiaTheme="minorHAnsi"/>
                              </w:rPr>
                              <w:t xml:space="preserve"> skills.</w:t>
                            </w:r>
                          </w:p>
                          <w:p w14:paraId="07DFDCB1" w14:textId="3991D3D6" w:rsidR="00AB0F13" w:rsidRPr="00AD2774" w:rsidRDefault="00AB0F13" w:rsidP="00AD2774">
                            <w:pPr>
                              <w:pStyle w:val="Dotpoint1"/>
                              <w:rPr>
                                <w:rFonts w:eastAsiaTheme="minorHAnsi"/>
                              </w:rPr>
                            </w:pPr>
                            <w:r w:rsidRPr="00AD2774">
                              <w:rPr>
                                <w:rFonts w:eastAsiaTheme="minorHAnsi"/>
                              </w:rPr>
                              <w:t>Embed digital skills into courses/incorporate into the Australian Core Skills Framework</w:t>
                            </w:r>
                            <w:r>
                              <w:rPr>
                                <w:rFonts w:eastAsiaTheme="minorHAnsi"/>
                              </w:rPr>
                              <w:t>.</w:t>
                            </w:r>
                          </w:p>
                          <w:p w14:paraId="3222301E" w14:textId="79F64045" w:rsidR="00AB0F13" w:rsidRPr="00AD2774" w:rsidRDefault="00AB0F13" w:rsidP="00AD2774">
                            <w:pPr>
                              <w:pStyle w:val="Dotpoint1"/>
                              <w:rPr>
                                <w:rFonts w:eastAsiaTheme="minorHAnsi"/>
                              </w:rPr>
                            </w:pPr>
                            <w:r w:rsidRPr="00AD2774">
                              <w:rPr>
                                <w:rFonts w:eastAsiaTheme="minorHAnsi"/>
                              </w:rPr>
                              <w:t>Develop specific qualifications related to digital skills</w:t>
                            </w:r>
                            <w:r>
                              <w:rPr>
                                <w:rFonts w:eastAsiaTheme="minorHAnsi"/>
                              </w:rPr>
                              <w:t>.</w:t>
                            </w:r>
                          </w:p>
                          <w:p w14:paraId="649CC31E" w14:textId="4C33EF4B" w:rsidR="00AB0F13" w:rsidRPr="00AD2774" w:rsidRDefault="00AB0F13" w:rsidP="00AD2774">
                            <w:pPr>
                              <w:pStyle w:val="Dotpoint1"/>
                              <w:rPr>
                                <w:rFonts w:eastAsiaTheme="minorHAnsi"/>
                              </w:rPr>
                            </w:pPr>
                            <w:r w:rsidRPr="00AD2774">
                              <w:rPr>
                                <w:rFonts w:eastAsiaTheme="minorHAnsi"/>
                              </w:rPr>
                              <w:t>Deliver more modular training or shorter courses</w:t>
                            </w:r>
                            <w:r>
                              <w:rPr>
                                <w:rFonts w:eastAsiaTheme="minorHAnsi"/>
                              </w:rPr>
                              <w:t>.</w:t>
                            </w:r>
                          </w:p>
                          <w:p w14:paraId="6CF63607" w14:textId="4C9A8532" w:rsidR="00AB0F13" w:rsidRPr="009666B5" w:rsidRDefault="00AB0F13" w:rsidP="00AD2774">
                            <w:pPr>
                              <w:pStyle w:val="Dotpoint1"/>
                              <w:rPr>
                                <w:rFonts w:eastAsiaTheme="minorHAnsi"/>
                              </w:rPr>
                            </w:pPr>
                            <w:r w:rsidRPr="009666B5">
                              <w:rPr>
                                <w:rFonts w:eastAsiaTheme="minorHAnsi"/>
                              </w:rPr>
                              <w:t>Overhaul approaches to training delivery.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73349" id="_x0000_s1030" type="#_x0000_t202" style="position:absolute;margin-left:0;margin-top:48.8pt;width:422.25pt;height:118.8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">
                <v:textbox>
                  <w:txbxContent>
                    <w:p w14:paraId="756D9451" w14:textId="481CDDC0" w:rsidR="00AB0F13" w:rsidRPr="00AD2774" w:rsidRDefault="00AB0F13" w:rsidP="00AD2774">
                      <w:pPr>
                        <w:pStyle w:val="Dotpoint1"/>
                        <w:rPr>
                          <w:rFonts w:eastAsiaTheme="minorHAnsi"/>
                        </w:rPr>
                      </w:pPr>
                      <w:r w:rsidRPr="00AD2774">
                        <w:rPr>
                          <w:rFonts w:eastAsiaTheme="minorHAnsi"/>
                        </w:rPr>
                        <w:t>Change digital skills</w:t>
                      </w:r>
                      <w:r>
                        <w:rPr>
                          <w:rFonts w:eastAsiaTheme="minorHAnsi"/>
                        </w:rPr>
                        <w:t>-</w:t>
                      </w:r>
                      <w:r w:rsidRPr="00AD2774">
                        <w:rPr>
                          <w:rFonts w:eastAsiaTheme="minorHAnsi"/>
                        </w:rPr>
                        <w:t>related units from elective to core</w:t>
                      </w:r>
                      <w:r>
                        <w:rPr>
                          <w:rFonts w:eastAsiaTheme="minorHAnsi"/>
                        </w:rPr>
                        <w:t xml:space="preserve"> skills.</w:t>
                      </w:r>
                    </w:p>
                    <w:p w14:paraId="07DFDCB1" w14:textId="3991D3D6" w:rsidR="00AB0F13" w:rsidRPr="00AD2774" w:rsidRDefault="00AB0F13" w:rsidP="00AD2774">
                      <w:pPr>
                        <w:pStyle w:val="Dotpoint1"/>
                        <w:rPr>
                          <w:rFonts w:eastAsiaTheme="minorHAnsi"/>
                        </w:rPr>
                      </w:pPr>
                      <w:r w:rsidRPr="00AD2774">
                        <w:rPr>
                          <w:rFonts w:eastAsiaTheme="minorHAnsi"/>
                        </w:rPr>
                        <w:t>Embed digital skills into courses/incorporate into the Australian Core Skills Framework</w:t>
                      </w:r>
                      <w:r>
                        <w:rPr>
                          <w:rFonts w:eastAsiaTheme="minorHAnsi"/>
                        </w:rPr>
                        <w:t>.</w:t>
                      </w:r>
                    </w:p>
                    <w:p w14:paraId="3222301E" w14:textId="79F64045" w:rsidR="00AB0F13" w:rsidRPr="00AD2774" w:rsidRDefault="00AB0F13" w:rsidP="00AD2774">
                      <w:pPr>
                        <w:pStyle w:val="Dotpoint1"/>
                        <w:rPr>
                          <w:rFonts w:eastAsiaTheme="minorHAnsi"/>
                        </w:rPr>
                      </w:pPr>
                      <w:r w:rsidRPr="00AD2774">
                        <w:rPr>
                          <w:rFonts w:eastAsiaTheme="minorHAnsi"/>
                        </w:rPr>
                        <w:t>Develop specific qualifications related to digital skills</w:t>
                      </w:r>
                      <w:r>
                        <w:rPr>
                          <w:rFonts w:eastAsiaTheme="minorHAnsi"/>
                        </w:rPr>
                        <w:t>.</w:t>
                      </w:r>
                    </w:p>
                    <w:p w14:paraId="649CC31E" w14:textId="4C33EF4B" w:rsidR="00AB0F13" w:rsidRPr="00AD2774" w:rsidRDefault="00AB0F13" w:rsidP="00AD2774">
                      <w:pPr>
                        <w:pStyle w:val="Dotpoint1"/>
                        <w:rPr>
                          <w:rFonts w:eastAsiaTheme="minorHAnsi"/>
                        </w:rPr>
                      </w:pPr>
                      <w:r w:rsidRPr="00AD2774">
                        <w:rPr>
                          <w:rFonts w:eastAsiaTheme="minorHAnsi"/>
                        </w:rPr>
                        <w:t>Deliver more modular training or shorter courses</w:t>
                      </w:r>
                      <w:r>
                        <w:rPr>
                          <w:rFonts w:eastAsiaTheme="minorHAnsi"/>
                        </w:rPr>
                        <w:t>.</w:t>
                      </w:r>
                    </w:p>
                    <w:p w14:paraId="6CF63607" w14:textId="4C9A8532" w:rsidR="00AB0F13" w:rsidRPr="009666B5" w:rsidRDefault="00AB0F13" w:rsidP="00AD2774">
                      <w:pPr>
                        <w:pStyle w:val="Dotpoint1"/>
                        <w:rPr>
                          <w:rFonts w:eastAsiaTheme="minorHAnsi"/>
                        </w:rPr>
                      </w:pPr>
                      <w:r w:rsidRPr="009666B5">
                        <w:rPr>
                          <w:rFonts w:eastAsiaTheme="minorHAnsi"/>
                        </w:rPr>
                        <w:t>Overhaul approaches to training delivery.</w:t>
                      </w:r>
                    </w:p>
                  </w:txbxContent>
                </v:textbox>
                <w10:wrap type="square" anchorx="margin"/>
              </v:shape>
            </w:pict>
          </mc:Fallback>
        </mc:AlternateContent>
      </w:r>
      <w:r w:rsidRPr="00020210">
        <w:t>Application to the Australian VET sector</w:t>
      </w:r>
      <w:bookmarkEnd w:id="30"/>
      <w:bookmarkEnd w:id="31"/>
    </w:p>
    <w:p w14:paraId="56ECD6CC" w14:textId="2D51BB77" w:rsidR="00AD2774" w:rsidRPr="00020210" w:rsidRDefault="00AD2774" w:rsidP="00AD2774">
      <w:pPr>
        <w:pStyle w:val="Text"/>
      </w:pPr>
      <w:r w:rsidRPr="00020210">
        <w:t xml:space="preserve">The current structure of training packages and the length of time it takes for changes to be incorporated </w:t>
      </w:r>
      <w:r w:rsidR="00510A73">
        <w:t>are</w:t>
      </w:r>
      <w:r w:rsidRPr="00020210">
        <w:t xml:space="preserve"> current</w:t>
      </w:r>
      <w:r w:rsidR="00510A73">
        <w:t xml:space="preserve">ly barriers </w:t>
      </w:r>
      <w:r w:rsidRPr="00020210">
        <w:t>to the ability of the VET sector to deliver the digital skills the workforce requires (Reeson et al</w:t>
      </w:r>
      <w:r w:rsidR="00510A73">
        <w:t>.</w:t>
      </w:r>
      <w:r w:rsidRPr="00020210">
        <w:t xml:space="preserve"> 2016; TAFE Directors Australia 2019; Seet et al</w:t>
      </w:r>
      <w:r w:rsidR="004146A9">
        <w:t>.</w:t>
      </w:r>
      <w:r w:rsidRPr="00020210">
        <w:t xml:space="preserve"> 2017; Gekara et al</w:t>
      </w:r>
      <w:r w:rsidR="004146A9">
        <w:t>.</w:t>
      </w:r>
      <w:r w:rsidRPr="00020210">
        <w:t xml:space="preserve"> 2019b). One reason for this, as noted by Reeson et al</w:t>
      </w:r>
      <w:r w:rsidR="004146A9">
        <w:t>.</w:t>
      </w:r>
      <w:r w:rsidRPr="00020210">
        <w:t xml:space="preserve"> (2016), is that the technology used in the workplace can change </w:t>
      </w:r>
      <w:r w:rsidR="00263572">
        <w:t xml:space="preserve">even </w:t>
      </w:r>
      <w:r w:rsidRPr="00020210">
        <w:t>whil</w:t>
      </w:r>
      <w:r w:rsidR="000601D5">
        <w:t>e</w:t>
      </w:r>
      <w:r w:rsidRPr="00020210">
        <w:t xml:space="preserve"> the student is undertaking their training program</w:t>
      </w:r>
      <w:r w:rsidR="006868D1">
        <w:t>.</w:t>
      </w:r>
      <w:r w:rsidR="00C43EAD">
        <w:t xml:space="preserve"> </w:t>
      </w:r>
      <w:r w:rsidR="006868D1">
        <w:t>The</w:t>
      </w:r>
      <w:r w:rsidRPr="00020210">
        <w:t xml:space="preserve"> need for more adaptability and flexibility in the delivery of VET training packages to ensure they are regularly updated with the most appropriate digital skills</w:t>
      </w:r>
      <w:r w:rsidR="004A6E91" w:rsidRPr="004A6E91">
        <w:t xml:space="preserve"> </w:t>
      </w:r>
      <w:r w:rsidR="004A6E91">
        <w:t xml:space="preserve">is recognised in the </w:t>
      </w:r>
      <w:r w:rsidR="004A6E91" w:rsidRPr="00020210">
        <w:t>Australian literature</w:t>
      </w:r>
      <w:r w:rsidRPr="00020210">
        <w:t>.</w:t>
      </w:r>
    </w:p>
    <w:p w14:paraId="56F93171" w14:textId="77777777" w:rsidR="00AD2774" w:rsidRPr="00020210" w:rsidRDefault="00AD2774" w:rsidP="000B46EF">
      <w:pPr>
        <w:pStyle w:val="Heading3"/>
        <w:spacing w:before="480"/>
      </w:pPr>
      <w:r w:rsidRPr="00020210">
        <w:t>Considerations for VET delivery</w:t>
      </w:r>
      <w:r>
        <w:tab/>
      </w:r>
    </w:p>
    <w:p w14:paraId="30EA9405" w14:textId="6FFFE634" w:rsidR="00AD2774" w:rsidRPr="00020210" w:rsidRDefault="00D72378" w:rsidP="00AD2774">
      <w:pPr>
        <w:pStyle w:val="Text"/>
      </w:pPr>
      <w:r>
        <w:t>T</w:t>
      </w:r>
      <w:r w:rsidR="00AD2774" w:rsidRPr="00020210">
        <w:t>he literature</w:t>
      </w:r>
      <w:r w:rsidR="003413F8">
        <w:t xml:space="preserve"> </w:t>
      </w:r>
      <w:r w:rsidR="001E2C79">
        <w:t>suggested the following approaches</w:t>
      </w:r>
      <w:r w:rsidR="00AD2774" w:rsidRPr="00020210">
        <w:t xml:space="preserve"> </w:t>
      </w:r>
      <w:r w:rsidR="00696B93">
        <w:t>to assist the</w:t>
      </w:r>
      <w:r w:rsidR="00AD2774" w:rsidRPr="00020210">
        <w:t xml:space="preserve"> Australian VET sector </w:t>
      </w:r>
      <w:r w:rsidR="00696B93">
        <w:t xml:space="preserve">to </w:t>
      </w:r>
      <w:r w:rsidR="00AD2774" w:rsidRPr="00020210">
        <w:t>more adequately deliver digital skills content</w:t>
      </w:r>
      <w:r w:rsidR="00CD07C0">
        <w:t>:</w:t>
      </w:r>
    </w:p>
    <w:p w14:paraId="323D40BC" w14:textId="7FFE1FDD" w:rsidR="00AD2774" w:rsidRPr="00020210" w:rsidRDefault="00AD2774" w:rsidP="00AD2774">
      <w:pPr>
        <w:pStyle w:val="Dotpoint1"/>
        <w:rPr>
          <w:rFonts w:eastAsiaTheme="minorHAnsi"/>
          <w:noProof/>
          <w:lang w:eastAsia="en-AU"/>
        </w:rPr>
      </w:pPr>
      <w:r w:rsidRPr="00020210">
        <w:rPr>
          <w:rFonts w:eastAsiaTheme="minorHAnsi"/>
          <w:i/>
          <w:noProof/>
          <w:lang w:eastAsia="en-AU"/>
        </w:rPr>
        <w:t xml:space="preserve">Change </w:t>
      </w:r>
      <w:r>
        <w:rPr>
          <w:rFonts w:eastAsiaTheme="minorHAnsi"/>
          <w:i/>
          <w:noProof/>
          <w:lang w:eastAsia="en-AU"/>
        </w:rPr>
        <w:t>digital skills</w:t>
      </w:r>
      <w:r w:rsidR="004C15ED">
        <w:rPr>
          <w:rFonts w:eastAsiaTheme="minorHAnsi"/>
          <w:i/>
          <w:noProof/>
          <w:lang w:eastAsia="en-AU"/>
        </w:rPr>
        <w:t>-</w:t>
      </w:r>
      <w:r>
        <w:rPr>
          <w:rFonts w:eastAsiaTheme="minorHAnsi"/>
          <w:i/>
          <w:noProof/>
          <w:lang w:eastAsia="en-AU"/>
        </w:rPr>
        <w:t xml:space="preserve">related </w:t>
      </w:r>
      <w:r w:rsidRPr="00020210">
        <w:rPr>
          <w:rFonts w:eastAsiaTheme="minorHAnsi"/>
          <w:i/>
          <w:noProof/>
          <w:lang w:eastAsia="en-AU"/>
        </w:rPr>
        <w:t>units from elective to core</w:t>
      </w:r>
      <w:r w:rsidR="00E81C0C">
        <w:rPr>
          <w:rFonts w:eastAsiaTheme="minorHAnsi"/>
          <w:noProof/>
          <w:lang w:eastAsia="en-AU"/>
        </w:rPr>
        <w:t xml:space="preserve"> </w:t>
      </w:r>
      <w:r w:rsidR="00E81C0C" w:rsidRPr="00E81C0C">
        <w:rPr>
          <w:rFonts w:eastAsiaTheme="minorHAnsi"/>
          <w:i/>
          <w:iCs/>
          <w:noProof/>
          <w:lang w:eastAsia="en-AU"/>
        </w:rPr>
        <w:t>skills</w:t>
      </w:r>
      <w:r w:rsidR="00E81C0C">
        <w:rPr>
          <w:rFonts w:eastAsiaTheme="minorHAnsi"/>
          <w:noProof/>
          <w:lang w:eastAsia="en-AU"/>
        </w:rPr>
        <w:t>:</w:t>
      </w:r>
      <w:r w:rsidRPr="00020210">
        <w:rPr>
          <w:rFonts w:eastAsiaTheme="minorHAnsi"/>
          <w:noProof/>
          <w:lang w:eastAsia="en-AU"/>
        </w:rPr>
        <w:t xml:space="preserve"> </w:t>
      </w:r>
      <w:r w:rsidR="00E81C0C">
        <w:rPr>
          <w:rFonts w:eastAsiaTheme="minorHAnsi"/>
          <w:noProof/>
          <w:lang w:eastAsia="en-AU"/>
        </w:rPr>
        <w:t xml:space="preserve">although </w:t>
      </w:r>
      <w:r w:rsidR="00E81C0C" w:rsidRPr="00020210">
        <w:rPr>
          <w:rFonts w:eastAsiaTheme="minorHAnsi"/>
          <w:noProof/>
          <w:lang w:eastAsia="en-AU"/>
        </w:rPr>
        <w:t>training packages</w:t>
      </w:r>
      <w:r w:rsidR="00E81C0C">
        <w:rPr>
          <w:rFonts w:eastAsiaTheme="minorHAnsi"/>
          <w:noProof/>
          <w:lang w:eastAsia="en-AU"/>
        </w:rPr>
        <w:t xml:space="preserve"> already contain</w:t>
      </w:r>
      <w:r w:rsidRPr="00020210">
        <w:rPr>
          <w:rFonts w:eastAsiaTheme="minorHAnsi"/>
          <w:noProof/>
          <w:lang w:eastAsia="en-AU"/>
        </w:rPr>
        <w:t xml:space="preserve"> a considerable amount of digital skills content</w:t>
      </w:r>
      <w:r w:rsidR="00E81C0C">
        <w:rPr>
          <w:rFonts w:eastAsiaTheme="minorHAnsi"/>
          <w:noProof/>
          <w:lang w:eastAsia="en-AU"/>
        </w:rPr>
        <w:t>,</w:t>
      </w:r>
      <w:r w:rsidRPr="00020210">
        <w:rPr>
          <w:rFonts w:eastAsiaTheme="minorHAnsi"/>
          <w:noProof/>
          <w:lang w:eastAsia="en-AU"/>
        </w:rPr>
        <w:t xml:space="preserve"> most of it is offered </w:t>
      </w:r>
      <w:r w:rsidR="00CD07C0">
        <w:rPr>
          <w:rFonts w:eastAsiaTheme="minorHAnsi"/>
          <w:noProof/>
          <w:lang w:eastAsia="en-AU"/>
        </w:rPr>
        <w:t>via</w:t>
      </w:r>
      <w:r w:rsidRPr="00020210">
        <w:rPr>
          <w:rFonts w:eastAsiaTheme="minorHAnsi"/>
          <w:noProof/>
          <w:lang w:eastAsia="en-AU"/>
        </w:rPr>
        <w:t xml:space="preserve"> elective</w:t>
      </w:r>
      <w:r w:rsidR="00E81C0C">
        <w:rPr>
          <w:rFonts w:eastAsiaTheme="minorHAnsi"/>
          <w:noProof/>
          <w:lang w:eastAsia="en-AU"/>
        </w:rPr>
        <w:t>s</w:t>
      </w:r>
      <w:r w:rsidRPr="00020210">
        <w:rPr>
          <w:rFonts w:eastAsiaTheme="minorHAnsi"/>
          <w:noProof/>
          <w:lang w:eastAsia="en-AU"/>
        </w:rPr>
        <w:t xml:space="preserve"> only, meaning a student can </w:t>
      </w:r>
      <w:r w:rsidR="00E66285">
        <w:rPr>
          <w:rFonts w:eastAsiaTheme="minorHAnsi"/>
          <w:noProof/>
          <w:lang w:eastAsia="en-AU"/>
        </w:rPr>
        <w:t>receive</w:t>
      </w:r>
      <w:r w:rsidRPr="00020210">
        <w:rPr>
          <w:rFonts w:eastAsiaTheme="minorHAnsi"/>
          <w:noProof/>
          <w:lang w:eastAsia="en-AU"/>
        </w:rPr>
        <w:t xml:space="preserve"> a </w:t>
      </w:r>
      <w:r w:rsidRPr="00AD2774">
        <w:rPr>
          <w:rFonts w:eastAsiaTheme="minorHAnsi"/>
        </w:rPr>
        <w:t>qualification</w:t>
      </w:r>
      <w:r w:rsidRPr="00020210">
        <w:rPr>
          <w:rFonts w:eastAsiaTheme="minorHAnsi"/>
          <w:noProof/>
          <w:lang w:eastAsia="en-AU"/>
        </w:rPr>
        <w:t xml:space="preserve"> without </w:t>
      </w:r>
      <w:r w:rsidR="00E66285">
        <w:rPr>
          <w:rFonts w:eastAsiaTheme="minorHAnsi"/>
          <w:noProof/>
          <w:lang w:eastAsia="en-AU"/>
        </w:rPr>
        <w:t xml:space="preserve">completing </w:t>
      </w:r>
      <w:r w:rsidRPr="00020210">
        <w:rPr>
          <w:rFonts w:eastAsiaTheme="minorHAnsi"/>
          <w:noProof/>
          <w:lang w:eastAsia="en-AU"/>
        </w:rPr>
        <w:t>these units of competency</w:t>
      </w:r>
      <w:r>
        <w:rPr>
          <w:rFonts w:eastAsiaTheme="minorHAnsi"/>
          <w:noProof/>
          <w:lang w:eastAsia="en-AU"/>
        </w:rPr>
        <w:t xml:space="preserve"> (Gekara et</w:t>
      </w:r>
      <w:r w:rsidR="00AB1494">
        <w:rPr>
          <w:rFonts w:eastAsiaTheme="minorHAnsi"/>
          <w:noProof/>
          <w:lang w:eastAsia="en-AU"/>
        </w:rPr>
        <w:t xml:space="preserve"> al.</w:t>
      </w:r>
      <w:r>
        <w:rPr>
          <w:rFonts w:eastAsiaTheme="minorHAnsi"/>
          <w:noProof/>
          <w:lang w:eastAsia="en-AU"/>
        </w:rPr>
        <w:t xml:space="preserve"> 2017)</w:t>
      </w:r>
      <w:r w:rsidRPr="00020210">
        <w:rPr>
          <w:rFonts w:eastAsiaTheme="minorHAnsi"/>
          <w:noProof/>
          <w:lang w:eastAsia="en-AU"/>
        </w:rPr>
        <w:t xml:space="preserve">. </w:t>
      </w:r>
      <w:r>
        <w:rPr>
          <w:rFonts w:eastAsiaTheme="minorHAnsi"/>
          <w:noProof/>
          <w:lang w:eastAsia="en-AU"/>
        </w:rPr>
        <w:t>See appendix A for an overview of the Gekara et al</w:t>
      </w:r>
      <w:r w:rsidR="009C1385">
        <w:rPr>
          <w:rFonts w:eastAsiaTheme="minorHAnsi"/>
          <w:noProof/>
          <w:lang w:eastAsia="en-AU"/>
        </w:rPr>
        <w:t>.</w:t>
      </w:r>
      <w:r>
        <w:rPr>
          <w:rFonts w:eastAsiaTheme="minorHAnsi"/>
          <w:noProof/>
          <w:lang w:eastAsia="en-AU"/>
        </w:rPr>
        <w:t xml:space="preserve"> work and an </w:t>
      </w:r>
      <w:r w:rsidRPr="00917C84">
        <w:rPr>
          <w:rFonts w:eastAsiaTheme="minorHAnsi"/>
          <w:noProof/>
          <w:lang w:eastAsia="en-AU"/>
        </w:rPr>
        <w:t>exploration of enrolments in digital skills</w:t>
      </w:r>
      <w:r w:rsidR="00883EA9">
        <w:rPr>
          <w:rFonts w:eastAsiaTheme="minorHAnsi"/>
          <w:noProof/>
          <w:lang w:eastAsia="en-AU"/>
        </w:rPr>
        <w:t>-</w:t>
      </w:r>
      <w:r w:rsidRPr="00917C84">
        <w:rPr>
          <w:rFonts w:eastAsiaTheme="minorHAnsi"/>
          <w:noProof/>
          <w:lang w:eastAsia="en-AU"/>
        </w:rPr>
        <w:t>related units of competencies</w:t>
      </w:r>
      <w:r>
        <w:rPr>
          <w:rFonts w:eastAsiaTheme="minorHAnsi"/>
          <w:noProof/>
          <w:lang w:eastAsia="en-AU"/>
        </w:rPr>
        <w:t>.</w:t>
      </w:r>
    </w:p>
    <w:p w14:paraId="72E9399F" w14:textId="4A8ACA11" w:rsidR="00AD2774" w:rsidRPr="007A0254" w:rsidRDefault="00AD2774" w:rsidP="007A0254">
      <w:pPr>
        <w:pStyle w:val="Text"/>
        <w:spacing w:before="120"/>
        <w:ind w:right="0"/>
        <w:rPr>
          <w:b/>
        </w:rPr>
      </w:pPr>
      <w:r w:rsidRPr="007A0254">
        <w:rPr>
          <w:b/>
        </w:rPr>
        <w:lastRenderedPageBreak/>
        <w:t>Q: Should more digital skills</w:t>
      </w:r>
      <w:r w:rsidR="00883EA9" w:rsidRPr="007A0254">
        <w:rPr>
          <w:b/>
        </w:rPr>
        <w:t>-</w:t>
      </w:r>
      <w:r w:rsidRPr="007A0254">
        <w:rPr>
          <w:b/>
        </w:rPr>
        <w:t xml:space="preserve">related elective units become core units? What criteria should be used to determine whether a unit is </w:t>
      </w:r>
      <w:r w:rsidR="00CD3366" w:rsidRPr="007A0254">
        <w:rPr>
          <w:b/>
        </w:rPr>
        <w:t xml:space="preserve">a </w:t>
      </w:r>
      <w:r w:rsidRPr="007A0254">
        <w:rPr>
          <w:b/>
        </w:rPr>
        <w:t xml:space="preserve">core </w:t>
      </w:r>
      <w:r w:rsidR="002B6D90" w:rsidRPr="007A0254">
        <w:rPr>
          <w:b/>
        </w:rPr>
        <w:t xml:space="preserve">unit </w:t>
      </w:r>
      <w:r w:rsidRPr="007A0254">
        <w:rPr>
          <w:b/>
        </w:rPr>
        <w:t xml:space="preserve">or </w:t>
      </w:r>
      <w:r w:rsidR="00CD3366" w:rsidRPr="007A0254">
        <w:rPr>
          <w:b/>
        </w:rPr>
        <w:t xml:space="preserve">an </w:t>
      </w:r>
      <w:r w:rsidRPr="007A0254">
        <w:rPr>
          <w:b/>
        </w:rPr>
        <w:t>elective</w:t>
      </w:r>
      <w:r w:rsidR="00CD3366" w:rsidRPr="007A0254">
        <w:rPr>
          <w:b/>
        </w:rPr>
        <w:t xml:space="preserve"> unit</w:t>
      </w:r>
      <w:r w:rsidRPr="007A0254">
        <w:rPr>
          <w:b/>
        </w:rPr>
        <w:t>?</w:t>
      </w:r>
    </w:p>
    <w:p w14:paraId="4976C2EB" w14:textId="77777777" w:rsidR="007A0254" w:rsidRPr="00AD2774" w:rsidRDefault="007A0254" w:rsidP="00AD2774">
      <w:pPr>
        <w:pStyle w:val="Text"/>
        <w:rPr>
          <w:rFonts w:eastAsiaTheme="minorHAnsi"/>
          <w:b/>
          <w:noProof/>
          <w:lang w:eastAsia="en-AU"/>
        </w:rPr>
      </w:pPr>
    </w:p>
    <w:p w14:paraId="785473FB" w14:textId="6320268D" w:rsidR="00AD2774" w:rsidRPr="00020210" w:rsidRDefault="00AD2774" w:rsidP="00AD2774">
      <w:pPr>
        <w:pStyle w:val="Dotpoint1"/>
        <w:rPr>
          <w:rFonts w:eastAsiaTheme="minorHAnsi"/>
          <w:noProof/>
          <w:lang w:eastAsia="en-AU"/>
        </w:rPr>
      </w:pPr>
      <w:r>
        <w:rPr>
          <w:rFonts w:eastAsiaTheme="minorHAnsi"/>
          <w:i/>
          <w:noProof/>
          <w:lang w:eastAsia="en-AU"/>
        </w:rPr>
        <w:t xml:space="preserve"> </w:t>
      </w:r>
      <w:r w:rsidRPr="00020210">
        <w:rPr>
          <w:rFonts w:eastAsiaTheme="minorHAnsi"/>
          <w:i/>
          <w:noProof/>
          <w:lang w:eastAsia="en-AU"/>
        </w:rPr>
        <w:t>Embed digital skills into courses/incorporate into the Australian Core Skills Framework</w:t>
      </w:r>
      <w:r w:rsidR="002B6D90">
        <w:rPr>
          <w:rFonts w:eastAsiaTheme="minorHAnsi"/>
          <w:noProof/>
          <w:lang w:eastAsia="en-AU"/>
        </w:rPr>
        <w:t>: g</w:t>
      </w:r>
      <w:r w:rsidRPr="00020210">
        <w:rPr>
          <w:rFonts w:eastAsiaTheme="minorHAnsi"/>
          <w:noProof/>
          <w:lang w:eastAsia="en-AU"/>
        </w:rPr>
        <w:t xml:space="preserve">iven the </w:t>
      </w:r>
      <w:r w:rsidR="002B6D90">
        <w:rPr>
          <w:rFonts w:eastAsiaTheme="minorHAnsi"/>
          <w:noProof/>
          <w:lang w:eastAsia="en-AU"/>
        </w:rPr>
        <w:t>increasing</w:t>
      </w:r>
      <w:r w:rsidRPr="00020210">
        <w:rPr>
          <w:rFonts w:eastAsiaTheme="minorHAnsi"/>
          <w:noProof/>
          <w:lang w:eastAsia="en-AU"/>
        </w:rPr>
        <w:t xml:space="preserve"> importance placed on </w:t>
      </w:r>
      <w:r w:rsidR="003A04A6" w:rsidRPr="00020210">
        <w:rPr>
          <w:rFonts w:eastAsiaTheme="minorHAnsi"/>
          <w:noProof/>
          <w:lang w:eastAsia="en-AU"/>
        </w:rPr>
        <w:t xml:space="preserve">workers </w:t>
      </w:r>
      <w:r w:rsidR="003A04A6">
        <w:rPr>
          <w:rFonts w:eastAsiaTheme="minorHAnsi"/>
          <w:noProof/>
          <w:lang w:eastAsia="en-AU"/>
        </w:rPr>
        <w:t xml:space="preserve">possessing </w:t>
      </w:r>
      <w:r w:rsidRPr="00020210">
        <w:rPr>
          <w:rFonts w:eastAsiaTheme="minorHAnsi"/>
          <w:noProof/>
          <w:lang w:eastAsia="en-AU"/>
        </w:rPr>
        <w:t xml:space="preserve">digital skills, </w:t>
      </w:r>
      <w:r w:rsidR="00520F3D">
        <w:rPr>
          <w:rFonts w:eastAsiaTheme="minorHAnsi"/>
          <w:noProof/>
          <w:lang w:eastAsia="en-AU"/>
        </w:rPr>
        <w:t>an approach</w:t>
      </w:r>
      <w:r w:rsidR="00A61AC2">
        <w:rPr>
          <w:rFonts w:eastAsiaTheme="minorHAnsi"/>
          <w:noProof/>
          <w:lang w:eastAsia="en-AU"/>
        </w:rPr>
        <w:t xml:space="preserve"> </w:t>
      </w:r>
      <w:r w:rsidR="00751387">
        <w:rPr>
          <w:rFonts w:eastAsiaTheme="minorHAnsi"/>
          <w:noProof/>
          <w:lang w:eastAsia="en-AU"/>
        </w:rPr>
        <w:t xml:space="preserve">could be adopted </w:t>
      </w:r>
      <w:r w:rsidR="00A61AC2">
        <w:rPr>
          <w:rFonts w:eastAsiaTheme="minorHAnsi"/>
          <w:noProof/>
          <w:lang w:eastAsia="en-AU"/>
        </w:rPr>
        <w:t xml:space="preserve">whereby </w:t>
      </w:r>
      <w:r w:rsidRPr="00020210">
        <w:rPr>
          <w:rFonts w:eastAsiaTheme="minorHAnsi"/>
          <w:noProof/>
          <w:lang w:eastAsia="en-AU"/>
        </w:rPr>
        <w:t xml:space="preserve">these skills </w:t>
      </w:r>
      <w:r w:rsidR="00A61AC2">
        <w:rPr>
          <w:rFonts w:eastAsiaTheme="minorHAnsi"/>
          <w:noProof/>
          <w:lang w:eastAsia="en-AU"/>
        </w:rPr>
        <w:t>are</w:t>
      </w:r>
      <w:r w:rsidRPr="00020210">
        <w:rPr>
          <w:rFonts w:eastAsiaTheme="minorHAnsi"/>
          <w:noProof/>
          <w:lang w:eastAsia="en-AU"/>
        </w:rPr>
        <w:t xml:space="preserve"> embedded into </w:t>
      </w:r>
      <w:r w:rsidR="000D6DF4">
        <w:rPr>
          <w:rFonts w:eastAsiaTheme="minorHAnsi"/>
          <w:noProof/>
          <w:lang w:eastAsia="en-AU"/>
        </w:rPr>
        <w:t>existi</w:t>
      </w:r>
      <w:r w:rsidR="002E31C8">
        <w:rPr>
          <w:rFonts w:eastAsiaTheme="minorHAnsi"/>
          <w:noProof/>
          <w:lang w:eastAsia="en-AU"/>
        </w:rPr>
        <w:t xml:space="preserve">ng </w:t>
      </w:r>
      <w:r w:rsidRPr="00020210">
        <w:rPr>
          <w:rFonts w:eastAsiaTheme="minorHAnsi"/>
          <w:noProof/>
          <w:lang w:eastAsia="en-AU"/>
        </w:rPr>
        <w:t>courses</w:t>
      </w:r>
      <w:r w:rsidR="006D2236">
        <w:rPr>
          <w:rFonts w:eastAsiaTheme="minorHAnsi"/>
          <w:noProof/>
          <w:lang w:eastAsia="en-AU"/>
        </w:rPr>
        <w:t>, as has been done previously with</w:t>
      </w:r>
      <w:r w:rsidRPr="00020210">
        <w:rPr>
          <w:rFonts w:eastAsiaTheme="minorHAnsi"/>
          <w:noProof/>
          <w:lang w:eastAsia="en-AU"/>
        </w:rPr>
        <w:t xml:space="preserve"> literacy and numeracy skills and employability skills. This </w:t>
      </w:r>
      <w:r w:rsidR="00A70187">
        <w:rPr>
          <w:rFonts w:eastAsiaTheme="minorHAnsi"/>
          <w:noProof/>
          <w:lang w:eastAsia="en-AU"/>
        </w:rPr>
        <w:t xml:space="preserve">approach </w:t>
      </w:r>
      <w:r w:rsidRPr="00020210">
        <w:rPr>
          <w:rFonts w:eastAsiaTheme="minorHAnsi"/>
          <w:noProof/>
          <w:lang w:eastAsia="en-AU"/>
        </w:rPr>
        <w:t>is supported by Gallagher (2019)</w:t>
      </w:r>
      <w:r w:rsidR="00A70187">
        <w:rPr>
          <w:rFonts w:eastAsiaTheme="minorHAnsi"/>
          <w:noProof/>
          <w:lang w:eastAsia="en-AU"/>
        </w:rPr>
        <w:t>,</w:t>
      </w:r>
      <w:r w:rsidRPr="00020210">
        <w:rPr>
          <w:rFonts w:eastAsiaTheme="minorHAnsi"/>
          <w:noProof/>
          <w:lang w:eastAsia="en-AU"/>
        </w:rPr>
        <w:t xml:space="preserve"> who believes that digital, technological and functional skills aligned to the future of work must be embedded into existing courses. On a similar note, Gekara et al</w:t>
      </w:r>
      <w:r w:rsidR="008851CC">
        <w:rPr>
          <w:rFonts w:eastAsiaTheme="minorHAnsi"/>
          <w:noProof/>
          <w:lang w:eastAsia="en-AU"/>
        </w:rPr>
        <w:t>.</w:t>
      </w:r>
      <w:r w:rsidRPr="00020210">
        <w:rPr>
          <w:rFonts w:eastAsiaTheme="minorHAnsi"/>
          <w:noProof/>
          <w:lang w:eastAsia="en-AU"/>
        </w:rPr>
        <w:t xml:space="preserve"> (2019b, p.34) have developed an ‘Australian Workforce Digital Skills Framework’</w:t>
      </w:r>
      <w:r w:rsidR="008851CC">
        <w:rPr>
          <w:rFonts w:eastAsiaTheme="minorHAnsi"/>
          <w:noProof/>
          <w:lang w:eastAsia="en-AU"/>
        </w:rPr>
        <w:t>,</w:t>
      </w:r>
      <w:r w:rsidRPr="00020210">
        <w:rPr>
          <w:rFonts w:eastAsiaTheme="minorHAnsi"/>
          <w:noProof/>
          <w:lang w:eastAsia="en-AU"/>
        </w:rPr>
        <w:t xml:space="preserve"> which could be integrated into the Australian Core Skills Framework (see appendix B). </w:t>
      </w:r>
    </w:p>
    <w:p w14:paraId="5AF261B0" w14:textId="6C209BEB" w:rsidR="00AD2774" w:rsidRDefault="00AD2774" w:rsidP="007A0254">
      <w:pPr>
        <w:pStyle w:val="Text"/>
        <w:spacing w:before="120"/>
        <w:ind w:right="0"/>
        <w:rPr>
          <w:b/>
        </w:rPr>
      </w:pPr>
      <w:r w:rsidRPr="00AD2774">
        <w:rPr>
          <w:b/>
        </w:rPr>
        <w:t>Q: Is embedding digital skills into courses feasible and how would it work?</w:t>
      </w:r>
    </w:p>
    <w:p w14:paraId="3A0A6B73" w14:textId="77777777" w:rsidR="007A0254" w:rsidRPr="00AD2774" w:rsidRDefault="007A0254" w:rsidP="00AD2774">
      <w:pPr>
        <w:pStyle w:val="Text"/>
        <w:rPr>
          <w:b/>
          <w:caps/>
        </w:rPr>
      </w:pPr>
    </w:p>
    <w:p w14:paraId="1F9A805F" w14:textId="3265F6C8" w:rsidR="00AD2774" w:rsidRPr="00020210" w:rsidRDefault="00AD2774" w:rsidP="007465C1">
      <w:pPr>
        <w:pStyle w:val="Dotpoint1"/>
        <w:spacing w:before="240"/>
        <w:rPr>
          <w:rFonts w:eastAsiaTheme="minorHAnsi"/>
          <w:i/>
          <w:noProof/>
          <w:lang w:eastAsia="en-AU"/>
        </w:rPr>
      </w:pPr>
      <w:r>
        <w:rPr>
          <w:rFonts w:eastAsiaTheme="minorHAnsi"/>
          <w:i/>
          <w:noProof/>
          <w:lang w:eastAsia="en-AU"/>
        </w:rPr>
        <w:t xml:space="preserve"> </w:t>
      </w:r>
      <w:r w:rsidRPr="00020210">
        <w:rPr>
          <w:rFonts w:eastAsiaTheme="minorHAnsi"/>
          <w:i/>
          <w:noProof/>
          <w:lang w:eastAsia="en-AU"/>
        </w:rPr>
        <w:t>Develop specific qualifications related to digital skills</w:t>
      </w:r>
      <w:r w:rsidR="00C848DE">
        <w:rPr>
          <w:rFonts w:eastAsiaTheme="minorHAnsi"/>
          <w:iCs/>
          <w:noProof/>
          <w:lang w:eastAsia="en-AU"/>
        </w:rPr>
        <w:t>:</w:t>
      </w:r>
      <w:r w:rsidRPr="00020210">
        <w:rPr>
          <w:rFonts w:eastAsiaTheme="minorHAnsi"/>
          <w:i/>
          <w:noProof/>
          <w:lang w:eastAsia="en-AU"/>
        </w:rPr>
        <w:t xml:space="preserve"> </w:t>
      </w:r>
      <w:r w:rsidR="00B43813">
        <w:rPr>
          <w:rFonts w:eastAsiaTheme="minorHAnsi"/>
          <w:noProof/>
          <w:lang w:eastAsia="en-AU"/>
        </w:rPr>
        <w:t>on the other hand</w:t>
      </w:r>
      <w:r w:rsidRPr="00020210">
        <w:rPr>
          <w:rFonts w:eastAsiaTheme="minorHAnsi"/>
          <w:noProof/>
          <w:lang w:eastAsia="en-AU"/>
        </w:rPr>
        <w:t xml:space="preserve">, </w:t>
      </w:r>
      <w:r w:rsidR="00535E39" w:rsidRPr="00020210">
        <w:rPr>
          <w:rFonts w:eastAsiaTheme="minorHAnsi"/>
          <w:noProof/>
          <w:lang w:eastAsia="en-AU"/>
        </w:rPr>
        <w:t xml:space="preserve">specific qualifications </w:t>
      </w:r>
      <w:r w:rsidR="00535E39">
        <w:rPr>
          <w:rFonts w:eastAsiaTheme="minorHAnsi"/>
          <w:noProof/>
          <w:lang w:eastAsia="en-AU"/>
        </w:rPr>
        <w:t xml:space="preserve">have already been developed </w:t>
      </w:r>
      <w:r w:rsidRPr="00020210">
        <w:rPr>
          <w:rFonts w:eastAsiaTheme="minorHAnsi"/>
          <w:noProof/>
          <w:lang w:eastAsia="en-AU"/>
        </w:rPr>
        <w:t xml:space="preserve">to address some of the </w:t>
      </w:r>
      <w:r w:rsidRPr="00AD2774">
        <w:rPr>
          <w:rFonts w:eastAsiaTheme="minorHAnsi"/>
        </w:rPr>
        <w:t>current</w:t>
      </w:r>
      <w:r w:rsidRPr="00020210">
        <w:rPr>
          <w:rFonts w:eastAsiaTheme="minorHAnsi"/>
          <w:noProof/>
          <w:lang w:eastAsia="en-AU"/>
        </w:rPr>
        <w:t xml:space="preserve"> gaps in digital skills training, such as </w:t>
      </w:r>
      <w:r w:rsidR="00FA4379">
        <w:rPr>
          <w:rFonts w:eastAsiaTheme="minorHAnsi"/>
          <w:noProof/>
          <w:lang w:eastAsia="en-AU"/>
        </w:rPr>
        <w:t xml:space="preserve">in </w:t>
      </w:r>
      <w:r w:rsidRPr="00020210">
        <w:rPr>
          <w:rFonts w:eastAsiaTheme="minorHAnsi"/>
          <w:noProof/>
          <w:lang w:eastAsia="en-AU"/>
        </w:rPr>
        <w:t>automation. Examples of these qualifications include:</w:t>
      </w:r>
    </w:p>
    <w:p w14:paraId="053B716A" w14:textId="7A20BA78" w:rsidR="00AD2774" w:rsidRPr="00AD2774" w:rsidRDefault="00AD2774" w:rsidP="00AD2774">
      <w:pPr>
        <w:pStyle w:val="Dotpoint2"/>
        <w:rPr>
          <w:rFonts w:eastAsiaTheme="minorHAnsi"/>
        </w:rPr>
      </w:pPr>
      <w:r w:rsidRPr="00AD2774">
        <w:rPr>
          <w:rFonts w:eastAsiaTheme="minorHAnsi"/>
        </w:rPr>
        <w:t>Diploma of Applied Technologies (Swinburne University</w:t>
      </w:r>
      <w:r w:rsidR="0052732E">
        <w:rPr>
          <w:rFonts w:eastAsiaTheme="minorHAnsi"/>
        </w:rPr>
        <w:t xml:space="preserve">; </w:t>
      </w:r>
      <w:r w:rsidRPr="00AD2774">
        <w:rPr>
          <w:rFonts w:eastAsiaTheme="minorHAnsi"/>
        </w:rPr>
        <w:t>Industry 4.0 higher apprenticeships</w:t>
      </w:r>
      <w:r w:rsidR="0052732E">
        <w:rPr>
          <w:rFonts w:eastAsiaTheme="minorHAnsi"/>
        </w:rPr>
        <w:t>)</w:t>
      </w:r>
    </w:p>
    <w:p w14:paraId="547AAC20" w14:textId="14C5F3C7" w:rsidR="00AD2774" w:rsidRPr="00AD2774" w:rsidRDefault="00AD2774" w:rsidP="00AD2774">
      <w:pPr>
        <w:pStyle w:val="Dotpoint2"/>
        <w:rPr>
          <w:rFonts w:eastAsiaTheme="minorHAnsi"/>
        </w:rPr>
      </w:pPr>
      <w:r w:rsidRPr="00AD2774">
        <w:rPr>
          <w:rFonts w:eastAsiaTheme="minorHAnsi"/>
        </w:rPr>
        <w:t>Associate Degree of Applied Technologies (Swinburne University</w:t>
      </w:r>
      <w:r w:rsidR="00524CB8">
        <w:rPr>
          <w:rFonts w:eastAsiaTheme="minorHAnsi"/>
        </w:rPr>
        <w:t xml:space="preserve">; </w:t>
      </w:r>
      <w:r w:rsidRPr="00AD2774">
        <w:rPr>
          <w:rFonts w:eastAsiaTheme="minorHAnsi"/>
        </w:rPr>
        <w:t>Industry 4.0 higher apprenticeships</w:t>
      </w:r>
      <w:r w:rsidR="00524CB8">
        <w:rPr>
          <w:rFonts w:eastAsiaTheme="minorHAnsi"/>
        </w:rPr>
        <w:t>)</w:t>
      </w:r>
    </w:p>
    <w:p w14:paraId="012A1F72" w14:textId="77777777" w:rsidR="00AD2774" w:rsidRPr="00AD2774" w:rsidRDefault="00AD2774" w:rsidP="00AD2774">
      <w:pPr>
        <w:pStyle w:val="Dotpoint2"/>
        <w:rPr>
          <w:rFonts w:eastAsiaTheme="minorHAnsi"/>
        </w:rPr>
      </w:pPr>
      <w:r w:rsidRPr="00AD2774">
        <w:rPr>
          <w:rFonts w:eastAsiaTheme="minorHAnsi"/>
        </w:rPr>
        <w:t>Certificate II in Autonomous Workplace Operations (South Metro TAFE currently in pilot)</w:t>
      </w:r>
    </w:p>
    <w:p w14:paraId="48050765" w14:textId="757D52D3" w:rsidR="00AD2774" w:rsidRPr="00AD2774" w:rsidRDefault="00AD2774" w:rsidP="00AD2774">
      <w:pPr>
        <w:pStyle w:val="Dotpoint2"/>
        <w:rPr>
          <w:rFonts w:eastAsiaTheme="minorHAnsi"/>
        </w:rPr>
      </w:pPr>
      <w:r w:rsidRPr="00AD2774">
        <w:rPr>
          <w:rFonts w:eastAsiaTheme="minorHAnsi"/>
        </w:rPr>
        <w:t xml:space="preserve">Certificate IV in </w:t>
      </w:r>
      <w:r w:rsidR="00EA02D5">
        <w:rPr>
          <w:rFonts w:eastAsiaTheme="minorHAnsi"/>
        </w:rPr>
        <w:t xml:space="preserve">Autonomous Control and Remote Operations </w:t>
      </w:r>
      <w:r w:rsidRPr="00AD2774">
        <w:rPr>
          <w:rFonts w:eastAsiaTheme="minorHAnsi"/>
        </w:rPr>
        <w:t>(South Metro TAFE currently in pilot)</w:t>
      </w:r>
    </w:p>
    <w:p w14:paraId="03F98344" w14:textId="77777777" w:rsidR="00AD2774" w:rsidRPr="00AD2774" w:rsidRDefault="00AD2774" w:rsidP="00AD2774">
      <w:pPr>
        <w:pStyle w:val="Dotpoint2"/>
        <w:rPr>
          <w:rFonts w:eastAsiaTheme="minorHAnsi"/>
        </w:rPr>
      </w:pPr>
      <w:r w:rsidRPr="00AD2774">
        <w:rPr>
          <w:rFonts w:eastAsiaTheme="minorHAnsi"/>
        </w:rPr>
        <w:t>Micro-credential course, Working Effectively in an Automation Workplace (South Metro TAFE currently in pilot)</w:t>
      </w:r>
    </w:p>
    <w:p w14:paraId="162D70EB" w14:textId="77777777" w:rsidR="00AD2774" w:rsidRPr="00794DA6" w:rsidRDefault="00AD2774" w:rsidP="00AD2774">
      <w:pPr>
        <w:pStyle w:val="Dotpoint1"/>
        <w:numPr>
          <w:ilvl w:val="0"/>
          <w:numId w:val="0"/>
        </w:numPr>
        <w:ind w:left="284"/>
        <w:rPr>
          <w:rFonts w:eastAsiaTheme="minorHAnsi"/>
          <w:noProof/>
          <w:lang w:eastAsia="en-AU"/>
        </w:rPr>
      </w:pPr>
      <w:r w:rsidRPr="00794DA6">
        <w:rPr>
          <w:rFonts w:eastAsiaTheme="minorHAnsi"/>
          <w:noProof/>
          <w:lang w:eastAsia="en-AU"/>
        </w:rPr>
        <w:t>Furthermore, the Australian Centre for Energy and Process Training (ACEPT) at South Metro TAFE</w:t>
      </w:r>
      <w:r w:rsidRPr="00794DA6">
        <w:rPr>
          <w:rStyle w:val="FootnoteReference"/>
          <w:rFonts w:eastAsiaTheme="minorHAnsi"/>
        </w:rPr>
        <w:footnoteReference w:id="3"/>
      </w:r>
      <w:r>
        <w:rPr>
          <w:rStyle w:val="FootnoteReference"/>
          <w:rFonts w:eastAsiaTheme="minorHAnsi"/>
        </w:rPr>
        <w:t xml:space="preserve"> </w:t>
      </w:r>
      <w:r w:rsidRPr="00794DA6">
        <w:rPr>
          <w:rFonts w:eastAsiaTheme="minorHAnsi"/>
          <w:noProof/>
          <w:lang w:eastAsia="en-AU"/>
        </w:rPr>
        <w:t xml:space="preserve">has partnered with oil and </w:t>
      </w:r>
      <w:r w:rsidRPr="00AD2774">
        <w:rPr>
          <w:rFonts w:eastAsiaTheme="minorHAnsi"/>
        </w:rPr>
        <w:t>gas</w:t>
      </w:r>
      <w:r w:rsidRPr="00794DA6">
        <w:rPr>
          <w:rFonts w:eastAsiaTheme="minorHAnsi"/>
          <w:noProof/>
          <w:lang w:eastAsia="en-AU"/>
        </w:rPr>
        <w:t xml:space="preserve">, processing and resources industries to provide students with training in a real-life setting. </w:t>
      </w:r>
    </w:p>
    <w:p w14:paraId="68519719" w14:textId="3CC8F5F7" w:rsidR="00AD2774" w:rsidRDefault="00AD2774" w:rsidP="007A0254">
      <w:pPr>
        <w:pStyle w:val="Text"/>
        <w:spacing w:before="120"/>
        <w:ind w:right="0"/>
        <w:rPr>
          <w:b/>
        </w:rPr>
      </w:pPr>
      <w:r w:rsidRPr="00AD2774">
        <w:rPr>
          <w:b/>
        </w:rPr>
        <w:t xml:space="preserve">Q: </w:t>
      </w:r>
      <w:bookmarkStart w:id="32" w:name="_Hlk23757647"/>
      <w:r w:rsidRPr="00AD2774">
        <w:rPr>
          <w:b/>
        </w:rPr>
        <w:t>What elements constitute good practice in developing specific digital skills</w:t>
      </w:r>
      <w:r w:rsidR="00FF6290">
        <w:rPr>
          <w:b/>
        </w:rPr>
        <w:t>-</w:t>
      </w:r>
      <w:r w:rsidRPr="00AD2774">
        <w:rPr>
          <w:b/>
        </w:rPr>
        <w:t>related qualifications?</w:t>
      </w:r>
      <w:bookmarkEnd w:id="32"/>
    </w:p>
    <w:p w14:paraId="0490E0BF" w14:textId="77777777" w:rsidR="007A0254" w:rsidRPr="00AD2774" w:rsidRDefault="007A0254" w:rsidP="00AD2774">
      <w:pPr>
        <w:pStyle w:val="Text"/>
        <w:rPr>
          <w:b/>
          <w:caps/>
        </w:rPr>
      </w:pPr>
    </w:p>
    <w:p w14:paraId="1D1E8EF9" w14:textId="7FE5C966" w:rsidR="00AD2774" w:rsidRPr="00020210" w:rsidRDefault="00AD2774" w:rsidP="00AD2774">
      <w:pPr>
        <w:pStyle w:val="Dotpoint1"/>
        <w:rPr>
          <w:rFonts w:eastAsiaTheme="minorHAnsi"/>
          <w:noProof/>
          <w:lang w:eastAsia="en-AU"/>
        </w:rPr>
      </w:pPr>
      <w:r>
        <w:rPr>
          <w:rFonts w:eastAsiaTheme="minorHAnsi"/>
          <w:i/>
          <w:noProof/>
          <w:lang w:eastAsia="en-AU"/>
        </w:rPr>
        <w:t xml:space="preserve"> </w:t>
      </w:r>
      <w:r w:rsidRPr="00020210">
        <w:rPr>
          <w:rFonts w:eastAsiaTheme="minorHAnsi"/>
          <w:i/>
          <w:noProof/>
          <w:lang w:eastAsia="en-AU"/>
        </w:rPr>
        <w:t>Deliver more modular training or shorter courses</w:t>
      </w:r>
      <w:r w:rsidR="00FF6290">
        <w:rPr>
          <w:rFonts w:eastAsiaTheme="minorHAnsi"/>
          <w:noProof/>
          <w:lang w:eastAsia="en-AU"/>
        </w:rPr>
        <w:t xml:space="preserve">: </w:t>
      </w:r>
      <w:r w:rsidRPr="00020210">
        <w:rPr>
          <w:rFonts w:eastAsiaTheme="minorHAnsi"/>
          <w:noProof/>
          <w:lang w:eastAsia="en-AU"/>
        </w:rPr>
        <w:t xml:space="preserve">the push towards </w:t>
      </w:r>
      <w:r w:rsidR="00647810">
        <w:rPr>
          <w:rFonts w:eastAsiaTheme="minorHAnsi"/>
          <w:noProof/>
          <w:lang w:eastAsia="en-AU"/>
        </w:rPr>
        <w:t>increasing</w:t>
      </w:r>
      <w:r w:rsidRPr="00020210">
        <w:rPr>
          <w:rFonts w:eastAsiaTheme="minorHAnsi"/>
          <w:noProof/>
          <w:lang w:eastAsia="en-AU"/>
        </w:rPr>
        <w:t xml:space="preserve"> lifelong learning </w:t>
      </w:r>
      <w:r w:rsidR="009D19C8">
        <w:rPr>
          <w:rFonts w:eastAsiaTheme="minorHAnsi"/>
          <w:noProof/>
          <w:lang w:eastAsia="en-AU"/>
        </w:rPr>
        <w:t>to allow</w:t>
      </w:r>
      <w:r w:rsidRPr="00020210">
        <w:rPr>
          <w:rFonts w:eastAsiaTheme="minorHAnsi"/>
          <w:noProof/>
          <w:lang w:eastAsia="en-AU"/>
        </w:rPr>
        <w:t xml:space="preserve"> digital skills </w:t>
      </w:r>
      <w:r w:rsidR="00B304EE">
        <w:rPr>
          <w:rFonts w:eastAsiaTheme="minorHAnsi"/>
          <w:noProof/>
          <w:lang w:eastAsia="en-AU"/>
        </w:rPr>
        <w:t>to</w:t>
      </w:r>
      <w:r w:rsidRPr="00020210">
        <w:rPr>
          <w:rFonts w:eastAsiaTheme="minorHAnsi"/>
          <w:noProof/>
          <w:lang w:eastAsia="en-AU"/>
        </w:rPr>
        <w:t xml:space="preserve"> be updated flexibly</w:t>
      </w:r>
      <w:r w:rsidR="00337BCB">
        <w:rPr>
          <w:rFonts w:eastAsiaTheme="minorHAnsi"/>
          <w:noProof/>
          <w:lang w:eastAsia="en-AU"/>
        </w:rPr>
        <w:t>,</w:t>
      </w:r>
      <w:r w:rsidR="00755D36">
        <w:rPr>
          <w:rFonts w:eastAsiaTheme="minorHAnsi"/>
          <w:noProof/>
          <w:lang w:eastAsia="en-AU"/>
        </w:rPr>
        <w:t xml:space="preserve"> and</w:t>
      </w:r>
      <w:r w:rsidRPr="00020210">
        <w:rPr>
          <w:rFonts w:eastAsiaTheme="minorHAnsi"/>
          <w:noProof/>
          <w:lang w:eastAsia="en-AU"/>
        </w:rPr>
        <w:t xml:space="preserve"> as needed through a person’s working life</w:t>
      </w:r>
      <w:r w:rsidR="00337BCB">
        <w:rPr>
          <w:rFonts w:eastAsiaTheme="minorHAnsi"/>
          <w:noProof/>
          <w:lang w:eastAsia="en-AU"/>
        </w:rPr>
        <w:t>,</w:t>
      </w:r>
      <w:r w:rsidR="00647810">
        <w:rPr>
          <w:rFonts w:eastAsiaTheme="minorHAnsi"/>
          <w:noProof/>
          <w:lang w:eastAsia="en-AU"/>
        </w:rPr>
        <w:t xml:space="preserve"> has prompted </w:t>
      </w:r>
      <w:r w:rsidRPr="00020210">
        <w:rPr>
          <w:rFonts w:eastAsiaTheme="minorHAnsi"/>
          <w:noProof/>
          <w:lang w:eastAsia="en-AU"/>
        </w:rPr>
        <w:t>suggestions for more modular training or short courses (Reeson et al</w:t>
      </w:r>
      <w:r w:rsidR="00647810">
        <w:rPr>
          <w:rFonts w:eastAsiaTheme="minorHAnsi"/>
          <w:noProof/>
          <w:lang w:eastAsia="en-AU"/>
        </w:rPr>
        <w:t>.</w:t>
      </w:r>
      <w:r w:rsidRPr="00020210">
        <w:rPr>
          <w:rFonts w:eastAsiaTheme="minorHAnsi"/>
          <w:noProof/>
          <w:lang w:eastAsia="en-AU"/>
        </w:rPr>
        <w:t xml:space="preserve"> 2016; </w:t>
      </w:r>
      <w:r w:rsidR="000F4BE5" w:rsidRPr="00020210">
        <w:rPr>
          <w:rFonts w:eastAsiaTheme="minorHAnsi"/>
          <w:noProof/>
          <w:lang w:eastAsia="en-AU"/>
        </w:rPr>
        <w:t>P</w:t>
      </w:r>
      <w:r w:rsidR="000F4BE5">
        <w:rPr>
          <w:rFonts w:eastAsiaTheme="minorHAnsi"/>
          <w:noProof/>
          <w:lang w:eastAsia="en-AU"/>
        </w:rPr>
        <w:t>riceWaterhouseCoopers</w:t>
      </w:r>
      <w:r w:rsidR="000F4BE5" w:rsidRPr="00020210">
        <w:rPr>
          <w:rFonts w:eastAsiaTheme="minorHAnsi"/>
          <w:noProof/>
          <w:lang w:eastAsia="en-AU"/>
        </w:rPr>
        <w:t xml:space="preserve"> </w:t>
      </w:r>
      <w:r w:rsidR="00741362">
        <w:rPr>
          <w:rFonts w:eastAsiaTheme="minorHAnsi"/>
          <w:noProof/>
          <w:lang w:eastAsia="en-AU"/>
        </w:rPr>
        <w:t>[P</w:t>
      </w:r>
      <w:r w:rsidR="00B07283">
        <w:rPr>
          <w:rFonts w:eastAsiaTheme="minorHAnsi"/>
          <w:noProof/>
          <w:lang w:eastAsia="en-AU"/>
        </w:rPr>
        <w:t xml:space="preserve">wC] </w:t>
      </w:r>
      <w:r w:rsidR="000F4BE5" w:rsidRPr="00020210">
        <w:rPr>
          <w:rFonts w:eastAsiaTheme="minorHAnsi"/>
          <w:noProof/>
          <w:lang w:eastAsia="en-AU"/>
        </w:rPr>
        <w:t xml:space="preserve">Australia </w:t>
      </w:r>
      <w:r w:rsidRPr="00020210">
        <w:rPr>
          <w:rFonts w:eastAsiaTheme="minorHAnsi"/>
          <w:noProof/>
          <w:lang w:eastAsia="en-AU"/>
        </w:rPr>
        <w:t>2019). The flexibility of these shorter courses w</w:t>
      </w:r>
      <w:r w:rsidR="002A7A08">
        <w:rPr>
          <w:rFonts w:eastAsiaTheme="minorHAnsi"/>
          <w:noProof/>
          <w:lang w:eastAsia="en-AU"/>
        </w:rPr>
        <w:t>ould</w:t>
      </w:r>
      <w:r w:rsidRPr="00020210">
        <w:rPr>
          <w:rFonts w:eastAsiaTheme="minorHAnsi"/>
          <w:noProof/>
          <w:lang w:eastAsia="en-AU"/>
        </w:rPr>
        <w:t xml:space="preserve"> allow them to be completed alongside work (Reeson et al</w:t>
      </w:r>
      <w:r w:rsidR="002A7A08">
        <w:rPr>
          <w:rFonts w:eastAsiaTheme="minorHAnsi"/>
          <w:noProof/>
          <w:lang w:eastAsia="en-AU"/>
        </w:rPr>
        <w:t>.</w:t>
      </w:r>
      <w:r w:rsidRPr="00020210">
        <w:rPr>
          <w:rFonts w:eastAsiaTheme="minorHAnsi"/>
          <w:noProof/>
          <w:lang w:eastAsia="en-AU"/>
        </w:rPr>
        <w:t xml:space="preserve"> 2016)</w:t>
      </w:r>
      <w:r w:rsidR="00CD4EB8">
        <w:rPr>
          <w:rFonts w:eastAsiaTheme="minorHAnsi"/>
          <w:noProof/>
          <w:lang w:eastAsia="en-AU"/>
        </w:rPr>
        <w:t xml:space="preserve">, as well as enable their </w:t>
      </w:r>
      <w:r w:rsidR="00D53453">
        <w:rPr>
          <w:rFonts w:eastAsiaTheme="minorHAnsi"/>
          <w:noProof/>
          <w:lang w:eastAsia="en-AU"/>
        </w:rPr>
        <w:t xml:space="preserve">easy </w:t>
      </w:r>
      <w:r w:rsidR="00CD4EB8">
        <w:rPr>
          <w:rFonts w:eastAsiaTheme="minorHAnsi"/>
          <w:noProof/>
          <w:lang w:eastAsia="en-AU"/>
        </w:rPr>
        <w:t>adapt</w:t>
      </w:r>
      <w:r w:rsidR="00C73278">
        <w:rPr>
          <w:rFonts w:eastAsiaTheme="minorHAnsi"/>
          <w:noProof/>
          <w:lang w:eastAsia="en-AU"/>
        </w:rPr>
        <w:t>at</w:t>
      </w:r>
      <w:r w:rsidR="00CD4EB8">
        <w:rPr>
          <w:rFonts w:eastAsiaTheme="minorHAnsi"/>
          <w:noProof/>
          <w:lang w:eastAsia="en-AU"/>
        </w:rPr>
        <w:t>ion</w:t>
      </w:r>
      <w:r w:rsidRPr="00020210">
        <w:rPr>
          <w:rFonts w:eastAsiaTheme="minorHAnsi"/>
          <w:noProof/>
          <w:lang w:eastAsia="en-AU"/>
        </w:rPr>
        <w:t xml:space="preserve"> to current skill needs</w:t>
      </w:r>
      <w:r w:rsidR="009A6603">
        <w:rPr>
          <w:rFonts w:eastAsiaTheme="minorHAnsi"/>
          <w:noProof/>
          <w:lang w:eastAsia="en-AU"/>
        </w:rPr>
        <w:t xml:space="preserve">. </w:t>
      </w:r>
      <w:r w:rsidR="00E20CA0">
        <w:rPr>
          <w:rFonts w:eastAsiaTheme="minorHAnsi"/>
          <w:noProof/>
          <w:lang w:eastAsia="en-AU"/>
        </w:rPr>
        <w:t>Shorter course</w:t>
      </w:r>
      <w:r w:rsidR="00EA02D5">
        <w:rPr>
          <w:rFonts w:eastAsiaTheme="minorHAnsi"/>
          <w:noProof/>
          <w:lang w:eastAsia="en-AU"/>
        </w:rPr>
        <w:t>s</w:t>
      </w:r>
      <w:r w:rsidRPr="00020210">
        <w:rPr>
          <w:rFonts w:eastAsiaTheme="minorHAnsi"/>
          <w:noProof/>
          <w:lang w:eastAsia="en-AU"/>
        </w:rPr>
        <w:t xml:space="preserve"> are recognised by employers </w:t>
      </w:r>
      <w:r w:rsidR="00E20CA0">
        <w:rPr>
          <w:rFonts w:eastAsiaTheme="minorHAnsi"/>
          <w:noProof/>
          <w:lang w:eastAsia="en-AU"/>
        </w:rPr>
        <w:t>to be</w:t>
      </w:r>
      <w:r w:rsidRPr="00020210">
        <w:rPr>
          <w:rFonts w:eastAsiaTheme="minorHAnsi"/>
          <w:noProof/>
          <w:lang w:eastAsia="en-AU"/>
        </w:rPr>
        <w:t xml:space="preserve"> an asset</w:t>
      </w:r>
      <w:r w:rsidR="002C641F">
        <w:rPr>
          <w:rFonts w:eastAsiaTheme="minorHAnsi"/>
          <w:noProof/>
          <w:lang w:eastAsia="en-AU"/>
        </w:rPr>
        <w:t xml:space="preserve"> due to these reasons</w:t>
      </w:r>
      <w:r w:rsidRPr="00020210">
        <w:rPr>
          <w:rFonts w:eastAsiaTheme="minorHAnsi"/>
          <w:noProof/>
          <w:lang w:eastAsia="en-AU"/>
        </w:rPr>
        <w:t xml:space="preserve"> (</w:t>
      </w:r>
      <w:r w:rsidR="00265397" w:rsidRPr="00020210">
        <w:rPr>
          <w:rFonts w:eastAsiaTheme="minorHAnsi"/>
          <w:noProof/>
          <w:lang w:eastAsia="en-AU"/>
        </w:rPr>
        <w:t>P</w:t>
      </w:r>
      <w:r w:rsidR="00265397">
        <w:rPr>
          <w:rFonts w:eastAsiaTheme="minorHAnsi"/>
          <w:noProof/>
          <w:lang w:eastAsia="en-AU"/>
        </w:rPr>
        <w:t>riceWaterhouseCoopers</w:t>
      </w:r>
      <w:r w:rsidR="00265397" w:rsidRPr="00020210">
        <w:rPr>
          <w:rFonts w:eastAsiaTheme="minorHAnsi"/>
          <w:noProof/>
          <w:lang w:eastAsia="en-AU"/>
        </w:rPr>
        <w:t xml:space="preserve"> Australia</w:t>
      </w:r>
      <w:r w:rsidR="00265397">
        <w:rPr>
          <w:rFonts w:eastAsiaTheme="minorHAnsi"/>
          <w:noProof/>
          <w:lang w:eastAsia="en-AU"/>
        </w:rPr>
        <w:t xml:space="preserve">, </w:t>
      </w:r>
      <w:r w:rsidR="008447C8">
        <w:rPr>
          <w:rFonts w:eastAsiaTheme="minorHAnsi"/>
          <w:noProof/>
          <w:lang w:eastAsia="en-AU"/>
        </w:rPr>
        <w:t xml:space="preserve">Data and Analytics Services </w:t>
      </w:r>
      <w:r w:rsidRPr="00020210">
        <w:rPr>
          <w:rFonts w:eastAsiaTheme="minorHAnsi"/>
          <w:noProof/>
          <w:lang w:eastAsia="en-AU"/>
        </w:rPr>
        <w:t>2019). Seet et al</w:t>
      </w:r>
      <w:r w:rsidR="008447C8">
        <w:rPr>
          <w:rFonts w:eastAsiaTheme="minorHAnsi"/>
          <w:noProof/>
          <w:lang w:eastAsia="en-AU"/>
        </w:rPr>
        <w:t>.</w:t>
      </w:r>
      <w:r w:rsidRPr="00020210">
        <w:rPr>
          <w:rFonts w:eastAsiaTheme="minorHAnsi"/>
          <w:noProof/>
          <w:lang w:eastAsia="en-AU"/>
        </w:rPr>
        <w:t xml:space="preserve"> </w:t>
      </w:r>
      <w:r w:rsidRPr="00020210">
        <w:rPr>
          <w:rFonts w:eastAsiaTheme="minorHAnsi"/>
          <w:noProof/>
          <w:lang w:eastAsia="en-AU"/>
        </w:rPr>
        <w:lastRenderedPageBreak/>
        <w:t xml:space="preserve">(2018) also propose the use of accredited courses </w:t>
      </w:r>
      <w:r w:rsidR="00256ABA">
        <w:rPr>
          <w:rFonts w:eastAsiaTheme="minorHAnsi"/>
          <w:noProof/>
          <w:lang w:eastAsia="en-AU"/>
        </w:rPr>
        <w:t xml:space="preserve">in </w:t>
      </w:r>
      <w:r w:rsidR="00256ABA" w:rsidRPr="00020210">
        <w:rPr>
          <w:rFonts w:eastAsiaTheme="minorHAnsi"/>
          <w:noProof/>
          <w:lang w:eastAsia="en-AU"/>
        </w:rPr>
        <w:t xml:space="preserve">digital skills </w:t>
      </w:r>
      <w:r w:rsidRPr="00020210">
        <w:rPr>
          <w:rFonts w:eastAsiaTheme="minorHAnsi"/>
          <w:noProof/>
          <w:lang w:eastAsia="en-AU"/>
        </w:rPr>
        <w:t xml:space="preserve">in the short-term </w:t>
      </w:r>
      <w:r w:rsidR="00256ABA">
        <w:rPr>
          <w:rFonts w:eastAsiaTheme="minorHAnsi"/>
          <w:noProof/>
          <w:lang w:eastAsia="en-AU"/>
        </w:rPr>
        <w:t>to accom</w:t>
      </w:r>
      <w:r w:rsidR="00F75CBC">
        <w:rPr>
          <w:rFonts w:eastAsiaTheme="minorHAnsi"/>
          <w:noProof/>
          <w:lang w:eastAsia="en-AU"/>
        </w:rPr>
        <w:t>m</w:t>
      </w:r>
      <w:r w:rsidR="00256ABA">
        <w:rPr>
          <w:rFonts w:eastAsiaTheme="minorHAnsi"/>
          <w:noProof/>
          <w:lang w:eastAsia="en-AU"/>
        </w:rPr>
        <w:t>odate</w:t>
      </w:r>
      <w:r w:rsidR="003D073C">
        <w:rPr>
          <w:rFonts w:eastAsiaTheme="minorHAnsi"/>
          <w:noProof/>
          <w:lang w:eastAsia="en-AU"/>
        </w:rPr>
        <w:t xml:space="preserve"> the period </w:t>
      </w:r>
      <w:r w:rsidR="00256ABA">
        <w:rPr>
          <w:rFonts w:eastAsiaTheme="minorHAnsi"/>
          <w:noProof/>
          <w:lang w:eastAsia="en-AU"/>
        </w:rPr>
        <w:t>in</w:t>
      </w:r>
      <w:r w:rsidR="003D073C">
        <w:rPr>
          <w:rFonts w:eastAsiaTheme="minorHAnsi"/>
          <w:noProof/>
          <w:lang w:eastAsia="en-AU"/>
        </w:rPr>
        <w:t xml:space="preserve"> which</w:t>
      </w:r>
      <w:r w:rsidRPr="00020210">
        <w:rPr>
          <w:rFonts w:eastAsiaTheme="minorHAnsi"/>
          <w:noProof/>
          <w:lang w:eastAsia="en-AU"/>
        </w:rPr>
        <w:t xml:space="preserve"> changes are made to training packages; however, IBSA (2017) warns that too many accredited courses could lead to an inconsistent national approach to training</w:t>
      </w:r>
      <w:r w:rsidR="000F4BE5">
        <w:rPr>
          <w:rFonts w:eastAsiaTheme="minorHAnsi"/>
          <w:noProof/>
          <w:lang w:eastAsia="en-AU"/>
        </w:rPr>
        <w:t>.</w:t>
      </w:r>
      <w:r w:rsidRPr="00020210">
        <w:rPr>
          <w:rFonts w:eastAsiaTheme="minorHAnsi"/>
          <w:noProof/>
          <w:lang w:eastAsia="en-AU"/>
        </w:rPr>
        <w:t xml:space="preserve"> </w:t>
      </w:r>
    </w:p>
    <w:p w14:paraId="385FA7B8" w14:textId="450AB4F6" w:rsidR="00AD2774" w:rsidRDefault="00AD2774" w:rsidP="007A0254">
      <w:pPr>
        <w:pStyle w:val="Text"/>
        <w:spacing w:before="120"/>
        <w:ind w:right="0"/>
        <w:rPr>
          <w:b/>
        </w:rPr>
      </w:pPr>
      <w:r w:rsidRPr="00AD2774">
        <w:rPr>
          <w:b/>
        </w:rPr>
        <w:t>Q: Could modular training or shorter digital skills</w:t>
      </w:r>
      <w:r w:rsidR="00E17459">
        <w:rPr>
          <w:b/>
        </w:rPr>
        <w:t>-</w:t>
      </w:r>
      <w:r w:rsidRPr="00AD2774">
        <w:rPr>
          <w:b/>
        </w:rPr>
        <w:t>related courses work in the Australian VET system and are there any implications for quality?</w:t>
      </w:r>
    </w:p>
    <w:p w14:paraId="46CD1656" w14:textId="77777777" w:rsidR="007A0254" w:rsidRPr="00AD2774" w:rsidRDefault="007A0254" w:rsidP="00AD2774">
      <w:pPr>
        <w:pStyle w:val="Text"/>
        <w:rPr>
          <w:b/>
          <w:caps/>
        </w:rPr>
      </w:pPr>
    </w:p>
    <w:p w14:paraId="48B21FB3" w14:textId="6011E9D0" w:rsidR="00AD2774" w:rsidRPr="00794DA6" w:rsidRDefault="005F444A" w:rsidP="00AD2774">
      <w:pPr>
        <w:pStyle w:val="Dotpoint1"/>
        <w:rPr>
          <w:rFonts w:eastAsiaTheme="minorHAnsi"/>
          <w:noProof/>
          <w:lang w:eastAsia="en-AU"/>
        </w:rPr>
      </w:pPr>
      <w:r>
        <w:rPr>
          <w:rFonts w:eastAsiaTheme="minorHAnsi"/>
          <w:i/>
          <w:noProof/>
          <w:lang w:eastAsia="en-AU"/>
        </w:rPr>
        <w:t>Overhaul approaches to training delivery</w:t>
      </w:r>
      <w:r>
        <w:rPr>
          <w:rFonts w:eastAsiaTheme="minorHAnsi"/>
          <w:noProof/>
          <w:lang w:eastAsia="en-AU"/>
        </w:rPr>
        <w:t>:</w:t>
      </w:r>
      <w:r w:rsidR="00AD2774" w:rsidRPr="00794DA6">
        <w:rPr>
          <w:rFonts w:eastAsiaTheme="minorHAnsi"/>
          <w:noProof/>
          <w:lang w:eastAsia="en-AU"/>
        </w:rPr>
        <w:t xml:space="preserve"> </w:t>
      </w:r>
      <w:r>
        <w:rPr>
          <w:rFonts w:eastAsiaTheme="minorHAnsi"/>
          <w:noProof/>
          <w:lang w:eastAsia="en-AU"/>
        </w:rPr>
        <w:t>t</w:t>
      </w:r>
      <w:r w:rsidR="00AD2774" w:rsidRPr="00794DA6">
        <w:rPr>
          <w:rFonts w:eastAsiaTheme="minorHAnsi"/>
          <w:noProof/>
          <w:lang w:eastAsia="en-AU"/>
        </w:rPr>
        <w:t xml:space="preserve">he literature </w:t>
      </w:r>
      <w:r>
        <w:rPr>
          <w:rFonts w:eastAsiaTheme="minorHAnsi"/>
          <w:noProof/>
          <w:lang w:eastAsia="en-AU"/>
        </w:rPr>
        <w:t>on</w:t>
      </w:r>
      <w:r w:rsidR="00AD2774" w:rsidRPr="00794DA6">
        <w:rPr>
          <w:rFonts w:eastAsiaTheme="minorHAnsi"/>
          <w:noProof/>
          <w:lang w:eastAsia="en-AU"/>
        </w:rPr>
        <w:t xml:space="preserve"> digital skills points to a shift from traditional forms of delivery, </w:t>
      </w:r>
      <w:r w:rsidR="00AD2774" w:rsidRPr="00AD2774">
        <w:rPr>
          <w:rFonts w:eastAsiaTheme="minorHAnsi"/>
        </w:rPr>
        <w:t>such</w:t>
      </w:r>
      <w:r w:rsidR="00AD2774" w:rsidRPr="00794DA6">
        <w:rPr>
          <w:rFonts w:eastAsiaTheme="minorHAnsi"/>
          <w:noProof/>
          <w:lang w:eastAsia="en-AU"/>
        </w:rPr>
        <w:t xml:space="preserve"> as classroom-based, to more digital forms (Reeson et al</w:t>
      </w:r>
      <w:r w:rsidR="00D13142">
        <w:rPr>
          <w:rFonts w:eastAsiaTheme="minorHAnsi"/>
          <w:noProof/>
          <w:lang w:eastAsia="en-AU"/>
        </w:rPr>
        <w:t>.</w:t>
      </w:r>
      <w:r w:rsidR="00AD2774" w:rsidRPr="00794DA6">
        <w:rPr>
          <w:rFonts w:eastAsiaTheme="minorHAnsi"/>
          <w:noProof/>
          <w:lang w:eastAsia="en-AU"/>
        </w:rPr>
        <w:t xml:space="preserve"> 2016). </w:t>
      </w:r>
      <w:r w:rsidR="004B3225">
        <w:rPr>
          <w:rFonts w:eastAsiaTheme="minorHAnsi"/>
          <w:noProof/>
          <w:lang w:eastAsia="en-AU"/>
        </w:rPr>
        <w:t>This change would</w:t>
      </w:r>
      <w:r w:rsidR="00AD2774" w:rsidRPr="00794DA6">
        <w:rPr>
          <w:rFonts w:eastAsiaTheme="minorHAnsi"/>
          <w:noProof/>
          <w:lang w:eastAsia="en-AU"/>
        </w:rPr>
        <w:t xml:space="preserve"> help to provide the just</w:t>
      </w:r>
      <w:r w:rsidR="000B5EFF">
        <w:rPr>
          <w:rFonts w:eastAsiaTheme="minorHAnsi"/>
          <w:noProof/>
          <w:lang w:eastAsia="en-AU"/>
        </w:rPr>
        <w:t>-</w:t>
      </w:r>
      <w:r w:rsidR="00AD2774" w:rsidRPr="00794DA6">
        <w:rPr>
          <w:rFonts w:eastAsiaTheme="minorHAnsi"/>
          <w:noProof/>
          <w:lang w:eastAsia="en-AU"/>
        </w:rPr>
        <w:t>in</w:t>
      </w:r>
      <w:r w:rsidR="000B5EFF">
        <w:rPr>
          <w:rFonts w:eastAsiaTheme="minorHAnsi"/>
          <w:noProof/>
          <w:lang w:eastAsia="en-AU"/>
        </w:rPr>
        <w:t>-</w:t>
      </w:r>
      <w:r w:rsidR="00AD2774" w:rsidRPr="00794DA6">
        <w:rPr>
          <w:rFonts w:eastAsiaTheme="minorHAnsi"/>
          <w:noProof/>
          <w:lang w:eastAsia="en-AU"/>
        </w:rPr>
        <w:t>time and flexible training</w:t>
      </w:r>
      <w:r w:rsidR="000B5EFF">
        <w:rPr>
          <w:rFonts w:eastAsiaTheme="minorHAnsi"/>
          <w:noProof/>
          <w:lang w:eastAsia="en-AU"/>
        </w:rPr>
        <w:t xml:space="preserve"> </w:t>
      </w:r>
      <w:r w:rsidR="00575EA1">
        <w:rPr>
          <w:rFonts w:eastAsiaTheme="minorHAnsi"/>
          <w:noProof/>
          <w:lang w:eastAsia="en-AU"/>
        </w:rPr>
        <w:t>that</w:t>
      </w:r>
      <w:r w:rsidR="00AD2774" w:rsidRPr="00794DA6">
        <w:rPr>
          <w:rFonts w:eastAsiaTheme="minorHAnsi"/>
          <w:noProof/>
          <w:lang w:eastAsia="en-AU"/>
        </w:rPr>
        <w:t xml:space="preserve"> enable</w:t>
      </w:r>
      <w:r w:rsidR="003946B7">
        <w:rPr>
          <w:rFonts w:eastAsiaTheme="minorHAnsi"/>
          <w:noProof/>
          <w:lang w:eastAsia="en-AU"/>
        </w:rPr>
        <w:t>s</w:t>
      </w:r>
      <w:r w:rsidR="00AD2774" w:rsidRPr="00794DA6">
        <w:rPr>
          <w:rFonts w:eastAsiaTheme="minorHAnsi"/>
          <w:noProof/>
          <w:lang w:eastAsia="en-AU"/>
        </w:rPr>
        <w:t xml:space="preserve"> individuals to complete training alongside their current work obligations. </w:t>
      </w:r>
    </w:p>
    <w:p w14:paraId="7476F868" w14:textId="59CE1053" w:rsidR="00AD2774" w:rsidRPr="007A0254" w:rsidRDefault="00AD2774" w:rsidP="007A0254">
      <w:pPr>
        <w:pStyle w:val="Text"/>
        <w:spacing w:before="120"/>
        <w:ind w:right="0"/>
        <w:rPr>
          <w:b/>
        </w:rPr>
      </w:pPr>
      <w:r w:rsidRPr="00AD2774">
        <w:rPr>
          <w:b/>
        </w:rPr>
        <w:t xml:space="preserve">Q: What are the implications for VET providers of a </w:t>
      </w:r>
      <w:r w:rsidR="00D1017A">
        <w:rPr>
          <w:b/>
        </w:rPr>
        <w:t>move</w:t>
      </w:r>
      <w:r w:rsidRPr="00AD2774">
        <w:rPr>
          <w:b/>
        </w:rPr>
        <w:t xml:space="preserve"> to more digital forms of learning?</w:t>
      </w:r>
      <w:bookmarkStart w:id="33" w:name="_Toc22636829"/>
      <w:r w:rsidRPr="007A0254">
        <w:rPr>
          <w:b/>
        </w:rPr>
        <w:br w:type="page"/>
      </w:r>
    </w:p>
    <w:p w14:paraId="13249A95" w14:textId="77777777" w:rsidR="00AD2774" w:rsidRPr="00B922CC" w:rsidRDefault="00AD2774" w:rsidP="003A0ABD">
      <w:pPr>
        <w:pStyle w:val="Heading1"/>
        <w:rPr>
          <w:noProof/>
          <w:sz w:val="20"/>
          <w:szCs w:val="18"/>
          <w:lang w:eastAsia="en-AU"/>
        </w:rPr>
      </w:pPr>
      <w:bookmarkStart w:id="34" w:name="_Toc31711250"/>
      <w:r w:rsidRPr="00CC095E">
        <w:rPr>
          <w:noProof/>
          <w:lang w:eastAsia="en-AU"/>
        </w:rPr>
        <w:lastRenderedPageBreak/>
        <mc:AlternateContent>
          <mc:Choice Requires="wps">
            <w:drawing>
              <wp:anchor distT="45720" distB="45720" distL="114300" distR="114300" simplePos="0" relativeHeight="251668480" behindDoc="0" locked="0" layoutInCell="1" allowOverlap="1" wp14:anchorId="72BD0614" wp14:editId="589F236D">
                <wp:simplePos x="0" y="0"/>
                <wp:positionH relativeFrom="margin">
                  <wp:align>right</wp:align>
                </wp:positionH>
                <wp:positionV relativeFrom="paragraph">
                  <wp:posOffset>1287780</wp:posOffset>
                </wp:positionV>
                <wp:extent cx="5762625" cy="984250"/>
                <wp:effectExtent l="0" t="0" r="2857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984250"/>
                        </a:xfrm>
                        <a:prstGeom prst="rect">
                          <a:avLst/>
                        </a:prstGeom>
                        <a:solidFill>
                          <a:srgbClr val="FFFFFF"/>
                        </a:solidFill>
                        <a:ln w="9525">
                          <a:solidFill>
                            <a:srgbClr val="000000"/>
                          </a:solidFill>
                          <a:miter lim="800000"/>
                          <a:headEnd/>
                          <a:tailEnd/>
                        </a:ln>
                      </wps:spPr>
                      <wps:txbx>
                        <w:txbxContent>
                          <w:p w14:paraId="227C503C" w14:textId="2EC72EA9" w:rsidR="00AB0F13" w:rsidRPr="003A0ABD" w:rsidRDefault="00AB0F13" w:rsidP="003A0ABD">
                            <w:pPr>
                              <w:pStyle w:val="Dotpoint1"/>
                              <w:rPr>
                                <w:rFonts w:eastAsiaTheme="minorHAnsi"/>
                              </w:rPr>
                            </w:pPr>
                            <w:r w:rsidRPr="003A0ABD">
                              <w:rPr>
                                <w:rFonts w:eastAsiaTheme="minorHAnsi"/>
                              </w:rPr>
                              <w:t xml:space="preserve">Future students </w:t>
                            </w:r>
                            <w:r>
                              <w:rPr>
                                <w:rFonts w:eastAsiaTheme="minorHAnsi"/>
                              </w:rPr>
                              <w:t xml:space="preserve">will </w:t>
                            </w:r>
                            <w:r w:rsidRPr="003A0ABD">
                              <w:rPr>
                                <w:rFonts w:eastAsiaTheme="minorHAnsi"/>
                              </w:rPr>
                              <w:t>expect more from teachers</w:t>
                            </w:r>
                            <w:r>
                              <w:rPr>
                                <w:rFonts w:eastAsiaTheme="minorHAnsi"/>
                              </w:rPr>
                              <w:t>.</w:t>
                            </w:r>
                          </w:p>
                          <w:p w14:paraId="161EE311" w14:textId="2A55E40F" w:rsidR="00AB0F13" w:rsidRPr="003A0ABD" w:rsidRDefault="00AB0F13" w:rsidP="003A0ABD">
                            <w:pPr>
                              <w:pStyle w:val="Dotpoint1"/>
                              <w:rPr>
                                <w:rFonts w:eastAsiaTheme="minorHAnsi"/>
                              </w:rPr>
                            </w:pPr>
                            <w:r w:rsidRPr="003A0ABD">
                              <w:rPr>
                                <w:rFonts w:eastAsiaTheme="minorHAnsi"/>
                              </w:rPr>
                              <w:t>Educators need to know how to use technology</w:t>
                            </w:r>
                            <w:r>
                              <w:rPr>
                                <w:rFonts w:eastAsiaTheme="minorHAnsi"/>
                              </w:rPr>
                              <w:t>.</w:t>
                            </w:r>
                          </w:p>
                          <w:p w14:paraId="39F9D1C7" w14:textId="3C1AE50C" w:rsidR="00AB0F13" w:rsidRPr="003A0ABD" w:rsidRDefault="00AB0F13" w:rsidP="003A0ABD">
                            <w:pPr>
                              <w:pStyle w:val="Dotpoint1"/>
                              <w:rPr>
                                <w:rFonts w:eastAsiaTheme="minorHAnsi"/>
                              </w:rPr>
                            </w:pPr>
                            <w:r w:rsidRPr="003A0ABD">
                              <w:rPr>
                                <w:rFonts w:eastAsiaTheme="minorHAnsi"/>
                              </w:rPr>
                              <w:t>Changes to pedagogy are required</w:t>
                            </w:r>
                            <w:r>
                              <w:rPr>
                                <w:rFonts w:eastAsia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D0614" id="_x0000_s1031" type="#_x0000_t202" style="position:absolute;margin-left:402.55pt;margin-top:101.4pt;width:453.75pt;height:77.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">
                <v:textbox>
                  <w:txbxContent>
                    <w:p w14:paraId="227C503C" w14:textId="2EC72EA9" w:rsidR="00AB0F13" w:rsidRPr="003A0ABD" w:rsidRDefault="00AB0F13" w:rsidP="003A0ABD">
                      <w:pPr>
                        <w:pStyle w:val="Dotpoint1"/>
                        <w:rPr>
                          <w:rFonts w:eastAsiaTheme="minorHAnsi"/>
                        </w:rPr>
                      </w:pPr>
                      <w:r w:rsidRPr="003A0ABD">
                        <w:rPr>
                          <w:rFonts w:eastAsiaTheme="minorHAnsi"/>
                        </w:rPr>
                        <w:t xml:space="preserve">Future students </w:t>
                      </w:r>
                      <w:r>
                        <w:rPr>
                          <w:rFonts w:eastAsiaTheme="minorHAnsi"/>
                        </w:rPr>
                        <w:t xml:space="preserve">will </w:t>
                      </w:r>
                      <w:r w:rsidRPr="003A0ABD">
                        <w:rPr>
                          <w:rFonts w:eastAsiaTheme="minorHAnsi"/>
                        </w:rPr>
                        <w:t>expect more from teachers</w:t>
                      </w:r>
                      <w:r>
                        <w:rPr>
                          <w:rFonts w:eastAsiaTheme="minorHAnsi"/>
                        </w:rPr>
                        <w:t>.</w:t>
                      </w:r>
                    </w:p>
                    <w:p w14:paraId="161EE311" w14:textId="2A55E40F" w:rsidR="00AB0F13" w:rsidRPr="003A0ABD" w:rsidRDefault="00AB0F13" w:rsidP="003A0ABD">
                      <w:pPr>
                        <w:pStyle w:val="Dotpoint1"/>
                        <w:rPr>
                          <w:rFonts w:eastAsiaTheme="minorHAnsi"/>
                        </w:rPr>
                      </w:pPr>
                      <w:r w:rsidRPr="003A0ABD">
                        <w:rPr>
                          <w:rFonts w:eastAsiaTheme="minorHAnsi"/>
                        </w:rPr>
                        <w:t>Educators need to know how to use technology</w:t>
                      </w:r>
                      <w:r>
                        <w:rPr>
                          <w:rFonts w:eastAsiaTheme="minorHAnsi"/>
                        </w:rPr>
                        <w:t>.</w:t>
                      </w:r>
                    </w:p>
                    <w:p w14:paraId="39F9D1C7" w14:textId="3C1AE50C" w:rsidR="00AB0F13" w:rsidRPr="003A0ABD" w:rsidRDefault="00AB0F13" w:rsidP="003A0ABD">
                      <w:pPr>
                        <w:pStyle w:val="Dotpoint1"/>
                        <w:rPr>
                          <w:rFonts w:eastAsiaTheme="minorHAnsi"/>
                        </w:rPr>
                      </w:pPr>
                      <w:r w:rsidRPr="003A0ABD">
                        <w:rPr>
                          <w:rFonts w:eastAsiaTheme="minorHAnsi"/>
                        </w:rPr>
                        <w:t>Changes to pedagogy are required</w:t>
                      </w:r>
                      <w:r>
                        <w:rPr>
                          <w:rFonts w:eastAsiaTheme="minorHAnsi"/>
                        </w:rPr>
                        <w:t>.</w:t>
                      </w:r>
                    </w:p>
                  </w:txbxContent>
                </v:textbox>
                <w10:wrap type="square" anchorx="margin"/>
              </v:shape>
            </w:pict>
          </mc:Fallback>
        </mc:AlternateContent>
      </w:r>
      <w:r w:rsidRPr="00CC095E">
        <w:rPr>
          <w:noProof/>
          <w:lang w:eastAsia="en-AU"/>
        </w:rPr>
        <w:t>Implications of Industry 4.0 and the digital</w:t>
      </w:r>
      <w:r>
        <w:t xml:space="preserve"> </w:t>
      </w:r>
      <w:r w:rsidRPr="00CC095E">
        <w:rPr>
          <w:noProof/>
          <w:lang w:eastAsia="en-AU"/>
        </w:rPr>
        <w:t>economy for the VET educator</w:t>
      </w:r>
      <w:bookmarkEnd w:id="33"/>
      <w:r w:rsidRPr="00CC095E">
        <w:rPr>
          <w:noProof/>
          <w:lang w:eastAsia="en-AU"/>
        </w:rPr>
        <w:t xml:space="preserve"> workforce</w:t>
      </w:r>
      <w:bookmarkEnd w:id="34"/>
    </w:p>
    <w:p w14:paraId="7E4AEFB6" w14:textId="7EA2F525" w:rsidR="00AD2774" w:rsidRPr="003A0ABD" w:rsidRDefault="00AD2774" w:rsidP="003A0ABD">
      <w:pPr>
        <w:pStyle w:val="Text"/>
      </w:pPr>
      <w:r w:rsidRPr="003A0ABD">
        <w:t xml:space="preserve">Tied </w:t>
      </w:r>
      <w:r w:rsidR="00575EA1">
        <w:t>to</w:t>
      </w:r>
      <w:r w:rsidRPr="003A0ABD">
        <w:t xml:space="preserve"> the increasing need for digital skills in the workplace is the need to consider the implications for the VET educator workforce itself: are VET educators sufficiently skilled to deliver the digital skills training </w:t>
      </w:r>
      <w:r w:rsidR="007D00E0">
        <w:t>requirements</w:t>
      </w:r>
      <w:r w:rsidRPr="003A0ABD">
        <w:t xml:space="preserve"> of learners? Furthermore, the introduction of new competencies </w:t>
      </w:r>
      <w:r w:rsidR="006C0159">
        <w:t xml:space="preserve">related to </w:t>
      </w:r>
      <w:r w:rsidRPr="003A0ABD">
        <w:t xml:space="preserve">digital skills into VET training package qualifications </w:t>
      </w:r>
      <w:r w:rsidR="00AB43C8">
        <w:t>may</w:t>
      </w:r>
      <w:r w:rsidRPr="003A0ABD">
        <w:t xml:space="preserve"> have implications for the VET educator workforce</w:t>
      </w:r>
      <w:r w:rsidR="004B42CA">
        <w:t>.</w:t>
      </w:r>
      <w:r w:rsidR="00FE5A8F">
        <w:t xml:space="preserve"> </w:t>
      </w:r>
      <w:r w:rsidR="004B42CA">
        <w:t>A</w:t>
      </w:r>
      <w:r w:rsidR="00FE5A8F">
        <w:t xml:space="preserve"> situation</w:t>
      </w:r>
      <w:r w:rsidRPr="003A0ABD">
        <w:t xml:space="preserve"> </w:t>
      </w:r>
      <w:r w:rsidR="004B42CA">
        <w:t>such as this</w:t>
      </w:r>
      <w:r w:rsidR="002F7789">
        <w:t xml:space="preserve"> </w:t>
      </w:r>
      <w:r w:rsidR="004B42CA">
        <w:t>has arisen previously</w:t>
      </w:r>
      <w:r w:rsidR="007C0923">
        <w:t>,</w:t>
      </w:r>
      <w:r w:rsidRPr="003A0ABD">
        <w:t xml:space="preserve"> when employability skills and language, literacy and numeracy skills were embedded into training packages. </w:t>
      </w:r>
      <w:r w:rsidR="002F7789">
        <w:t>Following</w:t>
      </w:r>
      <w:r w:rsidR="00FE2370">
        <w:t xml:space="preserve"> </w:t>
      </w:r>
      <w:r w:rsidRPr="003A0ABD">
        <w:t>the introduction of employability skills into training packages</w:t>
      </w:r>
      <w:r w:rsidR="00FE2370">
        <w:t>,</w:t>
      </w:r>
      <w:r w:rsidRPr="003A0ABD">
        <w:t xml:space="preserve"> for example, </w:t>
      </w:r>
      <w:r w:rsidR="00FE2370">
        <w:t>many</w:t>
      </w:r>
      <w:r w:rsidRPr="003A0ABD">
        <w:t xml:space="preserve"> VET educators </w:t>
      </w:r>
      <w:r w:rsidR="00FE2370">
        <w:t>were unsure about</w:t>
      </w:r>
      <w:r w:rsidRPr="003A0ABD">
        <w:t xml:space="preserve"> how </w:t>
      </w:r>
      <w:r w:rsidR="00FE2370">
        <w:t>they should be taught and assessed, with</w:t>
      </w:r>
      <w:r w:rsidRPr="003A0ABD">
        <w:t xml:space="preserve"> suggest</w:t>
      </w:r>
      <w:r w:rsidR="00B164BE">
        <w:t>ions</w:t>
      </w:r>
      <w:r w:rsidRPr="003A0ABD">
        <w:t xml:space="preserve"> that professional development programs were needed to help prepare them to teach these skills (Wibrow 2011). </w:t>
      </w:r>
    </w:p>
    <w:p w14:paraId="1BDB120E" w14:textId="0909C266" w:rsidR="00AD2774" w:rsidRPr="003A0ABD" w:rsidRDefault="00AD2774" w:rsidP="003A0ABD">
      <w:pPr>
        <w:pStyle w:val="Text"/>
      </w:pPr>
      <w:r w:rsidRPr="003A0ABD">
        <w:t xml:space="preserve">A review of recent international and national literature highlights common issues for teachers and trainers </w:t>
      </w:r>
      <w:r w:rsidR="00C107FC">
        <w:t>across</w:t>
      </w:r>
      <w:r w:rsidRPr="003A0ABD">
        <w:t xml:space="preserve"> all educational settings with regard to their ability to identify</w:t>
      </w:r>
      <w:r w:rsidR="00F117AF">
        <w:t xml:space="preserve"> and</w:t>
      </w:r>
      <w:r w:rsidRPr="003A0ABD">
        <w:t xml:space="preserve"> use digital skills and technologies </w:t>
      </w:r>
      <w:r w:rsidR="00F117AF" w:rsidRPr="003A0ABD">
        <w:t xml:space="preserve">and embed </w:t>
      </w:r>
      <w:r w:rsidRPr="003A0ABD">
        <w:t>in</w:t>
      </w:r>
      <w:r w:rsidR="00437F07">
        <w:t>to</w:t>
      </w:r>
      <w:r w:rsidRPr="003A0ABD">
        <w:t xml:space="preserve"> their teaching and assessment practices</w:t>
      </w:r>
      <w:r w:rsidR="0096699A">
        <w:t>.</w:t>
      </w:r>
      <w:r w:rsidRPr="003A0ABD">
        <w:t xml:space="preserve"> The issue of how digitally competent teachers and trainers should be professionally prepared has only recently come into focus both in Australia and internationally.</w:t>
      </w:r>
    </w:p>
    <w:p w14:paraId="3E505D28" w14:textId="6676D1F5" w:rsidR="00AD2774" w:rsidRPr="00845C8E" w:rsidRDefault="00AD2774" w:rsidP="003A0ABD">
      <w:pPr>
        <w:pStyle w:val="Dotpoint1"/>
        <w:rPr>
          <w:rFonts w:eastAsiaTheme="minorHAnsi"/>
          <w:noProof/>
          <w:lang w:eastAsia="en-AU"/>
        </w:rPr>
      </w:pPr>
      <w:r w:rsidRPr="0052300A">
        <w:rPr>
          <w:rFonts w:eastAsiaTheme="minorHAnsi"/>
          <w:i/>
          <w:iCs/>
          <w:noProof/>
          <w:lang w:eastAsia="en-AU"/>
        </w:rPr>
        <w:t>Future students</w:t>
      </w:r>
      <w:r w:rsidR="0052300A">
        <w:rPr>
          <w:rFonts w:eastAsiaTheme="minorHAnsi"/>
          <w:i/>
          <w:iCs/>
          <w:noProof/>
          <w:lang w:eastAsia="en-AU"/>
        </w:rPr>
        <w:t xml:space="preserve"> will</w:t>
      </w:r>
      <w:r w:rsidRPr="0052300A">
        <w:rPr>
          <w:rFonts w:eastAsiaTheme="minorHAnsi"/>
          <w:i/>
          <w:iCs/>
          <w:noProof/>
          <w:lang w:eastAsia="en-AU"/>
        </w:rPr>
        <w:t xml:space="preserve"> expect more from teachers</w:t>
      </w:r>
      <w:r w:rsidR="0052300A">
        <w:rPr>
          <w:rFonts w:eastAsiaTheme="minorHAnsi"/>
          <w:noProof/>
          <w:lang w:eastAsia="en-AU"/>
        </w:rPr>
        <w:t>:</w:t>
      </w:r>
      <w:r w:rsidRPr="00845C8E">
        <w:rPr>
          <w:rFonts w:eastAsiaTheme="minorHAnsi"/>
          <w:noProof/>
          <w:lang w:eastAsia="en-AU"/>
        </w:rPr>
        <w:t xml:space="preserve"> </w:t>
      </w:r>
      <w:r w:rsidR="0052300A">
        <w:rPr>
          <w:rFonts w:eastAsiaTheme="minorHAnsi"/>
          <w:noProof/>
          <w:lang w:eastAsia="en-AU"/>
        </w:rPr>
        <w:t>a</w:t>
      </w:r>
      <w:r w:rsidRPr="00845C8E">
        <w:rPr>
          <w:rFonts w:eastAsiaTheme="minorHAnsi"/>
          <w:noProof/>
          <w:lang w:eastAsia="en-AU"/>
        </w:rPr>
        <w:t>s Reeson and colleagues</w:t>
      </w:r>
      <w:r w:rsidR="007942FC">
        <w:rPr>
          <w:rFonts w:eastAsiaTheme="minorHAnsi"/>
          <w:noProof/>
          <w:lang w:eastAsia="en-AU"/>
        </w:rPr>
        <w:t xml:space="preserve"> (2016, p.</w:t>
      </w:r>
      <w:r w:rsidR="008E3561">
        <w:rPr>
          <w:rFonts w:eastAsiaTheme="minorHAnsi"/>
          <w:noProof/>
          <w:lang w:eastAsia="en-AU"/>
        </w:rPr>
        <w:t>34)</w:t>
      </w:r>
      <w:r w:rsidRPr="00845C8E">
        <w:rPr>
          <w:rFonts w:eastAsiaTheme="minorHAnsi"/>
          <w:noProof/>
          <w:lang w:eastAsia="en-AU"/>
        </w:rPr>
        <w:t xml:space="preserve"> noted</w:t>
      </w:r>
      <w:r w:rsidR="0052300A">
        <w:rPr>
          <w:rFonts w:eastAsiaTheme="minorHAnsi"/>
          <w:noProof/>
          <w:lang w:eastAsia="en-AU"/>
        </w:rPr>
        <w:t>:</w:t>
      </w:r>
      <w:r w:rsidRPr="00845C8E">
        <w:rPr>
          <w:rFonts w:eastAsiaTheme="minorHAnsi"/>
          <w:noProof/>
          <w:lang w:eastAsia="en-AU"/>
        </w:rPr>
        <w:t xml:space="preserve"> </w:t>
      </w:r>
    </w:p>
    <w:p w14:paraId="2C12989B" w14:textId="4F59B04A" w:rsidR="00AD2774" w:rsidRPr="00845C8E" w:rsidRDefault="00AD2774" w:rsidP="003A0ABD">
      <w:pPr>
        <w:pStyle w:val="Quote"/>
        <w:rPr>
          <w:rFonts w:eastAsiaTheme="minorHAnsi"/>
          <w:noProof/>
          <w:lang w:eastAsia="en-AU"/>
        </w:rPr>
      </w:pPr>
      <w:r w:rsidRPr="00845C8E">
        <w:rPr>
          <w:rFonts w:eastAsiaTheme="minorHAnsi"/>
          <w:noProof/>
          <w:lang w:eastAsia="en-AU"/>
        </w:rPr>
        <w:t xml:space="preserve">Future VET students will not only have higher levels of digital literacy, they will also have higher expectations of educational providers, expecting them to use </w:t>
      </w:r>
      <w:r w:rsidRPr="003A0ABD">
        <w:rPr>
          <w:rFonts w:eastAsiaTheme="minorHAnsi"/>
        </w:rPr>
        <w:t>digital</w:t>
      </w:r>
      <w:r w:rsidRPr="00845C8E">
        <w:rPr>
          <w:rFonts w:eastAsiaTheme="minorHAnsi"/>
          <w:noProof/>
          <w:lang w:eastAsia="en-AU"/>
        </w:rPr>
        <w:t xml:space="preserve"> technology to provide the flexibility, convenience and more engaging learning experiences to which they have become accustomed. This, too, will increase the demands on educators</w:t>
      </w:r>
      <w:r w:rsidR="008E3561">
        <w:rPr>
          <w:rFonts w:eastAsiaTheme="minorHAnsi"/>
          <w:noProof/>
          <w:lang w:eastAsia="en-AU"/>
        </w:rPr>
        <w:t>.</w:t>
      </w:r>
    </w:p>
    <w:p w14:paraId="60753A50" w14:textId="34A0AA79" w:rsidR="00AD2774" w:rsidRPr="00845C8E" w:rsidRDefault="00AD2774" w:rsidP="003A0ABD">
      <w:pPr>
        <w:pStyle w:val="Dotpoint1"/>
        <w:numPr>
          <w:ilvl w:val="0"/>
          <w:numId w:val="0"/>
        </w:numPr>
        <w:ind w:left="284"/>
        <w:rPr>
          <w:rFonts w:eastAsiaTheme="minorHAnsi"/>
          <w:noProof/>
          <w:lang w:eastAsia="en-AU"/>
        </w:rPr>
      </w:pPr>
      <w:r w:rsidRPr="00845C8E">
        <w:rPr>
          <w:rFonts w:eastAsiaTheme="minorHAnsi"/>
          <w:noProof/>
          <w:lang w:eastAsia="en-AU"/>
        </w:rPr>
        <w:t>This almost role reversal of positions</w:t>
      </w:r>
      <w:r w:rsidR="00CE3963">
        <w:rPr>
          <w:rFonts w:eastAsiaTheme="minorHAnsi"/>
          <w:noProof/>
          <w:lang w:eastAsia="en-AU"/>
        </w:rPr>
        <w:t xml:space="preserve"> </w:t>
      </w:r>
      <w:r w:rsidRPr="00845C8E">
        <w:rPr>
          <w:rFonts w:eastAsiaTheme="minorHAnsi"/>
          <w:noProof/>
          <w:lang w:eastAsia="en-AU"/>
        </w:rPr>
        <w:t>—</w:t>
      </w:r>
      <w:r w:rsidR="00CE3963">
        <w:rPr>
          <w:rFonts w:eastAsiaTheme="minorHAnsi"/>
          <w:noProof/>
          <w:lang w:eastAsia="en-AU"/>
        </w:rPr>
        <w:t xml:space="preserve"> </w:t>
      </w:r>
      <w:r w:rsidRPr="00845C8E">
        <w:rPr>
          <w:rFonts w:eastAsiaTheme="minorHAnsi"/>
          <w:noProof/>
          <w:lang w:eastAsia="en-AU"/>
        </w:rPr>
        <w:t>who actually is the educator</w:t>
      </w:r>
      <w:r w:rsidR="00447016">
        <w:rPr>
          <w:rFonts w:eastAsiaTheme="minorHAnsi"/>
          <w:noProof/>
          <w:lang w:eastAsia="en-AU"/>
        </w:rPr>
        <w:t>?</w:t>
      </w:r>
      <w:r w:rsidR="00CE3963">
        <w:rPr>
          <w:rFonts w:eastAsiaTheme="minorHAnsi"/>
          <w:noProof/>
          <w:lang w:eastAsia="en-AU"/>
        </w:rPr>
        <w:t xml:space="preserve"> </w:t>
      </w:r>
      <w:r w:rsidRPr="00845C8E">
        <w:rPr>
          <w:rFonts w:eastAsiaTheme="minorHAnsi"/>
          <w:noProof/>
          <w:lang w:eastAsia="en-AU"/>
        </w:rPr>
        <w:t>—</w:t>
      </w:r>
      <w:r w:rsidR="00447016">
        <w:rPr>
          <w:rFonts w:eastAsiaTheme="minorHAnsi"/>
          <w:noProof/>
          <w:lang w:eastAsia="en-AU"/>
        </w:rPr>
        <w:t xml:space="preserve"> </w:t>
      </w:r>
      <w:r w:rsidRPr="00845C8E">
        <w:rPr>
          <w:rFonts w:eastAsiaTheme="minorHAnsi"/>
          <w:noProof/>
          <w:lang w:eastAsia="en-AU"/>
        </w:rPr>
        <w:t xml:space="preserve">was also highlighted by Grand-Clement (2017). Through consultations with young people and senior representatives of academia, industry, government, volunteer and </w:t>
      </w:r>
      <w:r w:rsidRPr="003A0ABD">
        <w:rPr>
          <w:rFonts w:eastAsiaTheme="minorHAnsi"/>
        </w:rPr>
        <w:t>community</w:t>
      </w:r>
      <w:r w:rsidRPr="00845C8E">
        <w:rPr>
          <w:rFonts w:eastAsiaTheme="minorHAnsi"/>
          <w:noProof/>
          <w:lang w:eastAsia="en-AU"/>
        </w:rPr>
        <w:t xml:space="preserve"> organisations undertaken as part of </w:t>
      </w:r>
      <w:r>
        <w:rPr>
          <w:rFonts w:eastAsiaTheme="minorHAnsi"/>
          <w:noProof/>
          <w:lang w:eastAsia="en-AU"/>
        </w:rPr>
        <w:t xml:space="preserve">a </w:t>
      </w:r>
      <w:r w:rsidRPr="00845C8E">
        <w:rPr>
          <w:rFonts w:eastAsiaTheme="minorHAnsi"/>
          <w:noProof/>
          <w:lang w:eastAsia="en-AU"/>
        </w:rPr>
        <w:t xml:space="preserve">project examining how digital skills can </w:t>
      </w:r>
      <w:r w:rsidR="00DE17A1">
        <w:rPr>
          <w:rFonts w:eastAsiaTheme="minorHAnsi"/>
          <w:noProof/>
          <w:lang w:eastAsia="en-AU"/>
        </w:rPr>
        <w:t>assist in</w:t>
      </w:r>
      <w:r w:rsidRPr="00845C8E">
        <w:rPr>
          <w:rFonts w:eastAsiaTheme="minorHAnsi"/>
          <w:noProof/>
          <w:lang w:eastAsia="en-AU"/>
        </w:rPr>
        <w:t xml:space="preserve"> build</w:t>
      </w:r>
      <w:r w:rsidR="00DE17A1">
        <w:rPr>
          <w:rFonts w:eastAsiaTheme="minorHAnsi"/>
          <w:noProof/>
          <w:lang w:eastAsia="en-AU"/>
        </w:rPr>
        <w:t>ing</w:t>
      </w:r>
      <w:r w:rsidRPr="00845C8E">
        <w:rPr>
          <w:rFonts w:eastAsiaTheme="minorHAnsi"/>
          <w:noProof/>
          <w:lang w:eastAsia="en-AU"/>
        </w:rPr>
        <w:t xml:space="preserve"> a better connected society in the UK, three barriers to educators being able to keep up with changes in technology were </w:t>
      </w:r>
      <w:r w:rsidR="007B7063">
        <w:rPr>
          <w:rFonts w:eastAsiaTheme="minorHAnsi"/>
          <w:noProof/>
          <w:lang w:eastAsia="en-AU"/>
        </w:rPr>
        <w:t>identified</w:t>
      </w:r>
      <w:r w:rsidRPr="00845C8E">
        <w:rPr>
          <w:rFonts w:eastAsiaTheme="minorHAnsi"/>
          <w:noProof/>
          <w:lang w:eastAsia="en-AU"/>
        </w:rPr>
        <w:t>:</w:t>
      </w:r>
    </w:p>
    <w:p w14:paraId="0C4AFE42" w14:textId="39BE178E" w:rsidR="00AD2774" w:rsidRPr="003A0ABD" w:rsidRDefault="001B6FD9" w:rsidP="003A0ABD">
      <w:pPr>
        <w:pStyle w:val="Dotpoint2"/>
        <w:rPr>
          <w:rFonts w:eastAsiaTheme="minorHAnsi"/>
        </w:rPr>
      </w:pPr>
      <w:r>
        <w:rPr>
          <w:rFonts w:eastAsiaTheme="minorHAnsi"/>
        </w:rPr>
        <w:t>s</w:t>
      </w:r>
      <w:r w:rsidR="00AD2774" w:rsidRPr="003A0ABD">
        <w:rPr>
          <w:rFonts w:eastAsiaTheme="minorHAnsi"/>
        </w:rPr>
        <w:t>ystemic institutional barriers</w:t>
      </w:r>
      <w:r w:rsidR="00A56763">
        <w:rPr>
          <w:rFonts w:eastAsiaTheme="minorHAnsi"/>
        </w:rPr>
        <w:t>, which</w:t>
      </w:r>
      <w:r w:rsidR="00AD2774" w:rsidRPr="003A0ABD">
        <w:rPr>
          <w:rFonts w:eastAsiaTheme="minorHAnsi"/>
        </w:rPr>
        <w:t xml:space="preserve"> prevent or impede learning through digital technologies</w:t>
      </w:r>
    </w:p>
    <w:p w14:paraId="3408F2BC" w14:textId="12B8C66A" w:rsidR="00AD2774" w:rsidRPr="003A0ABD" w:rsidRDefault="00A73EA6" w:rsidP="003A0ABD">
      <w:pPr>
        <w:pStyle w:val="Dotpoint2"/>
        <w:rPr>
          <w:rFonts w:eastAsiaTheme="minorHAnsi"/>
        </w:rPr>
      </w:pPr>
      <w:r>
        <w:rPr>
          <w:rFonts w:eastAsiaTheme="minorHAnsi"/>
        </w:rPr>
        <w:t>l</w:t>
      </w:r>
      <w:r w:rsidR="00AD2774" w:rsidRPr="003A0ABD">
        <w:rPr>
          <w:rFonts w:eastAsiaTheme="minorHAnsi"/>
        </w:rPr>
        <w:t xml:space="preserve">ack of consultation between education technology developers and educators </w:t>
      </w:r>
      <w:r w:rsidR="00646118">
        <w:rPr>
          <w:rFonts w:eastAsiaTheme="minorHAnsi"/>
        </w:rPr>
        <w:t>in relation to</w:t>
      </w:r>
      <w:r w:rsidR="00AD2774" w:rsidRPr="003A0ABD">
        <w:rPr>
          <w:rFonts w:eastAsiaTheme="minorHAnsi"/>
        </w:rPr>
        <w:t xml:space="preserve"> understanding the pedagogy behind the use of the technology</w:t>
      </w:r>
    </w:p>
    <w:p w14:paraId="5654D815" w14:textId="0D621750" w:rsidR="00AD2774" w:rsidRPr="003A0ABD" w:rsidRDefault="00646118" w:rsidP="003A0ABD">
      <w:pPr>
        <w:pStyle w:val="Dotpoint2"/>
        <w:rPr>
          <w:rFonts w:eastAsiaTheme="minorHAnsi"/>
        </w:rPr>
      </w:pPr>
      <w:r>
        <w:rPr>
          <w:rFonts w:eastAsiaTheme="minorHAnsi"/>
        </w:rPr>
        <w:t>l</w:t>
      </w:r>
      <w:r w:rsidR="00AD2774" w:rsidRPr="003A0ABD">
        <w:rPr>
          <w:rFonts w:eastAsiaTheme="minorHAnsi"/>
        </w:rPr>
        <w:t xml:space="preserve">ack of skills development and the imperative to make digital technologies and skills development a greater focus of continuing professional development for educators (p.9).  </w:t>
      </w:r>
    </w:p>
    <w:p w14:paraId="0FF289E7" w14:textId="5460330F" w:rsidR="00AD2774" w:rsidRPr="00845C8E" w:rsidRDefault="00AD2774" w:rsidP="003A0ABD">
      <w:pPr>
        <w:pStyle w:val="Dotpoint1"/>
        <w:rPr>
          <w:rFonts w:eastAsiaTheme="minorHAnsi"/>
          <w:noProof/>
          <w:lang w:eastAsia="en-AU"/>
        </w:rPr>
      </w:pPr>
      <w:r w:rsidRPr="00845C8E">
        <w:rPr>
          <w:rFonts w:eastAsiaTheme="minorHAnsi"/>
          <w:i/>
          <w:noProof/>
          <w:lang w:eastAsia="en-AU"/>
        </w:rPr>
        <w:lastRenderedPageBreak/>
        <w:t>Educators need to know how to use technology</w:t>
      </w:r>
      <w:r w:rsidR="005B512A">
        <w:rPr>
          <w:rFonts w:eastAsiaTheme="minorHAnsi"/>
          <w:noProof/>
          <w:lang w:eastAsia="en-AU"/>
        </w:rPr>
        <w:t>: t</w:t>
      </w:r>
      <w:r w:rsidRPr="00845C8E">
        <w:rPr>
          <w:rFonts w:eastAsiaTheme="minorHAnsi"/>
          <w:noProof/>
          <w:lang w:eastAsia="en-AU"/>
        </w:rPr>
        <w:t xml:space="preserve">he rapid changes in technology, both in workplaces and everyday life, together </w:t>
      </w:r>
      <w:r w:rsidRPr="003A0ABD">
        <w:rPr>
          <w:rFonts w:eastAsiaTheme="minorHAnsi"/>
        </w:rPr>
        <w:t>with</w:t>
      </w:r>
      <w:r w:rsidRPr="00845C8E">
        <w:rPr>
          <w:rFonts w:eastAsiaTheme="minorHAnsi"/>
          <w:noProof/>
          <w:lang w:eastAsia="en-AU"/>
        </w:rPr>
        <w:t xml:space="preserve"> the ubiquity of digital devices and applications</w:t>
      </w:r>
      <w:r w:rsidR="006A7003">
        <w:rPr>
          <w:rFonts w:eastAsiaTheme="minorHAnsi"/>
          <w:noProof/>
          <w:lang w:eastAsia="en-AU"/>
        </w:rPr>
        <w:t>,</w:t>
      </w:r>
      <w:r w:rsidRPr="00845C8E">
        <w:rPr>
          <w:rFonts w:eastAsiaTheme="minorHAnsi"/>
          <w:noProof/>
          <w:lang w:eastAsia="en-AU"/>
        </w:rPr>
        <w:t xml:space="preserve"> </w:t>
      </w:r>
      <w:r w:rsidR="00575D71">
        <w:rPr>
          <w:rFonts w:eastAsiaTheme="minorHAnsi"/>
          <w:noProof/>
          <w:lang w:eastAsia="en-AU"/>
        </w:rPr>
        <w:t xml:space="preserve">necessitate </w:t>
      </w:r>
      <w:r w:rsidRPr="00845C8E">
        <w:rPr>
          <w:rFonts w:eastAsiaTheme="minorHAnsi"/>
          <w:noProof/>
          <w:lang w:eastAsia="en-AU"/>
        </w:rPr>
        <w:t>teachers develop</w:t>
      </w:r>
      <w:r w:rsidR="00575D71">
        <w:rPr>
          <w:rFonts w:eastAsiaTheme="minorHAnsi"/>
          <w:noProof/>
          <w:lang w:eastAsia="en-AU"/>
        </w:rPr>
        <w:t>ing</w:t>
      </w:r>
      <w:r w:rsidRPr="00845C8E">
        <w:rPr>
          <w:rFonts w:eastAsiaTheme="minorHAnsi"/>
          <w:noProof/>
          <w:lang w:eastAsia="en-AU"/>
        </w:rPr>
        <w:t xml:space="preserve"> and keep</w:t>
      </w:r>
      <w:r w:rsidR="00575D71">
        <w:rPr>
          <w:rFonts w:eastAsiaTheme="minorHAnsi"/>
          <w:noProof/>
          <w:lang w:eastAsia="en-AU"/>
        </w:rPr>
        <w:t>ing</w:t>
      </w:r>
      <w:r w:rsidRPr="00845C8E">
        <w:rPr>
          <w:rFonts w:eastAsiaTheme="minorHAnsi"/>
          <w:noProof/>
          <w:lang w:eastAsia="en-AU"/>
        </w:rPr>
        <w:t xml:space="preserve"> their own digital skills</w:t>
      </w:r>
      <w:r w:rsidR="00870577" w:rsidRPr="00870577">
        <w:rPr>
          <w:rFonts w:eastAsiaTheme="minorHAnsi"/>
          <w:noProof/>
          <w:lang w:eastAsia="en-AU"/>
        </w:rPr>
        <w:t xml:space="preserve"> </w:t>
      </w:r>
      <w:r w:rsidR="00870577" w:rsidRPr="00845C8E">
        <w:rPr>
          <w:rFonts w:eastAsiaTheme="minorHAnsi"/>
          <w:noProof/>
          <w:lang w:eastAsia="en-AU"/>
        </w:rPr>
        <w:t>current</w:t>
      </w:r>
      <w:r w:rsidRPr="00845C8E">
        <w:rPr>
          <w:rFonts w:eastAsiaTheme="minorHAnsi"/>
          <w:noProof/>
          <w:lang w:eastAsia="en-AU"/>
        </w:rPr>
        <w:t xml:space="preserve">. </w:t>
      </w:r>
      <w:r w:rsidR="000F20C2">
        <w:rPr>
          <w:rFonts w:eastAsiaTheme="minorHAnsi"/>
          <w:noProof/>
          <w:lang w:eastAsia="en-AU"/>
        </w:rPr>
        <w:t>That said</w:t>
      </w:r>
      <w:r w:rsidRPr="00845C8E">
        <w:rPr>
          <w:rFonts w:eastAsiaTheme="minorHAnsi"/>
          <w:noProof/>
          <w:lang w:eastAsia="en-AU"/>
        </w:rPr>
        <w:t>, not only do they need to be a competent user of technology</w:t>
      </w:r>
      <w:r w:rsidR="000E4F3D">
        <w:rPr>
          <w:rFonts w:eastAsiaTheme="minorHAnsi"/>
          <w:noProof/>
          <w:lang w:eastAsia="en-AU"/>
        </w:rPr>
        <w:t>,</w:t>
      </w:r>
      <w:r w:rsidRPr="00845C8E">
        <w:rPr>
          <w:rFonts w:eastAsiaTheme="minorHAnsi"/>
          <w:noProof/>
          <w:lang w:eastAsia="en-AU"/>
        </w:rPr>
        <w:t xml:space="preserve"> they must also be a competent teacher of that technology (Medlin 2016; Reeson et al. 2016)</w:t>
      </w:r>
      <w:r w:rsidR="00870577">
        <w:rPr>
          <w:rFonts w:eastAsiaTheme="minorHAnsi"/>
          <w:noProof/>
          <w:lang w:eastAsia="en-AU"/>
        </w:rPr>
        <w:t>.</w:t>
      </w:r>
      <w:r w:rsidRPr="00845C8E">
        <w:rPr>
          <w:rFonts w:eastAsiaTheme="minorHAnsi"/>
          <w:noProof/>
          <w:lang w:eastAsia="en-AU"/>
        </w:rPr>
        <w:t xml:space="preserve"> </w:t>
      </w:r>
    </w:p>
    <w:p w14:paraId="66A12873" w14:textId="63D34043" w:rsidR="00AD2774" w:rsidRPr="00845C8E" w:rsidRDefault="00AD2774" w:rsidP="003A0ABD">
      <w:pPr>
        <w:pStyle w:val="Dotpoint1"/>
        <w:numPr>
          <w:ilvl w:val="0"/>
          <w:numId w:val="0"/>
        </w:numPr>
        <w:ind w:left="284"/>
        <w:rPr>
          <w:rFonts w:eastAsiaTheme="minorHAnsi"/>
          <w:noProof/>
          <w:lang w:eastAsia="en-AU"/>
        </w:rPr>
      </w:pPr>
      <w:r w:rsidRPr="00845C8E">
        <w:rPr>
          <w:rFonts w:eastAsiaTheme="minorHAnsi"/>
          <w:noProof/>
          <w:lang w:eastAsia="en-AU"/>
        </w:rPr>
        <w:t>In a survey of the language, literacy and numeracy</w:t>
      </w:r>
      <w:r w:rsidR="000E4F3D">
        <w:rPr>
          <w:rFonts w:eastAsiaTheme="minorHAnsi"/>
          <w:noProof/>
          <w:lang w:eastAsia="en-AU"/>
        </w:rPr>
        <w:t>,</w:t>
      </w:r>
      <w:r w:rsidRPr="00845C8E">
        <w:rPr>
          <w:rFonts w:eastAsiaTheme="minorHAnsi"/>
          <w:noProof/>
          <w:lang w:eastAsia="en-AU"/>
        </w:rPr>
        <w:t xml:space="preserve"> and </w:t>
      </w:r>
      <w:r w:rsidR="000E4F3D">
        <w:rPr>
          <w:rFonts w:eastAsiaTheme="minorHAnsi"/>
          <w:noProof/>
          <w:lang w:eastAsia="en-AU"/>
        </w:rPr>
        <w:t xml:space="preserve">the </w:t>
      </w:r>
      <w:r w:rsidRPr="00845C8E">
        <w:rPr>
          <w:rFonts w:eastAsiaTheme="minorHAnsi"/>
          <w:noProof/>
          <w:lang w:eastAsia="en-AU"/>
        </w:rPr>
        <w:t>education and training workforces undertaken for the 2014</w:t>
      </w:r>
      <w:r w:rsidR="000E4F3D">
        <w:rPr>
          <w:rFonts w:eastAsiaTheme="minorHAnsi"/>
          <w:noProof/>
          <w:lang w:eastAsia="en-AU"/>
        </w:rPr>
        <w:t>—</w:t>
      </w:r>
      <w:r w:rsidRPr="00845C8E">
        <w:rPr>
          <w:rFonts w:eastAsiaTheme="minorHAnsi"/>
          <w:noProof/>
          <w:lang w:eastAsia="en-AU"/>
        </w:rPr>
        <w:t xml:space="preserve">15 National Foundation </w:t>
      </w:r>
      <w:r w:rsidRPr="003A0ABD">
        <w:rPr>
          <w:rFonts w:eastAsiaTheme="minorHAnsi"/>
        </w:rPr>
        <w:t>Skills</w:t>
      </w:r>
      <w:r w:rsidRPr="00845C8E">
        <w:rPr>
          <w:rFonts w:eastAsiaTheme="minorHAnsi"/>
          <w:noProof/>
          <w:lang w:eastAsia="en-AU"/>
        </w:rPr>
        <w:t xml:space="preserve"> Strategy Project, Circelli (2015) found that many respondents refer</w:t>
      </w:r>
      <w:r w:rsidR="00520F51">
        <w:rPr>
          <w:rFonts w:eastAsiaTheme="minorHAnsi"/>
          <w:noProof/>
          <w:lang w:eastAsia="en-AU"/>
        </w:rPr>
        <w:t>red to</w:t>
      </w:r>
      <w:r w:rsidRPr="00845C8E">
        <w:rPr>
          <w:rFonts w:eastAsiaTheme="minorHAnsi"/>
          <w:noProof/>
          <w:lang w:eastAsia="en-AU"/>
        </w:rPr>
        <w:t xml:space="preserve"> the ne</w:t>
      </w:r>
      <w:r w:rsidR="00E064E3">
        <w:rPr>
          <w:rFonts w:eastAsiaTheme="minorHAnsi"/>
          <w:noProof/>
          <w:lang w:eastAsia="en-AU"/>
        </w:rPr>
        <w:t>cessity</w:t>
      </w:r>
      <w:r w:rsidRPr="00845C8E">
        <w:rPr>
          <w:rFonts w:eastAsiaTheme="minorHAnsi"/>
          <w:noProof/>
          <w:lang w:eastAsia="en-AU"/>
        </w:rPr>
        <w:t xml:space="preserve"> to improve their own digital literacy skills and/or that of the learner. </w:t>
      </w:r>
      <w:r w:rsidR="00B04597">
        <w:rPr>
          <w:rFonts w:eastAsiaTheme="minorHAnsi"/>
          <w:noProof/>
          <w:lang w:eastAsia="en-AU"/>
        </w:rPr>
        <w:t xml:space="preserve">The </w:t>
      </w:r>
      <w:r w:rsidR="00B04597" w:rsidRPr="00845C8E">
        <w:rPr>
          <w:rFonts w:eastAsiaTheme="minorHAnsi"/>
          <w:noProof/>
          <w:lang w:eastAsia="en-AU"/>
        </w:rPr>
        <w:t>areas of professional development need</w:t>
      </w:r>
      <w:r w:rsidR="00831009">
        <w:rPr>
          <w:rFonts w:eastAsiaTheme="minorHAnsi"/>
          <w:noProof/>
          <w:lang w:eastAsia="en-AU"/>
        </w:rPr>
        <w:t xml:space="preserve"> cited were:</w:t>
      </w:r>
      <w:r w:rsidR="00B04597" w:rsidRPr="00845C8E">
        <w:rPr>
          <w:rFonts w:eastAsiaTheme="minorHAnsi"/>
          <w:noProof/>
          <w:lang w:eastAsia="en-AU"/>
        </w:rPr>
        <w:t xml:space="preserve"> </w:t>
      </w:r>
      <w:r w:rsidR="00831009">
        <w:rPr>
          <w:rFonts w:eastAsiaTheme="minorHAnsi"/>
          <w:noProof/>
          <w:lang w:eastAsia="en-AU"/>
        </w:rPr>
        <w:t>l</w:t>
      </w:r>
      <w:r w:rsidRPr="00845C8E">
        <w:rPr>
          <w:rFonts w:eastAsiaTheme="minorHAnsi"/>
          <w:noProof/>
          <w:lang w:eastAsia="en-AU"/>
        </w:rPr>
        <w:t xml:space="preserve">earning how to incorporate contemporary digital tools (such as iPads and mobile phones) </w:t>
      </w:r>
      <w:r w:rsidR="009162C8">
        <w:rPr>
          <w:rFonts w:eastAsiaTheme="minorHAnsi"/>
          <w:noProof/>
          <w:lang w:eastAsia="en-AU"/>
        </w:rPr>
        <w:t>into</w:t>
      </w:r>
      <w:r w:rsidRPr="00845C8E">
        <w:rPr>
          <w:rFonts w:eastAsiaTheme="minorHAnsi"/>
          <w:noProof/>
          <w:lang w:eastAsia="en-AU"/>
        </w:rPr>
        <w:t xml:space="preserve"> the teaching process; best practice in online delivery</w:t>
      </w:r>
      <w:r w:rsidR="00831009">
        <w:rPr>
          <w:rFonts w:eastAsiaTheme="minorHAnsi"/>
          <w:noProof/>
          <w:lang w:eastAsia="en-AU"/>
        </w:rPr>
        <w:t>,</w:t>
      </w:r>
      <w:r w:rsidRPr="00845C8E">
        <w:rPr>
          <w:rFonts w:eastAsiaTheme="minorHAnsi"/>
          <w:noProof/>
          <w:lang w:eastAsia="en-AU"/>
        </w:rPr>
        <w:t xml:space="preserve"> including converting materials for engaging online delivery; and learning more about relevant online software and developing online learning tools</w:t>
      </w:r>
      <w:r w:rsidR="00831009">
        <w:rPr>
          <w:rFonts w:eastAsiaTheme="minorHAnsi"/>
          <w:noProof/>
          <w:lang w:eastAsia="en-AU"/>
        </w:rPr>
        <w:t xml:space="preserve">. </w:t>
      </w:r>
      <w:r w:rsidRPr="00845C8E">
        <w:rPr>
          <w:rFonts w:eastAsiaTheme="minorHAnsi"/>
          <w:noProof/>
          <w:lang w:eastAsia="en-AU"/>
        </w:rPr>
        <w:t>Reeson and colleagues (2016) also found that not all VET educators are ‘comfortable with and proficient users of digital technology’ and that ‘time, investment and support will be required to build educators’ capability to deliver VET in an increasingly digital learning and workplace environment’ (p.5).</w:t>
      </w:r>
    </w:p>
    <w:p w14:paraId="4F99B332" w14:textId="3831458C" w:rsidR="00AD2774" w:rsidRDefault="00AD2774" w:rsidP="003A0ABD">
      <w:pPr>
        <w:pStyle w:val="Text"/>
        <w:rPr>
          <w:b/>
        </w:rPr>
      </w:pPr>
      <w:r w:rsidRPr="003A0ABD">
        <w:rPr>
          <w:b/>
        </w:rPr>
        <w:t xml:space="preserve">Q: What are providers currently doing to assist VET educators </w:t>
      </w:r>
      <w:r w:rsidR="00831009">
        <w:rPr>
          <w:b/>
        </w:rPr>
        <w:t xml:space="preserve">to </w:t>
      </w:r>
      <w:r w:rsidRPr="003A0ABD">
        <w:rPr>
          <w:b/>
        </w:rPr>
        <w:t xml:space="preserve">build digital skills capability and what could they do more of to facilitate this? </w:t>
      </w:r>
    </w:p>
    <w:p w14:paraId="5545D537" w14:textId="77777777" w:rsidR="007A0254" w:rsidRPr="003A0ABD" w:rsidRDefault="007A0254" w:rsidP="003A0ABD">
      <w:pPr>
        <w:pStyle w:val="Text"/>
        <w:rPr>
          <w:b/>
          <w:caps/>
        </w:rPr>
      </w:pPr>
    </w:p>
    <w:p w14:paraId="567C62D3" w14:textId="76643DA6" w:rsidR="00AD2774" w:rsidRPr="00845C8E" w:rsidRDefault="00AD2774" w:rsidP="003A0ABD">
      <w:pPr>
        <w:pStyle w:val="Dotpoint1"/>
        <w:rPr>
          <w:rFonts w:eastAsiaTheme="minorHAnsi"/>
          <w:noProof/>
          <w:lang w:eastAsia="en-AU"/>
        </w:rPr>
      </w:pPr>
      <w:r w:rsidRPr="00845C8E">
        <w:rPr>
          <w:rFonts w:eastAsiaTheme="minorHAnsi"/>
          <w:i/>
          <w:noProof/>
          <w:lang w:eastAsia="en-AU"/>
        </w:rPr>
        <w:t>Changes to pedagogy are required</w:t>
      </w:r>
      <w:r w:rsidR="007447CB">
        <w:rPr>
          <w:rFonts w:eastAsiaTheme="minorHAnsi"/>
          <w:noProof/>
          <w:lang w:eastAsia="en-AU"/>
        </w:rPr>
        <w:t>:</w:t>
      </w:r>
      <w:r w:rsidRPr="00845C8E">
        <w:rPr>
          <w:rFonts w:eastAsiaTheme="minorHAnsi"/>
          <w:noProof/>
          <w:lang w:eastAsia="en-AU"/>
        </w:rPr>
        <w:t xml:space="preserve"> </w:t>
      </w:r>
      <w:r w:rsidR="000E4BED" w:rsidRPr="00845C8E">
        <w:rPr>
          <w:rFonts w:eastAsiaTheme="minorHAnsi"/>
          <w:noProof/>
          <w:lang w:eastAsia="en-AU"/>
        </w:rPr>
        <w:t>Reeson et al</w:t>
      </w:r>
      <w:r w:rsidR="000E4BED">
        <w:rPr>
          <w:rFonts w:eastAsiaTheme="minorHAnsi"/>
          <w:noProof/>
          <w:lang w:eastAsia="en-AU"/>
        </w:rPr>
        <w:t>.</w:t>
      </w:r>
      <w:r w:rsidR="000E4BED" w:rsidRPr="00845C8E">
        <w:rPr>
          <w:rFonts w:eastAsiaTheme="minorHAnsi"/>
          <w:noProof/>
          <w:lang w:eastAsia="en-AU"/>
        </w:rPr>
        <w:t xml:space="preserve"> (2016) noted </w:t>
      </w:r>
      <w:r w:rsidR="000E4BED">
        <w:rPr>
          <w:rFonts w:eastAsiaTheme="minorHAnsi"/>
          <w:noProof/>
          <w:lang w:eastAsia="en-AU"/>
        </w:rPr>
        <w:t>that, g</w:t>
      </w:r>
      <w:r w:rsidRPr="00845C8E">
        <w:rPr>
          <w:rFonts w:eastAsiaTheme="minorHAnsi"/>
          <w:noProof/>
          <w:lang w:eastAsia="en-AU"/>
        </w:rPr>
        <w:t xml:space="preserve">iven the increasing use of digital tools and mediums in education and training, </w:t>
      </w:r>
      <w:r w:rsidR="000E4BED">
        <w:rPr>
          <w:rFonts w:eastAsiaTheme="minorHAnsi"/>
          <w:noProof/>
          <w:lang w:eastAsia="en-AU"/>
        </w:rPr>
        <w:t>‘</w:t>
      </w:r>
      <w:r w:rsidRPr="00845C8E">
        <w:rPr>
          <w:rFonts w:eastAsiaTheme="minorHAnsi"/>
          <w:noProof/>
          <w:lang w:eastAsia="en-AU"/>
        </w:rPr>
        <w:t>educators will need different pedagogy and skill sets in order to use them effectively in their teaching</w:t>
      </w:r>
      <w:r w:rsidR="00686105">
        <w:rPr>
          <w:rFonts w:eastAsiaTheme="minorHAnsi"/>
          <w:noProof/>
          <w:lang w:eastAsia="en-AU"/>
        </w:rPr>
        <w:t>’</w:t>
      </w:r>
      <w:r w:rsidRPr="00845C8E">
        <w:rPr>
          <w:rFonts w:eastAsiaTheme="minorHAnsi"/>
          <w:noProof/>
          <w:lang w:eastAsia="en-AU"/>
        </w:rPr>
        <w:t xml:space="preserve">(p.34). </w:t>
      </w:r>
    </w:p>
    <w:p w14:paraId="7CE81470" w14:textId="5D6B6C9B" w:rsidR="00AD2774" w:rsidRPr="00845C8E" w:rsidRDefault="00AD2774" w:rsidP="003A0ABD">
      <w:pPr>
        <w:pStyle w:val="Dotpoint1"/>
        <w:numPr>
          <w:ilvl w:val="0"/>
          <w:numId w:val="0"/>
        </w:numPr>
        <w:ind w:left="284"/>
      </w:pPr>
      <w:r w:rsidRPr="00845C8E">
        <w:t xml:space="preserve">In its 2019 </w:t>
      </w:r>
      <w:r>
        <w:t>I</w:t>
      </w:r>
      <w:r w:rsidRPr="00845C8E">
        <w:t xml:space="preserve">ndustry </w:t>
      </w:r>
      <w:r>
        <w:t>S</w:t>
      </w:r>
      <w:r w:rsidRPr="00845C8E">
        <w:t xml:space="preserve">kills </w:t>
      </w:r>
      <w:r>
        <w:t>F</w:t>
      </w:r>
      <w:r w:rsidRPr="00845C8E">
        <w:t xml:space="preserve">orecast for education, </w:t>
      </w:r>
      <w:r w:rsidR="00634931">
        <w:t>PwC</w:t>
      </w:r>
      <w:r w:rsidR="004341FB">
        <w:t>’</w:t>
      </w:r>
      <w:r w:rsidRPr="00845C8E">
        <w:t xml:space="preserve">s Skills for Australia also emphasised the imperative for VET educators to </w:t>
      </w:r>
      <w:r w:rsidR="005E78E7" w:rsidRPr="00845C8E">
        <w:t xml:space="preserve">be </w:t>
      </w:r>
      <w:r w:rsidRPr="00845C8E">
        <w:t xml:space="preserve">not only </w:t>
      </w:r>
      <w:r w:rsidR="004341FB">
        <w:t>‘</w:t>
      </w:r>
      <w:r w:rsidRPr="00845C8E">
        <w:t>digitally literate so that they can practically facilitate digital learning, but also that they understand e-learning pedagogy so as to appropriately employ digital learning strategies</w:t>
      </w:r>
      <w:r w:rsidR="008C641D">
        <w:t xml:space="preserve">’ </w:t>
      </w:r>
      <w:r w:rsidRPr="00845C8E">
        <w:t xml:space="preserve">(p.18). A similar point was made by Grand-Clement (2017): </w:t>
      </w:r>
      <w:r w:rsidR="008C641D">
        <w:t>‘</w:t>
      </w:r>
      <w:r w:rsidRPr="00845C8E">
        <w:t>there remains a distinction between using technology for learning as opposed to teaching how to use technologies</w:t>
      </w:r>
      <w:r w:rsidR="008C641D">
        <w:t>’</w:t>
      </w:r>
      <w:r w:rsidRPr="00845C8E">
        <w:t xml:space="preserve"> (p.7).</w:t>
      </w:r>
    </w:p>
    <w:p w14:paraId="6E64FA15" w14:textId="4CA396D5" w:rsidR="00AD2774" w:rsidRPr="00845C8E" w:rsidRDefault="00AD2774" w:rsidP="003A0ABD">
      <w:pPr>
        <w:pStyle w:val="Dotpoint1"/>
        <w:numPr>
          <w:ilvl w:val="0"/>
          <w:numId w:val="0"/>
        </w:numPr>
        <w:ind w:left="284"/>
      </w:pPr>
      <w:r w:rsidRPr="00845C8E">
        <w:t xml:space="preserve">PwC’s Skills for Australia (2019) summarised the key skill needs required of VET educators </w:t>
      </w:r>
      <w:r w:rsidR="008C641D">
        <w:t>for</w:t>
      </w:r>
      <w:r w:rsidRPr="00845C8E">
        <w:t xml:space="preserve"> meet</w:t>
      </w:r>
      <w:r w:rsidR="008C641D">
        <w:t>ing</w:t>
      </w:r>
      <w:r w:rsidRPr="00845C8E">
        <w:t xml:space="preserve"> and adapt</w:t>
      </w:r>
      <w:r w:rsidR="008C641D">
        <w:t>ing</w:t>
      </w:r>
      <w:r w:rsidRPr="00845C8E">
        <w:t xml:space="preserve"> to the increasing digital environment as being: </w:t>
      </w:r>
    </w:p>
    <w:p w14:paraId="32DAD8F6" w14:textId="5721A6B7" w:rsidR="00AD2774" w:rsidRPr="006B2721" w:rsidRDefault="00AD2774" w:rsidP="003A0ABD">
      <w:pPr>
        <w:pStyle w:val="Dotpoint2"/>
        <w:rPr>
          <w:rFonts w:eastAsiaTheme="minorHAnsi"/>
          <w:sz w:val="17"/>
          <w:szCs w:val="17"/>
        </w:rPr>
      </w:pPr>
      <w:r w:rsidRPr="006B2721">
        <w:rPr>
          <w:rFonts w:eastAsiaTheme="minorHAnsi"/>
          <w:sz w:val="17"/>
          <w:szCs w:val="17"/>
        </w:rPr>
        <w:t xml:space="preserve">digital fluency and strategies for continuous learning to maintain digital currency </w:t>
      </w:r>
    </w:p>
    <w:p w14:paraId="10C22D69" w14:textId="77777777" w:rsidR="00AD2774" w:rsidRPr="006B2721" w:rsidRDefault="00AD2774" w:rsidP="003A0ABD">
      <w:pPr>
        <w:pStyle w:val="Dotpoint2"/>
        <w:rPr>
          <w:rFonts w:eastAsiaTheme="minorHAnsi"/>
          <w:sz w:val="17"/>
          <w:szCs w:val="17"/>
        </w:rPr>
      </w:pPr>
      <w:r w:rsidRPr="006B2721">
        <w:rPr>
          <w:rFonts w:eastAsiaTheme="minorHAnsi"/>
          <w:sz w:val="17"/>
          <w:szCs w:val="17"/>
        </w:rPr>
        <w:t xml:space="preserve">numeracy and computational skills of VET trainers and assessors, as these skills provide a foundation for the attainment of digital fluency and other STEM skills </w:t>
      </w:r>
    </w:p>
    <w:p w14:paraId="0454D909" w14:textId="1A2D4D10" w:rsidR="00AD2774" w:rsidRPr="006B2721" w:rsidRDefault="006C0159" w:rsidP="003A0ABD">
      <w:pPr>
        <w:pStyle w:val="Dotpoint2"/>
        <w:rPr>
          <w:rFonts w:eastAsiaTheme="minorHAnsi"/>
          <w:sz w:val="17"/>
          <w:szCs w:val="17"/>
        </w:rPr>
      </w:pPr>
      <w:r>
        <w:rPr>
          <w:rFonts w:eastAsiaTheme="minorHAnsi"/>
          <w:sz w:val="17"/>
          <w:szCs w:val="17"/>
        </w:rPr>
        <w:t xml:space="preserve">the </w:t>
      </w:r>
      <w:r w:rsidR="00AD2774" w:rsidRPr="006B2721">
        <w:rPr>
          <w:rFonts w:eastAsiaTheme="minorHAnsi"/>
          <w:sz w:val="17"/>
          <w:szCs w:val="17"/>
        </w:rPr>
        <w:t xml:space="preserve">ability to deliver materials through e-learning and to assess online learning, including the ability to make resources and assessments available online, deliver training sessions online and facilitate a collaborative online learning environment </w:t>
      </w:r>
    </w:p>
    <w:p w14:paraId="4616D11C" w14:textId="585B72DB" w:rsidR="00AD2774" w:rsidRPr="006B2721" w:rsidRDefault="006C0159" w:rsidP="003A0ABD">
      <w:pPr>
        <w:pStyle w:val="Dotpoint2"/>
        <w:rPr>
          <w:rFonts w:eastAsiaTheme="minorHAnsi"/>
          <w:sz w:val="17"/>
          <w:szCs w:val="17"/>
        </w:rPr>
      </w:pPr>
      <w:r>
        <w:rPr>
          <w:rFonts w:eastAsiaTheme="minorHAnsi"/>
          <w:sz w:val="17"/>
          <w:szCs w:val="17"/>
        </w:rPr>
        <w:t xml:space="preserve">the </w:t>
      </w:r>
      <w:r w:rsidR="00AD2774" w:rsidRPr="006B2721">
        <w:rPr>
          <w:rFonts w:eastAsiaTheme="minorHAnsi"/>
          <w:sz w:val="17"/>
          <w:szCs w:val="17"/>
        </w:rPr>
        <w:t>ability to teach basic digital skills as a part of industry specific training (p.18)</w:t>
      </w:r>
      <w:r w:rsidR="00617814" w:rsidRPr="006B2721">
        <w:rPr>
          <w:rFonts w:eastAsiaTheme="minorHAnsi"/>
          <w:sz w:val="17"/>
          <w:szCs w:val="17"/>
        </w:rPr>
        <w:t>.</w:t>
      </w:r>
    </w:p>
    <w:p w14:paraId="74610AC4" w14:textId="67A918C7" w:rsidR="00AD2774" w:rsidRPr="00845C8E" w:rsidRDefault="00AD2774" w:rsidP="003A0ABD">
      <w:pPr>
        <w:pStyle w:val="Dotpoint1"/>
        <w:numPr>
          <w:ilvl w:val="0"/>
          <w:numId w:val="0"/>
        </w:numPr>
        <w:ind w:left="284"/>
      </w:pPr>
      <w:r w:rsidRPr="00845C8E">
        <w:t xml:space="preserve">The increasing integration of digital technologies into VET learning and teaching practices also </w:t>
      </w:r>
      <w:r w:rsidR="00506759">
        <w:t>has</w:t>
      </w:r>
      <w:r w:rsidRPr="00845C8E">
        <w:t xml:space="preserve"> implications for assessment</w:t>
      </w:r>
      <w:r w:rsidR="00506759">
        <w:t>,</w:t>
      </w:r>
      <w:r w:rsidRPr="00845C8E">
        <w:t xml:space="preserve"> as noted in the key skills listed above</w:t>
      </w:r>
      <w:r w:rsidR="0028663A">
        <w:t xml:space="preserve">, in that </w:t>
      </w:r>
      <w:r w:rsidR="00980434">
        <w:t>this</w:t>
      </w:r>
      <w:r w:rsidR="008761CA">
        <w:t xml:space="preserve"> approach</w:t>
      </w:r>
      <w:r w:rsidRPr="00845C8E">
        <w:t xml:space="preserve"> can allow for more regular, and personalised, formative assessment opportunities through the use of tools such as e-portfolios, electronic textbooks and learning analytic tools (Brolpito 2018). But, as PwC’s </w:t>
      </w:r>
      <w:r w:rsidRPr="00845C8E">
        <w:lastRenderedPageBreak/>
        <w:t xml:space="preserve">Skills for Australia warn, challenges related to competency-based assessments </w:t>
      </w:r>
      <w:r w:rsidR="00AD640A">
        <w:t xml:space="preserve">may arise </w:t>
      </w:r>
      <w:r w:rsidRPr="00845C8E">
        <w:t xml:space="preserve">in </w:t>
      </w:r>
      <w:r w:rsidR="000366E4">
        <w:t>confirming</w:t>
      </w:r>
      <w:r w:rsidRPr="00845C8E">
        <w:t xml:space="preserve"> </w:t>
      </w:r>
      <w:r w:rsidR="003349BC">
        <w:t xml:space="preserve">the </w:t>
      </w:r>
      <w:r w:rsidRPr="00845C8E">
        <w:t>authenticity of the student’s identity (is this their own work?) and the integrity of the evidence</w:t>
      </w:r>
      <w:r w:rsidR="000366E4">
        <w:t>;</w:t>
      </w:r>
      <w:r w:rsidRPr="00845C8E">
        <w:t xml:space="preserve"> that is, accounting for or limiting issues such as plagiarism and inappropriate collaboration (p.18). </w:t>
      </w:r>
    </w:p>
    <w:p w14:paraId="49E6FB1C" w14:textId="6B4E2890" w:rsidR="00AD2774" w:rsidRPr="003A0ABD" w:rsidRDefault="00AD2774" w:rsidP="003A0ABD">
      <w:pPr>
        <w:pStyle w:val="Text"/>
        <w:rPr>
          <w:b/>
          <w:caps/>
        </w:rPr>
      </w:pPr>
      <w:r w:rsidRPr="003A0ABD">
        <w:rPr>
          <w:b/>
        </w:rPr>
        <w:t>Q: Do VET educators need additional training in digital skills, either general or industry</w:t>
      </w:r>
      <w:r w:rsidR="001139E4">
        <w:rPr>
          <w:b/>
        </w:rPr>
        <w:t>-</w:t>
      </w:r>
      <w:r w:rsidRPr="003A0ABD">
        <w:rPr>
          <w:b/>
        </w:rPr>
        <w:t>specific, apart from maintaining industry currency? Does the additional training need to be industry</w:t>
      </w:r>
      <w:r w:rsidR="001139E4">
        <w:rPr>
          <w:b/>
        </w:rPr>
        <w:t>-</w:t>
      </w:r>
      <w:r w:rsidRPr="003A0ABD">
        <w:rPr>
          <w:b/>
        </w:rPr>
        <w:t>specific, or is general training enough</w:t>
      </w:r>
      <w:r w:rsidR="00EC2C2D">
        <w:rPr>
          <w:b/>
        </w:rPr>
        <w:t xml:space="preserve">, </w:t>
      </w:r>
      <w:r w:rsidRPr="003A0ABD">
        <w:rPr>
          <w:b/>
        </w:rPr>
        <w:t>for example, a new digital learning skill</w:t>
      </w:r>
      <w:r w:rsidR="00EC2C2D">
        <w:rPr>
          <w:b/>
        </w:rPr>
        <w:t xml:space="preserve"> </w:t>
      </w:r>
      <w:r w:rsidRPr="003A0ABD">
        <w:rPr>
          <w:b/>
        </w:rPr>
        <w:t xml:space="preserve">set in </w:t>
      </w:r>
      <w:r w:rsidR="00EC2C2D">
        <w:rPr>
          <w:b/>
        </w:rPr>
        <w:t>d</w:t>
      </w:r>
      <w:r w:rsidRPr="003A0ABD">
        <w:rPr>
          <w:b/>
        </w:rPr>
        <w:t>igital training and assessment as a companion to the Certificate IV in Training and Assessment?</w:t>
      </w:r>
    </w:p>
    <w:p w14:paraId="3D3C4F64" w14:textId="475233BE" w:rsidR="00AD2774" w:rsidRDefault="00AD2774" w:rsidP="003A0ABD">
      <w:pPr>
        <w:pStyle w:val="Text"/>
        <w:rPr>
          <w:b/>
        </w:rPr>
      </w:pPr>
      <w:r w:rsidRPr="003A0ABD">
        <w:rPr>
          <w:b/>
        </w:rPr>
        <w:t>Q: What approaches can be applied to ensure the integrity of competency-based assessment using digital tools?</w:t>
      </w:r>
    </w:p>
    <w:p w14:paraId="3797E75A" w14:textId="77777777" w:rsidR="006C0159" w:rsidRPr="003A0ABD" w:rsidRDefault="006C0159" w:rsidP="000B46EF">
      <w:pPr>
        <w:pStyle w:val="Text"/>
        <w:spacing w:before="0"/>
        <w:ind w:right="0"/>
        <w:rPr>
          <w:b/>
          <w:caps/>
        </w:rPr>
      </w:pPr>
    </w:p>
    <w:p w14:paraId="4DBE9096" w14:textId="77777777" w:rsidR="00AD2774" w:rsidRPr="00845C8E" w:rsidRDefault="00AD2774" w:rsidP="003A0ABD">
      <w:pPr>
        <w:pStyle w:val="Heading2"/>
      </w:pPr>
      <w:bookmarkStart w:id="35" w:name="_Toc22636830"/>
      <w:bookmarkStart w:id="36" w:name="_Toc31711251"/>
      <w:r w:rsidRPr="00845C8E">
        <w:t>Digital competence of educators and educational institutions</w:t>
      </w:r>
      <w:bookmarkEnd w:id="35"/>
      <w:bookmarkEnd w:id="36"/>
      <w:r w:rsidRPr="00845C8E">
        <w:t xml:space="preserve"> </w:t>
      </w:r>
    </w:p>
    <w:p w14:paraId="22BD9B7E" w14:textId="18108B57" w:rsidR="00AD2774" w:rsidRDefault="00AD2774" w:rsidP="003A0ABD">
      <w:pPr>
        <w:pStyle w:val="Text"/>
      </w:pPr>
      <w:r>
        <w:t>To help support a systematic approach to the continuing development of the digital capability of educators and training providers</w:t>
      </w:r>
      <w:r w:rsidR="00B5628F">
        <w:t>,</w:t>
      </w:r>
      <w:r>
        <w:t xml:space="preserve"> there may be merit in considering t</w:t>
      </w:r>
      <w:r w:rsidRPr="00750336">
        <w:t>he European Commission</w:t>
      </w:r>
      <w:r>
        <w:t xml:space="preserve">’s </w:t>
      </w:r>
      <w:r w:rsidRPr="00750336">
        <w:t xml:space="preserve">recently developed European Framework for the Digital </w:t>
      </w:r>
      <w:r w:rsidRPr="003A0ABD">
        <w:t>Competence</w:t>
      </w:r>
      <w:r w:rsidRPr="00750336">
        <w:t xml:space="preserve"> of Educators (DigCompEdu) </w:t>
      </w:r>
      <w:r>
        <w:t xml:space="preserve">and </w:t>
      </w:r>
      <w:r w:rsidR="00DB1B50">
        <w:t xml:space="preserve">European Framework for </w:t>
      </w:r>
      <w:r>
        <w:t xml:space="preserve">Digitally Competent Educational Organisations (DigCompOrg). </w:t>
      </w:r>
    </w:p>
    <w:p w14:paraId="5F02F1CF" w14:textId="77777777" w:rsidR="00AD2774" w:rsidRDefault="00AD2774" w:rsidP="003A0ABD">
      <w:pPr>
        <w:pStyle w:val="Text"/>
      </w:pPr>
      <w:r>
        <w:t xml:space="preserve">Both frameworks provide </w:t>
      </w:r>
      <w:r w:rsidRPr="00750336">
        <w:t xml:space="preserve">a common language and approach to determining the current </w:t>
      </w:r>
      <w:r>
        <w:t xml:space="preserve">digital </w:t>
      </w:r>
      <w:r w:rsidRPr="00750336">
        <w:t>competence of</w:t>
      </w:r>
      <w:r>
        <w:t xml:space="preserve"> educators and educational institutions, </w:t>
      </w:r>
      <w:r w:rsidRPr="003A0ABD">
        <w:t>including</w:t>
      </w:r>
      <w:r w:rsidRPr="00750336">
        <w:t xml:space="preserve"> </w:t>
      </w:r>
      <w:r>
        <w:t xml:space="preserve">those in the </w:t>
      </w:r>
      <w:r w:rsidRPr="00750336">
        <w:t xml:space="preserve">VET </w:t>
      </w:r>
      <w:r>
        <w:t>space,</w:t>
      </w:r>
      <w:r w:rsidRPr="00750336">
        <w:t xml:space="preserve"> and </w:t>
      </w:r>
      <w:r>
        <w:t xml:space="preserve">highlight the key aspects of focus as educators and providers deepen their engagement with digital learning and digital pedagogies </w:t>
      </w:r>
      <w:r w:rsidRPr="00750336">
        <w:t>(</w:t>
      </w:r>
      <w:r>
        <w:t xml:space="preserve">Kampylis, Punie &amp; Devine 2015; </w:t>
      </w:r>
      <w:r w:rsidRPr="00750336">
        <w:t>Redecker 2017)</w:t>
      </w:r>
      <w:r>
        <w:t xml:space="preserve">. </w:t>
      </w:r>
    </w:p>
    <w:p w14:paraId="0F038584" w14:textId="77777777" w:rsidR="00AD2774" w:rsidRPr="00845C8E" w:rsidRDefault="00AD2774" w:rsidP="003A0ABD">
      <w:pPr>
        <w:pStyle w:val="Heading3"/>
      </w:pPr>
      <w:r w:rsidRPr="00845C8E">
        <w:t>DigCompEdu</w:t>
      </w:r>
    </w:p>
    <w:p w14:paraId="1525E156" w14:textId="662B9859" w:rsidR="00AD2774" w:rsidRDefault="00AD2774" w:rsidP="003A0ABD">
      <w:pPr>
        <w:pStyle w:val="Text"/>
      </w:pPr>
      <w:r>
        <w:t xml:space="preserve">The framework for the </w:t>
      </w:r>
      <w:r w:rsidRPr="00750336">
        <w:t>Dig</w:t>
      </w:r>
      <w:r>
        <w:t xml:space="preserve">ital </w:t>
      </w:r>
      <w:r w:rsidRPr="00750336">
        <w:t>Comp</w:t>
      </w:r>
      <w:r>
        <w:t xml:space="preserve">etence of </w:t>
      </w:r>
      <w:r w:rsidRPr="00750336">
        <w:t>Edu</w:t>
      </w:r>
      <w:r>
        <w:t xml:space="preserve">cators </w:t>
      </w:r>
      <w:r w:rsidRPr="00750336">
        <w:t xml:space="preserve">outlines six key areas of digital competence, encompassing 22 competencies, and describes </w:t>
      </w:r>
      <w:r w:rsidR="00C302E4">
        <w:t xml:space="preserve">the </w:t>
      </w:r>
      <w:r w:rsidRPr="00750336">
        <w:t>progress of educator proficiency in each of these key areas</w:t>
      </w:r>
      <w:r w:rsidR="002A2BB1">
        <w:t>,</w:t>
      </w:r>
      <w:r w:rsidRPr="00750336">
        <w:t xml:space="preserve"> from</w:t>
      </w:r>
      <w:r w:rsidR="007A0254">
        <w:t xml:space="preserve"> the position of a</w:t>
      </w:r>
      <w:r w:rsidRPr="00750336">
        <w:t xml:space="preserve"> ‘newcomer’ to</w:t>
      </w:r>
      <w:r>
        <w:t xml:space="preserve"> </w:t>
      </w:r>
      <w:r w:rsidRPr="00750336">
        <w:t>‘pioneer’</w:t>
      </w:r>
      <w:r>
        <w:t xml:space="preserve"> </w:t>
      </w:r>
      <w:r w:rsidRPr="00750336">
        <w:t>(</w:t>
      </w:r>
      <w:proofErr w:type="spellStart"/>
      <w:r w:rsidRPr="00750336">
        <w:t>Redecker</w:t>
      </w:r>
      <w:proofErr w:type="spellEnd"/>
      <w:r w:rsidRPr="00750336">
        <w:t xml:space="preserve"> 2017). </w:t>
      </w:r>
      <w:r>
        <w:t>The key areas are summarised in figure 1</w:t>
      </w:r>
      <w:r w:rsidR="00553029">
        <w:t>,</w:t>
      </w:r>
      <w:r>
        <w:t xml:space="preserve"> with the 22 competencies and levels of proficiency detailed in appendix C.</w:t>
      </w:r>
    </w:p>
    <w:p w14:paraId="3269E7AB" w14:textId="77777777" w:rsidR="00562DBE" w:rsidRDefault="00562DBE" w:rsidP="003A0ABD">
      <w:pPr>
        <w:pStyle w:val="Figuretitle"/>
      </w:pPr>
      <w:bookmarkStart w:id="37" w:name="_Toc21945939"/>
      <w:bookmarkStart w:id="38" w:name="_Toc31711265"/>
    </w:p>
    <w:p w14:paraId="48A2A7C4" w14:textId="77777777" w:rsidR="00562DBE" w:rsidRDefault="00562DBE" w:rsidP="003A0ABD">
      <w:pPr>
        <w:pStyle w:val="Figuretitle"/>
      </w:pPr>
    </w:p>
    <w:p w14:paraId="76B56AD1" w14:textId="77777777" w:rsidR="00562DBE" w:rsidRDefault="00562DBE" w:rsidP="003A0ABD">
      <w:pPr>
        <w:pStyle w:val="Figuretitle"/>
      </w:pPr>
    </w:p>
    <w:p w14:paraId="4654DB64" w14:textId="77777777" w:rsidR="00562DBE" w:rsidRDefault="00562DBE" w:rsidP="003A0ABD">
      <w:pPr>
        <w:pStyle w:val="Figuretitle"/>
      </w:pPr>
    </w:p>
    <w:p w14:paraId="5C1FF350" w14:textId="77777777" w:rsidR="00562DBE" w:rsidRDefault="00562DBE" w:rsidP="003A0ABD">
      <w:pPr>
        <w:pStyle w:val="Figuretitle"/>
      </w:pPr>
    </w:p>
    <w:p w14:paraId="5EE2B125" w14:textId="77777777" w:rsidR="00562DBE" w:rsidRDefault="00562DBE" w:rsidP="003A0ABD">
      <w:pPr>
        <w:pStyle w:val="Figuretitle"/>
      </w:pPr>
    </w:p>
    <w:p w14:paraId="18B8D6F5" w14:textId="77777777" w:rsidR="00562DBE" w:rsidRDefault="00562DBE" w:rsidP="003A0ABD">
      <w:pPr>
        <w:pStyle w:val="Figuretitle"/>
      </w:pPr>
    </w:p>
    <w:p w14:paraId="5E92FE53" w14:textId="77777777" w:rsidR="00562DBE" w:rsidRDefault="00562DBE" w:rsidP="003A0ABD">
      <w:pPr>
        <w:pStyle w:val="Figuretitle"/>
      </w:pPr>
    </w:p>
    <w:p w14:paraId="6942658C" w14:textId="061B40D6" w:rsidR="00AD2774" w:rsidRDefault="00AD2774" w:rsidP="003A0ABD">
      <w:pPr>
        <w:pStyle w:val="Figuretitle"/>
      </w:pPr>
      <w:r>
        <w:lastRenderedPageBreak/>
        <w:t>Figure 1</w:t>
      </w:r>
      <w:r>
        <w:tab/>
        <w:t xml:space="preserve">European </w:t>
      </w:r>
      <w:r w:rsidR="00DB1B50">
        <w:t>F</w:t>
      </w:r>
      <w:r>
        <w:t xml:space="preserve">ramework for the Digital </w:t>
      </w:r>
      <w:r w:rsidRPr="003A0ABD">
        <w:t>Competence</w:t>
      </w:r>
      <w:r>
        <w:t xml:space="preserve"> of Educators (DigCompEdu): key areas of digital competence</w:t>
      </w:r>
      <w:bookmarkEnd w:id="37"/>
      <w:bookmarkEnd w:id="38"/>
    </w:p>
    <w:p w14:paraId="333EACBD" w14:textId="77777777" w:rsidR="00AD2774" w:rsidRDefault="00AD2774" w:rsidP="00AD2774">
      <w:pPr>
        <w:pStyle w:val="Source"/>
      </w:pPr>
    </w:p>
    <w:p w14:paraId="06759253" w14:textId="77777777" w:rsidR="00AD2774" w:rsidRDefault="00AD2774" w:rsidP="00AD2774">
      <w:pPr>
        <w:pStyle w:val="Source"/>
      </w:pPr>
      <w:r w:rsidRPr="00427F08">
        <w:rPr>
          <w:rFonts w:cs="Arial"/>
          <w:noProof/>
          <w:sz w:val="20"/>
        </w:rPr>
        <w:drawing>
          <wp:anchor distT="0" distB="0" distL="114300" distR="114300" simplePos="0" relativeHeight="251670528" behindDoc="1" locked="0" layoutInCell="1" allowOverlap="1" wp14:anchorId="6C1EF7AB" wp14:editId="7B104A9C">
            <wp:simplePos x="0" y="0"/>
            <wp:positionH relativeFrom="margin">
              <wp:align>left</wp:align>
            </wp:positionH>
            <wp:positionV relativeFrom="paragraph">
              <wp:posOffset>31535</wp:posOffset>
            </wp:positionV>
            <wp:extent cx="5039995" cy="2756535"/>
            <wp:effectExtent l="0" t="0" r="8255" b="5715"/>
            <wp:wrapTight wrapText="bothSides">
              <wp:wrapPolygon edited="0">
                <wp:start x="0" y="0"/>
                <wp:lineTo x="0" y="21496"/>
                <wp:lineTo x="21554" y="21496"/>
                <wp:lineTo x="21554" y="0"/>
                <wp:lineTo x="0" y="0"/>
              </wp:wrapPolygon>
            </wp:wrapTight>
            <wp:docPr id="451" name="Picture 451" descr="figure_2_2018-01-corr-cropped.png (980Ã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_2_2018-01-corr-cropped.png (980Ã5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9995" cy="2756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B2E73" w14:textId="77777777" w:rsidR="00AD2774" w:rsidRDefault="00AD2774" w:rsidP="00AD2774">
      <w:pPr>
        <w:pStyle w:val="Source"/>
      </w:pPr>
    </w:p>
    <w:p w14:paraId="7BB1E9BC" w14:textId="77777777" w:rsidR="00AD2774" w:rsidRDefault="00AD2774" w:rsidP="00AD2774">
      <w:pPr>
        <w:pStyle w:val="Source"/>
      </w:pPr>
    </w:p>
    <w:p w14:paraId="7360CA14" w14:textId="77777777" w:rsidR="00AD2774" w:rsidRDefault="00AD2774" w:rsidP="00AD2774">
      <w:pPr>
        <w:pStyle w:val="Source"/>
      </w:pPr>
    </w:p>
    <w:p w14:paraId="633559F9" w14:textId="77777777" w:rsidR="00AD2774" w:rsidRDefault="00AD2774" w:rsidP="00AD2774">
      <w:pPr>
        <w:pStyle w:val="Source"/>
      </w:pPr>
    </w:p>
    <w:p w14:paraId="10C99747" w14:textId="77777777" w:rsidR="00AD2774" w:rsidRDefault="00AD2774" w:rsidP="00AD2774">
      <w:pPr>
        <w:pStyle w:val="Source"/>
      </w:pPr>
    </w:p>
    <w:p w14:paraId="20BD2EE6" w14:textId="77777777" w:rsidR="00AD2774" w:rsidRDefault="00AD2774" w:rsidP="00AD2774">
      <w:pPr>
        <w:pStyle w:val="Source"/>
      </w:pPr>
    </w:p>
    <w:p w14:paraId="14BCF890" w14:textId="77777777" w:rsidR="00AD2774" w:rsidRDefault="00AD2774" w:rsidP="00AD2774">
      <w:pPr>
        <w:pStyle w:val="Source"/>
      </w:pPr>
    </w:p>
    <w:p w14:paraId="309858F9" w14:textId="77777777" w:rsidR="00AD2774" w:rsidRDefault="00AD2774" w:rsidP="00AD2774">
      <w:pPr>
        <w:pStyle w:val="Source"/>
      </w:pPr>
    </w:p>
    <w:p w14:paraId="5F9A05D2" w14:textId="77777777" w:rsidR="00AD2774" w:rsidRDefault="00AD2774" w:rsidP="00AD2774">
      <w:pPr>
        <w:pStyle w:val="Source"/>
      </w:pPr>
    </w:p>
    <w:p w14:paraId="32DE406D" w14:textId="77777777" w:rsidR="00AD2774" w:rsidRDefault="00AD2774" w:rsidP="00AD2774">
      <w:pPr>
        <w:pStyle w:val="Source"/>
      </w:pPr>
    </w:p>
    <w:p w14:paraId="135A6819" w14:textId="77777777" w:rsidR="00AD2774" w:rsidRDefault="00AD2774" w:rsidP="00AD2774">
      <w:pPr>
        <w:pStyle w:val="Source"/>
      </w:pPr>
    </w:p>
    <w:p w14:paraId="0E583A09" w14:textId="77777777" w:rsidR="00AD2774" w:rsidRDefault="00AD2774" w:rsidP="00AD2774">
      <w:pPr>
        <w:pStyle w:val="Source"/>
      </w:pPr>
    </w:p>
    <w:p w14:paraId="69B73286" w14:textId="77777777" w:rsidR="00AD2774" w:rsidRDefault="00AD2774" w:rsidP="00AD2774">
      <w:pPr>
        <w:pStyle w:val="Source"/>
      </w:pPr>
    </w:p>
    <w:p w14:paraId="341A34EB" w14:textId="77777777" w:rsidR="00AD2774" w:rsidRDefault="00AD2774" w:rsidP="00AD2774">
      <w:pPr>
        <w:pStyle w:val="Source"/>
      </w:pPr>
    </w:p>
    <w:p w14:paraId="6C6CE6F9" w14:textId="77777777" w:rsidR="00AD2774" w:rsidRDefault="00AD2774" w:rsidP="00AD2774">
      <w:pPr>
        <w:pStyle w:val="Source"/>
      </w:pPr>
    </w:p>
    <w:p w14:paraId="28E5C2DD" w14:textId="77777777" w:rsidR="00AD2774" w:rsidRDefault="00AD2774" w:rsidP="00AD2774">
      <w:pPr>
        <w:pStyle w:val="Source"/>
      </w:pPr>
    </w:p>
    <w:p w14:paraId="11715B0D" w14:textId="77777777" w:rsidR="00AD2774" w:rsidRDefault="00AD2774" w:rsidP="00AD2774">
      <w:pPr>
        <w:pStyle w:val="Source"/>
      </w:pPr>
    </w:p>
    <w:p w14:paraId="44BEAF21" w14:textId="77777777" w:rsidR="00AD2774" w:rsidRDefault="00AD2774" w:rsidP="00AD2774">
      <w:pPr>
        <w:pStyle w:val="Source"/>
      </w:pPr>
    </w:p>
    <w:p w14:paraId="625161AC" w14:textId="77777777" w:rsidR="00AD2774" w:rsidRDefault="00AD2774" w:rsidP="00AD2774">
      <w:pPr>
        <w:pStyle w:val="Source"/>
      </w:pPr>
    </w:p>
    <w:p w14:paraId="671CF7C5" w14:textId="77777777" w:rsidR="00AD2774" w:rsidRDefault="00AD2774" w:rsidP="00AD2774">
      <w:pPr>
        <w:pStyle w:val="Source"/>
      </w:pPr>
    </w:p>
    <w:p w14:paraId="5D5A3D2C" w14:textId="3132B631" w:rsidR="00AD2774" w:rsidRDefault="00AD2774" w:rsidP="003A0ABD">
      <w:pPr>
        <w:pStyle w:val="Source"/>
      </w:pPr>
      <w:r>
        <w:t xml:space="preserve">Source: </w:t>
      </w:r>
      <w:r w:rsidRPr="003A0ABD">
        <w:t>Redecker</w:t>
      </w:r>
      <w:r>
        <w:t xml:space="preserve"> </w:t>
      </w:r>
      <w:r w:rsidR="00780B33">
        <w:t>(</w:t>
      </w:r>
      <w:r>
        <w:t>2017</w:t>
      </w:r>
      <w:r w:rsidR="00780B33">
        <w:t>).</w:t>
      </w:r>
    </w:p>
    <w:p w14:paraId="69E99D72" w14:textId="77777777" w:rsidR="00AD2774" w:rsidRPr="003A0ABD" w:rsidRDefault="00AD2774" w:rsidP="003A0ABD">
      <w:pPr>
        <w:pStyle w:val="Text"/>
        <w:rPr>
          <w:b/>
          <w:caps/>
        </w:rPr>
      </w:pPr>
      <w:r w:rsidRPr="003A0ABD">
        <w:rPr>
          <w:b/>
        </w:rPr>
        <w:t xml:space="preserve">Q: How relevant are the competencies and proficiency levels described in the Digital Competence of Educators (DigCompEdu) framework for Australian VET educators? </w:t>
      </w:r>
    </w:p>
    <w:p w14:paraId="4249FDCC" w14:textId="77777777" w:rsidR="00AD2774" w:rsidRPr="003A0ABD" w:rsidRDefault="00AD2774" w:rsidP="003A0ABD">
      <w:pPr>
        <w:pStyle w:val="Dotpoint1"/>
        <w:rPr>
          <w:rFonts w:eastAsiaTheme="minorHAnsi"/>
          <w:b/>
          <w:noProof/>
          <w:lang w:eastAsia="en-AU"/>
        </w:rPr>
      </w:pPr>
      <w:r w:rsidRPr="003A0ABD">
        <w:rPr>
          <w:rFonts w:eastAsiaTheme="minorHAnsi"/>
          <w:b/>
          <w:noProof/>
          <w:lang w:eastAsia="en-AU"/>
        </w:rPr>
        <w:t>Could this framework complement other current teaching practice frameworks? In what way?</w:t>
      </w:r>
    </w:p>
    <w:p w14:paraId="2B9A5DB7" w14:textId="77777777" w:rsidR="00AD2774" w:rsidRPr="00845C8E" w:rsidRDefault="00AD2774" w:rsidP="00562DBE">
      <w:pPr>
        <w:pStyle w:val="Heading3"/>
        <w:spacing w:before="480"/>
      </w:pPr>
      <w:r w:rsidRPr="00845C8E">
        <w:t>DigCompOrg</w:t>
      </w:r>
    </w:p>
    <w:p w14:paraId="5C0A10D1" w14:textId="135E9A07" w:rsidR="00AD2774" w:rsidRPr="003A0ABD" w:rsidRDefault="00AD2774" w:rsidP="003A0ABD">
      <w:pPr>
        <w:pStyle w:val="Text"/>
      </w:pPr>
      <w:r w:rsidRPr="003A0ABD">
        <w:t xml:space="preserve">The </w:t>
      </w:r>
      <w:r w:rsidR="000649CC">
        <w:t>f</w:t>
      </w:r>
      <w:r w:rsidRPr="003A0ABD">
        <w:t>ramework for Digitally Competent Educational Organisations (DigCompOrg) comprises seven interrelated key elements</w:t>
      </w:r>
      <w:r w:rsidR="00075010">
        <w:t>,</w:t>
      </w:r>
      <w:r w:rsidRPr="003A0ABD">
        <w:t xml:space="preserve"> with 15 sub-elements (see figure 2). Each of the sub-elements has several descriptors</w:t>
      </w:r>
      <w:r w:rsidR="00075010">
        <w:t>, with</w:t>
      </w:r>
      <w:r w:rsidRPr="003A0ABD">
        <w:t xml:space="preserve"> this detail provided in appendix D. The focus of DigCompOrg is primarily on teaching, learning, assessment and learning support activities</w:t>
      </w:r>
      <w:r w:rsidR="00075010">
        <w:t>,</w:t>
      </w:r>
      <w:r w:rsidRPr="003A0ABD">
        <w:t xml:space="preserve"> with the elements encompassing both organisational responsibilities (such as leadership and governance, and infrastructure) and individual responsibilities (such as teaching and learning practices). </w:t>
      </w:r>
      <w:r w:rsidR="00D3485B">
        <w:t>The framework</w:t>
      </w:r>
      <w:r w:rsidRPr="003A0ABD">
        <w:t xml:space="preserve"> was developed through a review of academic and grey literature, analyses of existing frameworks and self-assessment questionnaires relating to the integration of digital technologies in education and training across European countries, </w:t>
      </w:r>
      <w:r w:rsidR="00BB18FC">
        <w:t>along with</w:t>
      </w:r>
      <w:r w:rsidRPr="003A0ABD">
        <w:t xml:space="preserve"> a series of consultations with key experts and stakeholders (Kampylis, Punie &amp; Devine 2015).</w:t>
      </w:r>
    </w:p>
    <w:p w14:paraId="09340BE1" w14:textId="23FC5B4A" w:rsidR="00AD2774" w:rsidRPr="003A0ABD" w:rsidRDefault="00AD2774" w:rsidP="003A0ABD">
      <w:pPr>
        <w:pStyle w:val="Text"/>
      </w:pPr>
      <w:r w:rsidRPr="003A0ABD">
        <w:t xml:space="preserve">The DigCompOrg framework can be used by educational institutions to examine </w:t>
      </w:r>
      <w:r w:rsidR="003105DB">
        <w:t>those</w:t>
      </w:r>
      <w:r w:rsidRPr="003A0ABD">
        <w:t xml:space="preserve"> pedagogical, technological and/or organisational aspects </w:t>
      </w:r>
      <w:r w:rsidR="003105DB">
        <w:t xml:space="preserve">that </w:t>
      </w:r>
      <w:r w:rsidRPr="003A0ABD">
        <w:t>require development or enhancement in order to support a deeper engagement with, and application of, digital learning technologies in the delivery of courses (Kampylis, Punie &amp; Devine 2015).</w:t>
      </w:r>
    </w:p>
    <w:p w14:paraId="76CEF8AE" w14:textId="77777777" w:rsidR="006C0159" w:rsidRDefault="006C0159" w:rsidP="003A0ABD">
      <w:pPr>
        <w:pStyle w:val="Figuretitle"/>
      </w:pPr>
      <w:bookmarkStart w:id="39" w:name="_Toc21945940"/>
      <w:bookmarkStart w:id="40" w:name="_Toc31711266"/>
    </w:p>
    <w:p w14:paraId="60F8E76E" w14:textId="77777777" w:rsidR="006C0159" w:rsidRDefault="006C0159" w:rsidP="003A0ABD">
      <w:pPr>
        <w:pStyle w:val="Figuretitle"/>
      </w:pPr>
    </w:p>
    <w:p w14:paraId="0E024ECE" w14:textId="77777777" w:rsidR="006C0159" w:rsidRDefault="006C0159" w:rsidP="003A0ABD">
      <w:pPr>
        <w:pStyle w:val="Figuretitle"/>
      </w:pPr>
    </w:p>
    <w:p w14:paraId="5629604E" w14:textId="77777777" w:rsidR="006C0159" w:rsidRDefault="006C0159" w:rsidP="003A0ABD">
      <w:pPr>
        <w:pStyle w:val="Figuretitle"/>
      </w:pPr>
    </w:p>
    <w:p w14:paraId="2CB86412" w14:textId="0995E2C5" w:rsidR="00AD2774" w:rsidRDefault="00AD2774" w:rsidP="003A0ABD">
      <w:pPr>
        <w:pStyle w:val="Figuretitle"/>
      </w:pPr>
      <w:r>
        <w:t>Figure 2</w:t>
      </w:r>
      <w:r>
        <w:tab/>
        <w:t>European Framework for Digitally Competent Educational Organisations (DigCompOrg): key elements and sub-elements</w:t>
      </w:r>
      <w:bookmarkEnd w:id="39"/>
      <w:bookmarkEnd w:id="40"/>
    </w:p>
    <w:p w14:paraId="38E3DC42" w14:textId="77777777" w:rsidR="00AD2774" w:rsidRDefault="00AD2774" w:rsidP="00AD2774">
      <w:pPr>
        <w:spacing w:line="240" w:lineRule="auto"/>
      </w:pPr>
      <w:r>
        <w:rPr>
          <w:noProof/>
        </w:rPr>
        <w:drawing>
          <wp:anchor distT="0" distB="0" distL="114300" distR="114300" simplePos="0" relativeHeight="251669504" behindDoc="1" locked="0" layoutInCell="1" allowOverlap="1" wp14:anchorId="3B0B4DAA" wp14:editId="365ABEC5">
            <wp:simplePos x="0" y="0"/>
            <wp:positionH relativeFrom="margin">
              <wp:align>left</wp:align>
            </wp:positionH>
            <wp:positionV relativeFrom="paragraph">
              <wp:posOffset>58750</wp:posOffset>
            </wp:positionV>
            <wp:extent cx="5040630" cy="4098925"/>
            <wp:effectExtent l="0" t="0" r="7620" b="0"/>
            <wp:wrapTight wrapText="bothSides">
              <wp:wrapPolygon edited="0">
                <wp:start x="0" y="0"/>
                <wp:lineTo x="0" y="21483"/>
                <wp:lineTo x="21551" y="21483"/>
                <wp:lineTo x="21551" y="0"/>
                <wp:lineTo x="0" y="0"/>
              </wp:wrapPolygon>
            </wp:wrapTight>
            <wp:docPr id="452" name="Picture 452" descr="https://ec.europa.eu/jrc/sites/jrcsh/files/jrc-digcomporg-update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jrc/sites/jrcsh/files/jrc-digcomporg-updated-white.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0630" cy="4098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5A207" w14:textId="77777777" w:rsidR="00AD2774" w:rsidRDefault="00AD2774" w:rsidP="00AD2774">
      <w:pPr>
        <w:spacing w:line="240" w:lineRule="auto"/>
      </w:pPr>
    </w:p>
    <w:p w14:paraId="59A5960C" w14:textId="77777777" w:rsidR="00AD2774" w:rsidRDefault="00AD2774" w:rsidP="00AD2774">
      <w:pPr>
        <w:pStyle w:val="Source"/>
      </w:pPr>
    </w:p>
    <w:p w14:paraId="407A2A58" w14:textId="77777777" w:rsidR="00AD2774" w:rsidRDefault="00AD2774" w:rsidP="00AD2774">
      <w:pPr>
        <w:pStyle w:val="Source"/>
      </w:pPr>
    </w:p>
    <w:p w14:paraId="29B73F99" w14:textId="77777777" w:rsidR="00AD2774" w:rsidRDefault="00AD2774" w:rsidP="00AD2774">
      <w:pPr>
        <w:pStyle w:val="Source"/>
      </w:pPr>
    </w:p>
    <w:p w14:paraId="760F8AF3" w14:textId="77777777" w:rsidR="00AD2774" w:rsidRDefault="00AD2774" w:rsidP="00AD2774">
      <w:pPr>
        <w:pStyle w:val="Source"/>
      </w:pPr>
    </w:p>
    <w:p w14:paraId="4D527939" w14:textId="77777777" w:rsidR="00AD2774" w:rsidRDefault="00AD2774" w:rsidP="00AD2774">
      <w:pPr>
        <w:pStyle w:val="Source"/>
      </w:pPr>
    </w:p>
    <w:p w14:paraId="70015DBD" w14:textId="77777777" w:rsidR="00AD2774" w:rsidRDefault="00AD2774" w:rsidP="00AD2774">
      <w:pPr>
        <w:pStyle w:val="Source"/>
      </w:pPr>
    </w:p>
    <w:p w14:paraId="7F761A49" w14:textId="77777777" w:rsidR="00AD2774" w:rsidRDefault="00AD2774" w:rsidP="00AD2774">
      <w:pPr>
        <w:pStyle w:val="Source"/>
      </w:pPr>
    </w:p>
    <w:p w14:paraId="70DB61D2" w14:textId="77777777" w:rsidR="00AD2774" w:rsidRDefault="00AD2774" w:rsidP="00AD2774">
      <w:pPr>
        <w:pStyle w:val="Source"/>
      </w:pPr>
    </w:p>
    <w:p w14:paraId="2B44A682" w14:textId="77777777" w:rsidR="00AD2774" w:rsidRDefault="00AD2774" w:rsidP="00AD2774">
      <w:pPr>
        <w:pStyle w:val="Source"/>
      </w:pPr>
    </w:p>
    <w:p w14:paraId="03B48E64" w14:textId="77777777" w:rsidR="00AD2774" w:rsidRDefault="00AD2774" w:rsidP="00AD2774">
      <w:pPr>
        <w:pStyle w:val="Source"/>
      </w:pPr>
    </w:p>
    <w:p w14:paraId="40C7388B" w14:textId="77777777" w:rsidR="00AD2774" w:rsidRDefault="00AD2774" w:rsidP="00AD2774">
      <w:pPr>
        <w:pStyle w:val="Source"/>
      </w:pPr>
    </w:p>
    <w:p w14:paraId="35D0F866" w14:textId="77777777" w:rsidR="00AD2774" w:rsidRDefault="00AD2774" w:rsidP="00AD2774">
      <w:pPr>
        <w:pStyle w:val="Source"/>
      </w:pPr>
    </w:p>
    <w:p w14:paraId="2CD63AF8" w14:textId="77777777" w:rsidR="00AD2774" w:rsidRDefault="00AD2774" w:rsidP="00AD2774">
      <w:pPr>
        <w:pStyle w:val="Source"/>
      </w:pPr>
    </w:p>
    <w:p w14:paraId="31A114BC" w14:textId="77777777" w:rsidR="00AD2774" w:rsidRDefault="00AD2774" w:rsidP="00AD2774">
      <w:pPr>
        <w:pStyle w:val="Source"/>
      </w:pPr>
    </w:p>
    <w:p w14:paraId="0BA54592" w14:textId="77777777" w:rsidR="00AD2774" w:rsidRDefault="00AD2774" w:rsidP="00AD2774">
      <w:pPr>
        <w:pStyle w:val="Source"/>
      </w:pPr>
    </w:p>
    <w:p w14:paraId="5E6A9A46" w14:textId="77777777" w:rsidR="00AD2774" w:rsidRDefault="00AD2774" w:rsidP="00AD2774">
      <w:pPr>
        <w:pStyle w:val="Source"/>
      </w:pPr>
    </w:p>
    <w:p w14:paraId="3AAD5E06" w14:textId="77777777" w:rsidR="00AD2774" w:rsidRDefault="00AD2774" w:rsidP="00AD2774">
      <w:pPr>
        <w:pStyle w:val="Source"/>
      </w:pPr>
    </w:p>
    <w:p w14:paraId="27FCE9EB" w14:textId="77777777" w:rsidR="00AD2774" w:rsidRDefault="00AD2774" w:rsidP="00AD2774">
      <w:pPr>
        <w:pStyle w:val="Source"/>
      </w:pPr>
    </w:p>
    <w:p w14:paraId="2CA698C4" w14:textId="77777777" w:rsidR="00AD2774" w:rsidRDefault="00AD2774" w:rsidP="00AD2774">
      <w:pPr>
        <w:pStyle w:val="Source"/>
      </w:pPr>
    </w:p>
    <w:p w14:paraId="0E3F5A1E" w14:textId="77777777" w:rsidR="00AD2774" w:rsidRDefault="00AD2774" w:rsidP="00AD2774">
      <w:pPr>
        <w:pStyle w:val="Source"/>
      </w:pPr>
    </w:p>
    <w:p w14:paraId="2F70EC3E" w14:textId="77777777" w:rsidR="00AD2774" w:rsidRDefault="00AD2774" w:rsidP="00AD2774">
      <w:pPr>
        <w:pStyle w:val="Source"/>
      </w:pPr>
    </w:p>
    <w:p w14:paraId="1A23DAF8" w14:textId="77777777" w:rsidR="00AD2774" w:rsidRDefault="00AD2774" w:rsidP="00AD2774">
      <w:pPr>
        <w:pStyle w:val="Source"/>
      </w:pPr>
    </w:p>
    <w:p w14:paraId="6C942AC4" w14:textId="77777777" w:rsidR="00AD2774" w:rsidRDefault="00AD2774" w:rsidP="00AD2774">
      <w:pPr>
        <w:pStyle w:val="Source"/>
      </w:pPr>
    </w:p>
    <w:p w14:paraId="0B3996C5" w14:textId="77777777" w:rsidR="00AD2774" w:rsidRDefault="00AD2774" w:rsidP="00AD2774">
      <w:pPr>
        <w:pStyle w:val="Source"/>
      </w:pPr>
    </w:p>
    <w:p w14:paraId="3B59B6E5" w14:textId="77777777" w:rsidR="00AD2774" w:rsidRDefault="00AD2774" w:rsidP="00AD2774">
      <w:pPr>
        <w:pStyle w:val="Source"/>
      </w:pPr>
    </w:p>
    <w:p w14:paraId="7BCA32EC" w14:textId="77777777" w:rsidR="00AD2774" w:rsidRDefault="00AD2774" w:rsidP="00AD2774">
      <w:pPr>
        <w:pStyle w:val="Source"/>
      </w:pPr>
    </w:p>
    <w:p w14:paraId="17108FBB" w14:textId="77777777" w:rsidR="00AD2774" w:rsidRDefault="00AD2774" w:rsidP="00AD2774">
      <w:pPr>
        <w:pStyle w:val="Source"/>
      </w:pPr>
    </w:p>
    <w:p w14:paraId="7166C67B" w14:textId="77777777" w:rsidR="00AD2774" w:rsidRDefault="00AD2774" w:rsidP="00AD2774">
      <w:pPr>
        <w:pStyle w:val="Source"/>
      </w:pPr>
    </w:p>
    <w:p w14:paraId="0ED95CD0" w14:textId="0C935A8B" w:rsidR="00AD2774" w:rsidRPr="00883AB7" w:rsidRDefault="00AD2774" w:rsidP="003A0ABD">
      <w:pPr>
        <w:pStyle w:val="Source"/>
      </w:pPr>
      <w:r>
        <w:t xml:space="preserve">Source: </w:t>
      </w:r>
      <w:r w:rsidR="00B83E81">
        <w:t>&lt;</w:t>
      </w:r>
      <w:r w:rsidRPr="008C1447">
        <w:t>https://ec.europa.</w:t>
      </w:r>
      <w:r w:rsidRPr="003A0ABD">
        <w:t>eu</w:t>
      </w:r>
      <w:r w:rsidRPr="008C1447">
        <w:t>/jrc/en/digcomporg/framework</w:t>
      </w:r>
      <w:r w:rsidR="00B83E81">
        <w:t>&gt;.</w:t>
      </w:r>
    </w:p>
    <w:p w14:paraId="43CA626A" w14:textId="1C7AFD55" w:rsidR="00AD2774" w:rsidRPr="003A0ABD" w:rsidRDefault="00AD2774" w:rsidP="003A0ABD">
      <w:pPr>
        <w:pStyle w:val="Text"/>
        <w:rPr>
          <w:b/>
          <w:caps/>
        </w:rPr>
      </w:pPr>
      <w:r w:rsidRPr="003A0ABD">
        <w:rPr>
          <w:b/>
        </w:rPr>
        <w:t>Q: Do the elements described in the Digitally Competent Educational Organisations (DigCompOrg) framework have relevance to the Australian VET sector? If not, why?</w:t>
      </w:r>
    </w:p>
    <w:p w14:paraId="462E67F4" w14:textId="72B45C85" w:rsidR="003A0ABD" w:rsidRDefault="00AD2774" w:rsidP="003A0ABD">
      <w:pPr>
        <w:pStyle w:val="Dotpoint1"/>
        <w:rPr>
          <w:rFonts w:eastAsiaTheme="minorHAnsi"/>
          <w:b/>
          <w:noProof/>
          <w:lang w:eastAsia="en-AU"/>
        </w:rPr>
      </w:pPr>
      <w:r w:rsidRPr="003A0ABD">
        <w:rPr>
          <w:rFonts w:eastAsiaTheme="minorHAnsi"/>
          <w:b/>
          <w:noProof/>
          <w:lang w:eastAsia="en-AU"/>
        </w:rPr>
        <w:t>How can the constituent parts of the VET system support VET providers to deliver elements of the DigCompOrg framework (</w:t>
      </w:r>
      <w:r w:rsidR="00714E2C">
        <w:rPr>
          <w:rFonts w:eastAsiaTheme="minorHAnsi"/>
          <w:b/>
          <w:noProof/>
          <w:lang w:eastAsia="en-AU"/>
        </w:rPr>
        <w:t>for example,</w:t>
      </w:r>
      <w:r w:rsidRPr="003A0ABD">
        <w:rPr>
          <w:rFonts w:eastAsiaTheme="minorHAnsi"/>
          <w:b/>
          <w:noProof/>
          <w:lang w:eastAsia="en-AU"/>
        </w:rPr>
        <w:t xml:space="preserve"> governments providing consistent funding to promote digital infrastructure development)?</w:t>
      </w:r>
    </w:p>
    <w:p w14:paraId="7D56E79C" w14:textId="77777777" w:rsidR="003A0ABD" w:rsidRDefault="003A0ABD">
      <w:pPr>
        <w:spacing w:before="0" w:line="240" w:lineRule="auto"/>
        <w:rPr>
          <w:rFonts w:eastAsiaTheme="minorHAnsi"/>
          <w:b/>
          <w:noProof/>
          <w:color w:val="000000"/>
          <w:lang w:eastAsia="en-AU"/>
        </w:rPr>
      </w:pPr>
      <w:r>
        <w:rPr>
          <w:rFonts w:eastAsiaTheme="minorHAnsi"/>
          <w:b/>
          <w:noProof/>
          <w:lang w:eastAsia="en-AU"/>
        </w:rPr>
        <w:br w:type="page"/>
      </w:r>
    </w:p>
    <w:p w14:paraId="0A004210" w14:textId="77777777" w:rsidR="003A0ABD" w:rsidRDefault="003A0ABD" w:rsidP="003A0ABD">
      <w:pPr>
        <w:pStyle w:val="Heading1"/>
      </w:pPr>
      <w:bookmarkStart w:id="41" w:name="_Toc456000800"/>
      <w:bookmarkStart w:id="42" w:name="_Toc457122465"/>
      <w:bookmarkStart w:id="43" w:name="_Toc188077643"/>
      <w:bookmarkStart w:id="44" w:name="_Toc275543018"/>
      <w:bookmarkStart w:id="45" w:name="_Toc22636831"/>
      <w:bookmarkStart w:id="46" w:name="_Toc31711252"/>
      <w:r w:rsidRPr="003A0ABD">
        <w:rPr>
          <w:rFonts w:eastAsiaTheme="minorHAnsi"/>
        </w:rPr>
        <w:lastRenderedPageBreak/>
        <w:t>References</w:t>
      </w:r>
      <w:bookmarkEnd w:id="41"/>
      <w:bookmarkEnd w:id="42"/>
      <w:bookmarkEnd w:id="43"/>
      <w:bookmarkEnd w:id="44"/>
      <w:bookmarkEnd w:id="45"/>
      <w:bookmarkEnd w:id="46"/>
      <w:r>
        <w:t xml:space="preserve"> </w:t>
      </w:r>
    </w:p>
    <w:p w14:paraId="46F312FD" w14:textId="26EBCB98" w:rsidR="003A0ABD" w:rsidRPr="003A0ABD" w:rsidRDefault="003A0ABD" w:rsidP="003A0ABD">
      <w:pPr>
        <w:pStyle w:val="References"/>
      </w:pPr>
      <w:r w:rsidRPr="003A0ABD">
        <w:t xml:space="preserve">Allen, R, Teodoro, N &amp; Manley, C 2017, </w:t>
      </w:r>
      <w:r w:rsidRPr="003A0ABD">
        <w:rPr>
          <w:i/>
        </w:rPr>
        <w:t>Future skills and training: a practical resource to help identify future skills and training</w:t>
      </w:r>
      <w:r w:rsidRPr="003A0ABD">
        <w:t>, Australian Industry Skills Committee, viewed 1 Oct</w:t>
      </w:r>
      <w:r w:rsidR="00714E2C">
        <w:t>ober</w:t>
      </w:r>
      <w:r w:rsidRPr="003A0ABD">
        <w:t xml:space="preserve"> 2019, &lt;https://www.aisc.net.au/sites/aisc/files/documents/Future%20Priority%20Skills%20Resource.pdf&gt;.</w:t>
      </w:r>
    </w:p>
    <w:p w14:paraId="762C5012" w14:textId="77777777" w:rsidR="003A0ABD" w:rsidRPr="003A0ABD" w:rsidRDefault="003A0ABD" w:rsidP="003A0ABD">
      <w:pPr>
        <w:pStyle w:val="References"/>
      </w:pPr>
      <w:r w:rsidRPr="003A0ABD">
        <w:t>Australian Industry and Skills Committee 2018, ‘Digital skills’, viewed August 2019, &lt;</w:t>
      </w:r>
      <w:hyperlink r:id="rId21" w:history="1">
        <w:r w:rsidRPr="003A0ABD">
          <w:t>https://nationalindustryinsights.aisc.net.au/national/digital-skills</w:t>
        </w:r>
      </w:hyperlink>
      <w:r w:rsidRPr="003A0ABD">
        <w:t>&gt;.</w:t>
      </w:r>
    </w:p>
    <w:p w14:paraId="1D08AC6A" w14:textId="169E5645" w:rsidR="003A0ABD" w:rsidRPr="003A0ABD" w:rsidRDefault="003A0ABD" w:rsidP="003A0ABD">
      <w:pPr>
        <w:pStyle w:val="References"/>
      </w:pPr>
      <w:r w:rsidRPr="003A0ABD">
        <w:t xml:space="preserve">Brolpito, A 2018, </w:t>
      </w:r>
      <w:r w:rsidRPr="003A0ABD">
        <w:rPr>
          <w:i/>
        </w:rPr>
        <w:t>Digital skills and competence, and digital and online learning</w:t>
      </w:r>
      <w:r w:rsidRPr="003A0ABD">
        <w:t>, European Training Foundation, Turin, viewed 2 Oct</w:t>
      </w:r>
      <w:r w:rsidR="00714E2C">
        <w:t>ober</w:t>
      </w:r>
      <w:r w:rsidRPr="003A0ABD">
        <w:t xml:space="preserve"> 2019, &lt;https://www.etf.europa.eu/en/publications-and-resources/publications/digital-skills-and-competence-and-digital-and-online&gt;.</w:t>
      </w:r>
    </w:p>
    <w:p w14:paraId="70CB2B4F" w14:textId="16CDF2D2" w:rsidR="003A0ABD" w:rsidRPr="003A0ABD" w:rsidRDefault="003A0ABD" w:rsidP="003A0ABD">
      <w:pPr>
        <w:pStyle w:val="References"/>
      </w:pPr>
      <w:r w:rsidRPr="003A0ABD">
        <w:t xml:space="preserve">Circelli, M 2015, </w:t>
      </w:r>
      <w:r w:rsidRPr="003A0ABD">
        <w:rPr>
          <w:i/>
        </w:rPr>
        <w:t>Who is delivering foundation skills?: a survey of the LLN and education and training workforces</w:t>
      </w:r>
      <w:r w:rsidRPr="003A0ABD">
        <w:t>, National Foundation Skills Strategy Project 2014</w:t>
      </w:r>
      <w:r w:rsidR="00A941FE">
        <w:t>—</w:t>
      </w:r>
      <w:r w:rsidRPr="003A0ABD">
        <w:t>15, Department of State Development, Adelaide.</w:t>
      </w:r>
    </w:p>
    <w:p w14:paraId="3D495682" w14:textId="1C30FAF6" w:rsidR="003A0ABD" w:rsidRPr="003A0ABD" w:rsidRDefault="003A0ABD" w:rsidP="003A0ABD">
      <w:pPr>
        <w:pStyle w:val="References"/>
      </w:pPr>
      <w:r w:rsidRPr="003A0ABD">
        <w:t xml:space="preserve">Digital Skills Qualifications Review Steering Group 2016, </w:t>
      </w:r>
      <w:r w:rsidRPr="003A0ABD">
        <w:rPr>
          <w:i/>
        </w:rPr>
        <w:t>Review of publicly funded digital skills qualifications</w:t>
      </w:r>
      <w:r w:rsidRPr="003A0ABD">
        <w:t>, Skills Funding Agency, Coventry, viewed 25 Sep</w:t>
      </w:r>
      <w:r w:rsidR="000829A8">
        <w:t>tember</w:t>
      </w:r>
      <w:r w:rsidRPr="003A0ABD">
        <w:t xml:space="preserve"> 2019, &lt;</w:t>
      </w:r>
      <w:hyperlink r:id="rId22" w:history="1">
        <w:r w:rsidRPr="003A0ABD">
          <w:t>https://www.gov.uk/government/publications/review-of-publicly-funded-digital-skills-qualifications</w:t>
        </w:r>
      </w:hyperlink>
      <w:r w:rsidRPr="003A0ABD">
        <w:t>&gt;.</w:t>
      </w:r>
    </w:p>
    <w:p w14:paraId="418886C7" w14:textId="77777777" w:rsidR="003A0ABD" w:rsidRPr="003A0ABD" w:rsidRDefault="003A0ABD" w:rsidP="003A0ABD">
      <w:pPr>
        <w:pStyle w:val="References"/>
      </w:pPr>
      <w:r w:rsidRPr="003A0ABD">
        <w:t xml:space="preserve">European Commission 2017, </w:t>
      </w:r>
      <w:r w:rsidRPr="003A0ABD">
        <w:rPr>
          <w:i/>
        </w:rPr>
        <w:t>A common European response to shared goals: a concept for tackling the digital skills challenges in Europe</w:t>
      </w:r>
      <w:r w:rsidRPr="003A0ABD">
        <w:t xml:space="preserve">, European Commission, Luxembourg. </w:t>
      </w:r>
    </w:p>
    <w:p w14:paraId="2DA75A0F" w14:textId="3AFB5B89" w:rsidR="003A0ABD" w:rsidRPr="003A0ABD" w:rsidRDefault="00A941FE" w:rsidP="003A0ABD">
      <w:pPr>
        <w:pStyle w:val="References"/>
      </w:pPr>
      <w:r>
        <w:t>——</w:t>
      </w:r>
      <w:r w:rsidR="003A0ABD" w:rsidRPr="003A0ABD">
        <w:t>2019</w:t>
      </w:r>
      <w:r w:rsidR="003A0ABD" w:rsidRPr="003A0ABD">
        <w:rPr>
          <w:i/>
        </w:rPr>
        <w:t xml:space="preserve">, Digital </w:t>
      </w:r>
      <w:r w:rsidRPr="003A0ABD">
        <w:rPr>
          <w:i/>
        </w:rPr>
        <w:t>skills: new professions, new educational methods, new jobs</w:t>
      </w:r>
      <w:r w:rsidR="003A0ABD" w:rsidRPr="003A0ABD">
        <w:t xml:space="preserve">, Publications Office of the European Union, Luxembourg, </w:t>
      </w:r>
      <w:r w:rsidR="003D0AF5">
        <w:t>viewed 1 April 2020,</w:t>
      </w:r>
      <w:r w:rsidR="003D7BA5">
        <w:t xml:space="preserve"> </w:t>
      </w:r>
      <w:r w:rsidR="003A0ABD" w:rsidRPr="003A0ABD">
        <w:t>&lt;</w:t>
      </w:r>
      <w:hyperlink r:id="rId23" w:history="1">
        <w:r w:rsidR="003A0ABD" w:rsidRPr="003A0ABD">
          <w:t>https://ec.europa.eu/digital-single-market/en/news/digital-skills-training-blueprints-upskilling-sme-employees-and-unemployed-persons</w:t>
        </w:r>
      </w:hyperlink>
      <w:r w:rsidR="003A0ABD" w:rsidRPr="003A0ABD">
        <w:t>&gt;.</w:t>
      </w:r>
    </w:p>
    <w:p w14:paraId="0836BC28" w14:textId="3DCC326C" w:rsidR="003A0ABD" w:rsidRPr="003A0ABD" w:rsidRDefault="003A0ABD" w:rsidP="003A0ABD">
      <w:pPr>
        <w:pStyle w:val="References"/>
      </w:pPr>
      <w:r w:rsidRPr="003A0ABD">
        <w:t xml:space="preserve">Fau, S &amp; Moreau, Y 2018, </w:t>
      </w:r>
      <w:r w:rsidRPr="003A0ABD">
        <w:rPr>
          <w:i/>
        </w:rPr>
        <w:t>Building tomorrow’s digital skills: what conclusions can we draw from international comparative indicators?</w:t>
      </w:r>
      <w:r w:rsidRPr="003A0ABD">
        <w:t>, UNESCO working papers on education policy no. 06, UNESCO, Paris, viewed 2 Oct</w:t>
      </w:r>
      <w:r w:rsidR="003D7BA5">
        <w:t>ober</w:t>
      </w:r>
      <w:r w:rsidRPr="003A0ABD">
        <w:t xml:space="preserve"> 2019, &lt;http://www.unesco.org/ulis/cgi-bin/ulis.pl?catno=261853&amp;set=005B76470C_2_256&amp;gp=1&amp;lin=1&amp;ll=1&gt;.</w:t>
      </w:r>
    </w:p>
    <w:p w14:paraId="36DD01AE" w14:textId="219C30D7" w:rsidR="003A0ABD" w:rsidRPr="003A0ABD" w:rsidRDefault="003A0ABD" w:rsidP="003A0ABD">
      <w:pPr>
        <w:pStyle w:val="References"/>
      </w:pPr>
      <w:r w:rsidRPr="003A0ABD">
        <w:t>Gallagher, S 2017</w:t>
      </w:r>
      <w:r w:rsidRPr="003A0ABD">
        <w:rPr>
          <w:i/>
        </w:rPr>
        <w:t>, Industry 4.0 Testlabs in Australia: preparing for the future</w:t>
      </w:r>
      <w:r w:rsidRPr="003A0ABD">
        <w:t>, Prime Minister’s Industry 4.0 Taskforce, Department of Industry, Innovation and Science and Swinburne University of Technology, Canberra, viewed 19 Jun</w:t>
      </w:r>
      <w:r w:rsidR="00CA2248">
        <w:t>e</w:t>
      </w:r>
      <w:r w:rsidRPr="003A0ABD">
        <w:t xml:space="preserve"> 2019, &lt;https://www.industry.gov.au/sites/g/files/net3906/f/July 2018/document/pdf/industry-4.0-testlabs-report.pdf&gt;.</w:t>
      </w:r>
    </w:p>
    <w:p w14:paraId="57963E0F" w14:textId="0815C5CF" w:rsidR="003A0ABD" w:rsidRPr="003A0ABD" w:rsidRDefault="00CA2248" w:rsidP="003A0ABD">
      <w:pPr>
        <w:pStyle w:val="References"/>
      </w:pPr>
      <w:r>
        <w:t>——</w:t>
      </w:r>
      <w:r w:rsidR="003A0ABD" w:rsidRPr="003A0ABD">
        <w:t xml:space="preserve">2019, </w:t>
      </w:r>
      <w:r w:rsidR="003A0ABD" w:rsidRPr="003A0ABD">
        <w:rPr>
          <w:i/>
        </w:rPr>
        <w:t>Peak human potential: preparing Australia’s workforce for the digital future</w:t>
      </w:r>
      <w:r w:rsidR="003A0ABD" w:rsidRPr="003A0ABD">
        <w:t>, Centre for the New Workforce, Swinburne University of Technology, Hawthorn, viewed 4 Sep</w:t>
      </w:r>
      <w:r>
        <w:t>tember</w:t>
      </w:r>
      <w:r w:rsidR="00560091">
        <w:t xml:space="preserve"> </w:t>
      </w:r>
      <w:r w:rsidR="003A0ABD" w:rsidRPr="003A0ABD">
        <w:t>2019,</w:t>
      </w:r>
      <w:r w:rsidR="00560091">
        <w:t xml:space="preserve"> </w:t>
      </w:r>
      <w:r w:rsidR="003A0ABD" w:rsidRPr="003A0ABD">
        <w:t>&lt;https://www.swinburne.edu.au/media/swinburneeduau/centre-for-the-new-workforce/cnew-national-survey-report.pdf&gt;.</w:t>
      </w:r>
    </w:p>
    <w:p w14:paraId="39D7BB16" w14:textId="77777777" w:rsidR="003A0ABD" w:rsidRPr="003A0ABD" w:rsidRDefault="003A0ABD" w:rsidP="003A0ABD">
      <w:pPr>
        <w:pStyle w:val="References"/>
      </w:pPr>
      <w:r w:rsidRPr="003A0ABD">
        <w:t xml:space="preserve">Gekara, V, Molla, A, Snell, D, Karanasios, S &amp; Thomas, A 2017, </w:t>
      </w:r>
      <w:r w:rsidRPr="003A0ABD">
        <w:rPr>
          <w:i/>
        </w:rPr>
        <w:t>Developing appropriate workforce skills for Australia’s emerging digital economy: working paper</w:t>
      </w:r>
      <w:r w:rsidRPr="003A0ABD">
        <w:t>, NCVER, Adelaide.</w:t>
      </w:r>
    </w:p>
    <w:p w14:paraId="24311B94" w14:textId="404BA525" w:rsidR="003A0ABD" w:rsidRPr="003A0ABD" w:rsidRDefault="003A0ABD" w:rsidP="003A0ABD">
      <w:pPr>
        <w:pStyle w:val="References"/>
      </w:pPr>
      <w:r w:rsidRPr="003A0ABD">
        <w:t xml:space="preserve">Gekara, V, Snell, D, Molla, A, Karanasios, S &amp; Thomas, A 2019a, </w:t>
      </w:r>
      <w:r w:rsidRPr="003A0ABD">
        <w:rPr>
          <w:i/>
        </w:rPr>
        <w:t>Skilling the Australian workforce for the digital economy: Support document 2</w:t>
      </w:r>
      <w:r w:rsidR="00B326D4">
        <w:rPr>
          <w:i/>
        </w:rPr>
        <w:t>—</w:t>
      </w:r>
      <w:r w:rsidRPr="003A0ABD">
        <w:rPr>
          <w:i/>
        </w:rPr>
        <w:t xml:space="preserve"> case studies and survey findings</w:t>
      </w:r>
      <w:r w:rsidRPr="003A0ABD">
        <w:t>, NCVER, Adelaide.</w:t>
      </w:r>
    </w:p>
    <w:p w14:paraId="0AFBB56A" w14:textId="79274CC6" w:rsidR="003A0ABD" w:rsidRPr="003A0ABD" w:rsidRDefault="00B326D4" w:rsidP="003A0ABD">
      <w:pPr>
        <w:pStyle w:val="References"/>
      </w:pPr>
      <w:r>
        <w:t>——</w:t>
      </w:r>
      <w:r w:rsidR="003A0ABD" w:rsidRPr="003A0ABD">
        <w:t xml:space="preserve">2019b, </w:t>
      </w:r>
      <w:r w:rsidR="003A0ABD" w:rsidRPr="003A0ABD">
        <w:rPr>
          <w:i/>
        </w:rPr>
        <w:t>Skilling the Australian workforce for the digital economy</w:t>
      </w:r>
      <w:r w:rsidR="003A0ABD" w:rsidRPr="003A0ABD">
        <w:t>, NCVER, Adelaide.</w:t>
      </w:r>
    </w:p>
    <w:p w14:paraId="756B6345" w14:textId="63FB7464" w:rsidR="003A0ABD" w:rsidRPr="003A0ABD" w:rsidRDefault="00364E5D" w:rsidP="003A0ABD">
      <w:pPr>
        <w:pStyle w:val="References"/>
      </w:pPr>
      <w:hyperlink r:id="rId24" w:history="1">
        <w:r w:rsidR="003A0ABD" w:rsidRPr="003A0ABD">
          <w:t>Grand-Clement</w:t>
        </w:r>
      </w:hyperlink>
      <w:r w:rsidR="003A0ABD" w:rsidRPr="003A0ABD">
        <w:t>, S 2017</w:t>
      </w:r>
      <w:r w:rsidR="009E5BD9">
        <w:t>,</w:t>
      </w:r>
      <w:r w:rsidR="003A0ABD" w:rsidRPr="003A0ABD">
        <w:t xml:space="preserve"> </w:t>
      </w:r>
      <w:r w:rsidR="003A0ABD" w:rsidRPr="003A0ABD">
        <w:rPr>
          <w:i/>
        </w:rPr>
        <w:t xml:space="preserve">Digital learning: </w:t>
      </w:r>
      <w:r w:rsidR="009E5BD9">
        <w:rPr>
          <w:i/>
        </w:rPr>
        <w:t>e</w:t>
      </w:r>
      <w:r w:rsidR="003A0ABD" w:rsidRPr="003A0ABD">
        <w:rPr>
          <w:i/>
        </w:rPr>
        <w:t>ducation and skills in the digital age</w:t>
      </w:r>
      <w:r w:rsidR="003A0ABD" w:rsidRPr="003A0ABD">
        <w:t xml:space="preserve">, RAND Corporation, </w:t>
      </w:r>
      <w:r w:rsidR="009E5BD9" w:rsidRPr="003A0ABD">
        <w:t>viewed 2 October 2019</w:t>
      </w:r>
      <w:r w:rsidR="009E5BD9">
        <w:t xml:space="preserve">, </w:t>
      </w:r>
      <w:r w:rsidR="003A0ABD" w:rsidRPr="003A0ABD">
        <w:t>&lt;</w:t>
      </w:r>
      <w:hyperlink r:id="rId25" w:history="1">
        <w:r w:rsidR="003A0ABD" w:rsidRPr="003A0ABD">
          <w:t>https://www.rand.org/content/dam/rand/pubs/conf_proceedings/CF300/CF369/RAND_CF369.pdf</w:t>
        </w:r>
      </w:hyperlink>
      <w:r w:rsidR="003A0ABD" w:rsidRPr="003A0ABD">
        <w:t>&gt;.</w:t>
      </w:r>
    </w:p>
    <w:p w14:paraId="33CC3E03" w14:textId="572664FF" w:rsidR="003A0ABD" w:rsidRPr="003A0ABD" w:rsidRDefault="003A0ABD" w:rsidP="003A0ABD">
      <w:pPr>
        <w:pStyle w:val="References"/>
      </w:pPr>
      <w:r w:rsidRPr="003A0ABD">
        <w:t xml:space="preserve">Huynh, A &amp; Malli, N 2018, </w:t>
      </w:r>
      <w:r w:rsidRPr="003A0ABD">
        <w:rPr>
          <w:i/>
        </w:rPr>
        <w:t>Levelling up: the quest for digital literacy</w:t>
      </w:r>
      <w:r w:rsidRPr="003A0ABD">
        <w:t>, Brookfield Institute for Innovation + Entrepreneurship, Toronto, viewed 13 Aug</w:t>
      </w:r>
      <w:r w:rsidR="009E5BD9">
        <w:t>ust</w:t>
      </w:r>
      <w:r w:rsidRPr="003A0ABD">
        <w:t xml:space="preserve"> 2019, &lt;https://brookfieldinstitute.ca/report/levelling-up/&gt;.</w:t>
      </w:r>
    </w:p>
    <w:p w14:paraId="3D73BAF4" w14:textId="7CCB576C" w:rsidR="003A0ABD" w:rsidRPr="003A0ABD" w:rsidRDefault="003A0ABD" w:rsidP="003A0ABD">
      <w:pPr>
        <w:pStyle w:val="References"/>
      </w:pPr>
      <w:r w:rsidRPr="003A0ABD">
        <w:t xml:space="preserve">Innovation and Business Skills Australia </w:t>
      </w:r>
      <w:r w:rsidR="009E5BD9">
        <w:t xml:space="preserve">(IBSA) </w:t>
      </w:r>
      <w:r w:rsidRPr="003A0ABD">
        <w:t xml:space="preserve">2017, </w:t>
      </w:r>
      <w:r w:rsidRPr="003A0ABD">
        <w:rPr>
          <w:i/>
        </w:rPr>
        <w:t>Digital Skills Cross Sector Project: case for change</w:t>
      </w:r>
      <w:r w:rsidRPr="003A0ABD">
        <w:t>, November 2017, IBSA, East Melbourne, viewed 10 Sep</w:t>
      </w:r>
      <w:r w:rsidR="009E5BD9">
        <w:t>tember</w:t>
      </w:r>
      <w:r w:rsidRPr="003A0ABD">
        <w:t xml:space="preserve"> 2019, &lt;https://www.ibsa.org.au/consultation-project/coding-skills-cross-sector-project/coding-skills-cross-sector-project-outcome/&gt;.</w:t>
      </w:r>
    </w:p>
    <w:p w14:paraId="1BD7EF85" w14:textId="77777777" w:rsidR="003A0ABD" w:rsidRPr="003A0ABD" w:rsidRDefault="003A0ABD" w:rsidP="003A0ABD">
      <w:pPr>
        <w:pStyle w:val="References"/>
      </w:pPr>
      <w:r w:rsidRPr="003A0ABD">
        <w:t xml:space="preserve">Kampylis, P, Punie, Y &amp; Devine, J 2015, </w:t>
      </w:r>
      <w:r w:rsidRPr="003A0ABD">
        <w:rPr>
          <w:i/>
        </w:rPr>
        <w:t>Promoting effective digital-age learning: a European Framework for Digitally-Competent Educational Organisations</w:t>
      </w:r>
      <w:r w:rsidRPr="003A0ABD">
        <w:t>, Publications Office of the European Union, Luxembourg.</w:t>
      </w:r>
    </w:p>
    <w:p w14:paraId="460C82BB" w14:textId="42D72C5D" w:rsidR="003A0ABD" w:rsidRPr="003A0ABD" w:rsidRDefault="003A0ABD" w:rsidP="003A0ABD">
      <w:pPr>
        <w:pStyle w:val="References"/>
      </w:pPr>
      <w:r w:rsidRPr="003A0ABD">
        <w:t xml:space="preserve">Markow, W, Hughes, D &amp; Bundy, A 2018, </w:t>
      </w:r>
      <w:r w:rsidRPr="003A0ABD">
        <w:rPr>
          <w:i/>
        </w:rPr>
        <w:t>The new foundational skills of the digital economy: developing the professionals of the future</w:t>
      </w:r>
      <w:r w:rsidRPr="003A0ABD">
        <w:t>, BHEF market intelligence highlights, Business-Higher Education Forum, Washington, viewed 30 Sep</w:t>
      </w:r>
      <w:r w:rsidR="00292A9C">
        <w:t>tember</w:t>
      </w:r>
      <w:r w:rsidRPr="003A0ABD">
        <w:t xml:space="preserve"> 2019, &lt;http://www.bhef.com/publications/new-foundational-skills-digital-economy-developing-professionals-future&gt;.</w:t>
      </w:r>
    </w:p>
    <w:p w14:paraId="6900095C" w14:textId="77777777" w:rsidR="003A0ABD" w:rsidRPr="003A0ABD" w:rsidRDefault="003A0ABD" w:rsidP="003A0ABD">
      <w:pPr>
        <w:pStyle w:val="References"/>
      </w:pPr>
      <w:r w:rsidRPr="003A0ABD">
        <w:t xml:space="preserve">Medlin, J 2016, </w:t>
      </w:r>
      <w:r w:rsidRPr="003A0ABD">
        <w:rPr>
          <w:i/>
        </w:rPr>
        <w:t>The Australian literacy and numeracy workforce: a literature review</w:t>
      </w:r>
      <w:r w:rsidRPr="003A0ABD">
        <w:t>, NCVER, Adelaide.</w:t>
      </w:r>
    </w:p>
    <w:p w14:paraId="41740EED" w14:textId="77777777" w:rsidR="003A0ABD" w:rsidRPr="003A0ABD" w:rsidRDefault="003A0ABD" w:rsidP="003A0ABD">
      <w:pPr>
        <w:pStyle w:val="References"/>
      </w:pPr>
      <w:r w:rsidRPr="003A0ABD">
        <w:t xml:space="preserve">Miles Morgan Australia 2017, </w:t>
      </w:r>
      <w:r w:rsidRPr="003A0ABD">
        <w:rPr>
          <w:i/>
        </w:rPr>
        <w:t>Future skills and training: a practical resource to help identify future skills and training</w:t>
      </w:r>
      <w:r w:rsidRPr="003A0ABD">
        <w:t>, Commonwealth of Australia.</w:t>
      </w:r>
    </w:p>
    <w:p w14:paraId="1C6D6148" w14:textId="483392EA" w:rsidR="003A0ABD" w:rsidRPr="003A0ABD" w:rsidRDefault="003A0ABD" w:rsidP="003A0ABD">
      <w:pPr>
        <w:pStyle w:val="References"/>
      </w:pPr>
      <w:r w:rsidRPr="003A0ABD">
        <w:t xml:space="preserve">Misko, J &amp; Wibrow, B </w:t>
      </w:r>
      <w:r w:rsidR="005F7B95">
        <w:t>2020</w:t>
      </w:r>
      <w:r w:rsidRPr="003A0ABD">
        <w:t xml:space="preserve">, </w:t>
      </w:r>
      <w:r w:rsidRPr="003A0ABD">
        <w:rPr>
          <w:i/>
        </w:rPr>
        <w:t>Traditional apprenticeships: learnings from the field</w:t>
      </w:r>
      <w:r w:rsidRPr="003A0ABD">
        <w:t>, NCVER, Adelaide.</w:t>
      </w:r>
    </w:p>
    <w:p w14:paraId="2B39D010" w14:textId="3BC4FF3B" w:rsidR="003A0ABD" w:rsidRPr="003A0ABD" w:rsidRDefault="003A0ABD" w:rsidP="003A0ABD">
      <w:pPr>
        <w:pStyle w:val="References"/>
      </w:pPr>
      <w:r w:rsidRPr="003A0ABD">
        <w:lastRenderedPageBreak/>
        <w:t xml:space="preserve">National Committee for Information and Communication Sciences 2019, </w:t>
      </w:r>
      <w:r w:rsidRPr="003A0ABD">
        <w:rPr>
          <w:i/>
        </w:rPr>
        <w:t xml:space="preserve">Preparing for Australia’s </w:t>
      </w:r>
      <w:r w:rsidR="00902740" w:rsidRPr="003A0ABD">
        <w:rPr>
          <w:i/>
        </w:rPr>
        <w:t>digital future</w:t>
      </w:r>
      <w:r w:rsidRPr="003A0ABD">
        <w:rPr>
          <w:i/>
        </w:rPr>
        <w:t>: a strategic plan for information and communications science, engineering and technology</w:t>
      </w:r>
      <w:r w:rsidRPr="003A0ABD">
        <w:t xml:space="preserve">, Australian Academy of Science </w:t>
      </w:r>
      <w:r w:rsidR="00201B96">
        <w:t>&amp;</w:t>
      </w:r>
      <w:r w:rsidRPr="003A0ABD">
        <w:t xml:space="preserve"> Australian Academy of Technology and Engineering, Canberra.</w:t>
      </w:r>
    </w:p>
    <w:p w14:paraId="63EFC589" w14:textId="0ABC96A6" w:rsidR="003A0ABD" w:rsidRPr="003A0ABD" w:rsidRDefault="003A0ABD" w:rsidP="003A0ABD">
      <w:pPr>
        <w:pStyle w:val="References"/>
      </w:pPr>
      <w:r w:rsidRPr="003A0ABD">
        <w:t xml:space="preserve">Orlik, J 2018, </w:t>
      </w:r>
      <w:r w:rsidRPr="003A0ABD">
        <w:rPr>
          <w:i/>
        </w:rPr>
        <w:t>Delivering digital skills: a guide to preparing the workforce for an inclusive digital economy</w:t>
      </w:r>
      <w:r w:rsidRPr="003A0ABD">
        <w:t>, Nesta, London, viewed 28 Aug</w:t>
      </w:r>
      <w:r w:rsidR="00902740">
        <w:t>ust</w:t>
      </w:r>
      <w:r w:rsidRPr="003A0ABD">
        <w:t xml:space="preserve"> 2019, &lt;</w:t>
      </w:r>
      <w:hyperlink r:id="rId26" w:history="1">
        <w:r w:rsidRPr="003A0ABD">
          <w:t>https://www.nesta.org.uk/report/delivering-digital-skills/</w:t>
        </w:r>
      </w:hyperlink>
      <w:r w:rsidRPr="003A0ABD">
        <w:t>&gt;.</w:t>
      </w:r>
    </w:p>
    <w:p w14:paraId="0079FCCE" w14:textId="3A622975" w:rsidR="003A0ABD" w:rsidRPr="003A0ABD" w:rsidRDefault="003A0ABD" w:rsidP="003A0ABD">
      <w:pPr>
        <w:pStyle w:val="References"/>
      </w:pPr>
      <w:r w:rsidRPr="003A0ABD">
        <w:t xml:space="preserve">PricewaterhouseCoopers (PwC) Australia 2019, </w:t>
      </w:r>
      <w:r w:rsidRPr="003A0ABD">
        <w:rPr>
          <w:i/>
        </w:rPr>
        <w:t>Transforming Australian manufacturing: preparing businesses and workplaces for Industry 4.0</w:t>
      </w:r>
      <w:r w:rsidRPr="003A0ABD">
        <w:t>, PricewaterhouseCoopers Australia, Melbourne, viewed 25 Sep</w:t>
      </w:r>
      <w:r w:rsidR="00902740">
        <w:t>tember</w:t>
      </w:r>
      <w:r w:rsidRPr="003A0ABD">
        <w:t xml:space="preserve"> 2019, &lt;</w:t>
      </w:r>
      <w:hyperlink r:id="rId27" w:history="1">
        <w:r w:rsidRPr="003A0ABD">
          <w:t>https://www.pwc.com.au/education/industry-proposal-13may2019.pdf</w:t>
        </w:r>
      </w:hyperlink>
      <w:r w:rsidRPr="003A0ABD">
        <w:t>&gt;.</w:t>
      </w:r>
    </w:p>
    <w:p w14:paraId="62E40AC1" w14:textId="508BB740" w:rsidR="003A0ABD" w:rsidRDefault="00C90EBA" w:rsidP="003A0ABD">
      <w:pPr>
        <w:pStyle w:val="References"/>
      </w:pPr>
      <w:r w:rsidRPr="003A0ABD">
        <w:t>PricewaterhouseCoopers</w:t>
      </w:r>
      <w:r w:rsidR="00902740">
        <w:t xml:space="preserve"> Australia</w:t>
      </w:r>
      <w:r w:rsidR="005275E5">
        <w:t>, Data and Analytics Services</w:t>
      </w:r>
      <w:r w:rsidR="003A0ABD" w:rsidRPr="003A0ABD">
        <w:t xml:space="preserve"> 2019, </w:t>
      </w:r>
      <w:r w:rsidR="003A0ABD" w:rsidRPr="003A0ABD">
        <w:rPr>
          <w:i/>
        </w:rPr>
        <w:t>Industry skills forecast and proposed schedule of work: education</w:t>
      </w:r>
      <w:r w:rsidR="003A0ABD" w:rsidRPr="003A0ABD">
        <w:t xml:space="preserve">, </w:t>
      </w:r>
      <w:r w:rsidRPr="003A0ABD">
        <w:t>Skills for Australia</w:t>
      </w:r>
      <w:r w:rsidR="003A0ABD" w:rsidRPr="003A0ABD">
        <w:t xml:space="preserve">, PricewaterhouseCoopers, Sydney, viewed </w:t>
      </w:r>
      <w:r w:rsidR="00014809">
        <w:t>1 April 2020</w:t>
      </w:r>
      <w:r w:rsidR="003A0ABD" w:rsidRPr="003A0ABD">
        <w:t>, &lt;https://s3-ap-southeast-2.amazonaws.com/pwcau.prod.s4aprod.assets/wp-content/uploads/20190621114611/Education-2019-Industry-Skills-Forecast-Final-AISC-Submission-1.pdf&gt;.</w:t>
      </w:r>
    </w:p>
    <w:p w14:paraId="1B01E413" w14:textId="3E3F71E4" w:rsidR="000D222A" w:rsidRPr="003A0ABD" w:rsidRDefault="000D222A" w:rsidP="003A0ABD">
      <w:pPr>
        <w:pStyle w:val="References"/>
      </w:pPr>
      <w:r w:rsidRPr="000D222A">
        <w:t xml:space="preserve">Productivity Commission 2016, </w:t>
      </w:r>
      <w:r w:rsidRPr="000D222A">
        <w:rPr>
          <w:i/>
          <w:iCs/>
        </w:rPr>
        <w:t xml:space="preserve">Digital Disruption: What do governments need to </w:t>
      </w:r>
      <w:proofErr w:type="gramStart"/>
      <w:r w:rsidRPr="000D222A">
        <w:rPr>
          <w:i/>
          <w:iCs/>
        </w:rPr>
        <w:t>do?</w:t>
      </w:r>
      <w:r w:rsidRPr="000D222A">
        <w:t>,</w:t>
      </w:r>
      <w:proofErr w:type="gramEnd"/>
      <w:r w:rsidRPr="000D222A">
        <w:t xml:space="preserve"> Commission Research Paper, Canberra.</w:t>
      </w:r>
    </w:p>
    <w:p w14:paraId="617D767D" w14:textId="02BE7016" w:rsidR="003A0ABD" w:rsidRPr="003A0ABD" w:rsidRDefault="003A0ABD" w:rsidP="003A0ABD">
      <w:pPr>
        <w:pStyle w:val="References"/>
      </w:pPr>
      <w:r w:rsidRPr="003A0ABD">
        <w:t>Redecker, C</w:t>
      </w:r>
      <w:r w:rsidR="004C538D">
        <w:t xml:space="preserve"> 2017, </w:t>
      </w:r>
      <w:r w:rsidRPr="00BA68B2">
        <w:rPr>
          <w:i/>
          <w:iCs/>
        </w:rPr>
        <w:t xml:space="preserve">European </w:t>
      </w:r>
      <w:r w:rsidR="004C538D" w:rsidRPr="00BA68B2">
        <w:rPr>
          <w:i/>
          <w:iCs/>
        </w:rPr>
        <w:t>F</w:t>
      </w:r>
      <w:r w:rsidRPr="00BA68B2">
        <w:rPr>
          <w:i/>
          <w:iCs/>
        </w:rPr>
        <w:t xml:space="preserve">ramework for the </w:t>
      </w:r>
      <w:r w:rsidR="004C538D" w:rsidRPr="00BA68B2">
        <w:rPr>
          <w:i/>
          <w:iCs/>
        </w:rPr>
        <w:t xml:space="preserve">Digital Competence </w:t>
      </w:r>
      <w:r w:rsidRPr="00BA68B2">
        <w:rPr>
          <w:i/>
          <w:iCs/>
        </w:rPr>
        <w:t xml:space="preserve">of </w:t>
      </w:r>
      <w:r w:rsidR="004C538D" w:rsidRPr="00BA68B2">
        <w:rPr>
          <w:i/>
          <w:iCs/>
        </w:rPr>
        <w:t>E</w:t>
      </w:r>
      <w:r w:rsidRPr="00BA68B2">
        <w:rPr>
          <w:i/>
          <w:iCs/>
        </w:rPr>
        <w:t>ducators: DigCompEdu</w:t>
      </w:r>
      <w:r w:rsidR="009714CD" w:rsidRPr="00BA68B2">
        <w:rPr>
          <w:i/>
          <w:iCs/>
        </w:rPr>
        <w:t xml:space="preserve">, </w:t>
      </w:r>
      <w:r w:rsidRPr="00B1632F">
        <w:t>Publications Office of the European Union, Luxembourg.</w:t>
      </w:r>
    </w:p>
    <w:p w14:paraId="25377FB0" w14:textId="7E36978F" w:rsidR="003A0ABD" w:rsidRPr="003A0ABD" w:rsidRDefault="003A0ABD" w:rsidP="003A0ABD">
      <w:pPr>
        <w:pStyle w:val="References"/>
      </w:pPr>
      <w:r w:rsidRPr="003A0ABD">
        <w:t xml:space="preserve">Reeson, A, Mason, C, Sanderson, T, Bratanova, A &amp; Hajkowicz, S 2016, </w:t>
      </w:r>
      <w:r w:rsidRPr="003A0ABD">
        <w:rPr>
          <w:i/>
        </w:rPr>
        <w:t>The VET era: equipping Australia’s workforce for the future digital economy</w:t>
      </w:r>
      <w:r w:rsidRPr="003A0ABD">
        <w:t xml:space="preserve">, CSIRO, Clayton, </w:t>
      </w:r>
      <w:r w:rsidR="00BA68B2">
        <w:t xml:space="preserve">Vic., </w:t>
      </w:r>
      <w:r w:rsidRPr="003A0ABD">
        <w:t>viewed 21 Aug</w:t>
      </w:r>
      <w:r w:rsidR="00BA68B2">
        <w:t>ust</w:t>
      </w:r>
      <w:r w:rsidRPr="003A0ABD">
        <w:t xml:space="preserve"> 2019, &lt;https://web.archive.org/web/20180312142624/http://tafeqld.edu.au/resources/pdf/about-us/research-papers/vet-era.pdf&gt;.</w:t>
      </w:r>
    </w:p>
    <w:p w14:paraId="5D2A5A74" w14:textId="3E3A81E5" w:rsidR="003A0ABD" w:rsidRPr="003A0ABD" w:rsidRDefault="003A0ABD" w:rsidP="003A0ABD">
      <w:pPr>
        <w:pStyle w:val="References"/>
      </w:pPr>
      <w:r w:rsidRPr="003A0ABD">
        <w:t xml:space="preserve">Seet, P-S, Jones, J, Spoehr, J &amp; Hordacre, A-L 2018, </w:t>
      </w:r>
      <w:r w:rsidRPr="003A0ABD">
        <w:rPr>
          <w:i/>
        </w:rPr>
        <w:t>The Fourth Industrial Revolution: the implications of technological disruption for Australian VET</w:t>
      </w:r>
      <w:r w:rsidRPr="003A0ABD">
        <w:t>, NCVER, Adelaide, viewed 1 Oct</w:t>
      </w:r>
      <w:r w:rsidR="00BA68B2">
        <w:t>ober</w:t>
      </w:r>
      <w:r w:rsidRPr="003A0ABD">
        <w:t xml:space="preserve"> 2019, &lt;https://www.ncver.edu.au/research-and-statistics/publications/all-publications/the-fourth-industrial-revolution-the-implications-of-technological-disruption-for-australian-vet&gt;.</w:t>
      </w:r>
    </w:p>
    <w:p w14:paraId="3CDCF3F9" w14:textId="1304659C" w:rsidR="003A0ABD" w:rsidRPr="003A0ABD" w:rsidRDefault="003A0ABD" w:rsidP="003A0ABD">
      <w:pPr>
        <w:pStyle w:val="References"/>
      </w:pPr>
      <w:r w:rsidRPr="003A0ABD">
        <w:t xml:space="preserve">TAFE Directors Australia 2019, </w:t>
      </w:r>
      <w:r w:rsidRPr="003A0ABD">
        <w:rPr>
          <w:i/>
        </w:rPr>
        <w:t xml:space="preserve">Capitalising on the ‘Blue Tech’ opportunity: </w:t>
      </w:r>
      <w:r w:rsidR="00BA68B2">
        <w:rPr>
          <w:i/>
        </w:rPr>
        <w:t>t</w:t>
      </w:r>
      <w:r w:rsidRPr="003A0ABD">
        <w:rPr>
          <w:i/>
        </w:rPr>
        <w:t>he vital role TAFE plays in equipping the Australian workforce for a digitised world</w:t>
      </w:r>
      <w:r w:rsidRPr="003A0ABD">
        <w:t xml:space="preserve">, TDA, Canberra, </w:t>
      </w:r>
      <w:r w:rsidR="00A16AC9">
        <w:t>viewed 1 April 2020</w:t>
      </w:r>
      <w:r w:rsidR="009A4B49">
        <w:t xml:space="preserve">, </w:t>
      </w:r>
      <w:r w:rsidRPr="003A0ABD">
        <w:t>&lt;https://www.tda.edu.au/study-tours/study-tour-2019/&gt;.</w:t>
      </w:r>
    </w:p>
    <w:p w14:paraId="03887D83" w14:textId="34B58C13" w:rsidR="003A0ABD" w:rsidRPr="003A0ABD" w:rsidRDefault="003A0ABD" w:rsidP="003A0ABD">
      <w:pPr>
        <w:pStyle w:val="References"/>
      </w:pPr>
      <w:r w:rsidRPr="003A0ABD">
        <w:t xml:space="preserve">Vroonhof, P, Durazzi, N et al. 2017, </w:t>
      </w:r>
      <w:r w:rsidRPr="003A0ABD">
        <w:rPr>
          <w:i/>
        </w:rPr>
        <w:t>Business cooperating with vocational education and training providers for quality skills and attractive futures</w:t>
      </w:r>
      <w:r w:rsidRPr="003A0ABD">
        <w:t>, Publications Office of the European Union, Luxembourg, viewed 13 Aug</w:t>
      </w:r>
      <w:r w:rsidR="009A4B49">
        <w:t>ust</w:t>
      </w:r>
      <w:r w:rsidRPr="003A0ABD">
        <w:t xml:space="preserve"> 2019, &lt;http://ec.europa.eu/social/main.jsp?catId=738</w:t>
      </w:r>
      <w:r w:rsidRPr="003A0ABD">
        <w:rPr>
          <w:rFonts w:ascii="Cambria Math" w:hAnsi="Cambria Math" w:cs="Cambria Math"/>
        </w:rPr>
        <w:t>〈</w:t>
      </w:r>
      <w:r w:rsidRPr="003A0ABD">
        <w:t xml:space="preserve">Id=en&amp;pubId=8053&amp;furtherPubs=yes&gt;. </w:t>
      </w:r>
    </w:p>
    <w:p w14:paraId="2643CD34" w14:textId="77777777" w:rsidR="003A0ABD" w:rsidRPr="003A0ABD" w:rsidRDefault="003A0ABD" w:rsidP="003A0ABD">
      <w:pPr>
        <w:pStyle w:val="References"/>
      </w:pPr>
      <w:r w:rsidRPr="003A0ABD">
        <w:t xml:space="preserve"> Wibrow, B 2011, </w:t>
      </w:r>
      <w:r w:rsidRPr="003A0ABD">
        <w:rPr>
          <w:i/>
        </w:rPr>
        <w:t>Employability skills: at a glance</w:t>
      </w:r>
      <w:r w:rsidRPr="003A0ABD">
        <w:t>, NCVER, Adelaide.</w:t>
      </w:r>
    </w:p>
    <w:p w14:paraId="122409BA" w14:textId="5A0D471C" w:rsidR="003A0ABD" w:rsidRPr="003A0ABD" w:rsidRDefault="003A0ABD" w:rsidP="003A0ABD">
      <w:pPr>
        <w:pStyle w:val="Heading1"/>
        <w:rPr>
          <w:rFonts w:ascii="Trebuchet MS" w:hAnsi="Trebuchet MS" w:cs="Times New Roman"/>
          <w:color w:val="auto"/>
          <w:sz w:val="18"/>
          <w:szCs w:val="20"/>
        </w:rPr>
      </w:pPr>
      <w:r>
        <w:br w:type="page"/>
      </w:r>
      <w:bookmarkStart w:id="47" w:name="_Toc31711253"/>
      <w:r w:rsidRPr="00C90A71">
        <w:rPr>
          <w:rFonts w:eastAsiaTheme="minorHAnsi"/>
          <w:noProof/>
          <w:lang w:eastAsia="en-AU"/>
        </w:rPr>
        <w:lastRenderedPageBreak/>
        <w:t xml:space="preserve">Appendix A </w:t>
      </w:r>
      <w:r w:rsidRPr="000D5B9C">
        <w:rPr>
          <w:rFonts w:eastAsiaTheme="minorHAnsi"/>
          <w:noProof/>
          <w:lang w:eastAsia="en-AU"/>
        </w:rPr>
        <w:t>Exploration of enrolments in digital skills</w:t>
      </w:r>
      <w:r w:rsidR="00CE5CEA">
        <w:rPr>
          <w:rFonts w:eastAsiaTheme="minorHAnsi"/>
          <w:noProof/>
          <w:lang w:eastAsia="en-AU"/>
        </w:rPr>
        <w:t>-</w:t>
      </w:r>
      <w:r w:rsidRPr="000D5B9C">
        <w:rPr>
          <w:rFonts w:eastAsiaTheme="minorHAnsi"/>
          <w:noProof/>
          <w:lang w:eastAsia="en-AU"/>
        </w:rPr>
        <w:t>related units of competencies</w:t>
      </w:r>
      <w:bookmarkEnd w:id="47"/>
      <w:r w:rsidRPr="000D5B9C">
        <w:rPr>
          <w:rFonts w:eastAsiaTheme="minorHAnsi"/>
          <w:noProof/>
          <w:lang w:eastAsia="en-AU"/>
        </w:rPr>
        <w:t xml:space="preserve"> </w:t>
      </w:r>
    </w:p>
    <w:p w14:paraId="0B95E324" w14:textId="22A7BA60" w:rsidR="003A0ABD" w:rsidRPr="000D5B9C" w:rsidRDefault="003A0ABD" w:rsidP="003A0ABD">
      <w:pPr>
        <w:pStyle w:val="Heading2"/>
      </w:pPr>
      <w:bookmarkStart w:id="48" w:name="_Toc31711254"/>
      <w:r w:rsidRPr="000D5B9C">
        <w:t xml:space="preserve">Digital skills in </w:t>
      </w:r>
      <w:r w:rsidR="00DD227F" w:rsidRPr="000D5B9C">
        <w:t>training packages</w:t>
      </w:r>
      <w:bookmarkEnd w:id="48"/>
    </w:p>
    <w:p w14:paraId="103782E5" w14:textId="5453E13F" w:rsidR="003A0ABD" w:rsidRPr="003A0ABD" w:rsidRDefault="00155FDE" w:rsidP="003A0ABD">
      <w:pPr>
        <w:pStyle w:val="Text"/>
      </w:pPr>
      <w:r>
        <w:t>W</w:t>
      </w:r>
      <w:r w:rsidR="003A0ABD" w:rsidRPr="003A0ABD">
        <w:t>ork by Gekara et al</w:t>
      </w:r>
      <w:r w:rsidR="00E47484">
        <w:t>.</w:t>
      </w:r>
      <w:r w:rsidR="003A0ABD" w:rsidRPr="003A0ABD">
        <w:t xml:space="preserve"> </w:t>
      </w:r>
      <w:r>
        <w:t xml:space="preserve">conducted in 2017 </w:t>
      </w:r>
      <w:r w:rsidR="003A0ABD" w:rsidRPr="003A0ABD">
        <w:t>showed that digital skills</w:t>
      </w:r>
      <w:r>
        <w:t>-</w:t>
      </w:r>
      <w:r w:rsidR="003A0ABD" w:rsidRPr="003A0ABD">
        <w:t xml:space="preserve">related units of competency </w:t>
      </w:r>
      <w:r w:rsidR="005927AA">
        <w:t>do appear</w:t>
      </w:r>
      <w:r w:rsidR="002B5048">
        <w:t xml:space="preserve"> </w:t>
      </w:r>
      <w:r w:rsidR="003A0ABD" w:rsidRPr="003A0ABD">
        <w:t>in training packages, but that they are often specified as elective units. In practice, this means that qualifications can be completed without them and learners may not develop these important skills.</w:t>
      </w:r>
    </w:p>
    <w:p w14:paraId="3CA5421D" w14:textId="1AC58DE8" w:rsidR="003A0ABD" w:rsidRPr="003A0ABD" w:rsidRDefault="003A0ABD" w:rsidP="003A0ABD">
      <w:pPr>
        <w:pStyle w:val="Text"/>
      </w:pPr>
      <w:r w:rsidRPr="003A0ABD">
        <w:t>In this section we will expand upon the work of Gekara et al</w:t>
      </w:r>
      <w:r w:rsidR="002B5048">
        <w:t>.</w:t>
      </w:r>
      <w:r w:rsidRPr="003A0ABD">
        <w:t xml:space="preserve"> </w:t>
      </w:r>
      <w:r w:rsidR="002B5048">
        <w:t>—</w:t>
      </w:r>
      <w:r w:rsidRPr="003A0ABD">
        <w:t xml:space="preserve"> where they identified the digital skills content of </w:t>
      </w:r>
      <w:r w:rsidR="002B5048">
        <w:t xml:space="preserve">11 </w:t>
      </w:r>
      <w:r w:rsidRPr="003A0ABD">
        <w:t xml:space="preserve">training packages in the </w:t>
      </w:r>
      <w:r w:rsidR="002B5048" w:rsidRPr="003A0ABD">
        <w:t>transport and logistics</w:t>
      </w:r>
      <w:r w:rsidR="004823B5">
        <w:t>,</w:t>
      </w:r>
      <w:r w:rsidR="002B5048" w:rsidRPr="003A0ABD">
        <w:t xml:space="preserve"> and public safety and correctional services</w:t>
      </w:r>
      <w:r w:rsidRPr="003A0ABD">
        <w:t xml:space="preserve"> sectors </w:t>
      </w:r>
      <w:r w:rsidR="002B5048">
        <w:t>—</w:t>
      </w:r>
      <w:r w:rsidRPr="003A0ABD">
        <w:t xml:space="preserve"> by investigating the enrolment activity in these digital skills</w:t>
      </w:r>
      <w:r w:rsidR="00B16539">
        <w:t>-</w:t>
      </w:r>
      <w:r w:rsidRPr="003A0ABD">
        <w:t xml:space="preserve">related units of competency. The aim is to compare elective units of competency </w:t>
      </w:r>
      <w:r w:rsidR="00B16539">
        <w:t>with</w:t>
      </w:r>
      <w:r w:rsidRPr="003A0ABD">
        <w:t xml:space="preserve"> core units and to gain an insight into how they are used in training packages.</w:t>
      </w:r>
    </w:p>
    <w:p w14:paraId="2AE631D8" w14:textId="77777777" w:rsidR="003A0ABD" w:rsidRPr="003A0ABD" w:rsidRDefault="003A0ABD" w:rsidP="003A0ABD">
      <w:pPr>
        <w:pStyle w:val="Text"/>
      </w:pPr>
      <w:r w:rsidRPr="003A0ABD">
        <w:t>We analyse the same training packages included in their investigation:</w:t>
      </w:r>
    </w:p>
    <w:p w14:paraId="5C13071B" w14:textId="77777777" w:rsidR="003A0ABD" w:rsidRPr="003A0ABD" w:rsidRDefault="003A0ABD" w:rsidP="003A0ABD">
      <w:pPr>
        <w:pStyle w:val="Dotpoint1"/>
        <w:rPr>
          <w:rFonts w:eastAsiaTheme="minorHAnsi"/>
        </w:rPr>
      </w:pPr>
      <w:r w:rsidRPr="003A0ABD">
        <w:rPr>
          <w:rFonts w:eastAsiaTheme="minorHAnsi"/>
        </w:rPr>
        <w:t>Aviation (AVI)</w:t>
      </w:r>
    </w:p>
    <w:p w14:paraId="61047644" w14:textId="77777777" w:rsidR="003A0ABD" w:rsidRPr="003A0ABD" w:rsidRDefault="003A0ABD" w:rsidP="003A0ABD">
      <w:pPr>
        <w:pStyle w:val="Dotpoint1"/>
        <w:rPr>
          <w:rFonts w:eastAsiaTheme="minorHAnsi"/>
        </w:rPr>
      </w:pPr>
      <w:r w:rsidRPr="003A0ABD">
        <w:rPr>
          <w:rFonts w:eastAsiaTheme="minorHAnsi"/>
        </w:rPr>
        <w:t>Correctional Services (CSC)</w:t>
      </w:r>
    </w:p>
    <w:p w14:paraId="0339F848" w14:textId="77777777" w:rsidR="003A0ABD" w:rsidRPr="003A0ABD" w:rsidRDefault="003A0ABD" w:rsidP="003A0ABD">
      <w:pPr>
        <w:pStyle w:val="Dotpoint1"/>
        <w:rPr>
          <w:rFonts w:eastAsiaTheme="minorHAnsi"/>
        </w:rPr>
      </w:pPr>
      <w:r w:rsidRPr="003A0ABD">
        <w:rPr>
          <w:rFonts w:eastAsiaTheme="minorHAnsi"/>
        </w:rPr>
        <w:t>Local Government (LGA)</w:t>
      </w:r>
    </w:p>
    <w:p w14:paraId="61F69302" w14:textId="77777777" w:rsidR="003A0ABD" w:rsidRPr="003A0ABD" w:rsidRDefault="003A0ABD" w:rsidP="003A0ABD">
      <w:pPr>
        <w:pStyle w:val="Dotpoint1"/>
        <w:rPr>
          <w:rFonts w:eastAsiaTheme="minorHAnsi"/>
        </w:rPr>
      </w:pPr>
      <w:r w:rsidRPr="003A0ABD">
        <w:rPr>
          <w:rFonts w:eastAsiaTheme="minorHAnsi"/>
        </w:rPr>
        <w:t>Maritime (MAR)</w:t>
      </w:r>
    </w:p>
    <w:p w14:paraId="4B729E0D" w14:textId="77777777" w:rsidR="003A0ABD" w:rsidRPr="003A0ABD" w:rsidRDefault="003A0ABD" w:rsidP="003A0ABD">
      <w:pPr>
        <w:pStyle w:val="Dotpoint1"/>
        <w:rPr>
          <w:rFonts w:eastAsiaTheme="minorHAnsi"/>
        </w:rPr>
      </w:pPr>
      <w:r w:rsidRPr="003A0ABD">
        <w:rPr>
          <w:rFonts w:eastAsiaTheme="minorHAnsi"/>
        </w:rPr>
        <w:t>Aeroskills (MEA)</w:t>
      </w:r>
    </w:p>
    <w:p w14:paraId="07263FE7" w14:textId="77777777" w:rsidR="003A0ABD" w:rsidRPr="003A0ABD" w:rsidRDefault="003A0ABD" w:rsidP="003A0ABD">
      <w:pPr>
        <w:pStyle w:val="Dotpoint1"/>
        <w:rPr>
          <w:rFonts w:eastAsiaTheme="minorHAnsi"/>
        </w:rPr>
      </w:pPr>
      <w:r w:rsidRPr="003A0ABD">
        <w:rPr>
          <w:rFonts w:eastAsiaTheme="minorHAnsi"/>
        </w:rPr>
        <w:t>Police (POL)</w:t>
      </w:r>
    </w:p>
    <w:p w14:paraId="616E38F6" w14:textId="77777777" w:rsidR="003A0ABD" w:rsidRPr="003A0ABD" w:rsidRDefault="003A0ABD" w:rsidP="003A0ABD">
      <w:pPr>
        <w:pStyle w:val="Dotpoint1"/>
        <w:rPr>
          <w:rFonts w:eastAsiaTheme="minorHAnsi"/>
        </w:rPr>
      </w:pPr>
      <w:r w:rsidRPr="003A0ABD">
        <w:rPr>
          <w:rFonts w:eastAsiaTheme="minorHAnsi"/>
        </w:rPr>
        <w:t>Public Sector (PSP)</w:t>
      </w:r>
    </w:p>
    <w:p w14:paraId="5C8C3079" w14:textId="77777777" w:rsidR="003A0ABD" w:rsidRPr="003A0ABD" w:rsidRDefault="003A0ABD" w:rsidP="003A0ABD">
      <w:pPr>
        <w:pStyle w:val="Dotpoint1"/>
        <w:rPr>
          <w:rFonts w:eastAsiaTheme="minorHAnsi"/>
        </w:rPr>
      </w:pPr>
      <w:r w:rsidRPr="003A0ABD">
        <w:rPr>
          <w:rFonts w:eastAsiaTheme="minorHAnsi"/>
        </w:rPr>
        <w:t>Public Safety (PUA)</w:t>
      </w:r>
    </w:p>
    <w:p w14:paraId="092C7C82" w14:textId="77777777" w:rsidR="003A0ABD" w:rsidRPr="003A0ABD" w:rsidRDefault="003A0ABD" w:rsidP="003A0ABD">
      <w:pPr>
        <w:pStyle w:val="Dotpoint1"/>
        <w:rPr>
          <w:rFonts w:eastAsiaTheme="minorHAnsi"/>
        </w:rPr>
      </w:pPr>
      <w:r w:rsidRPr="003A0ABD">
        <w:rPr>
          <w:rFonts w:eastAsiaTheme="minorHAnsi"/>
        </w:rPr>
        <w:t>Training and Education (TAE)</w:t>
      </w:r>
    </w:p>
    <w:p w14:paraId="0AB145F2" w14:textId="77777777" w:rsidR="003A0ABD" w:rsidRPr="003A0ABD" w:rsidRDefault="003A0ABD" w:rsidP="003A0ABD">
      <w:pPr>
        <w:pStyle w:val="Dotpoint1"/>
        <w:rPr>
          <w:rFonts w:eastAsiaTheme="minorHAnsi"/>
        </w:rPr>
      </w:pPr>
      <w:r w:rsidRPr="003A0ABD">
        <w:rPr>
          <w:rFonts w:eastAsiaTheme="minorHAnsi"/>
        </w:rPr>
        <w:t>Transport and Logistics (TLI)</w:t>
      </w:r>
    </w:p>
    <w:p w14:paraId="4DD509AA" w14:textId="77777777" w:rsidR="003A0ABD" w:rsidRPr="003A0ABD" w:rsidRDefault="003A0ABD" w:rsidP="003A0ABD">
      <w:pPr>
        <w:pStyle w:val="Dotpoint1"/>
        <w:rPr>
          <w:rFonts w:eastAsiaTheme="minorHAnsi"/>
        </w:rPr>
      </w:pPr>
      <w:r w:rsidRPr="003A0ABD">
        <w:rPr>
          <w:rFonts w:eastAsiaTheme="minorHAnsi"/>
        </w:rPr>
        <w:t>Electrotechnology (UEE).</w:t>
      </w:r>
    </w:p>
    <w:p w14:paraId="00E093CE" w14:textId="425B814C" w:rsidR="003A0ABD" w:rsidRPr="003A0ABD" w:rsidRDefault="003A0ABD" w:rsidP="003A0ABD">
      <w:pPr>
        <w:pStyle w:val="Text"/>
      </w:pPr>
      <w:r w:rsidRPr="003A0ABD">
        <w:t>For the purposes of their study, Gekara et al</w:t>
      </w:r>
      <w:r w:rsidR="00B16539">
        <w:t>.</w:t>
      </w:r>
      <w:r w:rsidRPr="003A0ABD">
        <w:t xml:space="preserve"> (2017) defined digital skills as encompassing the following elements: a digital mindset (hardware, software, information, systems, security and innovation)</w:t>
      </w:r>
      <w:r w:rsidR="008D5863">
        <w:t>;</w:t>
      </w:r>
      <w:r w:rsidRPr="003A0ABD">
        <w:t xml:space="preserve"> knowledge (theoretical comprehension and understanding)</w:t>
      </w:r>
      <w:r w:rsidR="008D5863">
        <w:t>;</w:t>
      </w:r>
      <w:r w:rsidRPr="003A0ABD">
        <w:t xml:space="preserve"> competence (cognitive and practical knowhow)</w:t>
      </w:r>
      <w:r w:rsidR="008D5863">
        <w:t>;</w:t>
      </w:r>
      <w:r w:rsidRPr="003A0ABD">
        <w:t xml:space="preserve"> and attitude (value and beliefs). </w:t>
      </w:r>
    </w:p>
    <w:p w14:paraId="4292FF88" w14:textId="57788C4A" w:rsidR="003A0ABD" w:rsidRPr="003A0ABD" w:rsidRDefault="003A0ABD" w:rsidP="003A0ABD">
      <w:pPr>
        <w:pStyle w:val="Text"/>
      </w:pPr>
      <w:r w:rsidRPr="003A0ABD">
        <w:t>Based on this definition</w:t>
      </w:r>
      <w:r w:rsidR="008D5863">
        <w:t>,</w:t>
      </w:r>
      <w:r w:rsidRPr="003A0ABD">
        <w:t xml:space="preserve"> they developed 44 search terms, grouped into </w:t>
      </w:r>
      <w:r w:rsidR="008D5863">
        <w:t>five</w:t>
      </w:r>
      <w:r w:rsidRPr="003A0ABD">
        <w:t xml:space="preserve"> categories, to be applied across the 11 training packages (table A1). Using those search terms and looking at the unit content, Gekara et al</w:t>
      </w:r>
      <w:r w:rsidR="00682432">
        <w:t>.</w:t>
      </w:r>
      <w:r w:rsidRPr="003A0ABD">
        <w:t xml:space="preserve"> identified 68 units of competency specified within these 11 training packages that were considered to be digital skills</w:t>
      </w:r>
      <w:r w:rsidR="00682432">
        <w:t>-</w:t>
      </w:r>
      <w:r w:rsidRPr="003A0ABD">
        <w:t>related units</w:t>
      </w:r>
      <w:r w:rsidR="00682432">
        <w:t>,</w:t>
      </w:r>
      <w:r w:rsidRPr="003A0ABD">
        <w:t xml:space="preserve"> based on their working definition of digital skills.</w:t>
      </w:r>
    </w:p>
    <w:p w14:paraId="1C61D901" w14:textId="77777777" w:rsidR="003A0ABD" w:rsidRDefault="003A0ABD" w:rsidP="003A0ABD">
      <w:pPr>
        <w:rPr>
          <w:rFonts w:ascii="Arial" w:hAnsi="Arial"/>
          <w:b/>
          <w:sz w:val="17"/>
        </w:rPr>
      </w:pPr>
      <w:bookmarkStart w:id="49" w:name="_Toc477634090"/>
      <w:r>
        <w:br w:type="page"/>
      </w:r>
    </w:p>
    <w:p w14:paraId="70CEBD13" w14:textId="77777777" w:rsidR="003A0ABD" w:rsidRDefault="003A0ABD" w:rsidP="009B712E">
      <w:pPr>
        <w:pStyle w:val="tabletitle"/>
      </w:pPr>
      <w:bookmarkStart w:id="50" w:name="_Toc31711369"/>
      <w:r>
        <w:lastRenderedPageBreak/>
        <w:t>Table A1</w:t>
      </w:r>
      <w:r>
        <w:tab/>
      </w:r>
      <w:r w:rsidRPr="003A0ABD">
        <w:t>Digital</w:t>
      </w:r>
      <w:r w:rsidRPr="008C777D">
        <w:t xml:space="preserve"> skills categorisation and search terms and sample content extraction results</w:t>
      </w:r>
      <w:bookmarkEnd w:id="49"/>
      <w:bookmarkEnd w:id="50"/>
    </w:p>
    <w:tbl>
      <w:tblPr>
        <w:tblpPr w:leftFromText="180" w:rightFromText="180" w:vertAnchor="page" w:horzAnchor="margin" w:tblpY="1711"/>
        <w:tblW w:w="7946" w:type="dxa"/>
        <w:tblBorders>
          <w:top w:val="single" w:sz="4" w:space="0" w:color="auto"/>
          <w:bottom w:val="single" w:sz="4" w:space="0" w:color="auto"/>
          <w:insideH w:val="single" w:sz="4" w:space="0" w:color="auto"/>
        </w:tblBorders>
        <w:tblLook w:val="04A0" w:firstRow="1" w:lastRow="0" w:firstColumn="1" w:lastColumn="0" w:noHBand="0" w:noVBand="1"/>
      </w:tblPr>
      <w:tblGrid>
        <w:gridCol w:w="1530"/>
        <w:gridCol w:w="3076"/>
        <w:gridCol w:w="3340"/>
      </w:tblGrid>
      <w:tr w:rsidR="003A0ABD" w:rsidRPr="00C86406" w14:paraId="3B29657C" w14:textId="77777777" w:rsidTr="003A0ABD">
        <w:trPr>
          <w:trHeight w:val="525"/>
        </w:trPr>
        <w:tc>
          <w:tcPr>
            <w:tcW w:w="1530" w:type="dxa"/>
            <w:shd w:val="clear" w:color="auto" w:fill="auto"/>
          </w:tcPr>
          <w:p w14:paraId="46386735" w14:textId="77777777" w:rsidR="003A0ABD" w:rsidRPr="00C86406" w:rsidRDefault="003A0ABD" w:rsidP="003A0ABD">
            <w:pPr>
              <w:pStyle w:val="Tablehead1"/>
            </w:pPr>
            <w:r w:rsidRPr="00C86406">
              <w:t xml:space="preserve">Search term category </w:t>
            </w:r>
          </w:p>
        </w:tc>
        <w:tc>
          <w:tcPr>
            <w:tcW w:w="3076" w:type="dxa"/>
            <w:shd w:val="clear" w:color="auto" w:fill="auto"/>
          </w:tcPr>
          <w:p w14:paraId="7CDC25E8" w14:textId="77777777" w:rsidR="003A0ABD" w:rsidRPr="00C86406" w:rsidRDefault="003A0ABD" w:rsidP="003A0ABD">
            <w:pPr>
              <w:pStyle w:val="Tablehead1"/>
            </w:pPr>
            <w:r w:rsidRPr="00C86406">
              <w:t xml:space="preserve">Search terms </w:t>
            </w:r>
          </w:p>
        </w:tc>
        <w:tc>
          <w:tcPr>
            <w:tcW w:w="3340" w:type="dxa"/>
          </w:tcPr>
          <w:p w14:paraId="24A72454" w14:textId="77777777" w:rsidR="003A0ABD" w:rsidRPr="00C86406" w:rsidRDefault="003A0ABD" w:rsidP="003A0ABD">
            <w:pPr>
              <w:pStyle w:val="Tablehead1"/>
            </w:pPr>
            <w:r w:rsidRPr="00C86406">
              <w:t>Examples of digital skills text string extracted from units of competency</w:t>
            </w:r>
          </w:p>
        </w:tc>
      </w:tr>
      <w:tr w:rsidR="003A0ABD" w:rsidRPr="00C86406" w14:paraId="2C44A3E0" w14:textId="77777777" w:rsidTr="003A0ABD">
        <w:trPr>
          <w:trHeight w:val="1432"/>
        </w:trPr>
        <w:tc>
          <w:tcPr>
            <w:tcW w:w="1530" w:type="dxa"/>
            <w:shd w:val="clear" w:color="auto" w:fill="auto"/>
          </w:tcPr>
          <w:p w14:paraId="3E271E03" w14:textId="77777777" w:rsidR="003A0ABD" w:rsidRPr="00C86406" w:rsidRDefault="003A0ABD" w:rsidP="003A0ABD">
            <w:pPr>
              <w:pStyle w:val="Tablehead2"/>
            </w:pPr>
            <w:r w:rsidRPr="00C86406">
              <w:t>Digital device</w:t>
            </w:r>
          </w:p>
        </w:tc>
        <w:tc>
          <w:tcPr>
            <w:tcW w:w="3076" w:type="dxa"/>
            <w:shd w:val="clear" w:color="auto" w:fill="auto"/>
          </w:tcPr>
          <w:p w14:paraId="7DB73C5E" w14:textId="20A5FA8B" w:rsidR="003A0ABD" w:rsidRPr="00C86406" w:rsidRDefault="00F97482" w:rsidP="003A0ABD">
            <w:pPr>
              <w:pStyle w:val="Tabletext"/>
            </w:pPr>
            <w:r>
              <w:t>C</w:t>
            </w:r>
            <w:r w:rsidR="003A0ABD" w:rsidRPr="00C86406">
              <w:t>omputer, hardware, information technology, information technologies, infotechnology, mobile, communication technology, keyboard, digital device, digital tools, touchpad, tablet, 3-D printing, GPS</w:t>
            </w:r>
          </w:p>
        </w:tc>
        <w:tc>
          <w:tcPr>
            <w:tcW w:w="3340" w:type="dxa"/>
          </w:tcPr>
          <w:p w14:paraId="7993D5D6" w14:textId="27805B41" w:rsidR="003A0ABD" w:rsidRPr="003A0ABD" w:rsidRDefault="00F97482" w:rsidP="003A0ABD">
            <w:pPr>
              <w:pStyle w:val="Tabletext"/>
              <w:rPr>
                <w:i/>
              </w:rPr>
            </w:pPr>
            <w:r>
              <w:rPr>
                <w:i/>
              </w:rPr>
              <w:t>O</w:t>
            </w:r>
            <w:r w:rsidR="003A0ABD" w:rsidRPr="003A0ABD">
              <w:rPr>
                <w:i/>
              </w:rPr>
              <w:t>perating infotechnology devices used within the workplace in accordance with operational requirements</w:t>
            </w:r>
          </w:p>
          <w:p w14:paraId="377F5DF7" w14:textId="12F0C58B" w:rsidR="003A0ABD" w:rsidRPr="003A0ABD" w:rsidRDefault="00293F00" w:rsidP="003A0ABD">
            <w:pPr>
              <w:pStyle w:val="Tabletext"/>
              <w:rPr>
                <w:i/>
              </w:rPr>
            </w:pPr>
            <w:r>
              <w:rPr>
                <w:i/>
              </w:rPr>
              <w:t>S</w:t>
            </w:r>
            <w:r w:rsidR="003A0ABD" w:rsidRPr="003A0ABD">
              <w:rPr>
                <w:i/>
              </w:rPr>
              <w:t>electing and using relevant computer, communications and office equipment</w:t>
            </w:r>
          </w:p>
        </w:tc>
      </w:tr>
      <w:tr w:rsidR="003A0ABD" w:rsidRPr="00C86406" w14:paraId="5E17F989" w14:textId="77777777" w:rsidTr="003A0ABD">
        <w:trPr>
          <w:trHeight w:val="972"/>
        </w:trPr>
        <w:tc>
          <w:tcPr>
            <w:tcW w:w="1530" w:type="dxa"/>
            <w:shd w:val="clear" w:color="auto" w:fill="auto"/>
          </w:tcPr>
          <w:p w14:paraId="604F855D" w14:textId="77777777" w:rsidR="003A0ABD" w:rsidRPr="00C86406" w:rsidRDefault="003A0ABD" w:rsidP="003A0ABD">
            <w:pPr>
              <w:pStyle w:val="Tablehead2"/>
            </w:pPr>
            <w:r w:rsidRPr="00C86406">
              <w:t xml:space="preserve">Data and information processing </w:t>
            </w:r>
          </w:p>
        </w:tc>
        <w:tc>
          <w:tcPr>
            <w:tcW w:w="3076" w:type="dxa"/>
            <w:shd w:val="clear" w:color="auto" w:fill="auto"/>
          </w:tcPr>
          <w:p w14:paraId="65BC3B71" w14:textId="74669357" w:rsidR="003A0ABD" w:rsidRPr="00C86406" w:rsidRDefault="00F97482" w:rsidP="003A0ABD">
            <w:pPr>
              <w:pStyle w:val="Tabletext"/>
            </w:pPr>
            <w:r>
              <w:t>S</w:t>
            </w:r>
            <w:r w:rsidR="003A0ABD" w:rsidRPr="00C86406">
              <w:t xml:space="preserve">oftware, internet, data, database, web, social media, social network, wiki, information processing, data entry, data retrieval, big data, online, text messaging, online collaboration, analytics </w:t>
            </w:r>
          </w:p>
        </w:tc>
        <w:tc>
          <w:tcPr>
            <w:tcW w:w="3340" w:type="dxa"/>
          </w:tcPr>
          <w:p w14:paraId="01414528" w14:textId="0F0AB5EC" w:rsidR="003A0ABD" w:rsidRPr="003A0ABD" w:rsidRDefault="00293F00" w:rsidP="003A0ABD">
            <w:pPr>
              <w:pStyle w:val="Tabletext"/>
              <w:rPr>
                <w:i/>
              </w:rPr>
            </w:pPr>
            <w:r>
              <w:rPr>
                <w:i/>
              </w:rPr>
              <w:t>U</w:t>
            </w:r>
            <w:r w:rsidR="003A0ABD" w:rsidRPr="003A0ABD">
              <w:rPr>
                <w:i/>
              </w:rPr>
              <w:t>se management information system to collect, store and retrieve data to support the preparation of business plans and/or budgets</w:t>
            </w:r>
          </w:p>
          <w:p w14:paraId="4006C09C" w14:textId="5F95F93D" w:rsidR="003A0ABD" w:rsidRPr="003A0ABD" w:rsidRDefault="00293F00" w:rsidP="003A0ABD">
            <w:pPr>
              <w:pStyle w:val="Tabletext"/>
              <w:rPr>
                <w:i/>
              </w:rPr>
            </w:pPr>
            <w:r>
              <w:rPr>
                <w:i/>
              </w:rPr>
              <w:t>U</w:t>
            </w:r>
            <w:r w:rsidR="003A0ABD" w:rsidRPr="003A0ABD">
              <w:rPr>
                <w:i/>
              </w:rPr>
              <w:t>sing information technology for data analysis, recording and reporting</w:t>
            </w:r>
          </w:p>
        </w:tc>
      </w:tr>
      <w:tr w:rsidR="003A0ABD" w:rsidRPr="00C86406" w14:paraId="668065F4" w14:textId="77777777" w:rsidTr="003A0ABD">
        <w:trPr>
          <w:trHeight w:val="1408"/>
        </w:trPr>
        <w:tc>
          <w:tcPr>
            <w:tcW w:w="1530" w:type="dxa"/>
            <w:shd w:val="clear" w:color="auto" w:fill="auto"/>
          </w:tcPr>
          <w:p w14:paraId="58CCF268" w14:textId="77777777" w:rsidR="003A0ABD" w:rsidRPr="00C86406" w:rsidRDefault="003A0ABD" w:rsidP="003A0ABD">
            <w:pPr>
              <w:pStyle w:val="Tablehead2"/>
            </w:pPr>
            <w:r w:rsidRPr="00C86406">
              <w:t xml:space="preserve">Enterprise information systems and analytics  </w:t>
            </w:r>
          </w:p>
        </w:tc>
        <w:tc>
          <w:tcPr>
            <w:tcW w:w="3076" w:type="dxa"/>
            <w:shd w:val="clear" w:color="auto" w:fill="auto"/>
          </w:tcPr>
          <w:p w14:paraId="497C605D" w14:textId="1DC83549" w:rsidR="003A0ABD" w:rsidRPr="00C86406" w:rsidRDefault="00F97482" w:rsidP="003A0ABD">
            <w:pPr>
              <w:pStyle w:val="Tabletext"/>
            </w:pPr>
            <w:r>
              <w:t>I</w:t>
            </w:r>
            <w:r w:rsidR="003A0ABD" w:rsidRPr="00C86406">
              <w:t xml:space="preserve">nformation system, information systems, enterprise systems, analytics, big data analytics  </w:t>
            </w:r>
          </w:p>
        </w:tc>
        <w:tc>
          <w:tcPr>
            <w:tcW w:w="3340" w:type="dxa"/>
          </w:tcPr>
          <w:p w14:paraId="4389AECB" w14:textId="3090F7E5" w:rsidR="003A0ABD" w:rsidRPr="003A0ABD" w:rsidRDefault="00AD68B8" w:rsidP="003A0ABD">
            <w:pPr>
              <w:pStyle w:val="Tabletext"/>
              <w:rPr>
                <w:i/>
              </w:rPr>
            </w:pPr>
            <w:r>
              <w:rPr>
                <w:i/>
              </w:rPr>
              <w:t>S</w:t>
            </w:r>
            <w:r w:rsidR="003A0ABD" w:rsidRPr="003A0ABD">
              <w:rPr>
                <w:i/>
              </w:rPr>
              <w:t>electing and appropriately applying technology, information systems and procedures to complete workplace tasks.</w:t>
            </w:r>
          </w:p>
          <w:p w14:paraId="140387E0" w14:textId="77777777" w:rsidR="003A0ABD" w:rsidRPr="003A0ABD" w:rsidRDefault="003A0ABD" w:rsidP="003A0ABD">
            <w:pPr>
              <w:pStyle w:val="Tabletext"/>
              <w:rPr>
                <w:i/>
              </w:rPr>
            </w:pPr>
            <w:r w:rsidRPr="003A0ABD">
              <w:rPr>
                <w:i/>
              </w:rPr>
              <w:t>using offender information system and files</w:t>
            </w:r>
          </w:p>
        </w:tc>
      </w:tr>
      <w:tr w:rsidR="003A0ABD" w:rsidRPr="00C86406" w14:paraId="0ACFF319" w14:textId="77777777" w:rsidTr="003A0ABD">
        <w:trPr>
          <w:trHeight w:val="1420"/>
        </w:trPr>
        <w:tc>
          <w:tcPr>
            <w:tcW w:w="1530" w:type="dxa"/>
            <w:shd w:val="clear" w:color="auto" w:fill="auto"/>
          </w:tcPr>
          <w:p w14:paraId="66D429B7" w14:textId="77777777" w:rsidR="003A0ABD" w:rsidRPr="00C86406" w:rsidRDefault="003A0ABD" w:rsidP="003A0ABD">
            <w:pPr>
              <w:pStyle w:val="Tablehead2"/>
            </w:pPr>
            <w:r w:rsidRPr="00C86406">
              <w:t xml:space="preserve">Security and privacy </w:t>
            </w:r>
          </w:p>
        </w:tc>
        <w:tc>
          <w:tcPr>
            <w:tcW w:w="3076" w:type="dxa"/>
            <w:shd w:val="clear" w:color="auto" w:fill="auto"/>
          </w:tcPr>
          <w:p w14:paraId="745136C8" w14:textId="35898B8E" w:rsidR="003A0ABD" w:rsidRPr="00C86406" w:rsidRDefault="00F97482" w:rsidP="003A0ABD">
            <w:pPr>
              <w:pStyle w:val="Tabletext"/>
            </w:pPr>
            <w:r>
              <w:t>I</w:t>
            </w:r>
            <w:r w:rsidR="003A0ABD" w:rsidRPr="00C86406">
              <w:t xml:space="preserve">nformation security, information privacy, online security, virus, data breach, copyright, digital risk, online safety </w:t>
            </w:r>
          </w:p>
        </w:tc>
        <w:tc>
          <w:tcPr>
            <w:tcW w:w="3340" w:type="dxa"/>
          </w:tcPr>
          <w:p w14:paraId="6AAF86AC" w14:textId="69E5736D" w:rsidR="003A0ABD" w:rsidRPr="003A0ABD" w:rsidRDefault="00AD68B8" w:rsidP="003A0ABD">
            <w:pPr>
              <w:pStyle w:val="Tabletext"/>
              <w:rPr>
                <w:i/>
              </w:rPr>
            </w:pPr>
            <w:r>
              <w:rPr>
                <w:i/>
              </w:rPr>
              <w:t>H</w:t>
            </w:r>
            <w:r w:rsidR="003A0ABD" w:rsidRPr="003A0ABD">
              <w:rPr>
                <w:i/>
              </w:rPr>
              <w:t>andling and storing information securely and safely</w:t>
            </w:r>
          </w:p>
          <w:p w14:paraId="6ACE639A" w14:textId="23526641" w:rsidR="003A0ABD" w:rsidRPr="003A0ABD" w:rsidRDefault="00AD68B8" w:rsidP="003A0ABD">
            <w:pPr>
              <w:pStyle w:val="Tabletext"/>
              <w:rPr>
                <w:i/>
              </w:rPr>
            </w:pPr>
            <w:r>
              <w:rPr>
                <w:i/>
              </w:rPr>
              <w:t>I</w:t>
            </w:r>
            <w:r w:rsidR="003A0ABD" w:rsidRPr="003A0ABD">
              <w:rPr>
                <w:i/>
              </w:rPr>
              <w:t>dentify relevant copyright, moral rights and intellectual property issues and legislation relevant to the use of information from databases.</w:t>
            </w:r>
          </w:p>
        </w:tc>
      </w:tr>
      <w:tr w:rsidR="003A0ABD" w:rsidRPr="00C86406" w14:paraId="2701F8F5" w14:textId="77777777" w:rsidTr="003A0ABD">
        <w:trPr>
          <w:trHeight w:val="1969"/>
        </w:trPr>
        <w:tc>
          <w:tcPr>
            <w:tcW w:w="1530" w:type="dxa"/>
            <w:shd w:val="clear" w:color="auto" w:fill="auto"/>
          </w:tcPr>
          <w:p w14:paraId="66ADCC23" w14:textId="77777777" w:rsidR="003A0ABD" w:rsidRPr="00C86406" w:rsidRDefault="003A0ABD" w:rsidP="003A0ABD">
            <w:pPr>
              <w:pStyle w:val="Tablehead2"/>
            </w:pPr>
            <w:r w:rsidRPr="00C86406">
              <w:t>Digital innovation</w:t>
            </w:r>
          </w:p>
        </w:tc>
        <w:tc>
          <w:tcPr>
            <w:tcW w:w="3076" w:type="dxa"/>
            <w:shd w:val="clear" w:color="auto" w:fill="auto"/>
          </w:tcPr>
          <w:p w14:paraId="347D548D" w14:textId="4E180906" w:rsidR="003A0ABD" w:rsidRPr="00C86406" w:rsidRDefault="00F97482" w:rsidP="003A0ABD">
            <w:pPr>
              <w:pStyle w:val="Tabletext"/>
            </w:pPr>
            <w:r>
              <w:t>P</w:t>
            </w:r>
            <w:r w:rsidR="003A0ABD" w:rsidRPr="00C86406">
              <w:t>rocess innovation, system/process analysis, system/process design, system/process development, system/process improvement system/process innovation, digital marketing, app development, system evaluation, digital assessment, digital service, process improvement</w:t>
            </w:r>
            <w:r w:rsidR="0040521A">
              <w:t>.</w:t>
            </w:r>
            <w:r w:rsidR="003A0ABD" w:rsidRPr="00C86406">
              <w:t xml:space="preserve">  </w:t>
            </w:r>
          </w:p>
        </w:tc>
        <w:tc>
          <w:tcPr>
            <w:tcW w:w="3340" w:type="dxa"/>
          </w:tcPr>
          <w:p w14:paraId="47216609" w14:textId="7772682C" w:rsidR="003A0ABD" w:rsidRPr="003A0ABD" w:rsidRDefault="00AD68B8" w:rsidP="003A0ABD">
            <w:pPr>
              <w:pStyle w:val="Tabletext"/>
              <w:rPr>
                <w:i/>
              </w:rPr>
            </w:pPr>
            <w:r>
              <w:rPr>
                <w:i/>
              </w:rPr>
              <w:t>I</w:t>
            </w:r>
            <w:r w:rsidR="003A0ABD" w:rsidRPr="003A0ABD">
              <w:rPr>
                <w:i/>
              </w:rPr>
              <w:t>dentifying potential areas for inspection process improvement as a quality system activity</w:t>
            </w:r>
          </w:p>
          <w:p w14:paraId="675445AD" w14:textId="301BF1AC" w:rsidR="003A0ABD" w:rsidRPr="003A0ABD" w:rsidRDefault="00AD68B8" w:rsidP="003A0ABD">
            <w:pPr>
              <w:pStyle w:val="Tabletext"/>
              <w:rPr>
                <w:i/>
              </w:rPr>
            </w:pPr>
            <w:r>
              <w:rPr>
                <w:i/>
              </w:rPr>
              <w:t>A</w:t>
            </w:r>
            <w:r w:rsidR="003A0ABD" w:rsidRPr="003A0ABD">
              <w:rPr>
                <w:i/>
              </w:rPr>
              <w:t>nalysing requirements for improved computer applications, evaluating relevant software, investigating appropriate hardware enhancements, implementing system improvements and measuring systemic improvement</w:t>
            </w:r>
            <w:r w:rsidR="0040521A">
              <w:rPr>
                <w:i/>
              </w:rPr>
              <w:t>.</w:t>
            </w:r>
          </w:p>
        </w:tc>
      </w:tr>
    </w:tbl>
    <w:p w14:paraId="11B89331" w14:textId="77777777" w:rsidR="003A0ABD" w:rsidRPr="00C90A71" w:rsidRDefault="003A0ABD" w:rsidP="003A0ABD">
      <w:pPr>
        <w:rPr>
          <w:lang w:eastAsia="en-AU"/>
        </w:rPr>
      </w:pPr>
    </w:p>
    <w:p w14:paraId="70F37D83" w14:textId="77777777" w:rsidR="003A0ABD" w:rsidRPr="00C90A71" w:rsidRDefault="003A0ABD" w:rsidP="003A0ABD">
      <w:pPr>
        <w:rPr>
          <w:lang w:eastAsia="en-AU"/>
        </w:rPr>
      </w:pPr>
    </w:p>
    <w:p w14:paraId="48230C11" w14:textId="77777777" w:rsidR="003A0ABD" w:rsidRPr="00C90A71" w:rsidRDefault="003A0ABD" w:rsidP="003A0ABD">
      <w:pPr>
        <w:rPr>
          <w:lang w:eastAsia="en-AU"/>
        </w:rPr>
      </w:pPr>
    </w:p>
    <w:p w14:paraId="0392BD39" w14:textId="77777777" w:rsidR="003A0ABD" w:rsidRPr="00C90A71" w:rsidRDefault="003A0ABD" w:rsidP="003A0ABD">
      <w:pPr>
        <w:rPr>
          <w:lang w:eastAsia="en-AU"/>
        </w:rPr>
      </w:pPr>
    </w:p>
    <w:p w14:paraId="2F71ED67" w14:textId="77777777" w:rsidR="003A0ABD" w:rsidRPr="00C90A71" w:rsidRDefault="003A0ABD" w:rsidP="003A0ABD">
      <w:pPr>
        <w:rPr>
          <w:lang w:eastAsia="en-AU"/>
        </w:rPr>
      </w:pPr>
    </w:p>
    <w:p w14:paraId="40AD5D03" w14:textId="77777777" w:rsidR="003A0ABD" w:rsidRPr="00C90A71" w:rsidRDefault="003A0ABD" w:rsidP="003A0ABD">
      <w:pPr>
        <w:rPr>
          <w:lang w:eastAsia="en-AU"/>
        </w:rPr>
      </w:pPr>
    </w:p>
    <w:p w14:paraId="55D618B3" w14:textId="77777777" w:rsidR="003A0ABD" w:rsidRPr="00C90A71" w:rsidRDefault="003A0ABD" w:rsidP="003A0ABD">
      <w:pPr>
        <w:rPr>
          <w:lang w:eastAsia="en-AU"/>
        </w:rPr>
      </w:pPr>
    </w:p>
    <w:p w14:paraId="117E785A" w14:textId="77777777" w:rsidR="003A0ABD" w:rsidRPr="00C90A71" w:rsidRDefault="003A0ABD" w:rsidP="003A0ABD">
      <w:pPr>
        <w:rPr>
          <w:lang w:eastAsia="en-AU"/>
        </w:rPr>
      </w:pPr>
    </w:p>
    <w:p w14:paraId="3BDBC8B2" w14:textId="77777777" w:rsidR="003A0ABD" w:rsidRPr="00C90A71" w:rsidRDefault="003A0ABD" w:rsidP="003A0ABD">
      <w:pPr>
        <w:rPr>
          <w:lang w:eastAsia="en-AU"/>
        </w:rPr>
      </w:pPr>
    </w:p>
    <w:p w14:paraId="79AF30BF" w14:textId="77777777" w:rsidR="003A0ABD" w:rsidRPr="00C90A71" w:rsidRDefault="003A0ABD" w:rsidP="003A0ABD">
      <w:pPr>
        <w:rPr>
          <w:lang w:eastAsia="en-AU"/>
        </w:rPr>
      </w:pPr>
    </w:p>
    <w:p w14:paraId="50EE18A8" w14:textId="77777777" w:rsidR="003A0ABD" w:rsidRDefault="003A0ABD" w:rsidP="003A0ABD">
      <w:pPr>
        <w:rPr>
          <w:rFonts w:ascii="Arial MT Std" w:hAnsi="Arial MT Std"/>
          <w:i/>
          <w:caps/>
          <w:noProof/>
          <w:color w:val="78278B"/>
          <w:spacing w:val="-9"/>
          <w:sz w:val="20"/>
          <w:szCs w:val="18"/>
          <w:lang w:eastAsia="en-AU"/>
        </w:rPr>
      </w:pPr>
    </w:p>
    <w:p w14:paraId="5934B5E1" w14:textId="77777777" w:rsidR="003A0ABD" w:rsidRDefault="003A0ABD" w:rsidP="003A0ABD">
      <w:pPr>
        <w:pStyle w:val="Source"/>
      </w:pPr>
    </w:p>
    <w:p w14:paraId="56325234" w14:textId="77777777" w:rsidR="003A0ABD" w:rsidRDefault="003A0ABD" w:rsidP="003A0ABD">
      <w:pPr>
        <w:pStyle w:val="Source"/>
      </w:pPr>
    </w:p>
    <w:p w14:paraId="63886A15" w14:textId="77777777" w:rsidR="003A0ABD" w:rsidRDefault="003A0ABD" w:rsidP="003A0ABD">
      <w:pPr>
        <w:pStyle w:val="Source"/>
      </w:pPr>
    </w:p>
    <w:p w14:paraId="035A95A1" w14:textId="77777777" w:rsidR="003A0ABD" w:rsidRDefault="003A0ABD" w:rsidP="003A0ABD">
      <w:pPr>
        <w:pStyle w:val="Source"/>
      </w:pPr>
    </w:p>
    <w:p w14:paraId="452AE77A" w14:textId="77777777" w:rsidR="003A0ABD" w:rsidRDefault="003A0ABD" w:rsidP="003A0ABD">
      <w:pPr>
        <w:pStyle w:val="Source"/>
      </w:pPr>
    </w:p>
    <w:p w14:paraId="19FF10AF" w14:textId="77777777" w:rsidR="003A0ABD" w:rsidRDefault="003A0ABD" w:rsidP="003A0ABD">
      <w:pPr>
        <w:pStyle w:val="Source"/>
      </w:pPr>
    </w:p>
    <w:p w14:paraId="692FC97C" w14:textId="77777777" w:rsidR="003A0ABD" w:rsidRDefault="003A0ABD" w:rsidP="003A0ABD">
      <w:pPr>
        <w:pStyle w:val="Source"/>
      </w:pPr>
    </w:p>
    <w:p w14:paraId="695197ED" w14:textId="77777777" w:rsidR="003A0ABD" w:rsidRDefault="003A0ABD" w:rsidP="003A0ABD">
      <w:pPr>
        <w:pStyle w:val="Source"/>
      </w:pPr>
    </w:p>
    <w:p w14:paraId="7A3E3EED" w14:textId="77777777" w:rsidR="003A0ABD" w:rsidRDefault="003A0ABD" w:rsidP="003A0ABD">
      <w:pPr>
        <w:pStyle w:val="Source"/>
      </w:pPr>
    </w:p>
    <w:p w14:paraId="41011683" w14:textId="77777777" w:rsidR="003A0ABD" w:rsidRDefault="003A0ABD" w:rsidP="003A0ABD">
      <w:pPr>
        <w:pStyle w:val="Source"/>
      </w:pPr>
    </w:p>
    <w:p w14:paraId="61C988B6" w14:textId="77777777" w:rsidR="003A0ABD" w:rsidRDefault="003A0ABD" w:rsidP="003A0ABD">
      <w:pPr>
        <w:pStyle w:val="Source"/>
      </w:pPr>
    </w:p>
    <w:p w14:paraId="0B8EA841" w14:textId="77777777" w:rsidR="003A0ABD" w:rsidRDefault="003A0ABD" w:rsidP="003A0ABD">
      <w:pPr>
        <w:pStyle w:val="Source"/>
      </w:pPr>
    </w:p>
    <w:p w14:paraId="7AD97BEF" w14:textId="77777777" w:rsidR="003A0ABD" w:rsidRDefault="003A0ABD" w:rsidP="003A0ABD">
      <w:pPr>
        <w:pStyle w:val="Source"/>
      </w:pPr>
    </w:p>
    <w:p w14:paraId="0474741E" w14:textId="77777777" w:rsidR="003A0ABD" w:rsidRDefault="003A0ABD" w:rsidP="003A0ABD">
      <w:pPr>
        <w:pStyle w:val="Source"/>
      </w:pPr>
    </w:p>
    <w:p w14:paraId="029752C8" w14:textId="77777777" w:rsidR="003A0ABD" w:rsidRDefault="003A0ABD" w:rsidP="003A0ABD">
      <w:pPr>
        <w:pStyle w:val="Source"/>
      </w:pPr>
    </w:p>
    <w:p w14:paraId="024F78C2" w14:textId="77777777" w:rsidR="003A0ABD" w:rsidRDefault="003A0ABD" w:rsidP="003A0ABD">
      <w:pPr>
        <w:pStyle w:val="Source"/>
      </w:pPr>
    </w:p>
    <w:p w14:paraId="3DD86380" w14:textId="77777777" w:rsidR="003A0ABD" w:rsidRDefault="003A0ABD" w:rsidP="003A0ABD">
      <w:pPr>
        <w:pStyle w:val="Source"/>
      </w:pPr>
    </w:p>
    <w:p w14:paraId="316DF8BE" w14:textId="77777777" w:rsidR="003A0ABD" w:rsidRDefault="003A0ABD" w:rsidP="003A0ABD">
      <w:pPr>
        <w:pStyle w:val="Source"/>
      </w:pPr>
    </w:p>
    <w:p w14:paraId="62EC5BA6" w14:textId="341178DD" w:rsidR="001C3746" w:rsidRDefault="003A0ABD" w:rsidP="001C3746">
      <w:pPr>
        <w:pStyle w:val="Source"/>
      </w:pPr>
      <w:r>
        <w:t>Source: Gekara et al</w:t>
      </w:r>
      <w:r w:rsidR="0040521A">
        <w:t>. (</w:t>
      </w:r>
      <w:r>
        <w:t>2017, p.17</w:t>
      </w:r>
      <w:r w:rsidR="0040521A">
        <w:t>)</w:t>
      </w:r>
      <w:r>
        <w:t>.</w:t>
      </w:r>
    </w:p>
    <w:p w14:paraId="2084EC36" w14:textId="053167AC" w:rsidR="003A0ABD" w:rsidRPr="001C3746" w:rsidRDefault="001C3746" w:rsidP="001C3746">
      <w:pPr>
        <w:pStyle w:val="Heading2"/>
      </w:pPr>
      <w:bookmarkStart w:id="51" w:name="_Toc31711255"/>
      <w:r w:rsidRPr="001C3746">
        <w:rPr>
          <w:noProof/>
        </w:rPr>
        <mc:AlternateContent>
          <mc:Choice Requires="wps">
            <w:drawing>
              <wp:anchor distT="45720" distB="45720" distL="114300" distR="114300" simplePos="0" relativeHeight="251672576" behindDoc="1" locked="0" layoutInCell="1" allowOverlap="1" wp14:anchorId="4EC9DEE0" wp14:editId="31781111">
                <wp:simplePos x="0" y="0"/>
                <wp:positionH relativeFrom="margin">
                  <wp:align>left</wp:align>
                </wp:positionH>
                <wp:positionV relativeFrom="paragraph">
                  <wp:posOffset>589915</wp:posOffset>
                </wp:positionV>
                <wp:extent cx="5438775" cy="1390650"/>
                <wp:effectExtent l="0" t="0" r="28575" b="19050"/>
                <wp:wrapTight wrapText="bothSides">
                  <wp:wrapPolygon edited="0">
                    <wp:start x="0" y="0"/>
                    <wp:lineTo x="0" y="21600"/>
                    <wp:lineTo x="21638" y="21600"/>
                    <wp:lineTo x="21638"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90650"/>
                        </a:xfrm>
                        <a:prstGeom prst="rect">
                          <a:avLst/>
                        </a:prstGeom>
                        <a:solidFill>
                          <a:srgbClr val="FFFFFF"/>
                        </a:solidFill>
                        <a:ln w="9525">
                          <a:solidFill>
                            <a:srgbClr val="000000"/>
                          </a:solidFill>
                          <a:miter lim="800000"/>
                          <a:headEnd/>
                          <a:tailEnd/>
                        </a:ln>
                      </wps:spPr>
                      <wps:txbx>
                        <w:txbxContent>
                          <w:p w14:paraId="2FE8FD6B" w14:textId="37D63BCC" w:rsidR="00AB0F13" w:rsidRPr="005140B5" w:rsidRDefault="00AB0F13" w:rsidP="001C3746">
                            <w:pPr>
                              <w:pStyle w:val="Text"/>
                              <w:rPr>
                                <w:noProof/>
                                <w:lang w:eastAsia="en-AU"/>
                              </w:rPr>
                            </w:pPr>
                            <w:r>
                              <w:rPr>
                                <w:noProof/>
                                <w:lang w:eastAsia="en-AU"/>
                              </w:rPr>
                              <w:t>An examination of the d</w:t>
                            </w:r>
                            <w:r w:rsidRPr="005140B5">
                              <w:rPr>
                                <w:noProof/>
                                <w:lang w:eastAsia="en-AU"/>
                              </w:rPr>
                              <w:t xml:space="preserve">igital skills content of 11 </w:t>
                            </w:r>
                            <w:r>
                              <w:rPr>
                                <w:noProof/>
                                <w:lang w:eastAsia="en-AU"/>
                              </w:rPr>
                              <w:t>t</w:t>
                            </w:r>
                            <w:r w:rsidRPr="005140B5">
                              <w:rPr>
                                <w:noProof/>
                                <w:lang w:eastAsia="en-AU"/>
                              </w:rPr>
                              <w:t xml:space="preserve">raining </w:t>
                            </w:r>
                            <w:r>
                              <w:rPr>
                                <w:noProof/>
                                <w:lang w:eastAsia="en-AU"/>
                              </w:rPr>
                              <w:t>p</w:t>
                            </w:r>
                            <w:r w:rsidRPr="005140B5">
                              <w:rPr>
                                <w:noProof/>
                                <w:lang w:eastAsia="en-AU"/>
                              </w:rPr>
                              <w:t>ackages in the transport and logistics</w:t>
                            </w:r>
                            <w:r>
                              <w:rPr>
                                <w:noProof/>
                                <w:lang w:eastAsia="en-AU"/>
                              </w:rPr>
                              <w:t>,</w:t>
                            </w:r>
                            <w:r w:rsidRPr="005140B5">
                              <w:rPr>
                                <w:noProof/>
                                <w:lang w:eastAsia="en-AU"/>
                              </w:rPr>
                              <w:t xml:space="preserve"> and public safety and correctional services sectors</w:t>
                            </w:r>
                            <w:r>
                              <w:rPr>
                                <w:noProof/>
                                <w:lang w:eastAsia="en-AU"/>
                              </w:rPr>
                              <w:t xml:space="preserve"> found that:</w:t>
                            </w:r>
                          </w:p>
                          <w:p w14:paraId="184EAE44" w14:textId="2427C604" w:rsidR="00AB0F13" w:rsidRPr="00962A08" w:rsidRDefault="00AB0F13" w:rsidP="001C3746">
                            <w:pPr>
                              <w:pStyle w:val="Dotpoint1"/>
                              <w:rPr>
                                <w:rFonts w:eastAsiaTheme="minorHAnsi" w:cstheme="minorBidi"/>
                                <w:noProof/>
                                <w:lang w:eastAsia="en-AU"/>
                              </w:rPr>
                            </w:pPr>
                            <w:r w:rsidRPr="00962A08">
                              <w:rPr>
                                <w:rFonts w:eastAsiaTheme="minorHAnsi" w:cstheme="minorBidi"/>
                                <w:noProof/>
                                <w:lang w:eastAsia="en-AU"/>
                              </w:rPr>
                              <w:t>Most digital skills</w:t>
                            </w:r>
                            <w:r>
                              <w:rPr>
                                <w:rFonts w:eastAsiaTheme="minorHAnsi" w:cstheme="minorBidi"/>
                                <w:noProof/>
                                <w:lang w:eastAsia="en-AU"/>
                              </w:rPr>
                              <w:t>-</w:t>
                            </w:r>
                            <w:r w:rsidRPr="00962A08">
                              <w:rPr>
                                <w:rFonts w:eastAsiaTheme="minorHAnsi" w:cstheme="minorBidi"/>
                                <w:noProof/>
                                <w:lang w:eastAsia="en-AU"/>
                              </w:rPr>
                              <w:t>related units were used as electives only (44 out of 68 units)</w:t>
                            </w:r>
                            <w:r>
                              <w:rPr>
                                <w:rFonts w:eastAsiaTheme="minorHAnsi" w:cstheme="minorBidi"/>
                                <w:noProof/>
                                <w:lang w:eastAsia="en-AU"/>
                              </w:rPr>
                              <w:t>.</w:t>
                            </w:r>
                          </w:p>
                          <w:p w14:paraId="1D80299E" w14:textId="24E43B9B" w:rsidR="00AB0F13" w:rsidRPr="00962A08" w:rsidRDefault="00AB0F13" w:rsidP="001C3746">
                            <w:pPr>
                              <w:pStyle w:val="Dotpoint1"/>
                              <w:rPr>
                                <w:rFonts w:eastAsiaTheme="minorHAnsi"/>
                                <w:noProof/>
                                <w:lang w:eastAsia="en-AU"/>
                              </w:rPr>
                            </w:pPr>
                            <w:r w:rsidRPr="00962A08">
                              <w:rPr>
                                <w:rFonts w:eastAsiaTheme="minorHAnsi"/>
                                <w:noProof/>
                                <w:lang w:eastAsia="en-AU"/>
                              </w:rPr>
                              <w:t>These units were used as electives 80% of the time (321 out of 399 uses)</w:t>
                            </w:r>
                            <w:r>
                              <w:rPr>
                                <w:rFonts w:eastAsiaTheme="minorHAnsi"/>
                                <w:noProof/>
                                <w:lang w:eastAsia="en-AU"/>
                              </w:rPr>
                              <w:t>.</w:t>
                            </w:r>
                          </w:p>
                          <w:p w14:paraId="58C94DBE" w14:textId="2D066684" w:rsidR="00AB0F13" w:rsidRPr="00962A08" w:rsidRDefault="00AB0F13" w:rsidP="001C3746">
                            <w:pPr>
                              <w:pStyle w:val="Dotpoint1"/>
                              <w:rPr>
                                <w:rFonts w:eastAsiaTheme="minorHAnsi"/>
                                <w:noProof/>
                                <w:lang w:eastAsia="en-AU"/>
                              </w:rPr>
                            </w:pPr>
                            <w:r w:rsidRPr="00962A08">
                              <w:rPr>
                                <w:rFonts w:eastAsiaTheme="minorHAnsi"/>
                                <w:noProof/>
                                <w:lang w:eastAsia="en-AU"/>
                              </w:rPr>
                              <w:t>Of the 28 540 enrolments in these units in 2018, 74% were as an elective unit</w:t>
                            </w:r>
                            <w:r>
                              <w:rPr>
                                <w:rFonts w:eastAsiaTheme="minorHAnsi"/>
                                <w:noProof/>
                                <w:lang w:eastAsia="en-AU"/>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9DEE0" id="_x0000_s1032" type="#_x0000_t202" style="position:absolute;margin-left:0;margin-top:46.45pt;width:428.25pt;height:109.5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">
                <v:textbox>
                  <w:txbxContent>
                    <w:p w14:paraId="2FE8FD6B" w14:textId="37D63BCC" w:rsidR="00AB0F13" w:rsidRPr="005140B5" w:rsidRDefault="00AB0F13" w:rsidP="001C3746">
                      <w:pPr>
                        <w:pStyle w:val="Text"/>
                        <w:rPr>
                          <w:noProof/>
                          <w:lang w:eastAsia="en-AU"/>
                        </w:rPr>
                      </w:pPr>
                      <w:r>
                        <w:rPr>
                          <w:noProof/>
                          <w:lang w:eastAsia="en-AU"/>
                        </w:rPr>
                        <w:t>An examination of the d</w:t>
                      </w:r>
                      <w:r w:rsidRPr="005140B5">
                        <w:rPr>
                          <w:noProof/>
                          <w:lang w:eastAsia="en-AU"/>
                        </w:rPr>
                        <w:t xml:space="preserve">igital skills content of 11 </w:t>
                      </w:r>
                      <w:r>
                        <w:rPr>
                          <w:noProof/>
                          <w:lang w:eastAsia="en-AU"/>
                        </w:rPr>
                        <w:t>t</w:t>
                      </w:r>
                      <w:r w:rsidRPr="005140B5">
                        <w:rPr>
                          <w:noProof/>
                          <w:lang w:eastAsia="en-AU"/>
                        </w:rPr>
                        <w:t xml:space="preserve">raining </w:t>
                      </w:r>
                      <w:r>
                        <w:rPr>
                          <w:noProof/>
                          <w:lang w:eastAsia="en-AU"/>
                        </w:rPr>
                        <w:t>p</w:t>
                      </w:r>
                      <w:r w:rsidRPr="005140B5">
                        <w:rPr>
                          <w:noProof/>
                          <w:lang w:eastAsia="en-AU"/>
                        </w:rPr>
                        <w:t>ackages in the transport and logistics</w:t>
                      </w:r>
                      <w:r>
                        <w:rPr>
                          <w:noProof/>
                          <w:lang w:eastAsia="en-AU"/>
                        </w:rPr>
                        <w:t>,</w:t>
                      </w:r>
                      <w:r w:rsidRPr="005140B5">
                        <w:rPr>
                          <w:noProof/>
                          <w:lang w:eastAsia="en-AU"/>
                        </w:rPr>
                        <w:t xml:space="preserve"> and public safety and correctional services sectors</w:t>
                      </w:r>
                      <w:r>
                        <w:rPr>
                          <w:noProof/>
                          <w:lang w:eastAsia="en-AU"/>
                        </w:rPr>
                        <w:t xml:space="preserve"> found that:</w:t>
                      </w:r>
                    </w:p>
                    <w:p w14:paraId="184EAE44" w14:textId="2427C604" w:rsidR="00AB0F13" w:rsidRPr="00962A08" w:rsidRDefault="00AB0F13" w:rsidP="001C3746">
                      <w:pPr>
                        <w:pStyle w:val="Dotpoint1"/>
                        <w:rPr>
                          <w:rFonts w:eastAsiaTheme="minorHAnsi" w:cstheme="minorBidi"/>
                          <w:noProof/>
                          <w:lang w:eastAsia="en-AU"/>
                        </w:rPr>
                      </w:pPr>
                      <w:r w:rsidRPr="00962A08">
                        <w:rPr>
                          <w:rFonts w:eastAsiaTheme="minorHAnsi" w:cstheme="minorBidi"/>
                          <w:noProof/>
                          <w:lang w:eastAsia="en-AU"/>
                        </w:rPr>
                        <w:t>Most digital skills</w:t>
                      </w:r>
                      <w:r>
                        <w:rPr>
                          <w:rFonts w:eastAsiaTheme="minorHAnsi" w:cstheme="minorBidi"/>
                          <w:noProof/>
                          <w:lang w:eastAsia="en-AU"/>
                        </w:rPr>
                        <w:t>-</w:t>
                      </w:r>
                      <w:r w:rsidRPr="00962A08">
                        <w:rPr>
                          <w:rFonts w:eastAsiaTheme="minorHAnsi" w:cstheme="minorBidi"/>
                          <w:noProof/>
                          <w:lang w:eastAsia="en-AU"/>
                        </w:rPr>
                        <w:t>related units were used as electives only (44 out of 68 units)</w:t>
                      </w:r>
                      <w:r>
                        <w:rPr>
                          <w:rFonts w:eastAsiaTheme="minorHAnsi" w:cstheme="minorBidi"/>
                          <w:noProof/>
                          <w:lang w:eastAsia="en-AU"/>
                        </w:rPr>
                        <w:t>.</w:t>
                      </w:r>
                    </w:p>
                    <w:p w14:paraId="1D80299E" w14:textId="24E43B9B" w:rsidR="00AB0F13" w:rsidRPr="00962A08" w:rsidRDefault="00AB0F13" w:rsidP="001C3746">
                      <w:pPr>
                        <w:pStyle w:val="Dotpoint1"/>
                        <w:rPr>
                          <w:rFonts w:eastAsiaTheme="minorHAnsi"/>
                          <w:noProof/>
                          <w:lang w:eastAsia="en-AU"/>
                        </w:rPr>
                      </w:pPr>
                      <w:r w:rsidRPr="00962A08">
                        <w:rPr>
                          <w:rFonts w:eastAsiaTheme="minorHAnsi"/>
                          <w:noProof/>
                          <w:lang w:eastAsia="en-AU"/>
                        </w:rPr>
                        <w:t>These units were used as electives 80% of the time (321 out of 399 uses)</w:t>
                      </w:r>
                      <w:r>
                        <w:rPr>
                          <w:rFonts w:eastAsiaTheme="minorHAnsi"/>
                          <w:noProof/>
                          <w:lang w:eastAsia="en-AU"/>
                        </w:rPr>
                        <w:t>.</w:t>
                      </w:r>
                    </w:p>
                    <w:p w14:paraId="58C94DBE" w14:textId="2D066684" w:rsidR="00AB0F13" w:rsidRPr="00962A08" w:rsidRDefault="00AB0F13" w:rsidP="001C3746">
                      <w:pPr>
                        <w:pStyle w:val="Dotpoint1"/>
                        <w:rPr>
                          <w:rFonts w:eastAsiaTheme="minorHAnsi"/>
                          <w:noProof/>
                          <w:lang w:eastAsia="en-AU"/>
                        </w:rPr>
                      </w:pPr>
                      <w:r w:rsidRPr="00962A08">
                        <w:rPr>
                          <w:rFonts w:eastAsiaTheme="minorHAnsi"/>
                          <w:noProof/>
                          <w:lang w:eastAsia="en-AU"/>
                        </w:rPr>
                        <w:t>Of the 28 540 enrolments in these units in 2018, 74% were as an elective unit</w:t>
                      </w:r>
                      <w:r>
                        <w:rPr>
                          <w:rFonts w:eastAsiaTheme="minorHAnsi"/>
                          <w:noProof/>
                          <w:lang w:eastAsia="en-AU"/>
                        </w:rPr>
                        <w:t>.</w:t>
                      </w:r>
                    </w:p>
                  </w:txbxContent>
                </v:textbox>
                <w10:wrap type="tight" anchorx="margin"/>
              </v:shape>
            </w:pict>
          </mc:Fallback>
        </mc:AlternateContent>
      </w:r>
      <w:r>
        <w:t>Enrolments i</w:t>
      </w:r>
      <w:r w:rsidR="001959C9">
        <w:t>n</w:t>
      </w:r>
      <w:r>
        <w:t xml:space="preserve"> elective and core d</w:t>
      </w:r>
      <w:r w:rsidR="003A0ABD" w:rsidRPr="001C3746">
        <w:t>igital skills</w:t>
      </w:r>
      <w:r w:rsidR="00AF4CDE">
        <w:t>-</w:t>
      </w:r>
      <w:r>
        <w:t>related units of competency</w:t>
      </w:r>
      <w:bookmarkEnd w:id="51"/>
    </w:p>
    <w:p w14:paraId="72BB45DA" w14:textId="24B5D468" w:rsidR="00E950F5" w:rsidRPr="001C3746" w:rsidRDefault="003A0ABD" w:rsidP="00E950F5">
      <w:pPr>
        <w:pStyle w:val="Text"/>
        <w:spacing w:before="120"/>
      </w:pPr>
      <w:r w:rsidRPr="001C3746">
        <w:t>Based on th</w:t>
      </w:r>
      <w:r w:rsidR="002F2F9C">
        <w:t>e</w:t>
      </w:r>
      <w:r w:rsidRPr="001C3746">
        <w:t xml:space="preserve"> 68 units identified by Gekara et al</w:t>
      </w:r>
      <w:r w:rsidR="008C0C81">
        <w:t>.</w:t>
      </w:r>
      <w:r w:rsidRPr="001C3746">
        <w:t>, we now do some further analys</w:t>
      </w:r>
      <w:r w:rsidR="00602796">
        <w:t>e</w:t>
      </w:r>
      <w:r w:rsidRPr="001C3746">
        <w:t xml:space="preserve">s of how these units are being utilised. Of these 68 units, only </w:t>
      </w:r>
      <w:r w:rsidR="00E950F5" w:rsidRPr="00E950F5">
        <w:t>8 were specified in the training packages as core units, 16 were specified as being both a core and an elective unit, and 44 were specified in the training packages as elective units only (table A2).</w:t>
      </w:r>
    </w:p>
    <w:p w14:paraId="2666A597" w14:textId="66059F23" w:rsidR="003A0ABD" w:rsidRPr="001C3746" w:rsidRDefault="003A0ABD" w:rsidP="007A0254">
      <w:pPr>
        <w:pStyle w:val="Text"/>
        <w:spacing w:before="120"/>
        <w:ind w:right="0"/>
      </w:pPr>
    </w:p>
    <w:p w14:paraId="42EBB038" w14:textId="3A5EE838" w:rsidR="003A0ABD" w:rsidRDefault="003A0ABD" w:rsidP="009B712E">
      <w:pPr>
        <w:pStyle w:val="tabletitle"/>
      </w:pPr>
      <w:bookmarkStart w:id="52" w:name="_Toc31711370"/>
      <w:r>
        <w:lastRenderedPageBreak/>
        <w:t>Table A2</w:t>
      </w:r>
      <w:r>
        <w:tab/>
        <w:t xml:space="preserve">Number of units specified within </w:t>
      </w:r>
      <w:r w:rsidRPr="001C3746">
        <w:t>qualifications</w:t>
      </w:r>
      <w:r>
        <w:t xml:space="preserve"> as core, elective or both</w:t>
      </w:r>
      <w:r w:rsidR="0032397B">
        <w:t>,</w:t>
      </w:r>
      <w:r>
        <w:t xml:space="preserve"> by training package</w:t>
      </w:r>
      <w:bookmarkEnd w:id="52"/>
    </w:p>
    <w:tbl>
      <w:tblPr>
        <w:tblStyle w:val="NCVERTable"/>
        <w:tblW w:w="8931" w:type="dxa"/>
        <w:tblLayout w:type="fixed"/>
        <w:tblLook w:val="04A0" w:firstRow="1" w:lastRow="0" w:firstColumn="1" w:lastColumn="0" w:noHBand="0" w:noVBand="1"/>
      </w:tblPr>
      <w:tblGrid>
        <w:gridCol w:w="2552"/>
        <w:gridCol w:w="2126"/>
        <w:gridCol w:w="2126"/>
        <w:gridCol w:w="2127"/>
      </w:tblGrid>
      <w:tr w:rsidR="003A0ABD" w14:paraId="3A610525" w14:textId="77777777" w:rsidTr="003A0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bottom w:val="nil"/>
            </w:tcBorders>
          </w:tcPr>
          <w:p w14:paraId="66D42198" w14:textId="77777777" w:rsidR="003A0ABD" w:rsidRPr="00500F9A" w:rsidRDefault="003A0ABD" w:rsidP="003A0ABD">
            <w:pPr>
              <w:pStyle w:val="Tablehead1"/>
              <w:rPr>
                <w:b/>
              </w:rPr>
            </w:pPr>
            <w:r w:rsidRPr="00500F9A">
              <w:rPr>
                <w:b/>
              </w:rPr>
              <w:t>Training package</w:t>
            </w:r>
          </w:p>
        </w:tc>
        <w:tc>
          <w:tcPr>
            <w:tcW w:w="6379" w:type="dxa"/>
            <w:gridSpan w:val="3"/>
          </w:tcPr>
          <w:p w14:paraId="7319A878" w14:textId="77777777" w:rsidR="003A0ABD" w:rsidRPr="00500F9A" w:rsidRDefault="003A0ABD" w:rsidP="003A0ABD">
            <w:pPr>
              <w:pStyle w:val="Tablehead1"/>
              <w:jc w:val="center"/>
              <w:cnfStyle w:val="100000000000" w:firstRow="1" w:lastRow="0" w:firstColumn="0" w:lastColumn="0" w:oddVBand="0" w:evenVBand="0" w:oddHBand="0" w:evenHBand="0" w:firstRowFirstColumn="0" w:firstRowLastColumn="0" w:lastRowFirstColumn="0" w:lastRowLastColumn="0"/>
              <w:rPr>
                <w:b/>
              </w:rPr>
            </w:pPr>
            <w:r>
              <w:rPr>
                <w:b/>
              </w:rPr>
              <w:t>Number of units</w:t>
            </w:r>
          </w:p>
        </w:tc>
      </w:tr>
      <w:tr w:rsidR="003A0ABD" w14:paraId="266FD48D"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tcPr>
          <w:p w14:paraId="370F3887" w14:textId="77777777" w:rsidR="003A0ABD" w:rsidRPr="00500F9A" w:rsidRDefault="003A0ABD" w:rsidP="003A0ABD">
            <w:pPr>
              <w:pStyle w:val="Tablehead1"/>
              <w:rPr>
                <w:b/>
              </w:rPr>
            </w:pPr>
          </w:p>
        </w:tc>
        <w:tc>
          <w:tcPr>
            <w:tcW w:w="2126" w:type="dxa"/>
            <w:tcBorders>
              <w:top w:val="single" w:sz="4" w:space="0" w:color="auto"/>
              <w:bottom w:val="single" w:sz="4" w:space="0" w:color="auto"/>
            </w:tcBorders>
          </w:tcPr>
          <w:p w14:paraId="5DF875F2" w14:textId="77777777" w:rsidR="003A0ABD" w:rsidRPr="00500F9A" w:rsidRDefault="003A0ABD" w:rsidP="003A0ABD">
            <w:pPr>
              <w:pStyle w:val="Tablehead1"/>
              <w:cnfStyle w:val="000000100000" w:firstRow="0" w:lastRow="0" w:firstColumn="0" w:lastColumn="0" w:oddVBand="0" w:evenVBand="0" w:oddHBand="1" w:evenHBand="0" w:firstRowFirstColumn="0" w:firstRowLastColumn="0" w:lastRowFirstColumn="0" w:lastRowLastColumn="0"/>
            </w:pPr>
            <w:r w:rsidRPr="00500F9A">
              <w:t>Core unit</w:t>
            </w:r>
          </w:p>
        </w:tc>
        <w:tc>
          <w:tcPr>
            <w:tcW w:w="2126" w:type="dxa"/>
            <w:tcBorders>
              <w:top w:val="single" w:sz="4" w:space="0" w:color="auto"/>
              <w:bottom w:val="single" w:sz="4" w:space="0" w:color="auto"/>
            </w:tcBorders>
          </w:tcPr>
          <w:p w14:paraId="1FD1BC21" w14:textId="77777777" w:rsidR="003A0ABD" w:rsidRPr="00500F9A" w:rsidRDefault="003A0ABD" w:rsidP="003A0ABD">
            <w:pPr>
              <w:pStyle w:val="Tablehead1"/>
              <w:cnfStyle w:val="000000100000" w:firstRow="0" w:lastRow="0" w:firstColumn="0" w:lastColumn="0" w:oddVBand="0" w:evenVBand="0" w:oddHBand="1" w:evenHBand="0" w:firstRowFirstColumn="0" w:firstRowLastColumn="0" w:lastRowFirstColumn="0" w:lastRowLastColumn="0"/>
            </w:pPr>
            <w:r w:rsidRPr="00500F9A">
              <w:t>Core and elective unit</w:t>
            </w:r>
          </w:p>
        </w:tc>
        <w:tc>
          <w:tcPr>
            <w:tcW w:w="2127" w:type="dxa"/>
            <w:tcBorders>
              <w:top w:val="single" w:sz="4" w:space="0" w:color="auto"/>
              <w:bottom w:val="single" w:sz="4" w:space="0" w:color="auto"/>
            </w:tcBorders>
          </w:tcPr>
          <w:p w14:paraId="4C2AF117" w14:textId="77777777" w:rsidR="003A0ABD" w:rsidRPr="00500F9A" w:rsidRDefault="003A0ABD" w:rsidP="003A0ABD">
            <w:pPr>
              <w:pStyle w:val="Tablehead1"/>
              <w:cnfStyle w:val="000000100000" w:firstRow="0" w:lastRow="0" w:firstColumn="0" w:lastColumn="0" w:oddVBand="0" w:evenVBand="0" w:oddHBand="1" w:evenHBand="0" w:firstRowFirstColumn="0" w:firstRowLastColumn="0" w:lastRowFirstColumn="0" w:lastRowLastColumn="0"/>
            </w:pPr>
            <w:r w:rsidRPr="00500F9A">
              <w:t>Elective unit</w:t>
            </w:r>
          </w:p>
        </w:tc>
      </w:tr>
      <w:tr w:rsidR="003A0ABD" w14:paraId="5FA08C18" w14:textId="77777777" w:rsidTr="003A0ABD">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il"/>
            </w:tcBorders>
          </w:tcPr>
          <w:p w14:paraId="2B39ECDB" w14:textId="77777777" w:rsidR="003A0ABD" w:rsidRPr="00500F9A" w:rsidRDefault="003A0ABD" w:rsidP="003A0ABD">
            <w:pPr>
              <w:pStyle w:val="Tabletext"/>
              <w:rPr>
                <w:b w:val="0"/>
              </w:rPr>
            </w:pPr>
            <w:r w:rsidRPr="00500F9A">
              <w:rPr>
                <w:b w:val="0"/>
              </w:rPr>
              <w:t>Aviation (AVI)</w:t>
            </w:r>
          </w:p>
        </w:tc>
        <w:tc>
          <w:tcPr>
            <w:tcW w:w="2126" w:type="dxa"/>
            <w:tcBorders>
              <w:top w:val="single" w:sz="4" w:space="0" w:color="auto"/>
              <w:bottom w:val="nil"/>
            </w:tcBorders>
          </w:tcPr>
          <w:p w14:paraId="684059E9"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2</w:t>
            </w:r>
          </w:p>
        </w:tc>
        <w:tc>
          <w:tcPr>
            <w:tcW w:w="2126" w:type="dxa"/>
            <w:tcBorders>
              <w:top w:val="single" w:sz="4" w:space="0" w:color="auto"/>
              <w:bottom w:val="nil"/>
            </w:tcBorders>
          </w:tcPr>
          <w:p w14:paraId="07C61D02"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3</w:t>
            </w:r>
          </w:p>
        </w:tc>
        <w:tc>
          <w:tcPr>
            <w:tcW w:w="2127" w:type="dxa"/>
            <w:tcBorders>
              <w:top w:val="single" w:sz="4" w:space="0" w:color="auto"/>
              <w:bottom w:val="nil"/>
            </w:tcBorders>
          </w:tcPr>
          <w:p w14:paraId="565395A4"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8</w:t>
            </w:r>
          </w:p>
        </w:tc>
      </w:tr>
      <w:tr w:rsidR="003A0ABD" w14:paraId="00F127D7"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2D2B548E" w14:textId="77777777" w:rsidR="003A0ABD" w:rsidRPr="00500F9A" w:rsidRDefault="003A0ABD" w:rsidP="003A0ABD">
            <w:pPr>
              <w:pStyle w:val="Tabletext"/>
              <w:rPr>
                <w:b w:val="0"/>
              </w:rPr>
            </w:pPr>
            <w:r w:rsidRPr="00500F9A">
              <w:rPr>
                <w:b w:val="0"/>
              </w:rPr>
              <w:t>Correctional Services (CSC)</w:t>
            </w:r>
          </w:p>
        </w:tc>
        <w:tc>
          <w:tcPr>
            <w:tcW w:w="2126" w:type="dxa"/>
            <w:tcBorders>
              <w:top w:val="nil"/>
              <w:bottom w:val="nil"/>
            </w:tcBorders>
          </w:tcPr>
          <w:p w14:paraId="72578B46"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w:t>
            </w:r>
          </w:p>
        </w:tc>
        <w:tc>
          <w:tcPr>
            <w:tcW w:w="2126" w:type="dxa"/>
            <w:tcBorders>
              <w:top w:val="nil"/>
              <w:bottom w:val="nil"/>
            </w:tcBorders>
          </w:tcPr>
          <w:p w14:paraId="2386E568"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0</w:t>
            </w:r>
          </w:p>
        </w:tc>
        <w:tc>
          <w:tcPr>
            <w:tcW w:w="2127" w:type="dxa"/>
            <w:tcBorders>
              <w:top w:val="nil"/>
              <w:bottom w:val="nil"/>
            </w:tcBorders>
          </w:tcPr>
          <w:p w14:paraId="091B8CB1"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3</w:t>
            </w:r>
          </w:p>
        </w:tc>
      </w:tr>
      <w:tr w:rsidR="003A0ABD" w14:paraId="2D279EF7" w14:textId="77777777" w:rsidTr="003A0ABD">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3E9205CC" w14:textId="77777777" w:rsidR="003A0ABD" w:rsidRPr="00500F9A" w:rsidRDefault="003A0ABD" w:rsidP="003A0ABD">
            <w:pPr>
              <w:pStyle w:val="Tabletext"/>
              <w:rPr>
                <w:b w:val="0"/>
              </w:rPr>
            </w:pPr>
            <w:r>
              <w:rPr>
                <w:b w:val="0"/>
              </w:rPr>
              <w:t>Maritime (MAR)</w:t>
            </w:r>
          </w:p>
        </w:tc>
        <w:tc>
          <w:tcPr>
            <w:tcW w:w="2126" w:type="dxa"/>
            <w:tcBorders>
              <w:top w:val="nil"/>
              <w:bottom w:val="nil"/>
            </w:tcBorders>
          </w:tcPr>
          <w:p w14:paraId="02F540C6"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3</w:t>
            </w:r>
          </w:p>
        </w:tc>
        <w:tc>
          <w:tcPr>
            <w:tcW w:w="2126" w:type="dxa"/>
            <w:tcBorders>
              <w:top w:val="nil"/>
              <w:bottom w:val="nil"/>
            </w:tcBorders>
          </w:tcPr>
          <w:p w14:paraId="15C2ACD2"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2127" w:type="dxa"/>
            <w:tcBorders>
              <w:top w:val="nil"/>
              <w:bottom w:val="nil"/>
            </w:tcBorders>
          </w:tcPr>
          <w:p w14:paraId="686CB34E"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r>
      <w:tr w:rsidR="003A0ABD" w14:paraId="5CB07E73"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640A2539" w14:textId="77777777" w:rsidR="003A0ABD" w:rsidRDefault="003A0ABD" w:rsidP="003A0ABD">
            <w:pPr>
              <w:pStyle w:val="Tabletext"/>
              <w:rPr>
                <w:b w:val="0"/>
              </w:rPr>
            </w:pPr>
            <w:r>
              <w:rPr>
                <w:b w:val="0"/>
              </w:rPr>
              <w:t>Aeroskills (MEA)</w:t>
            </w:r>
          </w:p>
        </w:tc>
        <w:tc>
          <w:tcPr>
            <w:tcW w:w="2126" w:type="dxa"/>
            <w:tcBorders>
              <w:top w:val="nil"/>
              <w:bottom w:val="nil"/>
            </w:tcBorders>
          </w:tcPr>
          <w:p w14:paraId="7442DE16"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w:t>
            </w:r>
          </w:p>
        </w:tc>
        <w:tc>
          <w:tcPr>
            <w:tcW w:w="2126" w:type="dxa"/>
            <w:tcBorders>
              <w:top w:val="nil"/>
              <w:bottom w:val="nil"/>
            </w:tcBorders>
          </w:tcPr>
          <w:p w14:paraId="444EDECA"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4</w:t>
            </w:r>
          </w:p>
        </w:tc>
        <w:tc>
          <w:tcPr>
            <w:tcW w:w="2127" w:type="dxa"/>
            <w:tcBorders>
              <w:top w:val="nil"/>
              <w:bottom w:val="nil"/>
            </w:tcBorders>
          </w:tcPr>
          <w:p w14:paraId="20C5BB55"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w:t>
            </w:r>
          </w:p>
        </w:tc>
      </w:tr>
      <w:tr w:rsidR="003A0ABD" w14:paraId="7B4B9D6C" w14:textId="77777777" w:rsidTr="003A0ABD">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79EFE20F" w14:textId="77777777" w:rsidR="003A0ABD" w:rsidRDefault="003A0ABD" w:rsidP="003A0ABD">
            <w:pPr>
              <w:pStyle w:val="Tabletext"/>
              <w:rPr>
                <w:b w:val="0"/>
              </w:rPr>
            </w:pPr>
            <w:r>
              <w:rPr>
                <w:b w:val="0"/>
              </w:rPr>
              <w:t>Police (POL)</w:t>
            </w:r>
          </w:p>
        </w:tc>
        <w:tc>
          <w:tcPr>
            <w:tcW w:w="2126" w:type="dxa"/>
            <w:tcBorders>
              <w:top w:val="nil"/>
              <w:bottom w:val="nil"/>
            </w:tcBorders>
          </w:tcPr>
          <w:p w14:paraId="02C042F4"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w:t>
            </w:r>
          </w:p>
        </w:tc>
        <w:tc>
          <w:tcPr>
            <w:tcW w:w="2126" w:type="dxa"/>
            <w:tcBorders>
              <w:top w:val="nil"/>
              <w:bottom w:val="nil"/>
            </w:tcBorders>
          </w:tcPr>
          <w:p w14:paraId="24D53487"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2127" w:type="dxa"/>
            <w:tcBorders>
              <w:top w:val="nil"/>
              <w:bottom w:val="nil"/>
            </w:tcBorders>
          </w:tcPr>
          <w:p w14:paraId="224CE721"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r>
      <w:tr w:rsidR="003A0ABD" w14:paraId="58B19E30"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1EE34088" w14:textId="77777777" w:rsidR="003A0ABD" w:rsidRDefault="003A0ABD" w:rsidP="003A0ABD">
            <w:pPr>
              <w:pStyle w:val="Tabletext"/>
              <w:rPr>
                <w:b w:val="0"/>
              </w:rPr>
            </w:pPr>
            <w:r>
              <w:rPr>
                <w:b w:val="0"/>
              </w:rPr>
              <w:t>Public Sector (PSP)</w:t>
            </w:r>
          </w:p>
        </w:tc>
        <w:tc>
          <w:tcPr>
            <w:tcW w:w="2126" w:type="dxa"/>
            <w:tcBorders>
              <w:top w:val="nil"/>
              <w:bottom w:val="nil"/>
            </w:tcBorders>
          </w:tcPr>
          <w:p w14:paraId="0F2F6478"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0</w:t>
            </w:r>
          </w:p>
        </w:tc>
        <w:tc>
          <w:tcPr>
            <w:tcW w:w="2126" w:type="dxa"/>
            <w:tcBorders>
              <w:top w:val="nil"/>
              <w:bottom w:val="nil"/>
            </w:tcBorders>
          </w:tcPr>
          <w:p w14:paraId="282E18E0"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w:t>
            </w:r>
          </w:p>
        </w:tc>
        <w:tc>
          <w:tcPr>
            <w:tcW w:w="2127" w:type="dxa"/>
            <w:tcBorders>
              <w:top w:val="nil"/>
              <w:bottom w:val="nil"/>
            </w:tcBorders>
          </w:tcPr>
          <w:p w14:paraId="0B7D1595"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5</w:t>
            </w:r>
          </w:p>
        </w:tc>
      </w:tr>
      <w:tr w:rsidR="003A0ABD" w14:paraId="167A8C82" w14:textId="77777777" w:rsidTr="003A0ABD">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310E85F5" w14:textId="77777777" w:rsidR="003A0ABD" w:rsidRDefault="003A0ABD" w:rsidP="003A0ABD">
            <w:pPr>
              <w:pStyle w:val="Tabletext"/>
              <w:rPr>
                <w:b w:val="0"/>
              </w:rPr>
            </w:pPr>
            <w:r>
              <w:rPr>
                <w:b w:val="0"/>
              </w:rPr>
              <w:t>Public Safety (PUA12)</w:t>
            </w:r>
          </w:p>
        </w:tc>
        <w:tc>
          <w:tcPr>
            <w:tcW w:w="2126" w:type="dxa"/>
            <w:tcBorders>
              <w:top w:val="nil"/>
              <w:bottom w:val="nil"/>
            </w:tcBorders>
          </w:tcPr>
          <w:p w14:paraId="1535DEC6"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2126" w:type="dxa"/>
            <w:tcBorders>
              <w:top w:val="nil"/>
              <w:bottom w:val="nil"/>
            </w:tcBorders>
          </w:tcPr>
          <w:p w14:paraId="4EB01271"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2127" w:type="dxa"/>
            <w:tcBorders>
              <w:top w:val="nil"/>
              <w:bottom w:val="nil"/>
            </w:tcBorders>
          </w:tcPr>
          <w:p w14:paraId="53C061F3"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8</w:t>
            </w:r>
          </w:p>
        </w:tc>
      </w:tr>
      <w:tr w:rsidR="003A0ABD" w14:paraId="6EF9A972"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766D19E9" w14:textId="77777777" w:rsidR="003A0ABD" w:rsidRDefault="003A0ABD" w:rsidP="003A0ABD">
            <w:pPr>
              <w:pStyle w:val="Tabletext"/>
              <w:rPr>
                <w:b w:val="0"/>
              </w:rPr>
            </w:pPr>
            <w:r>
              <w:rPr>
                <w:b w:val="0"/>
              </w:rPr>
              <w:t>Training and Education (TAE)</w:t>
            </w:r>
          </w:p>
        </w:tc>
        <w:tc>
          <w:tcPr>
            <w:tcW w:w="2126" w:type="dxa"/>
            <w:tcBorders>
              <w:top w:val="nil"/>
              <w:bottom w:val="nil"/>
            </w:tcBorders>
          </w:tcPr>
          <w:p w14:paraId="5287F2CF"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0</w:t>
            </w:r>
          </w:p>
        </w:tc>
        <w:tc>
          <w:tcPr>
            <w:tcW w:w="2126" w:type="dxa"/>
            <w:tcBorders>
              <w:top w:val="nil"/>
              <w:bottom w:val="nil"/>
            </w:tcBorders>
          </w:tcPr>
          <w:p w14:paraId="447AD015"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0</w:t>
            </w:r>
          </w:p>
        </w:tc>
        <w:tc>
          <w:tcPr>
            <w:tcW w:w="2127" w:type="dxa"/>
            <w:tcBorders>
              <w:top w:val="nil"/>
              <w:bottom w:val="nil"/>
            </w:tcBorders>
          </w:tcPr>
          <w:p w14:paraId="368D8A26"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3</w:t>
            </w:r>
          </w:p>
        </w:tc>
      </w:tr>
      <w:tr w:rsidR="003A0ABD" w14:paraId="7FB02A29" w14:textId="77777777" w:rsidTr="003A0ABD">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tcPr>
          <w:p w14:paraId="7AE66BDA" w14:textId="77777777" w:rsidR="003A0ABD" w:rsidRDefault="003A0ABD" w:rsidP="003A0ABD">
            <w:pPr>
              <w:pStyle w:val="Tabletext"/>
              <w:rPr>
                <w:b w:val="0"/>
              </w:rPr>
            </w:pPr>
            <w:r>
              <w:rPr>
                <w:b w:val="0"/>
              </w:rPr>
              <w:t>Transport and Logistics (TLI)</w:t>
            </w:r>
          </w:p>
        </w:tc>
        <w:tc>
          <w:tcPr>
            <w:tcW w:w="2126" w:type="dxa"/>
            <w:tcBorders>
              <w:top w:val="nil"/>
              <w:bottom w:val="nil"/>
            </w:tcBorders>
          </w:tcPr>
          <w:p w14:paraId="74C48AB2"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2126" w:type="dxa"/>
            <w:tcBorders>
              <w:top w:val="nil"/>
              <w:bottom w:val="nil"/>
            </w:tcBorders>
          </w:tcPr>
          <w:p w14:paraId="3309BC49"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6</w:t>
            </w:r>
          </w:p>
        </w:tc>
        <w:tc>
          <w:tcPr>
            <w:tcW w:w="2127" w:type="dxa"/>
            <w:tcBorders>
              <w:top w:val="nil"/>
              <w:bottom w:val="nil"/>
            </w:tcBorders>
          </w:tcPr>
          <w:p w14:paraId="17890C79" w14:textId="77777777" w:rsidR="003A0ABD" w:rsidRPr="00500F9A"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11</w:t>
            </w:r>
          </w:p>
        </w:tc>
      </w:tr>
      <w:tr w:rsidR="003A0ABD" w14:paraId="54C6330B"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4" w:space="0" w:color="auto"/>
            </w:tcBorders>
          </w:tcPr>
          <w:p w14:paraId="244E6D8B" w14:textId="77777777" w:rsidR="003A0ABD" w:rsidRDefault="003A0ABD" w:rsidP="003A0ABD">
            <w:pPr>
              <w:pStyle w:val="Tabletext"/>
              <w:rPr>
                <w:b w:val="0"/>
              </w:rPr>
            </w:pPr>
            <w:r>
              <w:rPr>
                <w:b w:val="0"/>
              </w:rPr>
              <w:t>Electrotechnology (UEE11)</w:t>
            </w:r>
          </w:p>
        </w:tc>
        <w:tc>
          <w:tcPr>
            <w:tcW w:w="2126" w:type="dxa"/>
            <w:tcBorders>
              <w:top w:val="nil"/>
              <w:bottom w:val="single" w:sz="4" w:space="0" w:color="auto"/>
            </w:tcBorders>
          </w:tcPr>
          <w:p w14:paraId="6FCD30B4"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0</w:t>
            </w:r>
          </w:p>
        </w:tc>
        <w:tc>
          <w:tcPr>
            <w:tcW w:w="2126" w:type="dxa"/>
            <w:tcBorders>
              <w:top w:val="nil"/>
              <w:bottom w:val="single" w:sz="4" w:space="0" w:color="auto"/>
            </w:tcBorders>
          </w:tcPr>
          <w:p w14:paraId="2DD266F9"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2</w:t>
            </w:r>
          </w:p>
        </w:tc>
        <w:tc>
          <w:tcPr>
            <w:tcW w:w="2127" w:type="dxa"/>
            <w:tcBorders>
              <w:top w:val="nil"/>
              <w:bottom w:val="single" w:sz="4" w:space="0" w:color="auto"/>
            </w:tcBorders>
          </w:tcPr>
          <w:p w14:paraId="7BC5226A" w14:textId="77777777" w:rsidR="003A0ABD" w:rsidRPr="00500F9A"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5</w:t>
            </w:r>
          </w:p>
        </w:tc>
      </w:tr>
      <w:tr w:rsidR="003A0ABD" w14:paraId="78E5C94D" w14:textId="77777777" w:rsidTr="003A0ABD">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single" w:sz="4" w:space="0" w:color="auto"/>
            </w:tcBorders>
          </w:tcPr>
          <w:p w14:paraId="52A1149F" w14:textId="77777777" w:rsidR="003A0ABD" w:rsidRDefault="003A0ABD" w:rsidP="003A0ABD">
            <w:pPr>
              <w:pStyle w:val="Tablehead1"/>
              <w:rPr>
                <w:b/>
              </w:rPr>
            </w:pPr>
            <w:r>
              <w:rPr>
                <w:b/>
              </w:rPr>
              <w:t>Total</w:t>
            </w:r>
          </w:p>
        </w:tc>
        <w:tc>
          <w:tcPr>
            <w:tcW w:w="2126" w:type="dxa"/>
            <w:tcBorders>
              <w:top w:val="single" w:sz="4" w:space="0" w:color="auto"/>
              <w:bottom w:val="single" w:sz="4" w:space="0" w:color="auto"/>
            </w:tcBorders>
          </w:tcPr>
          <w:p w14:paraId="08A0F99F" w14:textId="77777777" w:rsidR="003A0ABD" w:rsidRDefault="003A0ABD" w:rsidP="003A0ABD">
            <w:pPr>
              <w:pStyle w:val="Tablehead1"/>
              <w:cnfStyle w:val="000000000000" w:firstRow="0" w:lastRow="0" w:firstColumn="0" w:lastColumn="0" w:oddVBand="0" w:evenVBand="0" w:oddHBand="0" w:evenHBand="0" w:firstRowFirstColumn="0" w:firstRowLastColumn="0" w:lastRowFirstColumn="0" w:lastRowLastColumn="0"/>
            </w:pPr>
            <w:r>
              <w:t>8</w:t>
            </w:r>
          </w:p>
        </w:tc>
        <w:tc>
          <w:tcPr>
            <w:tcW w:w="2126" w:type="dxa"/>
            <w:tcBorders>
              <w:top w:val="single" w:sz="4" w:space="0" w:color="auto"/>
              <w:bottom w:val="single" w:sz="4" w:space="0" w:color="auto"/>
            </w:tcBorders>
          </w:tcPr>
          <w:p w14:paraId="229504C8" w14:textId="77777777" w:rsidR="003A0ABD" w:rsidRDefault="003A0ABD" w:rsidP="003A0ABD">
            <w:pPr>
              <w:pStyle w:val="Tablehead1"/>
              <w:cnfStyle w:val="000000000000" w:firstRow="0" w:lastRow="0" w:firstColumn="0" w:lastColumn="0" w:oddVBand="0" w:evenVBand="0" w:oddHBand="0" w:evenHBand="0" w:firstRowFirstColumn="0" w:firstRowLastColumn="0" w:lastRowFirstColumn="0" w:lastRowLastColumn="0"/>
            </w:pPr>
            <w:r>
              <w:t>16</w:t>
            </w:r>
          </w:p>
        </w:tc>
        <w:tc>
          <w:tcPr>
            <w:tcW w:w="2127" w:type="dxa"/>
            <w:tcBorders>
              <w:top w:val="single" w:sz="4" w:space="0" w:color="auto"/>
              <w:bottom w:val="single" w:sz="4" w:space="0" w:color="auto"/>
            </w:tcBorders>
          </w:tcPr>
          <w:p w14:paraId="49E53317" w14:textId="77777777" w:rsidR="003A0ABD" w:rsidRDefault="003A0ABD" w:rsidP="003A0ABD">
            <w:pPr>
              <w:pStyle w:val="Tablehead1"/>
              <w:cnfStyle w:val="000000000000" w:firstRow="0" w:lastRow="0" w:firstColumn="0" w:lastColumn="0" w:oddVBand="0" w:evenVBand="0" w:oddHBand="0" w:evenHBand="0" w:firstRowFirstColumn="0" w:firstRowLastColumn="0" w:lastRowFirstColumn="0" w:lastRowLastColumn="0"/>
            </w:pPr>
            <w:r>
              <w:t>44</w:t>
            </w:r>
          </w:p>
        </w:tc>
      </w:tr>
    </w:tbl>
    <w:p w14:paraId="226887E9" w14:textId="0D191108" w:rsidR="003A0ABD" w:rsidRPr="00B571B1" w:rsidRDefault="003A0ABD" w:rsidP="003A0ABD">
      <w:pPr>
        <w:pStyle w:val="Source"/>
        <w:rPr>
          <w:color w:val="262626" w:themeColor="text1" w:themeTint="D9"/>
        </w:rPr>
      </w:pPr>
      <w:r w:rsidRPr="00B571B1">
        <w:rPr>
          <w:color w:val="262626" w:themeColor="text1" w:themeTint="D9"/>
        </w:rPr>
        <w:t xml:space="preserve">Note: </w:t>
      </w:r>
      <w:r>
        <w:rPr>
          <w:color w:val="262626" w:themeColor="text1" w:themeTint="D9"/>
        </w:rPr>
        <w:tab/>
      </w:r>
      <w:r w:rsidRPr="00B571B1">
        <w:rPr>
          <w:color w:val="262626" w:themeColor="text1" w:themeTint="D9"/>
        </w:rPr>
        <w:t>The Local Government Training Package (LGA04) is not listed because</w:t>
      </w:r>
      <w:r w:rsidR="00727382">
        <w:rPr>
          <w:color w:val="262626" w:themeColor="text1" w:themeTint="D9"/>
        </w:rPr>
        <w:t>,</w:t>
      </w:r>
      <w:r w:rsidRPr="00B571B1">
        <w:rPr>
          <w:color w:val="262626" w:themeColor="text1" w:themeTint="D9"/>
        </w:rPr>
        <w:t xml:space="preserve"> while it did have units containing digital skills search terms, they were not digital skills</w:t>
      </w:r>
      <w:r w:rsidR="00917795">
        <w:rPr>
          <w:color w:val="262626" w:themeColor="text1" w:themeTint="D9"/>
        </w:rPr>
        <w:t>-</w:t>
      </w:r>
      <w:r w:rsidRPr="00B571B1">
        <w:rPr>
          <w:color w:val="262626" w:themeColor="text1" w:themeTint="D9"/>
        </w:rPr>
        <w:t>related units (e.g. ‘LGACOM503B Prepare a budget’)</w:t>
      </w:r>
      <w:r w:rsidR="00917795">
        <w:rPr>
          <w:color w:val="262626" w:themeColor="text1" w:themeTint="D9"/>
        </w:rPr>
        <w:t>;</w:t>
      </w:r>
      <w:r>
        <w:rPr>
          <w:color w:val="262626" w:themeColor="text1" w:themeTint="D9"/>
        </w:rPr>
        <w:t xml:space="preserve"> </w:t>
      </w:r>
      <w:r w:rsidRPr="00B571B1">
        <w:rPr>
          <w:color w:val="262626" w:themeColor="text1" w:themeTint="D9"/>
        </w:rPr>
        <w:t>see</w:t>
      </w:r>
      <w:r>
        <w:rPr>
          <w:color w:val="262626" w:themeColor="text1" w:themeTint="D9"/>
        </w:rPr>
        <w:t xml:space="preserve"> </w:t>
      </w:r>
      <w:r w:rsidRPr="00B571B1">
        <w:rPr>
          <w:color w:val="262626" w:themeColor="text1" w:themeTint="D9"/>
        </w:rPr>
        <w:t>Gekara et al (2017, p</w:t>
      </w:r>
      <w:r w:rsidR="003F6066">
        <w:rPr>
          <w:color w:val="262626" w:themeColor="text1" w:themeTint="D9"/>
        </w:rPr>
        <w:t>.</w:t>
      </w:r>
      <w:r w:rsidRPr="00B571B1">
        <w:rPr>
          <w:color w:val="262626" w:themeColor="text1" w:themeTint="D9"/>
        </w:rPr>
        <w:t>45</w:t>
      </w:r>
      <w:r w:rsidR="003F6066">
        <w:rPr>
          <w:color w:val="262626" w:themeColor="text1" w:themeTint="D9"/>
        </w:rPr>
        <w:t>)</w:t>
      </w:r>
      <w:r w:rsidRPr="00B571B1">
        <w:rPr>
          <w:color w:val="262626" w:themeColor="text1" w:themeTint="D9"/>
        </w:rPr>
        <w:t>.</w:t>
      </w:r>
    </w:p>
    <w:p w14:paraId="1F32AFB7" w14:textId="76EE437D" w:rsidR="003A0ABD" w:rsidRPr="001C3746" w:rsidRDefault="003A0ABD" w:rsidP="001C3746">
      <w:pPr>
        <w:pStyle w:val="Text"/>
      </w:pPr>
      <w:r w:rsidRPr="001C3746">
        <w:t>Counting each time a unit is specified within a distinct qualification also indicates a trend towards using these units as electives. Of the 399 times these units were specified in a qualification, they were specified as an elective 321 times (80%) and as a core unit 78 times (20%) (table A3).</w:t>
      </w:r>
    </w:p>
    <w:p w14:paraId="768BD08D" w14:textId="7307AA0D" w:rsidR="003A0ABD" w:rsidRPr="001C3746" w:rsidRDefault="003A0ABD" w:rsidP="001C3746">
      <w:pPr>
        <w:pStyle w:val="Text"/>
      </w:pPr>
      <w:r w:rsidRPr="001C3746">
        <w:t xml:space="preserve">Despite being specified in a qualification 399 times, </w:t>
      </w:r>
      <w:r w:rsidR="00B03286">
        <w:t xml:space="preserve">on </w:t>
      </w:r>
      <w:r w:rsidRPr="001C3746">
        <w:t xml:space="preserve">only 204 </w:t>
      </w:r>
      <w:r w:rsidR="00B03286">
        <w:t>occasions</w:t>
      </w:r>
      <w:r w:rsidRPr="001C3746">
        <w:t xml:space="preserve"> </w:t>
      </w:r>
      <w:r w:rsidR="00016406">
        <w:t>were</w:t>
      </w:r>
      <w:r w:rsidRPr="001C3746">
        <w:t xml:space="preserve"> these units actually used in the selected qualifications between 2015 and 2018 (</w:t>
      </w:r>
      <w:r w:rsidR="008B6748">
        <w:t>that is</w:t>
      </w:r>
      <w:r w:rsidR="00FE746D">
        <w:t>, with</w:t>
      </w:r>
      <w:r w:rsidRPr="001C3746">
        <w:t xml:space="preserve"> at least one enrolment). The core units were used in 72% of the qualifications in which they were specified (56 times of 78) and the elective units were used in 46% of the qualifications in which they were specified (148 times of 321) (table A3). Even when elective units are offered as part of the qualification, they are not necessarily available at each provider or chosen by the learners.</w:t>
      </w:r>
    </w:p>
    <w:p w14:paraId="6CCC9F97" w14:textId="1D259AC1" w:rsidR="003A0ABD" w:rsidRPr="001C3746" w:rsidRDefault="003A0ABD" w:rsidP="001C3746">
      <w:pPr>
        <w:pStyle w:val="Text"/>
      </w:pPr>
      <w:r w:rsidRPr="001C3746">
        <w:t>The currency of the units may also be another reason for a lack of enrolments. As part of the Digital Skills Cross Sector Project, I</w:t>
      </w:r>
      <w:r w:rsidR="00D40AD1">
        <w:t>nnovation &amp; Business Skills Australia</w:t>
      </w:r>
      <w:r w:rsidRPr="001C3746">
        <w:t xml:space="preserve"> (2017) conducted a</w:t>
      </w:r>
      <w:r w:rsidR="00C92E06">
        <w:t>n</w:t>
      </w:r>
      <w:r w:rsidRPr="001C3746">
        <w:t xml:space="preserve"> analysis of training packages </w:t>
      </w:r>
      <w:r w:rsidR="00D40AD1" w:rsidRPr="001C3746">
        <w:t xml:space="preserve">similar </w:t>
      </w:r>
      <w:r w:rsidRPr="001C3746">
        <w:t xml:space="preserve">to </w:t>
      </w:r>
      <w:r w:rsidR="00D40AD1">
        <w:t xml:space="preserve">that of </w:t>
      </w:r>
      <w:r w:rsidRPr="001C3746">
        <w:t>Gekara et al</w:t>
      </w:r>
      <w:r w:rsidR="00D40AD1">
        <w:t>.</w:t>
      </w:r>
      <w:r w:rsidRPr="001C3746">
        <w:t xml:space="preserve"> (2017) but with a focus on manufacturing. They identified 211 units as containing digital skills but noted that: </w:t>
      </w:r>
    </w:p>
    <w:p w14:paraId="01135321" w14:textId="74C0B95A" w:rsidR="003A0ABD" w:rsidRPr="001C3746" w:rsidRDefault="003A0ABD" w:rsidP="001C3746">
      <w:pPr>
        <w:pStyle w:val="Quote"/>
        <w:rPr>
          <w:rFonts w:eastAsiaTheme="minorHAnsi"/>
        </w:rPr>
      </w:pPr>
      <w:r w:rsidRPr="001C3746">
        <w:rPr>
          <w:rFonts w:eastAsiaTheme="minorHAnsi"/>
        </w:rPr>
        <w:t>35 have not been updated since they were first introduced in 2005, an additional 24 have not been updated since 2011 and 60 have not been updated since 2012. In addition, some of the updates to units with more recent release dates have involved changes to update the unit content to meet nationally agreed standards, rather than to make substantive changes to the content of the units (p.10)</w:t>
      </w:r>
      <w:r w:rsidR="00D40AD1">
        <w:rPr>
          <w:rFonts w:eastAsiaTheme="minorHAnsi"/>
        </w:rPr>
        <w:t>.</w:t>
      </w:r>
      <w:r w:rsidRPr="001C3746">
        <w:rPr>
          <w:rFonts w:eastAsiaTheme="minorHAnsi"/>
        </w:rPr>
        <w:t xml:space="preserve"> </w:t>
      </w:r>
    </w:p>
    <w:p w14:paraId="5D68C26C" w14:textId="333D17C4" w:rsidR="003A0ABD" w:rsidRPr="001C3746" w:rsidRDefault="003A0ABD" w:rsidP="001C3746">
      <w:pPr>
        <w:pStyle w:val="Text"/>
      </w:pPr>
      <w:r w:rsidRPr="001C3746">
        <w:t>This means that</w:t>
      </w:r>
      <w:r w:rsidR="00D40AD1">
        <w:t>,</w:t>
      </w:r>
      <w:r w:rsidRPr="001C3746">
        <w:t xml:space="preserve"> even though there may be digital skills</w:t>
      </w:r>
      <w:r w:rsidR="00D40AD1">
        <w:t>-</w:t>
      </w:r>
      <w:r w:rsidRPr="001C3746">
        <w:t>related units of competencies on offer in training packages, they are not necessarily keeping up to date with technological change.</w:t>
      </w:r>
    </w:p>
    <w:p w14:paraId="16F7943C" w14:textId="77777777" w:rsidR="003A0ABD" w:rsidRDefault="003A0ABD" w:rsidP="003A0ABD">
      <w:pPr>
        <w:rPr>
          <w:rFonts w:ascii="Arial MT Std" w:hAnsi="Arial MT Std"/>
          <w:noProof/>
          <w:sz w:val="20"/>
          <w:lang w:eastAsia="en-AU"/>
        </w:rPr>
      </w:pPr>
      <w:r>
        <w:rPr>
          <w:sz w:val="20"/>
        </w:rPr>
        <w:br w:type="page"/>
      </w:r>
    </w:p>
    <w:p w14:paraId="32FE8F6C" w14:textId="75D653EF" w:rsidR="003A0ABD" w:rsidRDefault="003A0ABD" w:rsidP="009B712E">
      <w:pPr>
        <w:pStyle w:val="tabletitle"/>
      </w:pPr>
      <w:bookmarkStart w:id="53" w:name="_Toc31711371"/>
      <w:r>
        <w:lastRenderedPageBreak/>
        <w:t>Table A3</w:t>
      </w:r>
      <w:r>
        <w:tab/>
        <w:t xml:space="preserve">Number of </w:t>
      </w:r>
      <w:r w:rsidRPr="001C3746">
        <w:t>times</w:t>
      </w:r>
      <w:r>
        <w:t xml:space="preserve"> units are specified and used within qualifications as core or elective</w:t>
      </w:r>
      <w:r w:rsidR="0032397B">
        <w:t>,</w:t>
      </w:r>
      <w:r>
        <w:t xml:space="preserve"> </w:t>
      </w:r>
      <w:r>
        <w:br/>
        <w:t>by training package</w:t>
      </w:r>
      <w:bookmarkEnd w:id="53"/>
    </w:p>
    <w:tbl>
      <w:tblPr>
        <w:tblStyle w:val="NCVERTable"/>
        <w:tblW w:w="7932" w:type="dxa"/>
        <w:tblLook w:val="04A0" w:firstRow="1" w:lastRow="0" w:firstColumn="1" w:lastColumn="0" w:noHBand="0" w:noVBand="1"/>
      </w:tblPr>
      <w:tblGrid>
        <w:gridCol w:w="2694"/>
        <w:gridCol w:w="1309"/>
        <w:gridCol w:w="1310"/>
        <w:gridCol w:w="1309"/>
        <w:gridCol w:w="1310"/>
      </w:tblGrid>
      <w:tr w:rsidR="003A0ABD" w14:paraId="084C9272" w14:textId="77777777" w:rsidTr="003A0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bottom w:val="nil"/>
            </w:tcBorders>
          </w:tcPr>
          <w:p w14:paraId="6AD102F7" w14:textId="77777777" w:rsidR="003A0ABD" w:rsidRPr="00E31806" w:rsidRDefault="003A0ABD" w:rsidP="003A0ABD">
            <w:pPr>
              <w:pStyle w:val="Tablehead1"/>
              <w:rPr>
                <w:b/>
              </w:rPr>
            </w:pPr>
            <w:r w:rsidRPr="00E31806">
              <w:rPr>
                <w:b/>
              </w:rPr>
              <w:t>Training package</w:t>
            </w:r>
          </w:p>
        </w:tc>
        <w:tc>
          <w:tcPr>
            <w:tcW w:w="2619" w:type="dxa"/>
            <w:gridSpan w:val="2"/>
          </w:tcPr>
          <w:p w14:paraId="6F6BAAAC" w14:textId="77777777" w:rsidR="003A0ABD" w:rsidRPr="00E31806" w:rsidRDefault="003A0ABD" w:rsidP="003A0ABD">
            <w:pPr>
              <w:pStyle w:val="Tablehead1"/>
              <w:jc w:val="center"/>
              <w:cnfStyle w:val="100000000000" w:firstRow="1" w:lastRow="0" w:firstColumn="0" w:lastColumn="0" w:oddVBand="0" w:evenVBand="0" w:oddHBand="0" w:evenHBand="0" w:firstRowFirstColumn="0" w:firstRowLastColumn="0" w:lastRowFirstColumn="0" w:lastRowLastColumn="0"/>
              <w:rPr>
                <w:b/>
              </w:rPr>
            </w:pPr>
            <w:r w:rsidRPr="00E31806">
              <w:rPr>
                <w:b/>
              </w:rPr>
              <w:t>Core unit</w:t>
            </w:r>
          </w:p>
        </w:tc>
        <w:tc>
          <w:tcPr>
            <w:tcW w:w="2619" w:type="dxa"/>
            <w:gridSpan w:val="2"/>
          </w:tcPr>
          <w:p w14:paraId="107F8CE3" w14:textId="77777777" w:rsidR="003A0ABD" w:rsidRPr="00E31806" w:rsidRDefault="003A0ABD" w:rsidP="003A0ABD">
            <w:pPr>
              <w:pStyle w:val="Tablehead1"/>
              <w:jc w:val="center"/>
              <w:cnfStyle w:val="100000000000" w:firstRow="1" w:lastRow="0" w:firstColumn="0" w:lastColumn="0" w:oddVBand="0" w:evenVBand="0" w:oddHBand="0" w:evenHBand="0" w:firstRowFirstColumn="0" w:firstRowLastColumn="0" w:lastRowFirstColumn="0" w:lastRowLastColumn="0"/>
              <w:rPr>
                <w:b/>
              </w:rPr>
            </w:pPr>
            <w:r w:rsidRPr="00E31806">
              <w:rPr>
                <w:b/>
              </w:rPr>
              <w:t>Elective unit</w:t>
            </w:r>
          </w:p>
        </w:tc>
      </w:tr>
      <w:tr w:rsidR="003A0ABD" w:rsidRPr="00C32969" w14:paraId="016397E6"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4" w:space="0" w:color="auto"/>
            </w:tcBorders>
          </w:tcPr>
          <w:p w14:paraId="7C9AD8CE" w14:textId="77777777" w:rsidR="003A0ABD" w:rsidRPr="00C32969" w:rsidRDefault="003A0ABD" w:rsidP="003A0ABD">
            <w:pPr>
              <w:pStyle w:val="Tablehead1"/>
            </w:pPr>
          </w:p>
        </w:tc>
        <w:tc>
          <w:tcPr>
            <w:tcW w:w="1309" w:type="dxa"/>
            <w:tcBorders>
              <w:top w:val="single" w:sz="4" w:space="0" w:color="auto"/>
              <w:bottom w:val="single" w:sz="4" w:space="0" w:color="auto"/>
            </w:tcBorders>
          </w:tcPr>
          <w:p w14:paraId="5B7C5C48" w14:textId="77777777" w:rsidR="003A0ABD" w:rsidRPr="00C32969" w:rsidRDefault="003A0ABD" w:rsidP="003A0ABD">
            <w:pPr>
              <w:pStyle w:val="Tablehead1"/>
              <w:cnfStyle w:val="000000100000" w:firstRow="0" w:lastRow="0" w:firstColumn="0" w:lastColumn="0" w:oddVBand="0" w:evenVBand="0" w:oddHBand="1" w:evenHBand="0" w:firstRowFirstColumn="0" w:firstRowLastColumn="0" w:lastRowFirstColumn="0" w:lastRowLastColumn="0"/>
            </w:pPr>
            <w:r w:rsidRPr="00C32969">
              <w:t>Specified</w:t>
            </w:r>
          </w:p>
        </w:tc>
        <w:tc>
          <w:tcPr>
            <w:tcW w:w="1310" w:type="dxa"/>
            <w:tcBorders>
              <w:top w:val="single" w:sz="4" w:space="0" w:color="auto"/>
              <w:bottom w:val="single" w:sz="4" w:space="0" w:color="auto"/>
            </w:tcBorders>
          </w:tcPr>
          <w:p w14:paraId="4CED2354" w14:textId="719937AE" w:rsidR="003A0ABD" w:rsidRPr="00C32969" w:rsidRDefault="003A0ABD" w:rsidP="003A0ABD">
            <w:pPr>
              <w:pStyle w:val="Tablehead1"/>
              <w:cnfStyle w:val="000000100000" w:firstRow="0" w:lastRow="0" w:firstColumn="0" w:lastColumn="0" w:oddVBand="0" w:evenVBand="0" w:oddHBand="1" w:evenHBand="0" w:firstRowFirstColumn="0" w:firstRowLastColumn="0" w:lastRowFirstColumn="0" w:lastRowLastColumn="0"/>
            </w:pPr>
            <w:r w:rsidRPr="00C32969">
              <w:t>Used</w:t>
            </w:r>
            <w:r>
              <w:t xml:space="preserve"> </w:t>
            </w:r>
            <w:r>
              <w:br/>
              <w:t>(2015</w:t>
            </w:r>
            <w:r w:rsidR="00D0679A">
              <w:t>–</w:t>
            </w:r>
            <w:r>
              <w:t>18)</w:t>
            </w:r>
          </w:p>
        </w:tc>
        <w:tc>
          <w:tcPr>
            <w:tcW w:w="1309" w:type="dxa"/>
            <w:tcBorders>
              <w:top w:val="single" w:sz="4" w:space="0" w:color="auto"/>
              <w:bottom w:val="single" w:sz="4" w:space="0" w:color="auto"/>
            </w:tcBorders>
          </w:tcPr>
          <w:p w14:paraId="407119F1" w14:textId="77777777" w:rsidR="003A0ABD" w:rsidRPr="00C32969" w:rsidRDefault="003A0ABD" w:rsidP="003A0ABD">
            <w:pPr>
              <w:pStyle w:val="Tablehead1"/>
              <w:cnfStyle w:val="000000100000" w:firstRow="0" w:lastRow="0" w:firstColumn="0" w:lastColumn="0" w:oddVBand="0" w:evenVBand="0" w:oddHBand="1" w:evenHBand="0" w:firstRowFirstColumn="0" w:firstRowLastColumn="0" w:lastRowFirstColumn="0" w:lastRowLastColumn="0"/>
            </w:pPr>
            <w:r w:rsidRPr="00C32969">
              <w:t>Specified</w:t>
            </w:r>
          </w:p>
        </w:tc>
        <w:tc>
          <w:tcPr>
            <w:tcW w:w="1310" w:type="dxa"/>
            <w:tcBorders>
              <w:top w:val="single" w:sz="4" w:space="0" w:color="auto"/>
              <w:bottom w:val="single" w:sz="4" w:space="0" w:color="auto"/>
            </w:tcBorders>
          </w:tcPr>
          <w:p w14:paraId="4DFD16E1" w14:textId="1D2488F7" w:rsidR="003A0ABD" w:rsidRPr="00C32969" w:rsidRDefault="003A0ABD" w:rsidP="003A0ABD">
            <w:pPr>
              <w:pStyle w:val="Tablehead1"/>
              <w:cnfStyle w:val="000000100000" w:firstRow="0" w:lastRow="0" w:firstColumn="0" w:lastColumn="0" w:oddVBand="0" w:evenVBand="0" w:oddHBand="1" w:evenHBand="0" w:firstRowFirstColumn="0" w:firstRowLastColumn="0" w:lastRowFirstColumn="0" w:lastRowLastColumn="0"/>
            </w:pPr>
            <w:r w:rsidRPr="00C32969">
              <w:t>Used</w:t>
            </w:r>
            <w:r>
              <w:br/>
              <w:t>(2015</w:t>
            </w:r>
            <w:r w:rsidR="00D0679A">
              <w:t>–</w:t>
            </w:r>
            <w:r>
              <w:t>18)</w:t>
            </w:r>
          </w:p>
        </w:tc>
      </w:tr>
      <w:tr w:rsidR="003A0ABD" w14:paraId="11B38DDF" w14:textId="77777777" w:rsidTr="003A0ABD">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nil"/>
            </w:tcBorders>
          </w:tcPr>
          <w:p w14:paraId="64C70415" w14:textId="77777777" w:rsidR="003A0ABD" w:rsidRDefault="003A0ABD" w:rsidP="003A0ABD">
            <w:pPr>
              <w:pStyle w:val="Tabletext"/>
            </w:pPr>
            <w:r w:rsidRPr="00500F9A">
              <w:rPr>
                <w:b w:val="0"/>
              </w:rPr>
              <w:t>Aviation (AVI)</w:t>
            </w:r>
          </w:p>
        </w:tc>
        <w:tc>
          <w:tcPr>
            <w:tcW w:w="1309" w:type="dxa"/>
            <w:tcBorders>
              <w:top w:val="single" w:sz="4" w:space="0" w:color="auto"/>
              <w:bottom w:val="nil"/>
            </w:tcBorders>
          </w:tcPr>
          <w:p w14:paraId="41F475F1"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13</w:t>
            </w:r>
          </w:p>
        </w:tc>
        <w:tc>
          <w:tcPr>
            <w:tcW w:w="1310" w:type="dxa"/>
            <w:tcBorders>
              <w:top w:val="single" w:sz="4" w:space="0" w:color="auto"/>
              <w:bottom w:val="nil"/>
            </w:tcBorders>
          </w:tcPr>
          <w:p w14:paraId="5A5D7B76"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9</w:t>
            </w:r>
          </w:p>
        </w:tc>
        <w:tc>
          <w:tcPr>
            <w:tcW w:w="1309" w:type="dxa"/>
            <w:tcBorders>
              <w:top w:val="single" w:sz="4" w:space="0" w:color="auto"/>
              <w:bottom w:val="nil"/>
            </w:tcBorders>
          </w:tcPr>
          <w:p w14:paraId="4F5640B2"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18</w:t>
            </w:r>
          </w:p>
        </w:tc>
        <w:tc>
          <w:tcPr>
            <w:tcW w:w="1310" w:type="dxa"/>
            <w:tcBorders>
              <w:top w:val="single" w:sz="4" w:space="0" w:color="auto"/>
              <w:bottom w:val="nil"/>
            </w:tcBorders>
          </w:tcPr>
          <w:p w14:paraId="3AFCDCE8"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9</w:t>
            </w:r>
          </w:p>
        </w:tc>
      </w:tr>
      <w:tr w:rsidR="003A0ABD" w14:paraId="234A10C7"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30565278" w14:textId="77777777" w:rsidR="003A0ABD" w:rsidRDefault="003A0ABD" w:rsidP="003A0ABD">
            <w:pPr>
              <w:pStyle w:val="Tabletext"/>
            </w:pPr>
            <w:r w:rsidRPr="00500F9A">
              <w:rPr>
                <w:b w:val="0"/>
              </w:rPr>
              <w:t>Correctional Services (CSC)</w:t>
            </w:r>
          </w:p>
        </w:tc>
        <w:tc>
          <w:tcPr>
            <w:tcW w:w="1309" w:type="dxa"/>
            <w:tcBorders>
              <w:top w:val="nil"/>
              <w:bottom w:val="nil"/>
            </w:tcBorders>
          </w:tcPr>
          <w:p w14:paraId="7AA690BE"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w:t>
            </w:r>
          </w:p>
        </w:tc>
        <w:tc>
          <w:tcPr>
            <w:tcW w:w="1310" w:type="dxa"/>
            <w:tcBorders>
              <w:top w:val="nil"/>
              <w:bottom w:val="nil"/>
            </w:tcBorders>
          </w:tcPr>
          <w:p w14:paraId="630BD058"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w:t>
            </w:r>
          </w:p>
        </w:tc>
        <w:tc>
          <w:tcPr>
            <w:tcW w:w="1309" w:type="dxa"/>
            <w:tcBorders>
              <w:top w:val="nil"/>
              <w:bottom w:val="nil"/>
            </w:tcBorders>
          </w:tcPr>
          <w:p w14:paraId="57449B9B"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4</w:t>
            </w:r>
          </w:p>
        </w:tc>
        <w:tc>
          <w:tcPr>
            <w:tcW w:w="1310" w:type="dxa"/>
            <w:tcBorders>
              <w:top w:val="nil"/>
              <w:bottom w:val="nil"/>
            </w:tcBorders>
          </w:tcPr>
          <w:p w14:paraId="7E1268C4"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2</w:t>
            </w:r>
          </w:p>
        </w:tc>
      </w:tr>
      <w:tr w:rsidR="003A0ABD" w14:paraId="4D08F5A9" w14:textId="77777777" w:rsidTr="003A0ABD">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6B727995" w14:textId="77777777" w:rsidR="003A0ABD" w:rsidRDefault="003A0ABD" w:rsidP="003A0ABD">
            <w:pPr>
              <w:pStyle w:val="Tabletext"/>
            </w:pPr>
            <w:r>
              <w:rPr>
                <w:b w:val="0"/>
              </w:rPr>
              <w:t>Maritime (MAR)</w:t>
            </w:r>
          </w:p>
        </w:tc>
        <w:tc>
          <w:tcPr>
            <w:tcW w:w="1309" w:type="dxa"/>
            <w:tcBorders>
              <w:top w:val="nil"/>
              <w:bottom w:val="nil"/>
            </w:tcBorders>
          </w:tcPr>
          <w:p w14:paraId="21AF3A6C"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4</w:t>
            </w:r>
          </w:p>
        </w:tc>
        <w:tc>
          <w:tcPr>
            <w:tcW w:w="1310" w:type="dxa"/>
            <w:tcBorders>
              <w:top w:val="nil"/>
              <w:bottom w:val="nil"/>
            </w:tcBorders>
          </w:tcPr>
          <w:p w14:paraId="5A610D49"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4</w:t>
            </w:r>
          </w:p>
        </w:tc>
        <w:tc>
          <w:tcPr>
            <w:tcW w:w="1309" w:type="dxa"/>
            <w:tcBorders>
              <w:top w:val="nil"/>
              <w:bottom w:val="nil"/>
            </w:tcBorders>
          </w:tcPr>
          <w:p w14:paraId="5847915E"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1310" w:type="dxa"/>
            <w:tcBorders>
              <w:top w:val="nil"/>
              <w:bottom w:val="nil"/>
            </w:tcBorders>
          </w:tcPr>
          <w:p w14:paraId="4CA0B9E9"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r>
      <w:tr w:rsidR="003A0ABD" w14:paraId="6B4A7DE1"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6BC54250" w14:textId="77777777" w:rsidR="003A0ABD" w:rsidRDefault="003A0ABD" w:rsidP="003A0ABD">
            <w:pPr>
              <w:pStyle w:val="Tabletext"/>
            </w:pPr>
            <w:r>
              <w:rPr>
                <w:b w:val="0"/>
              </w:rPr>
              <w:t>Aeroskills (MEA)</w:t>
            </w:r>
          </w:p>
        </w:tc>
        <w:tc>
          <w:tcPr>
            <w:tcW w:w="1309" w:type="dxa"/>
            <w:tcBorders>
              <w:top w:val="nil"/>
              <w:bottom w:val="nil"/>
            </w:tcBorders>
          </w:tcPr>
          <w:p w14:paraId="098DE2D0"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14</w:t>
            </w:r>
          </w:p>
        </w:tc>
        <w:tc>
          <w:tcPr>
            <w:tcW w:w="1310" w:type="dxa"/>
            <w:tcBorders>
              <w:top w:val="nil"/>
              <w:bottom w:val="nil"/>
            </w:tcBorders>
          </w:tcPr>
          <w:p w14:paraId="234300D5"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11</w:t>
            </w:r>
          </w:p>
        </w:tc>
        <w:tc>
          <w:tcPr>
            <w:tcW w:w="1309" w:type="dxa"/>
            <w:tcBorders>
              <w:top w:val="nil"/>
              <w:bottom w:val="nil"/>
            </w:tcBorders>
          </w:tcPr>
          <w:p w14:paraId="5C83B8DA"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14</w:t>
            </w:r>
          </w:p>
        </w:tc>
        <w:tc>
          <w:tcPr>
            <w:tcW w:w="1310" w:type="dxa"/>
            <w:tcBorders>
              <w:top w:val="nil"/>
              <w:bottom w:val="nil"/>
            </w:tcBorders>
          </w:tcPr>
          <w:p w14:paraId="44577C5B"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7</w:t>
            </w:r>
          </w:p>
        </w:tc>
      </w:tr>
      <w:tr w:rsidR="003A0ABD" w14:paraId="7689C75E" w14:textId="77777777" w:rsidTr="003A0ABD">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23CC243D" w14:textId="77777777" w:rsidR="003A0ABD" w:rsidRDefault="003A0ABD" w:rsidP="003A0ABD">
            <w:pPr>
              <w:pStyle w:val="Tabletext"/>
            </w:pPr>
            <w:r>
              <w:rPr>
                <w:b w:val="0"/>
              </w:rPr>
              <w:t>Police (POL)</w:t>
            </w:r>
          </w:p>
        </w:tc>
        <w:tc>
          <w:tcPr>
            <w:tcW w:w="1309" w:type="dxa"/>
            <w:tcBorders>
              <w:top w:val="nil"/>
              <w:bottom w:val="nil"/>
            </w:tcBorders>
          </w:tcPr>
          <w:p w14:paraId="6997099B"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w:t>
            </w:r>
          </w:p>
        </w:tc>
        <w:tc>
          <w:tcPr>
            <w:tcW w:w="1310" w:type="dxa"/>
            <w:tcBorders>
              <w:top w:val="nil"/>
              <w:bottom w:val="nil"/>
            </w:tcBorders>
          </w:tcPr>
          <w:p w14:paraId="62586A28"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w:t>
            </w:r>
          </w:p>
        </w:tc>
        <w:tc>
          <w:tcPr>
            <w:tcW w:w="1309" w:type="dxa"/>
            <w:tcBorders>
              <w:top w:val="nil"/>
              <w:bottom w:val="nil"/>
            </w:tcBorders>
          </w:tcPr>
          <w:p w14:paraId="74ED5B1E"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1310" w:type="dxa"/>
            <w:tcBorders>
              <w:top w:val="nil"/>
              <w:bottom w:val="nil"/>
            </w:tcBorders>
          </w:tcPr>
          <w:p w14:paraId="50CD7EE4"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r>
      <w:tr w:rsidR="003A0ABD" w14:paraId="287A6AE3"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1EB2597C" w14:textId="77777777" w:rsidR="003A0ABD" w:rsidRDefault="003A0ABD" w:rsidP="003A0ABD">
            <w:pPr>
              <w:pStyle w:val="Tabletext"/>
            </w:pPr>
            <w:r>
              <w:rPr>
                <w:b w:val="0"/>
              </w:rPr>
              <w:t>Public Sector (PSP)</w:t>
            </w:r>
          </w:p>
        </w:tc>
        <w:tc>
          <w:tcPr>
            <w:tcW w:w="1309" w:type="dxa"/>
            <w:tcBorders>
              <w:top w:val="nil"/>
              <w:bottom w:val="nil"/>
            </w:tcBorders>
          </w:tcPr>
          <w:p w14:paraId="3B1FB919"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3</w:t>
            </w:r>
          </w:p>
        </w:tc>
        <w:tc>
          <w:tcPr>
            <w:tcW w:w="1310" w:type="dxa"/>
            <w:tcBorders>
              <w:top w:val="nil"/>
              <w:bottom w:val="nil"/>
            </w:tcBorders>
          </w:tcPr>
          <w:p w14:paraId="4B0CBFC2"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3</w:t>
            </w:r>
          </w:p>
        </w:tc>
        <w:tc>
          <w:tcPr>
            <w:tcW w:w="1309" w:type="dxa"/>
            <w:tcBorders>
              <w:top w:val="nil"/>
              <w:bottom w:val="nil"/>
            </w:tcBorders>
          </w:tcPr>
          <w:p w14:paraId="432560D9"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17</w:t>
            </w:r>
          </w:p>
        </w:tc>
        <w:tc>
          <w:tcPr>
            <w:tcW w:w="1310" w:type="dxa"/>
            <w:tcBorders>
              <w:top w:val="nil"/>
              <w:bottom w:val="nil"/>
            </w:tcBorders>
          </w:tcPr>
          <w:p w14:paraId="0C0149D7"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11</w:t>
            </w:r>
          </w:p>
        </w:tc>
      </w:tr>
      <w:tr w:rsidR="003A0ABD" w14:paraId="4DCD5B43" w14:textId="77777777" w:rsidTr="003A0ABD">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7B635FA0" w14:textId="77777777" w:rsidR="003A0ABD" w:rsidRDefault="003A0ABD" w:rsidP="003A0ABD">
            <w:pPr>
              <w:pStyle w:val="Tabletext"/>
            </w:pPr>
            <w:r>
              <w:rPr>
                <w:b w:val="0"/>
              </w:rPr>
              <w:t>Public Safety (PUA12)</w:t>
            </w:r>
          </w:p>
        </w:tc>
        <w:tc>
          <w:tcPr>
            <w:tcW w:w="1309" w:type="dxa"/>
            <w:tcBorders>
              <w:top w:val="nil"/>
              <w:bottom w:val="nil"/>
            </w:tcBorders>
          </w:tcPr>
          <w:p w14:paraId="2E58832C"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1310" w:type="dxa"/>
            <w:tcBorders>
              <w:top w:val="nil"/>
              <w:bottom w:val="nil"/>
            </w:tcBorders>
          </w:tcPr>
          <w:p w14:paraId="14AD072E"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1309" w:type="dxa"/>
            <w:tcBorders>
              <w:top w:val="nil"/>
              <w:bottom w:val="nil"/>
            </w:tcBorders>
          </w:tcPr>
          <w:p w14:paraId="4CF91B2B"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10</w:t>
            </w:r>
          </w:p>
        </w:tc>
        <w:tc>
          <w:tcPr>
            <w:tcW w:w="1310" w:type="dxa"/>
            <w:tcBorders>
              <w:top w:val="nil"/>
              <w:bottom w:val="nil"/>
            </w:tcBorders>
          </w:tcPr>
          <w:p w14:paraId="0B9427F3"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7</w:t>
            </w:r>
          </w:p>
        </w:tc>
      </w:tr>
      <w:tr w:rsidR="003A0ABD" w14:paraId="578FA301"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5A32E5D7" w14:textId="77777777" w:rsidR="003A0ABD" w:rsidRDefault="003A0ABD" w:rsidP="003A0ABD">
            <w:pPr>
              <w:pStyle w:val="Tabletext"/>
            </w:pPr>
            <w:r>
              <w:rPr>
                <w:b w:val="0"/>
              </w:rPr>
              <w:t>Training and Education (TAE)</w:t>
            </w:r>
          </w:p>
        </w:tc>
        <w:tc>
          <w:tcPr>
            <w:tcW w:w="1309" w:type="dxa"/>
            <w:tcBorders>
              <w:top w:val="nil"/>
              <w:bottom w:val="nil"/>
            </w:tcBorders>
          </w:tcPr>
          <w:p w14:paraId="6DA85466"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0</w:t>
            </w:r>
          </w:p>
        </w:tc>
        <w:tc>
          <w:tcPr>
            <w:tcW w:w="1310" w:type="dxa"/>
            <w:tcBorders>
              <w:top w:val="nil"/>
              <w:bottom w:val="nil"/>
            </w:tcBorders>
          </w:tcPr>
          <w:p w14:paraId="6DBAD173"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0</w:t>
            </w:r>
          </w:p>
        </w:tc>
        <w:tc>
          <w:tcPr>
            <w:tcW w:w="1309" w:type="dxa"/>
            <w:tcBorders>
              <w:top w:val="nil"/>
              <w:bottom w:val="nil"/>
            </w:tcBorders>
          </w:tcPr>
          <w:p w14:paraId="3302277B"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5</w:t>
            </w:r>
          </w:p>
        </w:tc>
        <w:tc>
          <w:tcPr>
            <w:tcW w:w="1310" w:type="dxa"/>
            <w:tcBorders>
              <w:top w:val="nil"/>
              <w:bottom w:val="nil"/>
            </w:tcBorders>
          </w:tcPr>
          <w:p w14:paraId="74B17984"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5</w:t>
            </w:r>
          </w:p>
        </w:tc>
      </w:tr>
      <w:tr w:rsidR="003A0ABD" w14:paraId="6DD7910F" w14:textId="77777777" w:rsidTr="003A0ABD">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tcPr>
          <w:p w14:paraId="3C6D467D" w14:textId="77777777" w:rsidR="003A0ABD" w:rsidRDefault="003A0ABD" w:rsidP="003A0ABD">
            <w:pPr>
              <w:pStyle w:val="Tabletext"/>
            </w:pPr>
            <w:r>
              <w:rPr>
                <w:b w:val="0"/>
              </w:rPr>
              <w:t>Transport and Logistics (TLI)</w:t>
            </w:r>
          </w:p>
        </w:tc>
        <w:tc>
          <w:tcPr>
            <w:tcW w:w="1309" w:type="dxa"/>
            <w:tcBorders>
              <w:top w:val="nil"/>
              <w:bottom w:val="nil"/>
            </w:tcBorders>
          </w:tcPr>
          <w:p w14:paraId="4735FD2E"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27</w:t>
            </w:r>
          </w:p>
        </w:tc>
        <w:tc>
          <w:tcPr>
            <w:tcW w:w="1310" w:type="dxa"/>
            <w:tcBorders>
              <w:top w:val="nil"/>
              <w:bottom w:val="nil"/>
            </w:tcBorders>
          </w:tcPr>
          <w:p w14:paraId="7D3EAA65"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18</w:t>
            </w:r>
          </w:p>
        </w:tc>
        <w:tc>
          <w:tcPr>
            <w:tcW w:w="1309" w:type="dxa"/>
            <w:tcBorders>
              <w:top w:val="nil"/>
              <w:bottom w:val="nil"/>
            </w:tcBorders>
          </w:tcPr>
          <w:p w14:paraId="681BD8FA"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104</w:t>
            </w:r>
          </w:p>
        </w:tc>
        <w:tc>
          <w:tcPr>
            <w:tcW w:w="1310" w:type="dxa"/>
            <w:tcBorders>
              <w:top w:val="nil"/>
              <w:bottom w:val="nil"/>
            </w:tcBorders>
          </w:tcPr>
          <w:p w14:paraId="0F5FEB6E"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39</w:t>
            </w:r>
          </w:p>
        </w:tc>
      </w:tr>
      <w:tr w:rsidR="003A0ABD" w14:paraId="62B8CA22"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4" w:space="0" w:color="auto"/>
            </w:tcBorders>
          </w:tcPr>
          <w:p w14:paraId="01E4CBD6" w14:textId="77777777" w:rsidR="003A0ABD" w:rsidRDefault="003A0ABD" w:rsidP="003A0ABD">
            <w:pPr>
              <w:pStyle w:val="Tabletext"/>
            </w:pPr>
            <w:r>
              <w:rPr>
                <w:b w:val="0"/>
              </w:rPr>
              <w:t>Electrotechnology (UEE11)</w:t>
            </w:r>
          </w:p>
        </w:tc>
        <w:tc>
          <w:tcPr>
            <w:tcW w:w="1309" w:type="dxa"/>
            <w:tcBorders>
              <w:top w:val="nil"/>
              <w:bottom w:val="single" w:sz="4" w:space="0" w:color="auto"/>
            </w:tcBorders>
          </w:tcPr>
          <w:p w14:paraId="416C8D0F"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15</w:t>
            </w:r>
          </w:p>
        </w:tc>
        <w:tc>
          <w:tcPr>
            <w:tcW w:w="1310" w:type="dxa"/>
            <w:tcBorders>
              <w:top w:val="nil"/>
              <w:bottom w:val="single" w:sz="4" w:space="0" w:color="auto"/>
            </w:tcBorders>
          </w:tcPr>
          <w:p w14:paraId="7C6C5AC1"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9</w:t>
            </w:r>
          </w:p>
        </w:tc>
        <w:tc>
          <w:tcPr>
            <w:tcW w:w="1309" w:type="dxa"/>
            <w:tcBorders>
              <w:top w:val="nil"/>
              <w:bottom w:val="single" w:sz="4" w:space="0" w:color="auto"/>
            </w:tcBorders>
          </w:tcPr>
          <w:p w14:paraId="63E29AF1"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149</w:t>
            </w:r>
          </w:p>
        </w:tc>
        <w:tc>
          <w:tcPr>
            <w:tcW w:w="1310" w:type="dxa"/>
            <w:tcBorders>
              <w:top w:val="nil"/>
              <w:bottom w:val="single" w:sz="4" w:space="0" w:color="auto"/>
            </w:tcBorders>
          </w:tcPr>
          <w:p w14:paraId="075F0112"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68</w:t>
            </w:r>
          </w:p>
        </w:tc>
      </w:tr>
      <w:tr w:rsidR="003A0ABD" w14:paraId="1C18A250" w14:textId="77777777" w:rsidTr="003A0ABD">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bottom w:val="single" w:sz="4" w:space="0" w:color="auto"/>
            </w:tcBorders>
          </w:tcPr>
          <w:p w14:paraId="662F55D6" w14:textId="77777777" w:rsidR="003A0ABD" w:rsidRDefault="003A0ABD" w:rsidP="003A0ABD">
            <w:pPr>
              <w:pStyle w:val="Tablehead1"/>
              <w:rPr>
                <w:b/>
              </w:rPr>
            </w:pPr>
            <w:r>
              <w:rPr>
                <w:b/>
              </w:rPr>
              <w:t>Total</w:t>
            </w:r>
          </w:p>
        </w:tc>
        <w:tc>
          <w:tcPr>
            <w:tcW w:w="1309" w:type="dxa"/>
            <w:tcBorders>
              <w:top w:val="single" w:sz="4" w:space="0" w:color="auto"/>
              <w:bottom w:val="single" w:sz="4" w:space="0" w:color="auto"/>
            </w:tcBorders>
          </w:tcPr>
          <w:p w14:paraId="40FCEAA1" w14:textId="77777777" w:rsidR="003A0ABD" w:rsidRDefault="003A0ABD" w:rsidP="003A0ABD">
            <w:pPr>
              <w:pStyle w:val="Tablehead1"/>
              <w:cnfStyle w:val="000000000000" w:firstRow="0" w:lastRow="0" w:firstColumn="0" w:lastColumn="0" w:oddVBand="0" w:evenVBand="0" w:oddHBand="0" w:evenHBand="0" w:firstRowFirstColumn="0" w:firstRowLastColumn="0" w:lastRowFirstColumn="0" w:lastRowLastColumn="0"/>
            </w:pPr>
            <w:r>
              <w:t>78</w:t>
            </w:r>
          </w:p>
        </w:tc>
        <w:tc>
          <w:tcPr>
            <w:tcW w:w="1310" w:type="dxa"/>
            <w:tcBorders>
              <w:top w:val="single" w:sz="4" w:space="0" w:color="auto"/>
              <w:bottom w:val="single" w:sz="4" w:space="0" w:color="auto"/>
            </w:tcBorders>
          </w:tcPr>
          <w:p w14:paraId="41C1EDF1" w14:textId="77777777" w:rsidR="003A0ABD" w:rsidRDefault="003A0ABD" w:rsidP="003A0ABD">
            <w:pPr>
              <w:pStyle w:val="Tablehead1"/>
              <w:cnfStyle w:val="000000000000" w:firstRow="0" w:lastRow="0" w:firstColumn="0" w:lastColumn="0" w:oddVBand="0" w:evenVBand="0" w:oddHBand="0" w:evenHBand="0" w:firstRowFirstColumn="0" w:firstRowLastColumn="0" w:lastRowFirstColumn="0" w:lastRowLastColumn="0"/>
            </w:pPr>
            <w:r>
              <w:t>56</w:t>
            </w:r>
          </w:p>
        </w:tc>
        <w:tc>
          <w:tcPr>
            <w:tcW w:w="1309" w:type="dxa"/>
            <w:tcBorders>
              <w:top w:val="single" w:sz="4" w:space="0" w:color="auto"/>
              <w:bottom w:val="single" w:sz="4" w:space="0" w:color="auto"/>
            </w:tcBorders>
          </w:tcPr>
          <w:p w14:paraId="47D20D05" w14:textId="77777777" w:rsidR="003A0ABD" w:rsidRDefault="003A0ABD" w:rsidP="003A0ABD">
            <w:pPr>
              <w:pStyle w:val="Tablehead1"/>
              <w:cnfStyle w:val="000000000000" w:firstRow="0" w:lastRow="0" w:firstColumn="0" w:lastColumn="0" w:oddVBand="0" w:evenVBand="0" w:oddHBand="0" w:evenHBand="0" w:firstRowFirstColumn="0" w:firstRowLastColumn="0" w:lastRowFirstColumn="0" w:lastRowLastColumn="0"/>
            </w:pPr>
            <w:r>
              <w:t>321</w:t>
            </w:r>
          </w:p>
        </w:tc>
        <w:tc>
          <w:tcPr>
            <w:tcW w:w="1310" w:type="dxa"/>
            <w:tcBorders>
              <w:top w:val="single" w:sz="4" w:space="0" w:color="auto"/>
              <w:bottom w:val="single" w:sz="4" w:space="0" w:color="auto"/>
            </w:tcBorders>
          </w:tcPr>
          <w:p w14:paraId="604A43D1" w14:textId="77777777" w:rsidR="003A0ABD" w:rsidRDefault="003A0ABD" w:rsidP="003A0ABD">
            <w:pPr>
              <w:pStyle w:val="Tablehead1"/>
              <w:cnfStyle w:val="000000000000" w:firstRow="0" w:lastRow="0" w:firstColumn="0" w:lastColumn="0" w:oddVBand="0" w:evenVBand="0" w:oddHBand="0" w:evenHBand="0" w:firstRowFirstColumn="0" w:firstRowLastColumn="0" w:lastRowFirstColumn="0" w:lastRowLastColumn="0"/>
            </w:pPr>
            <w:r>
              <w:t>148</w:t>
            </w:r>
          </w:p>
        </w:tc>
      </w:tr>
    </w:tbl>
    <w:p w14:paraId="7817946D" w14:textId="6683D6D1" w:rsidR="003A0ABD" w:rsidRPr="00B571B1" w:rsidRDefault="003A0ABD" w:rsidP="003A0ABD">
      <w:pPr>
        <w:pStyle w:val="Source"/>
        <w:rPr>
          <w:color w:val="262626" w:themeColor="text1" w:themeTint="D9"/>
        </w:rPr>
      </w:pPr>
      <w:r w:rsidRPr="00B571B1">
        <w:rPr>
          <w:color w:val="262626" w:themeColor="text1" w:themeTint="D9"/>
        </w:rPr>
        <w:t xml:space="preserve">Note: </w:t>
      </w:r>
      <w:r>
        <w:rPr>
          <w:color w:val="262626" w:themeColor="text1" w:themeTint="D9"/>
        </w:rPr>
        <w:tab/>
      </w:r>
      <w:r w:rsidRPr="00B571B1">
        <w:rPr>
          <w:color w:val="262626" w:themeColor="text1" w:themeTint="D9"/>
        </w:rPr>
        <w:t>The Local Government Training Package (LGA04) is not listed because</w:t>
      </w:r>
      <w:r w:rsidR="00D0679A">
        <w:rPr>
          <w:color w:val="262626" w:themeColor="text1" w:themeTint="D9"/>
        </w:rPr>
        <w:t>,</w:t>
      </w:r>
      <w:r w:rsidRPr="00B571B1">
        <w:rPr>
          <w:color w:val="262626" w:themeColor="text1" w:themeTint="D9"/>
        </w:rPr>
        <w:t xml:space="preserve"> while it did have units containing </w:t>
      </w:r>
      <w:r>
        <w:rPr>
          <w:color w:val="262626" w:themeColor="text1" w:themeTint="D9"/>
        </w:rPr>
        <w:br/>
      </w:r>
      <w:r w:rsidRPr="00B571B1">
        <w:rPr>
          <w:color w:val="262626" w:themeColor="text1" w:themeTint="D9"/>
        </w:rPr>
        <w:t>digital skills search terms, they were not digital skills</w:t>
      </w:r>
      <w:r w:rsidR="00D0679A">
        <w:rPr>
          <w:color w:val="262626" w:themeColor="text1" w:themeTint="D9"/>
        </w:rPr>
        <w:t>-</w:t>
      </w:r>
      <w:r w:rsidRPr="00B571B1">
        <w:rPr>
          <w:color w:val="262626" w:themeColor="text1" w:themeTint="D9"/>
        </w:rPr>
        <w:t>related units (e.g. ‘LGACOM503B Prepare a budget’)</w:t>
      </w:r>
      <w:r w:rsidR="00D0679A">
        <w:rPr>
          <w:color w:val="262626" w:themeColor="text1" w:themeTint="D9"/>
        </w:rPr>
        <w:t>;</w:t>
      </w:r>
      <w:r>
        <w:rPr>
          <w:color w:val="262626" w:themeColor="text1" w:themeTint="D9"/>
        </w:rPr>
        <w:t xml:space="preserve"> </w:t>
      </w:r>
      <w:r>
        <w:rPr>
          <w:color w:val="262626" w:themeColor="text1" w:themeTint="D9"/>
        </w:rPr>
        <w:br/>
      </w:r>
      <w:r w:rsidRPr="00B571B1">
        <w:rPr>
          <w:color w:val="262626" w:themeColor="text1" w:themeTint="D9"/>
        </w:rPr>
        <w:t>see</w:t>
      </w:r>
      <w:r>
        <w:rPr>
          <w:color w:val="262626" w:themeColor="text1" w:themeTint="D9"/>
        </w:rPr>
        <w:t xml:space="preserve"> </w:t>
      </w:r>
      <w:r w:rsidRPr="00B571B1">
        <w:rPr>
          <w:color w:val="262626" w:themeColor="text1" w:themeTint="D9"/>
        </w:rPr>
        <w:t>Gekara et al</w:t>
      </w:r>
      <w:r w:rsidR="00D0679A">
        <w:rPr>
          <w:color w:val="262626" w:themeColor="text1" w:themeTint="D9"/>
        </w:rPr>
        <w:t>.</w:t>
      </w:r>
      <w:r w:rsidRPr="00B571B1">
        <w:rPr>
          <w:color w:val="262626" w:themeColor="text1" w:themeTint="D9"/>
        </w:rPr>
        <w:t xml:space="preserve"> (2017, p</w:t>
      </w:r>
      <w:r w:rsidR="00D0679A">
        <w:rPr>
          <w:color w:val="262626" w:themeColor="text1" w:themeTint="D9"/>
        </w:rPr>
        <w:t>.</w:t>
      </w:r>
      <w:r w:rsidRPr="00B571B1">
        <w:rPr>
          <w:color w:val="262626" w:themeColor="text1" w:themeTint="D9"/>
        </w:rPr>
        <w:t>45</w:t>
      </w:r>
      <w:r w:rsidR="00D0679A">
        <w:rPr>
          <w:color w:val="262626" w:themeColor="text1" w:themeTint="D9"/>
        </w:rPr>
        <w:t>)</w:t>
      </w:r>
      <w:r w:rsidRPr="00B571B1">
        <w:rPr>
          <w:color w:val="262626" w:themeColor="text1" w:themeTint="D9"/>
        </w:rPr>
        <w:t>.</w:t>
      </w:r>
    </w:p>
    <w:p w14:paraId="3BA610BC" w14:textId="199691BD" w:rsidR="003A0ABD" w:rsidRPr="001C3746" w:rsidRDefault="003A0ABD" w:rsidP="001C3746">
      <w:pPr>
        <w:pStyle w:val="Text"/>
      </w:pPr>
      <w:r w:rsidRPr="001C3746">
        <w:t xml:space="preserve">Just looking at enrolments in 2018, the trend towards including these units as electives is also reflected in the enrolments in these units (as part of an in-scope qualification). In 2018, there were </w:t>
      </w:r>
      <w:r w:rsidR="00003DAE">
        <w:br w:type="textWrapping" w:clear="all"/>
      </w:r>
      <w:r w:rsidRPr="001C3746">
        <w:t>7</w:t>
      </w:r>
      <w:r w:rsidR="00003DAE">
        <w:t xml:space="preserve"> </w:t>
      </w:r>
      <w:r w:rsidRPr="001C3746">
        <w:t>344 enrolments in these units as part of a qualification where the unit was a core unit and 21 196 enrolments in these units as part of a qualification where the unit was an elective unit. Tables A4 and A5 show the digital skills</w:t>
      </w:r>
      <w:r w:rsidR="00513D36">
        <w:t>-</w:t>
      </w:r>
      <w:r w:rsidRPr="001C3746">
        <w:t>related units with the most enrolments in 2018 as an illustrative example.</w:t>
      </w:r>
    </w:p>
    <w:p w14:paraId="6CDCCEF1" w14:textId="77424D31" w:rsidR="003A0ABD" w:rsidRDefault="003A0ABD" w:rsidP="009B712E">
      <w:pPr>
        <w:pStyle w:val="tabletitle"/>
      </w:pPr>
      <w:bookmarkStart w:id="54" w:name="_Toc21945873"/>
      <w:bookmarkStart w:id="55" w:name="_Toc31711372"/>
      <w:r>
        <w:t>Table A4</w:t>
      </w:r>
      <w:r>
        <w:tab/>
        <w:t>Top three digital skills</w:t>
      </w:r>
      <w:r w:rsidR="00CE5CEA">
        <w:t>-</w:t>
      </w:r>
      <w:r>
        <w:t xml:space="preserve">related units with the most </w:t>
      </w:r>
      <w:r w:rsidRPr="001C3746">
        <w:t>enrolments</w:t>
      </w:r>
      <w:r>
        <w:t xml:space="preserve"> as a core unit, 2018</w:t>
      </w:r>
      <w:bookmarkEnd w:id="54"/>
      <w:bookmarkEnd w:id="55"/>
    </w:p>
    <w:tbl>
      <w:tblPr>
        <w:tblStyle w:val="NCVERTable"/>
        <w:tblW w:w="8142" w:type="dxa"/>
        <w:tblLook w:val="04A0" w:firstRow="1" w:lastRow="0" w:firstColumn="1" w:lastColumn="0" w:noHBand="0" w:noVBand="1"/>
      </w:tblPr>
      <w:tblGrid>
        <w:gridCol w:w="964"/>
        <w:gridCol w:w="3619"/>
        <w:gridCol w:w="1779"/>
        <w:gridCol w:w="1780"/>
      </w:tblGrid>
      <w:tr w:rsidR="003A0ABD" w14:paraId="1062BA8F" w14:textId="77777777" w:rsidTr="003A0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6DFBDACD" w14:textId="77777777" w:rsidR="003A0ABD" w:rsidRPr="00516FAF" w:rsidRDefault="003A0ABD" w:rsidP="003A0ABD">
            <w:pPr>
              <w:pStyle w:val="Tablehead1"/>
              <w:rPr>
                <w:b/>
              </w:rPr>
            </w:pPr>
            <w:r w:rsidRPr="00516FAF">
              <w:rPr>
                <w:b/>
              </w:rPr>
              <w:t>Training package</w:t>
            </w:r>
          </w:p>
        </w:tc>
        <w:tc>
          <w:tcPr>
            <w:tcW w:w="3619" w:type="dxa"/>
          </w:tcPr>
          <w:p w14:paraId="7205CFFF" w14:textId="77777777" w:rsidR="003A0ABD" w:rsidRPr="00516FAF" w:rsidRDefault="003A0ABD" w:rsidP="003A0ABD">
            <w:pPr>
              <w:pStyle w:val="Tablehead1"/>
              <w:cnfStyle w:val="100000000000" w:firstRow="1" w:lastRow="0" w:firstColumn="0" w:lastColumn="0" w:oddVBand="0" w:evenVBand="0" w:oddHBand="0" w:evenHBand="0" w:firstRowFirstColumn="0" w:firstRowLastColumn="0" w:lastRowFirstColumn="0" w:lastRowLastColumn="0"/>
              <w:rPr>
                <w:b/>
              </w:rPr>
            </w:pPr>
            <w:r w:rsidRPr="00516FAF">
              <w:rPr>
                <w:b/>
              </w:rPr>
              <w:t>Subject</w:t>
            </w:r>
          </w:p>
        </w:tc>
        <w:tc>
          <w:tcPr>
            <w:tcW w:w="1779" w:type="dxa"/>
          </w:tcPr>
          <w:p w14:paraId="64096EA2" w14:textId="77777777" w:rsidR="003A0ABD" w:rsidRPr="00516FAF" w:rsidRDefault="003A0ABD" w:rsidP="003A0ABD">
            <w:pPr>
              <w:pStyle w:val="Tablehead1"/>
              <w:cnfStyle w:val="100000000000" w:firstRow="1" w:lastRow="0" w:firstColumn="0" w:lastColumn="0" w:oddVBand="0" w:evenVBand="0" w:oddHBand="0" w:evenHBand="0" w:firstRowFirstColumn="0" w:firstRowLastColumn="0" w:lastRowFirstColumn="0" w:lastRowLastColumn="0"/>
              <w:rPr>
                <w:b/>
              </w:rPr>
            </w:pPr>
            <w:r w:rsidRPr="00516FAF">
              <w:rPr>
                <w:b/>
              </w:rPr>
              <w:t>Enrolments as a core unit</w:t>
            </w:r>
          </w:p>
        </w:tc>
        <w:tc>
          <w:tcPr>
            <w:tcW w:w="1780" w:type="dxa"/>
          </w:tcPr>
          <w:p w14:paraId="58E62693" w14:textId="77777777" w:rsidR="003A0ABD" w:rsidRPr="00516FAF" w:rsidRDefault="003A0ABD" w:rsidP="003A0ABD">
            <w:pPr>
              <w:pStyle w:val="Tablehead1"/>
              <w:cnfStyle w:val="100000000000" w:firstRow="1" w:lastRow="0" w:firstColumn="0" w:lastColumn="0" w:oddVBand="0" w:evenVBand="0" w:oddHBand="0" w:evenHBand="0" w:firstRowFirstColumn="0" w:firstRowLastColumn="0" w:lastRowFirstColumn="0" w:lastRowLastColumn="0"/>
              <w:rPr>
                <w:b/>
              </w:rPr>
            </w:pPr>
            <w:r w:rsidRPr="00516FAF">
              <w:rPr>
                <w:b/>
              </w:rPr>
              <w:t>Enrolments as an elective unit</w:t>
            </w:r>
          </w:p>
        </w:tc>
      </w:tr>
      <w:tr w:rsidR="003A0ABD" w14:paraId="0FDF3047"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Borders>
              <w:top w:val="single" w:sz="4" w:space="0" w:color="auto"/>
              <w:bottom w:val="nil"/>
            </w:tcBorders>
          </w:tcPr>
          <w:p w14:paraId="369BBBAB" w14:textId="77777777" w:rsidR="003A0ABD" w:rsidRPr="00B9472A" w:rsidRDefault="003A0ABD" w:rsidP="003A0ABD">
            <w:pPr>
              <w:pStyle w:val="Tabletext"/>
              <w:rPr>
                <w:b w:val="0"/>
              </w:rPr>
            </w:pPr>
            <w:r w:rsidRPr="00B9472A">
              <w:rPr>
                <w:b w:val="0"/>
              </w:rPr>
              <w:t>TLI</w:t>
            </w:r>
          </w:p>
        </w:tc>
        <w:tc>
          <w:tcPr>
            <w:tcW w:w="3619" w:type="dxa"/>
            <w:tcBorders>
              <w:top w:val="single" w:sz="4" w:space="0" w:color="auto"/>
              <w:bottom w:val="nil"/>
            </w:tcBorders>
          </w:tcPr>
          <w:p w14:paraId="0F7B600C"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 xml:space="preserve">TLIH2001 </w:t>
            </w:r>
            <w:r w:rsidRPr="00B9472A">
              <w:t>Interpret road maps and navigate pre-determined routes</w:t>
            </w:r>
          </w:p>
        </w:tc>
        <w:tc>
          <w:tcPr>
            <w:tcW w:w="1779" w:type="dxa"/>
            <w:tcBorders>
              <w:top w:val="single" w:sz="4" w:space="0" w:color="auto"/>
              <w:bottom w:val="nil"/>
            </w:tcBorders>
          </w:tcPr>
          <w:p w14:paraId="0B20666F"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2 316</w:t>
            </w:r>
          </w:p>
        </w:tc>
        <w:tc>
          <w:tcPr>
            <w:tcW w:w="1780" w:type="dxa"/>
            <w:tcBorders>
              <w:top w:val="single" w:sz="4" w:space="0" w:color="auto"/>
              <w:bottom w:val="nil"/>
            </w:tcBorders>
          </w:tcPr>
          <w:p w14:paraId="75065B08"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7</w:t>
            </w:r>
          </w:p>
        </w:tc>
      </w:tr>
      <w:tr w:rsidR="003A0ABD" w14:paraId="485A239A" w14:textId="77777777" w:rsidTr="003A0ABD">
        <w:tc>
          <w:tcPr>
            <w:cnfStyle w:val="001000000000" w:firstRow="0" w:lastRow="0" w:firstColumn="1" w:lastColumn="0" w:oddVBand="0" w:evenVBand="0" w:oddHBand="0" w:evenHBand="0" w:firstRowFirstColumn="0" w:firstRowLastColumn="0" w:lastRowFirstColumn="0" w:lastRowLastColumn="0"/>
            <w:tcW w:w="964" w:type="dxa"/>
            <w:tcBorders>
              <w:top w:val="nil"/>
              <w:bottom w:val="nil"/>
            </w:tcBorders>
          </w:tcPr>
          <w:p w14:paraId="004BDCB4" w14:textId="77777777" w:rsidR="003A0ABD" w:rsidRPr="00B9472A" w:rsidRDefault="003A0ABD" w:rsidP="003A0ABD">
            <w:pPr>
              <w:pStyle w:val="Tabletext"/>
              <w:rPr>
                <w:b w:val="0"/>
              </w:rPr>
            </w:pPr>
            <w:r w:rsidRPr="00B9472A">
              <w:rPr>
                <w:b w:val="0"/>
              </w:rPr>
              <w:t>TLI</w:t>
            </w:r>
          </w:p>
        </w:tc>
        <w:tc>
          <w:tcPr>
            <w:tcW w:w="3619" w:type="dxa"/>
            <w:tcBorders>
              <w:top w:val="nil"/>
              <w:bottom w:val="nil"/>
            </w:tcBorders>
          </w:tcPr>
          <w:p w14:paraId="795E8EBF"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 xml:space="preserve">TLIE2007 </w:t>
            </w:r>
            <w:r w:rsidRPr="00B9472A">
              <w:t>Use communications systems</w:t>
            </w:r>
          </w:p>
        </w:tc>
        <w:tc>
          <w:tcPr>
            <w:tcW w:w="1779" w:type="dxa"/>
            <w:tcBorders>
              <w:top w:val="nil"/>
              <w:bottom w:val="nil"/>
            </w:tcBorders>
          </w:tcPr>
          <w:p w14:paraId="3B973FC8"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1 832</w:t>
            </w:r>
          </w:p>
        </w:tc>
        <w:tc>
          <w:tcPr>
            <w:tcW w:w="1780" w:type="dxa"/>
            <w:tcBorders>
              <w:top w:val="nil"/>
              <w:bottom w:val="nil"/>
            </w:tcBorders>
          </w:tcPr>
          <w:p w14:paraId="3476B067"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1 809</w:t>
            </w:r>
          </w:p>
        </w:tc>
      </w:tr>
      <w:tr w:rsidR="003A0ABD" w14:paraId="0C59E726"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Borders>
              <w:top w:val="nil"/>
              <w:bottom w:val="single" w:sz="4" w:space="0" w:color="auto"/>
            </w:tcBorders>
          </w:tcPr>
          <w:p w14:paraId="4514B006" w14:textId="77777777" w:rsidR="003A0ABD" w:rsidRPr="00B9472A" w:rsidRDefault="003A0ABD" w:rsidP="003A0ABD">
            <w:pPr>
              <w:pStyle w:val="Tabletext"/>
              <w:rPr>
                <w:b w:val="0"/>
              </w:rPr>
            </w:pPr>
            <w:r>
              <w:rPr>
                <w:b w:val="0"/>
              </w:rPr>
              <w:t>AVI</w:t>
            </w:r>
          </w:p>
        </w:tc>
        <w:tc>
          <w:tcPr>
            <w:tcW w:w="3619" w:type="dxa"/>
            <w:tcBorders>
              <w:top w:val="nil"/>
              <w:bottom w:val="single" w:sz="4" w:space="0" w:color="auto"/>
            </w:tcBorders>
          </w:tcPr>
          <w:p w14:paraId="45B1B14B"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rsidRPr="00B9472A">
              <w:t>AVIF0004</w:t>
            </w:r>
            <w:r>
              <w:t xml:space="preserve"> </w:t>
            </w:r>
            <w:r w:rsidRPr="00B9472A">
              <w:t>Implement aviation risk management processes</w:t>
            </w:r>
          </w:p>
        </w:tc>
        <w:tc>
          <w:tcPr>
            <w:tcW w:w="1779" w:type="dxa"/>
            <w:tcBorders>
              <w:top w:val="nil"/>
              <w:bottom w:val="single" w:sz="4" w:space="0" w:color="auto"/>
            </w:tcBorders>
          </w:tcPr>
          <w:p w14:paraId="4CEB5F4A"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983</w:t>
            </w:r>
          </w:p>
        </w:tc>
        <w:tc>
          <w:tcPr>
            <w:tcW w:w="1780" w:type="dxa"/>
            <w:tcBorders>
              <w:top w:val="nil"/>
              <w:bottom w:val="single" w:sz="4" w:space="0" w:color="auto"/>
            </w:tcBorders>
          </w:tcPr>
          <w:p w14:paraId="7CB379F0"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31</w:t>
            </w:r>
          </w:p>
        </w:tc>
      </w:tr>
    </w:tbl>
    <w:p w14:paraId="70055320" w14:textId="77777777" w:rsidR="001C3746" w:rsidRDefault="001C3746" w:rsidP="001C3746">
      <w:pPr>
        <w:pStyle w:val="Tabletitle0"/>
      </w:pPr>
      <w:bookmarkStart w:id="56" w:name="_Toc21945874"/>
    </w:p>
    <w:p w14:paraId="1752E6EB" w14:textId="77777777" w:rsidR="001C3746" w:rsidRDefault="001C3746">
      <w:pPr>
        <w:spacing w:before="0" w:line="240" w:lineRule="auto"/>
        <w:rPr>
          <w:rFonts w:ascii="Arial" w:hAnsi="Arial"/>
          <w:b/>
          <w:sz w:val="17"/>
        </w:rPr>
      </w:pPr>
      <w:r>
        <w:br w:type="page"/>
      </w:r>
    </w:p>
    <w:p w14:paraId="62717540" w14:textId="023B4443" w:rsidR="003A0ABD" w:rsidRDefault="003A0ABD" w:rsidP="009B712E">
      <w:pPr>
        <w:pStyle w:val="tabletitle"/>
      </w:pPr>
      <w:bookmarkStart w:id="57" w:name="_Toc31711373"/>
      <w:r>
        <w:lastRenderedPageBreak/>
        <w:t>Table A5</w:t>
      </w:r>
      <w:r>
        <w:tab/>
        <w:t>Top three digital skills</w:t>
      </w:r>
      <w:r w:rsidR="00ED3FFF">
        <w:t>-</w:t>
      </w:r>
      <w:r>
        <w:t>related units with the most enrolments as an elective unit, 2018</w:t>
      </w:r>
      <w:bookmarkEnd w:id="56"/>
      <w:bookmarkEnd w:id="57"/>
    </w:p>
    <w:tbl>
      <w:tblPr>
        <w:tblStyle w:val="NCVERTable"/>
        <w:tblW w:w="8142" w:type="dxa"/>
        <w:tblLook w:val="04A0" w:firstRow="1" w:lastRow="0" w:firstColumn="1" w:lastColumn="0" w:noHBand="0" w:noVBand="1"/>
      </w:tblPr>
      <w:tblGrid>
        <w:gridCol w:w="964"/>
        <w:gridCol w:w="3619"/>
        <w:gridCol w:w="1779"/>
        <w:gridCol w:w="1780"/>
      </w:tblGrid>
      <w:tr w:rsidR="003A0ABD" w14:paraId="7E79A663" w14:textId="77777777" w:rsidTr="003A0A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Pr>
          <w:p w14:paraId="35ABF4B6" w14:textId="77777777" w:rsidR="003A0ABD" w:rsidRPr="00516FAF" w:rsidRDefault="003A0ABD" w:rsidP="003A0ABD">
            <w:pPr>
              <w:pStyle w:val="Tablehead1"/>
              <w:rPr>
                <w:b/>
              </w:rPr>
            </w:pPr>
            <w:r w:rsidRPr="00516FAF">
              <w:rPr>
                <w:b/>
              </w:rPr>
              <w:t>Training package</w:t>
            </w:r>
          </w:p>
        </w:tc>
        <w:tc>
          <w:tcPr>
            <w:tcW w:w="3619" w:type="dxa"/>
          </w:tcPr>
          <w:p w14:paraId="20D7C981" w14:textId="77777777" w:rsidR="003A0ABD" w:rsidRPr="00516FAF" w:rsidRDefault="003A0ABD" w:rsidP="003A0ABD">
            <w:pPr>
              <w:pStyle w:val="Tablehead1"/>
              <w:cnfStyle w:val="100000000000" w:firstRow="1" w:lastRow="0" w:firstColumn="0" w:lastColumn="0" w:oddVBand="0" w:evenVBand="0" w:oddHBand="0" w:evenHBand="0" w:firstRowFirstColumn="0" w:firstRowLastColumn="0" w:lastRowFirstColumn="0" w:lastRowLastColumn="0"/>
              <w:rPr>
                <w:b/>
              </w:rPr>
            </w:pPr>
            <w:r w:rsidRPr="00516FAF">
              <w:rPr>
                <w:b/>
              </w:rPr>
              <w:t>Subject</w:t>
            </w:r>
          </w:p>
        </w:tc>
        <w:tc>
          <w:tcPr>
            <w:tcW w:w="1779" w:type="dxa"/>
          </w:tcPr>
          <w:p w14:paraId="115A161C" w14:textId="77777777" w:rsidR="003A0ABD" w:rsidRPr="00516FAF" w:rsidRDefault="003A0ABD" w:rsidP="003A0ABD">
            <w:pPr>
              <w:pStyle w:val="Tablehead1"/>
              <w:cnfStyle w:val="100000000000" w:firstRow="1" w:lastRow="0" w:firstColumn="0" w:lastColumn="0" w:oddVBand="0" w:evenVBand="0" w:oddHBand="0" w:evenHBand="0" w:firstRowFirstColumn="0" w:firstRowLastColumn="0" w:lastRowFirstColumn="0" w:lastRowLastColumn="0"/>
              <w:rPr>
                <w:b/>
              </w:rPr>
            </w:pPr>
            <w:r w:rsidRPr="00516FAF">
              <w:rPr>
                <w:b/>
              </w:rPr>
              <w:t>Enrolments as a core unit</w:t>
            </w:r>
          </w:p>
        </w:tc>
        <w:tc>
          <w:tcPr>
            <w:tcW w:w="1780" w:type="dxa"/>
          </w:tcPr>
          <w:p w14:paraId="480EE525" w14:textId="77777777" w:rsidR="003A0ABD" w:rsidRPr="00516FAF" w:rsidRDefault="003A0ABD" w:rsidP="003A0ABD">
            <w:pPr>
              <w:pStyle w:val="Tablehead1"/>
              <w:cnfStyle w:val="100000000000" w:firstRow="1" w:lastRow="0" w:firstColumn="0" w:lastColumn="0" w:oddVBand="0" w:evenVBand="0" w:oddHBand="0" w:evenHBand="0" w:firstRowFirstColumn="0" w:firstRowLastColumn="0" w:lastRowFirstColumn="0" w:lastRowLastColumn="0"/>
              <w:rPr>
                <w:b/>
              </w:rPr>
            </w:pPr>
            <w:r w:rsidRPr="00516FAF">
              <w:rPr>
                <w:b/>
              </w:rPr>
              <w:t>Enrolments as an elective unit</w:t>
            </w:r>
          </w:p>
        </w:tc>
      </w:tr>
      <w:tr w:rsidR="003A0ABD" w14:paraId="7C6776BF"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Borders>
              <w:top w:val="single" w:sz="4" w:space="0" w:color="auto"/>
              <w:bottom w:val="nil"/>
            </w:tcBorders>
          </w:tcPr>
          <w:p w14:paraId="1BF11E07" w14:textId="77777777" w:rsidR="003A0ABD" w:rsidRPr="00B9472A" w:rsidRDefault="003A0ABD" w:rsidP="003A0ABD">
            <w:pPr>
              <w:pStyle w:val="Tabletext"/>
              <w:rPr>
                <w:b w:val="0"/>
              </w:rPr>
            </w:pPr>
            <w:r>
              <w:rPr>
                <w:b w:val="0"/>
              </w:rPr>
              <w:t>UEE</w:t>
            </w:r>
          </w:p>
        </w:tc>
        <w:tc>
          <w:tcPr>
            <w:tcW w:w="3619" w:type="dxa"/>
            <w:tcBorders>
              <w:top w:val="single" w:sz="4" w:space="0" w:color="auto"/>
              <w:bottom w:val="nil"/>
            </w:tcBorders>
          </w:tcPr>
          <w:p w14:paraId="0C19A1FA"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rsidRPr="00D819BA">
              <w:t>UEENEED101A</w:t>
            </w:r>
            <w:r>
              <w:t xml:space="preserve"> </w:t>
            </w:r>
            <w:r w:rsidRPr="00D819BA">
              <w:t>Use computer applications relevant to a workplace</w:t>
            </w:r>
          </w:p>
        </w:tc>
        <w:tc>
          <w:tcPr>
            <w:tcW w:w="1779" w:type="dxa"/>
            <w:tcBorders>
              <w:top w:val="single" w:sz="4" w:space="0" w:color="auto"/>
              <w:bottom w:val="nil"/>
            </w:tcBorders>
          </w:tcPr>
          <w:p w14:paraId="4E67A679"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12</w:t>
            </w:r>
          </w:p>
        </w:tc>
        <w:tc>
          <w:tcPr>
            <w:tcW w:w="1780" w:type="dxa"/>
            <w:tcBorders>
              <w:top w:val="single" w:sz="4" w:space="0" w:color="auto"/>
              <w:bottom w:val="nil"/>
            </w:tcBorders>
          </w:tcPr>
          <w:p w14:paraId="796A41B3"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9 360</w:t>
            </w:r>
          </w:p>
        </w:tc>
      </w:tr>
      <w:tr w:rsidR="003A0ABD" w14:paraId="6DF2EB6D" w14:textId="77777777" w:rsidTr="003A0ABD">
        <w:tc>
          <w:tcPr>
            <w:cnfStyle w:val="001000000000" w:firstRow="0" w:lastRow="0" w:firstColumn="1" w:lastColumn="0" w:oddVBand="0" w:evenVBand="0" w:oddHBand="0" w:evenHBand="0" w:firstRowFirstColumn="0" w:firstRowLastColumn="0" w:lastRowFirstColumn="0" w:lastRowLastColumn="0"/>
            <w:tcW w:w="964" w:type="dxa"/>
            <w:tcBorders>
              <w:top w:val="nil"/>
              <w:bottom w:val="nil"/>
            </w:tcBorders>
          </w:tcPr>
          <w:p w14:paraId="28436E01" w14:textId="77777777" w:rsidR="003A0ABD" w:rsidRPr="00B9472A" w:rsidRDefault="003A0ABD" w:rsidP="003A0ABD">
            <w:pPr>
              <w:pStyle w:val="Tabletext"/>
              <w:rPr>
                <w:b w:val="0"/>
              </w:rPr>
            </w:pPr>
            <w:r>
              <w:rPr>
                <w:b w:val="0"/>
              </w:rPr>
              <w:t>TLI</w:t>
            </w:r>
          </w:p>
        </w:tc>
        <w:tc>
          <w:tcPr>
            <w:tcW w:w="3619" w:type="dxa"/>
            <w:tcBorders>
              <w:top w:val="nil"/>
              <w:bottom w:val="nil"/>
            </w:tcBorders>
          </w:tcPr>
          <w:p w14:paraId="3DDFF681"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rsidRPr="00D819BA">
              <w:t>TLIA3016</w:t>
            </w:r>
            <w:r>
              <w:t xml:space="preserve"> </w:t>
            </w:r>
            <w:r w:rsidRPr="00D819BA">
              <w:t>Use inventory systems to organise stock control</w:t>
            </w:r>
          </w:p>
        </w:tc>
        <w:tc>
          <w:tcPr>
            <w:tcW w:w="1779" w:type="dxa"/>
            <w:tcBorders>
              <w:top w:val="nil"/>
              <w:bottom w:val="nil"/>
            </w:tcBorders>
          </w:tcPr>
          <w:p w14:paraId="54007A0B"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0</w:t>
            </w:r>
          </w:p>
        </w:tc>
        <w:tc>
          <w:tcPr>
            <w:tcW w:w="1780" w:type="dxa"/>
            <w:tcBorders>
              <w:top w:val="nil"/>
              <w:bottom w:val="nil"/>
            </w:tcBorders>
          </w:tcPr>
          <w:p w14:paraId="3156E744" w14:textId="77777777" w:rsidR="003A0ABD" w:rsidRDefault="003A0ABD" w:rsidP="003A0ABD">
            <w:pPr>
              <w:pStyle w:val="Tabletext"/>
              <w:cnfStyle w:val="000000000000" w:firstRow="0" w:lastRow="0" w:firstColumn="0" w:lastColumn="0" w:oddVBand="0" w:evenVBand="0" w:oddHBand="0" w:evenHBand="0" w:firstRowFirstColumn="0" w:firstRowLastColumn="0" w:lastRowFirstColumn="0" w:lastRowLastColumn="0"/>
            </w:pPr>
            <w:r>
              <w:t>2 264</w:t>
            </w:r>
          </w:p>
        </w:tc>
      </w:tr>
      <w:tr w:rsidR="003A0ABD" w14:paraId="18746299" w14:textId="77777777" w:rsidTr="003A0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dxa"/>
            <w:tcBorders>
              <w:top w:val="nil"/>
              <w:bottom w:val="single" w:sz="4" w:space="0" w:color="auto"/>
            </w:tcBorders>
          </w:tcPr>
          <w:p w14:paraId="1B3E98A1" w14:textId="77777777" w:rsidR="003A0ABD" w:rsidRPr="00B9472A" w:rsidRDefault="003A0ABD" w:rsidP="003A0ABD">
            <w:pPr>
              <w:pStyle w:val="Tabletext"/>
              <w:rPr>
                <w:b w:val="0"/>
              </w:rPr>
            </w:pPr>
            <w:r w:rsidRPr="00B9472A">
              <w:rPr>
                <w:b w:val="0"/>
              </w:rPr>
              <w:t>TLI</w:t>
            </w:r>
          </w:p>
        </w:tc>
        <w:tc>
          <w:tcPr>
            <w:tcW w:w="3619" w:type="dxa"/>
            <w:tcBorders>
              <w:top w:val="nil"/>
              <w:bottom w:val="single" w:sz="4" w:space="0" w:color="auto"/>
            </w:tcBorders>
          </w:tcPr>
          <w:p w14:paraId="4B721ED8"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 xml:space="preserve">TLIE2007 </w:t>
            </w:r>
            <w:r w:rsidRPr="00B9472A">
              <w:t>Use communications systems</w:t>
            </w:r>
          </w:p>
        </w:tc>
        <w:tc>
          <w:tcPr>
            <w:tcW w:w="1779" w:type="dxa"/>
            <w:tcBorders>
              <w:top w:val="nil"/>
              <w:bottom w:val="single" w:sz="4" w:space="0" w:color="auto"/>
            </w:tcBorders>
          </w:tcPr>
          <w:p w14:paraId="741633CF"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1 832</w:t>
            </w:r>
          </w:p>
        </w:tc>
        <w:tc>
          <w:tcPr>
            <w:tcW w:w="1780" w:type="dxa"/>
            <w:tcBorders>
              <w:top w:val="nil"/>
              <w:bottom w:val="single" w:sz="4" w:space="0" w:color="auto"/>
            </w:tcBorders>
          </w:tcPr>
          <w:p w14:paraId="12CE8942" w14:textId="77777777" w:rsidR="003A0ABD" w:rsidRDefault="003A0ABD" w:rsidP="003A0ABD">
            <w:pPr>
              <w:pStyle w:val="Tabletext"/>
              <w:cnfStyle w:val="000000100000" w:firstRow="0" w:lastRow="0" w:firstColumn="0" w:lastColumn="0" w:oddVBand="0" w:evenVBand="0" w:oddHBand="1" w:evenHBand="0" w:firstRowFirstColumn="0" w:firstRowLastColumn="0" w:lastRowFirstColumn="0" w:lastRowLastColumn="0"/>
            </w:pPr>
            <w:r>
              <w:t>1 809</w:t>
            </w:r>
          </w:p>
        </w:tc>
      </w:tr>
    </w:tbl>
    <w:p w14:paraId="43F75535" w14:textId="08FEB7EC" w:rsidR="003A0ABD" w:rsidRPr="003354A3" w:rsidRDefault="003A0ABD" w:rsidP="001C3746">
      <w:pPr>
        <w:pStyle w:val="Text"/>
      </w:pPr>
      <w:r w:rsidRPr="003354A3">
        <w:t>Overall</w:t>
      </w:r>
      <w:r w:rsidR="00513D36">
        <w:t>,</w:t>
      </w:r>
      <w:r w:rsidRPr="003354A3">
        <w:t xml:space="preserve"> the data show us that there are more digital skills</w:t>
      </w:r>
      <w:r w:rsidR="00513D36">
        <w:t>-</w:t>
      </w:r>
      <w:r w:rsidRPr="003354A3">
        <w:t>related elective units of competencies than core</w:t>
      </w:r>
      <w:r w:rsidR="00513D36">
        <w:t>;</w:t>
      </w:r>
      <w:r w:rsidRPr="003354A3">
        <w:t xml:space="preserve"> however</w:t>
      </w:r>
      <w:r w:rsidR="00513D36">
        <w:t>,</w:t>
      </w:r>
      <w:r w:rsidRPr="003354A3">
        <w:t xml:space="preserve"> they are used in less than 50% of the qualifications in which they are specified. Those elective units with the most enrolments appear to have broader applicability to many industries.</w:t>
      </w:r>
    </w:p>
    <w:bookmarkEnd w:id="5"/>
    <w:bookmarkEnd w:id="6"/>
    <w:bookmarkEnd w:id="7"/>
    <w:bookmarkEnd w:id="8"/>
    <w:bookmarkEnd w:id="19"/>
    <w:p w14:paraId="028CB2FE" w14:textId="77777777" w:rsidR="001C3746" w:rsidRDefault="001C3746">
      <w:pPr>
        <w:spacing w:before="0" w:line="240" w:lineRule="auto"/>
        <w:rPr>
          <w:rFonts w:eastAsiaTheme="minorHAnsi"/>
          <w:b/>
          <w:noProof/>
          <w:color w:val="000000"/>
          <w:lang w:eastAsia="en-AU"/>
        </w:rPr>
      </w:pPr>
      <w:r>
        <w:rPr>
          <w:rFonts w:eastAsiaTheme="minorHAnsi"/>
          <w:b/>
          <w:noProof/>
          <w:lang w:eastAsia="en-AU"/>
        </w:rPr>
        <w:br w:type="page"/>
      </w:r>
    </w:p>
    <w:p w14:paraId="6ABB5A7E" w14:textId="77777777" w:rsidR="001C3746" w:rsidRPr="00C90A71" w:rsidRDefault="001C3746" w:rsidP="001C3746">
      <w:pPr>
        <w:pStyle w:val="Heading1"/>
        <w:rPr>
          <w:rFonts w:eastAsiaTheme="minorHAnsi"/>
          <w:noProof/>
          <w:lang w:eastAsia="en-AU"/>
        </w:rPr>
      </w:pPr>
      <w:bookmarkStart w:id="58" w:name="_Toc31711256"/>
      <w:r w:rsidRPr="00C90A71">
        <w:rPr>
          <w:rFonts w:eastAsiaTheme="minorHAnsi"/>
          <w:noProof/>
          <w:lang w:eastAsia="en-AU"/>
        </w:rPr>
        <w:lastRenderedPageBreak/>
        <w:t xml:space="preserve">Appendix B Digital Skills </w:t>
      </w:r>
      <w:r w:rsidRPr="001C3746">
        <w:rPr>
          <w:rFonts w:eastAsiaTheme="minorHAnsi"/>
        </w:rPr>
        <w:t>Framework</w:t>
      </w:r>
      <w:bookmarkEnd w:id="58"/>
    </w:p>
    <w:p w14:paraId="308B71AA" w14:textId="4C1AA05E" w:rsidR="001C3746" w:rsidRPr="00C90A71" w:rsidRDefault="001C3746" w:rsidP="009B712E">
      <w:pPr>
        <w:pStyle w:val="tabletitle"/>
      </w:pPr>
      <w:bookmarkStart w:id="59" w:name="_Toc536018741"/>
      <w:bookmarkStart w:id="60" w:name="_Toc21945875"/>
      <w:bookmarkStart w:id="61" w:name="_Toc31711374"/>
      <w:r w:rsidRPr="00C90A71">
        <w:t xml:space="preserve">Table B1 </w:t>
      </w:r>
      <w:r w:rsidRPr="00C90A71">
        <w:tab/>
        <w:t>Australian Workforce Digital Skills Framework</w:t>
      </w:r>
      <w:bookmarkEnd w:id="59"/>
      <w:bookmarkEnd w:id="60"/>
      <w:bookmarkEnd w:id="61"/>
      <w:r w:rsidRPr="00C90A71">
        <w:t xml:space="preserve"> </w:t>
      </w:r>
    </w:p>
    <w:tbl>
      <w:tblPr>
        <w:tblpPr w:leftFromText="180" w:rightFromText="180" w:vertAnchor="text" w:horzAnchor="margin" w:tblpY="91"/>
        <w:tblW w:w="8222" w:type="dxa"/>
        <w:tblBorders>
          <w:top w:val="single" w:sz="2" w:space="0" w:color="000000"/>
          <w:bottom w:val="single" w:sz="2" w:space="0" w:color="000000"/>
          <w:insideH w:val="single" w:sz="2" w:space="0" w:color="000000"/>
        </w:tblBorders>
        <w:tblLayout w:type="fixed"/>
        <w:tblLook w:val="0400" w:firstRow="0" w:lastRow="0" w:firstColumn="0" w:lastColumn="0" w:noHBand="0" w:noVBand="1"/>
      </w:tblPr>
      <w:tblGrid>
        <w:gridCol w:w="951"/>
        <w:gridCol w:w="1460"/>
        <w:gridCol w:w="1559"/>
        <w:gridCol w:w="1559"/>
        <w:gridCol w:w="1276"/>
        <w:gridCol w:w="1417"/>
      </w:tblGrid>
      <w:tr w:rsidR="001C3746" w:rsidRPr="00C90A71" w14:paraId="5B79EF33" w14:textId="77777777" w:rsidTr="001959C9">
        <w:trPr>
          <w:cantSplit/>
          <w:trHeight w:val="152"/>
          <w:tblHeader/>
        </w:trPr>
        <w:tc>
          <w:tcPr>
            <w:tcW w:w="951" w:type="dxa"/>
            <w:vMerge w:val="restart"/>
            <w:shd w:val="clear" w:color="auto" w:fill="D9D9D9"/>
            <w:tcMar>
              <w:top w:w="100" w:type="dxa"/>
              <w:left w:w="100" w:type="dxa"/>
              <w:bottom w:w="100" w:type="dxa"/>
              <w:right w:w="100" w:type="dxa"/>
            </w:tcMar>
          </w:tcPr>
          <w:p w14:paraId="709441B9" w14:textId="77777777" w:rsidR="001C3746" w:rsidRPr="00C90A71" w:rsidRDefault="001C3746" w:rsidP="001959C9">
            <w:pPr>
              <w:spacing w:before="80" w:after="80" w:line="240" w:lineRule="auto"/>
              <w:rPr>
                <w:rFonts w:ascii="Arial" w:hAnsi="Arial"/>
                <w:b/>
                <w:sz w:val="17"/>
              </w:rPr>
            </w:pPr>
            <w:bookmarkStart w:id="62" w:name="_Toc536018740"/>
            <w:r w:rsidRPr="00C90A71">
              <w:rPr>
                <w:rFonts w:ascii="Arial" w:hAnsi="Arial"/>
                <w:b/>
                <w:sz w:val="17"/>
              </w:rPr>
              <w:t xml:space="preserve">Digital skill content  </w:t>
            </w:r>
          </w:p>
        </w:tc>
        <w:tc>
          <w:tcPr>
            <w:tcW w:w="7271" w:type="dxa"/>
            <w:gridSpan w:val="5"/>
            <w:shd w:val="clear" w:color="auto" w:fill="D9D9D9"/>
            <w:tcMar>
              <w:top w:w="100" w:type="dxa"/>
              <w:left w:w="100" w:type="dxa"/>
              <w:bottom w:w="100" w:type="dxa"/>
              <w:right w:w="100" w:type="dxa"/>
            </w:tcMar>
          </w:tcPr>
          <w:p w14:paraId="02AA548A" w14:textId="77777777" w:rsidR="001C3746" w:rsidRPr="00C90A71" w:rsidRDefault="001C3746" w:rsidP="001959C9">
            <w:pPr>
              <w:spacing w:before="80" w:after="80" w:line="240" w:lineRule="auto"/>
              <w:jc w:val="center"/>
              <w:rPr>
                <w:rFonts w:ascii="Arial" w:hAnsi="Arial"/>
                <w:b/>
                <w:sz w:val="17"/>
              </w:rPr>
            </w:pPr>
            <w:r w:rsidRPr="00C90A71">
              <w:rPr>
                <w:rFonts w:ascii="Arial" w:hAnsi="Arial"/>
                <w:b/>
                <w:sz w:val="17"/>
              </w:rPr>
              <w:t>Level of need/ performance</w:t>
            </w:r>
          </w:p>
        </w:tc>
      </w:tr>
      <w:tr w:rsidR="001C3746" w:rsidRPr="00C90A71" w14:paraId="1D43D9A4" w14:textId="77777777" w:rsidTr="001959C9">
        <w:trPr>
          <w:cantSplit/>
          <w:trHeight w:val="215"/>
          <w:tblHeader/>
        </w:trPr>
        <w:tc>
          <w:tcPr>
            <w:tcW w:w="951" w:type="dxa"/>
            <w:vMerge/>
            <w:shd w:val="clear" w:color="auto" w:fill="D9D9D9"/>
            <w:tcMar>
              <w:top w:w="100" w:type="dxa"/>
              <w:left w:w="100" w:type="dxa"/>
              <w:bottom w:w="100" w:type="dxa"/>
              <w:right w:w="100" w:type="dxa"/>
            </w:tcMar>
          </w:tcPr>
          <w:p w14:paraId="6FDA52CA" w14:textId="77777777" w:rsidR="001C3746" w:rsidRPr="00C90A71" w:rsidRDefault="001C3746" w:rsidP="001959C9">
            <w:pPr>
              <w:spacing w:before="120" w:line="240" w:lineRule="auto"/>
              <w:rPr>
                <w:szCs w:val="19"/>
              </w:rPr>
            </w:pPr>
          </w:p>
        </w:tc>
        <w:tc>
          <w:tcPr>
            <w:tcW w:w="1460" w:type="dxa"/>
            <w:shd w:val="clear" w:color="auto" w:fill="D9D9D9"/>
            <w:tcMar>
              <w:top w:w="100" w:type="dxa"/>
              <w:left w:w="100" w:type="dxa"/>
              <w:bottom w:w="100" w:type="dxa"/>
              <w:right w:w="100" w:type="dxa"/>
            </w:tcMar>
          </w:tcPr>
          <w:p w14:paraId="25A7095E"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Literacy (1)</w:t>
            </w:r>
          </w:p>
        </w:tc>
        <w:tc>
          <w:tcPr>
            <w:tcW w:w="1559" w:type="dxa"/>
            <w:shd w:val="clear" w:color="auto" w:fill="D9D9D9"/>
            <w:tcMar>
              <w:top w:w="100" w:type="dxa"/>
              <w:left w:w="100" w:type="dxa"/>
              <w:bottom w:w="100" w:type="dxa"/>
              <w:right w:w="100" w:type="dxa"/>
            </w:tcMar>
          </w:tcPr>
          <w:p w14:paraId="141F29E7"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 xml:space="preserve">Competency (2) </w:t>
            </w:r>
          </w:p>
        </w:tc>
        <w:tc>
          <w:tcPr>
            <w:tcW w:w="1559" w:type="dxa"/>
            <w:shd w:val="clear" w:color="auto" w:fill="D9D9D9"/>
            <w:tcMar>
              <w:top w:w="100" w:type="dxa"/>
              <w:left w:w="100" w:type="dxa"/>
              <w:bottom w:w="100" w:type="dxa"/>
              <w:right w:w="100" w:type="dxa"/>
            </w:tcMar>
          </w:tcPr>
          <w:p w14:paraId="0A9732BA"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 xml:space="preserve">Proficiency (3) </w:t>
            </w:r>
          </w:p>
        </w:tc>
        <w:tc>
          <w:tcPr>
            <w:tcW w:w="1276" w:type="dxa"/>
            <w:shd w:val="clear" w:color="auto" w:fill="D9D9D9"/>
            <w:tcMar>
              <w:top w:w="100" w:type="dxa"/>
              <w:left w:w="100" w:type="dxa"/>
              <w:bottom w:w="100" w:type="dxa"/>
              <w:right w:w="100" w:type="dxa"/>
            </w:tcMar>
          </w:tcPr>
          <w:p w14:paraId="6581B8B3"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Fluency (4)</w:t>
            </w:r>
          </w:p>
        </w:tc>
        <w:tc>
          <w:tcPr>
            <w:tcW w:w="1417" w:type="dxa"/>
            <w:shd w:val="clear" w:color="auto" w:fill="D9D9D9"/>
            <w:tcMar>
              <w:top w:w="100" w:type="dxa"/>
              <w:left w:w="100" w:type="dxa"/>
              <w:bottom w:w="100" w:type="dxa"/>
              <w:right w:w="100" w:type="dxa"/>
            </w:tcMar>
          </w:tcPr>
          <w:p w14:paraId="3C978E88"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 xml:space="preserve">Savvy (5) </w:t>
            </w:r>
          </w:p>
        </w:tc>
      </w:tr>
      <w:tr w:rsidR="001C3746" w:rsidRPr="00C90A71" w14:paraId="3B6E6FF6" w14:textId="77777777" w:rsidTr="001959C9">
        <w:trPr>
          <w:trHeight w:val="1270"/>
        </w:trPr>
        <w:tc>
          <w:tcPr>
            <w:tcW w:w="951" w:type="dxa"/>
            <w:tcBorders>
              <w:bottom w:val="single" w:sz="2" w:space="0" w:color="000000"/>
            </w:tcBorders>
            <w:tcMar>
              <w:top w:w="100" w:type="dxa"/>
              <w:left w:w="100" w:type="dxa"/>
              <w:bottom w:w="100" w:type="dxa"/>
              <w:right w:w="100" w:type="dxa"/>
            </w:tcMar>
          </w:tcPr>
          <w:p w14:paraId="4F012113" w14:textId="77777777" w:rsidR="001C3746" w:rsidRPr="00C90A71" w:rsidRDefault="001C3746" w:rsidP="001959C9">
            <w:pPr>
              <w:spacing w:before="80" w:after="80" w:line="240" w:lineRule="auto"/>
              <w:rPr>
                <w:rFonts w:ascii="Arial" w:hAnsi="Arial"/>
                <w:b/>
                <w:sz w:val="17"/>
              </w:rPr>
            </w:pPr>
            <w:r w:rsidRPr="00C90A71">
              <w:rPr>
                <w:rFonts w:ascii="Arial" w:hAnsi="Arial"/>
                <w:b/>
                <w:sz w:val="17"/>
              </w:rPr>
              <w:t xml:space="preserve">Digital tools for working </w:t>
            </w:r>
          </w:p>
        </w:tc>
        <w:tc>
          <w:tcPr>
            <w:tcW w:w="1460" w:type="dxa"/>
            <w:tcBorders>
              <w:bottom w:val="single" w:sz="2" w:space="0" w:color="000000"/>
            </w:tcBorders>
            <w:tcMar>
              <w:top w:w="100" w:type="dxa"/>
              <w:left w:w="100" w:type="dxa"/>
              <w:bottom w:w="100" w:type="dxa"/>
              <w:right w:w="100" w:type="dxa"/>
            </w:tcMar>
          </w:tcPr>
          <w:p w14:paraId="795EAE17"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Understand various digital tools </w:t>
            </w:r>
          </w:p>
        </w:tc>
        <w:tc>
          <w:tcPr>
            <w:tcW w:w="1559" w:type="dxa"/>
            <w:tcBorders>
              <w:bottom w:val="single" w:sz="2" w:space="0" w:color="000000"/>
            </w:tcBorders>
            <w:tcMar>
              <w:top w:w="100" w:type="dxa"/>
              <w:left w:w="100" w:type="dxa"/>
              <w:bottom w:w="100" w:type="dxa"/>
              <w:right w:w="100" w:type="dxa"/>
            </w:tcMar>
          </w:tcPr>
          <w:p w14:paraId="4049A08A"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Basic use of various digital tools  </w:t>
            </w:r>
          </w:p>
        </w:tc>
        <w:tc>
          <w:tcPr>
            <w:tcW w:w="1559" w:type="dxa"/>
            <w:tcBorders>
              <w:bottom w:val="single" w:sz="2" w:space="0" w:color="000000"/>
            </w:tcBorders>
            <w:tcMar>
              <w:top w:w="100" w:type="dxa"/>
              <w:left w:w="100" w:type="dxa"/>
              <w:bottom w:w="100" w:type="dxa"/>
              <w:right w:w="100" w:type="dxa"/>
            </w:tcMar>
          </w:tcPr>
          <w:p w14:paraId="63A0B575"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Application of advanced digital tools confidently and efficiently   </w:t>
            </w:r>
          </w:p>
        </w:tc>
        <w:tc>
          <w:tcPr>
            <w:tcW w:w="1276" w:type="dxa"/>
            <w:tcBorders>
              <w:bottom w:val="single" w:sz="2" w:space="0" w:color="000000"/>
            </w:tcBorders>
            <w:tcMar>
              <w:top w:w="100" w:type="dxa"/>
              <w:left w:w="100" w:type="dxa"/>
              <w:bottom w:w="100" w:type="dxa"/>
              <w:right w:w="100" w:type="dxa"/>
            </w:tcMar>
          </w:tcPr>
          <w:p w14:paraId="275E35DA"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Evaluate and select appropriate digital tools for working  </w:t>
            </w:r>
          </w:p>
        </w:tc>
        <w:tc>
          <w:tcPr>
            <w:tcW w:w="1417" w:type="dxa"/>
            <w:tcBorders>
              <w:bottom w:val="single" w:sz="2" w:space="0" w:color="000000"/>
            </w:tcBorders>
            <w:tcMar>
              <w:top w:w="100" w:type="dxa"/>
              <w:left w:w="100" w:type="dxa"/>
              <w:bottom w:w="100" w:type="dxa"/>
              <w:right w:w="100" w:type="dxa"/>
            </w:tcMar>
          </w:tcPr>
          <w:p w14:paraId="6444B8B2"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Suggest solutions to solve problems in the use of digital tools </w:t>
            </w:r>
          </w:p>
        </w:tc>
      </w:tr>
      <w:tr w:rsidR="001C3746" w:rsidRPr="00C90A71" w14:paraId="03EC2013" w14:textId="77777777" w:rsidTr="001959C9">
        <w:trPr>
          <w:trHeight w:val="1424"/>
        </w:trPr>
        <w:tc>
          <w:tcPr>
            <w:tcW w:w="951" w:type="dxa"/>
            <w:shd w:val="clear" w:color="auto" w:fill="D9D9D9"/>
            <w:tcMar>
              <w:top w:w="100" w:type="dxa"/>
              <w:left w:w="100" w:type="dxa"/>
              <w:bottom w:w="100" w:type="dxa"/>
              <w:right w:w="100" w:type="dxa"/>
            </w:tcMar>
          </w:tcPr>
          <w:p w14:paraId="16CA0E68" w14:textId="77777777" w:rsidR="001C3746" w:rsidRPr="00C90A71" w:rsidRDefault="001C3746" w:rsidP="001959C9">
            <w:pPr>
              <w:spacing w:before="80" w:after="80" w:line="240" w:lineRule="auto"/>
              <w:rPr>
                <w:rFonts w:ascii="Arial" w:hAnsi="Arial"/>
                <w:b/>
                <w:sz w:val="17"/>
              </w:rPr>
            </w:pPr>
            <w:r w:rsidRPr="00C90A71">
              <w:rPr>
                <w:rFonts w:ascii="Arial" w:hAnsi="Arial"/>
                <w:b/>
                <w:sz w:val="17"/>
              </w:rPr>
              <w:t xml:space="preserve">Digital ways of working </w:t>
            </w:r>
          </w:p>
        </w:tc>
        <w:tc>
          <w:tcPr>
            <w:tcW w:w="1460" w:type="dxa"/>
            <w:shd w:val="clear" w:color="auto" w:fill="D9D9D9"/>
            <w:tcMar>
              <w:top w:w="100" w:type="dxa"/>
              <w:left w:w="100" w:type="dxa"/>
              <w:bottom w:w="100" w:type="dxa"/>
              <w:right w:w="100" w:type="dxa"/>
            </w:tcMar>
          </w:tcPr>
          <w:p w14:paraId="60975DAF"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Recognise various digital ways of working </w:t>
            </w:r>
          </w:p>
        </w:tc>
        <w:tc>
          <w:tcPr>
            <w:tcW w:w="1559" w:type="dxa"/>
            <w:shd w:val="clear" w:color="auto" w:fill="D9D9D9"/>
            <w:tcMar>
              <w:top w:w="100" w:type="dxa"/>
              <w:left w:w="100" w:type="dxa"/>
              <w:bottom w:w="100" w:type="dxa"/>
              <w:right w:w="100" w:type="dxa"/>
            </w:tcMar>
          </w:tcPr>
          <w:p w14:paraId="29F1DB5E" w14:textId="7DF47EC0" w:rsidR="001C3746" w:rsidRPr="00C90A71" w:rsidRDefault="001C3746" w:rsidP="001959C9">
            <w:pPr>
              <w:spacing w:before="40" w:after="40" w:line="240" w:lineRule="auto"/>
              <w:rPr>
                <w:rFonts w:ascii="Arial" w:hAnsi="Arial"/>
                <w:sz w:val="16"/>
              </w:rPr>
            </w:pPr>
            <w:r w:rsidRPr="00C90A71">
              <w:rPr>
                <w:rFonts w:ascii="Arial" w:hAnsi="Arial"/>
                <w:sz w:val="16"/>
              </w:rPr>
              <w:t xml:space="preserve">Basic ability to work digitally such as find, retrieve and communicate information from a variety of information systems in a variety of formats </w:t>
            </w:r>
          </w:p>
        </w:tc>
        <w:tc>
          <w:tcPr>
            <w:tcW w:w="1559" w:type="dxa"/>
            <w:shd w:val="clear" w:color="auto" w:fill="D9D9D9"/>
            <w:tcMar>
              <w:top w:w="100" w:type="dxa"/>
              <w:left w:w="100" w:type="dxa"/>
              <w:bottom w:w="100" w:type="dxa"/>
              <w:right w:w="100" w:type="dxa"/>
            </w:tcMar>
          </w:tcPr>
          <w:p w14:paraId="3E7961FE" w14:textId="65C17092" w:rsidR="001C3746" w:rsidRPr="00C90A71" w:rsidRDefault="001C3746" w:rsidP="001959C9">
            <w:pPr>
              <w:spacing w:before="40" w:after="40" w:line="240" w:lineRule="auto"/>
              <w:rPr>
                <w:rFonts w:ascii="Arial" w:hAnsi="Arial"/>
                <w:sz w:val="16"/>
              </w:rPr>
            </w:pPr>
            <w:r w:rsidRPr="00C90A71">
              <w:rPr>
                <w:rFonts w:ascii="Arial" w:hAnsi="Arial"/>
                <w:sz w:val="16"/>
              </w:rPr>
              <w:t>Apply advanced features to work digitally such as to search</w:t>
            </w:r>
            <w:r w:rsidR="00AA6689">
              <w:rPr>
                <w:rFonts w:ascii="Arial" w:hAnsi="Arial"/>
                <w:sz w:val="16"/>
              </w:rPr>
              <w:t>,</w:t>
            </w:r>
            <w:r w:rsidRPr="00C90A71">
              <w:rPr>
                <w:rFonts w:ascii="Arial" w:hAnsi="Arial"/>
                <w:sz w:val="16"/>
              </w:rPr>
              <w:t xml:space="preserve"> find, retrieve, process and communicate information from advanced systems </w:t>
            </w:r>
          </w:p>
        </w:tc>
        <w:tc>
          <w:tcPr>
            <w:tcW w:w="1276" w:type="dxa"/>
            <w:shd w:val="clear" w:color="auto" w:fill="D9D9D9"/>
            <w:tcMar>
              <w:top w:w="100" w:type="dxa"/>
              <w:left w:w="100" w:type="dxa"/>
              <w:bottom w:w="100" w:type="dxa"/>
              <w:right w:w="100" w:type="dxa"/>
            </w:tcMar>
          </w:tcPr>
          <w:p w14:paraId="51B113A1"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Manage (analyse, compare, evaluate) the usefulness, relevancy, credibility, and reliability of digital ways of working  </w:t>
            </w:r>
          </w:p>
        </w:tc>
        <w:tc>
          <w:tcPr>
            <w:tcW w:w="1417" w:type="dxa"/>
            <w:shd w:val="clear" w:color="auto" w:fill="D9D9D9"/>
            <w:tcMar>
              <w:top w:w="100" w:type="dxa"/>
              <w:left w:w="100" w:type="dxa"/>
              <w:bottom w:w="100" w:type="dxa"/>
              <w:right w:w="100" w:type="dxa"/>
            </w:tcMar>
          </w:tcPr>
          <w:p w14:paraId="114AF6D6"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Identify and articulate digital ways of working issues; propose alternatives and participate in the implementation of new ways of working </w:t>
            </w:r>
          </w:p>
        </w:tc>
      </w:tr>
      <w:tr w:rsidR="001C3746" w:rsidRPr="00C90A71" w14:paraId="484F706F" w14:textId="77777777" w:rsidTr="001959C9">
        <w:trPr>
          <w:trHeight w:val="1270"/>
        </w:trPr>
        <w:tc>
          <w:tcPr>
            <w:tcW w:w="951" w:type="dxa"/>
            <w:tcBorders>
              <w:bottom w:val="single" w:sz="2" w:space="0" w:color="000000"/>
            </w:tcBorders>
            <w:tcMar>
              <w:top w:w="100" w:type="dxa"/>
              <w:left w:w="100" w:type="dxa"/>
              <w:bottom w:w="100" w:type="dxa"/>
              <w:right w:w="100" w:type="dxa"/>
            </w:tcMar>
          </w:tcPr>
          <w:p w14:paraId="14973273" w14:textId="77777777" w:rsidR="001C3746" w:rsidRPr="00C90A71" w:rsidRDefault="001C3746" w:rsidP="001959C9">
            <w:pPr>
              <w:spacing w:before="80" w:after="80" w:line="240" w:lineRule="auto"/>
              <w:rPr>
                <w:rFonts w:ascii="Arial" w:hAnsi="Arial"/>
                <w:b/>
                <w:sz w:val="17"/>
              </w:rPr>
            </w:pPr>
            <w:r w:rsidRPr="00C90A71">
              <w:rPr>
                <w:rFonts w:ascii="Arial" w:hAnsi="Arial"/>
                <w:b/>
                <w:sz w:val="17"/>
              </w:rPr>
              <w:t xml:space="preserve">Digital ways of thinking </w:t>
            </w:r>
          </w:p>
        </w:tc>
        <w:tc>
          <w:tcPr>
            <w:tcW w:w="1460" w:type="dxa"/>
            <w:tcBorders>
              <w:bottom w:val="single" w:sz="2" w:space="0" w:color="000000"/>
            </w:tcBorders>
            <w:tcMar>
              <w:top w:w="100" w:type="dxa"/>
              <w:left w:w="100" w:type="dxa"/>
              <w:bottom w:w="100" w:type="dxa"/>
              <w:right w:w="100" w:type="dxa"/>
            </w:tcMar>
          </w:tcPr>
          <w:p w14:paraId="07772C70" w14:textId="12AA7892" w:rsidR="001C3746" w:rsidRPr="00C90A71" w:rsidRDefault="001C3746" w:rsidP="001959C9">
            <w:pPr>
              <w:spacing w:before="40" w:after="40" w:line="240" w:lineRule="auto"/>
              <w:rPr>
                <w:rFonts w:ascii="Arial" w:hAnsi="Arial"/>
                <w:sz w:val="16"/>
              </w:rPr>
            </w:pPr>
            <w:r w:rsidRPr="00C90A71">
              <w:rPr>
                <w:rFonts w:ascii="Arial" w:hAnsi="Arial"/>
                <w:sz w:val="16"/>
              </w:rPr>
              <w:t xml:space="preserve">Awareness of how to seek support and assistance when facing digital problems </w:t>
            </w:r>
          </w:p>
        </w:tc>
        <w:tc>
          <w:tcPr>
            <w:tcW w:w="1559" w:type="dxa"/>
            <w:tcBorders>
              <w:bottom w:val="single" w:sz="2" w:space="0" w:color="000000"/>
            </w:tcBorders>
            <w:tcMar>
              <w:top w:w="100" w:type="dxa"/>
              <w:left w:w="100" w:type="dxa"/>
              <w:bottom w:w="100" w:type="dxa"/>
              <w:right w:w="100" w:type="dxa"/>
            </w:tcMar>
          </w:tcPr>
          <w:p w14:paraId="01F0832F"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Ability to communicate problems related to digital processes, routines and products </w:t>
            </w:r>
          </w:p>
          <w:p w14:paraId="02E541EC" w14:textId="77777777" w:rsidR="001C3746" w:rsidRPr="00C90A71" w:rsidRDefault="001C3746" w:rsidP="001959C9">
            <w:pPr>
              <w:spacing w:before="40" w:after="40" w:line="240" w:lineRule="auto"/>
              <w:rPr>
                <w:rFonts w:ascii="Arial" w:hAnsi="Arial"/>
                <w:sz w:val="16"/>
              </w:rPr>
            </w:pPr>
          </w:p>
        </w:tc>
        <w:tc>
          <w:tcPr>
            <w:tcW w:w="1559" w:type="dxa"/>
            <w:tcBorders>
              <w:bottom w:val="single" w:sz="2" w:space="0" w:color="000000"/>
            </w:tcBorders>
            <w:tcMar>
              <w:top w:w="100" w:type="dxa"/>
              <w:left w:w="100" w:type="dxa"/>
              <w:bottom w:w="100" w:type="dxa"/>
              <w:right w:w="100" w:type="dxa"/>
            </w:tcMar>
          </w:tcPr>
          <w:p w14:paraId="301EB5C8" w14:textId="77777777" w:rsidR="001C3746" w:rsidRPr="00C90A71" w:rsidRDefault="001C3746" w:rsidP="001959C9">
            <w:pPr>
              <w:spacing w:before="40" w:after="40" w:line="240" w:lineRule="auto"/>
              <w:rPr>
                <w:rFonts w:ascii="Arial" w:hAnsi="Arial"/>
                <w:sz w:val="16"/>
              </w:rPr>
            </w:pPr>
            <w:bookmarkStart w:id="63" w:name="_1ksv4uv" w:colFirst="0" w:colLast="0"/>
            <w:bookmarkEnd w:id="63"/>
            <w:r w:rsidRPr="00C90A71">
              <w:rPr>
                <w:rFonts w:ascii="Arial" w:hAnsi="Arial"/>
                <w:sz w:val="16"/>
              </w:rPr>
              <w:t>Investigates digital business processes, routines and products through an analytical and systematic approach to problem-solving</w:t>
            </w:r>
          </w:p>
        </w:tc>
        <w:tc>
          <w:tcPr>
            <w:tcW w:w="1276" w:type="dxa"/>
            <w:tcBorders>
              <w:bottom w:val="single" w:sz="2" w:space="0" w:color="000000"/>
            </w:tcBorders>
            <w:tcMar>
              <w:top w:w="100" w:type="dxa"/>
              <w:left w:w="100" w:type="dxa"/>
              <w:bottom w:w="100" w:type="dxa"/>
              <w:right w:w="100" w:type="dxa"/>
            </w:tcMar>
          </w:tcPr>
          <w:p w14:paraId="2530893A" w14:textId="77777777" w:rsidR="001C3746" w:rsidRPr="00C90A71" w:rsidRDefault="001C3746" w:rsidP="001959C9">
            <w:pPr>
              <w:spacing w:before="40" w:after="40" w:line="240" w:lineRule="auto"/>
              <w:rPr>
                <w:rFonts w:ascii="Arial" w:hAnsi="Arial"/>
                <w:sz w:val="16"/>
              </w:rPr>
            </w:pPr>
            <w:r w:rsidRPr="00C90A71">
              <w:rPr>
                <w:rFonts w:ascii="Arial" w:hAnsi="Arial"/>
                <w:sz w:val="16"/>
              </w:rPr>
              <w:t>Analyse and evaluate the strengths and weaknesses of alternative digital solutions, conclusions or approaches to problems</w:t>
            </w:r>
          </w:p>
          <w:p w14:paraId="520D4485" w14:textId="77777777" w:rsidR="001C3746" w:rsidRPr="00C90A71" w:rsidRDefault="001C3746" w:rsidP="001959C9">
            <w:pPr>
              <w:spacing w:before="40" w:after="40" w:line="240" w:lineRule="auto"/>
              <w:rPr>
                <w:rFonts w:ascii="Arial" w:hAnsi="Arial"/>
                <w:sz w:val="16"/>
              </w:rPr>
            </w:pPr>
          </w:p>
        </w:tc>
        <w:tc>
          <w:tcPr>
            <w:tcW w:w="1417" w:type="dxa"/>
            <w:tcBorders>
              <w:bottom w:val="single" w:sz="2" w:space="0" w:color="000000"/>
            </w:tcBorders>
            <w:tcMar>
              <w:top w:w="100" w:type="dxa"/>
              <w:left w:w="100" w:type="dxa"/>
              <w:bottom w:w="100" w:type="dxa"/>
              <w:right w:w="100" w:type="dxa"/>
            </w:tcMar>
          </w:tcPr>
          <w:p w14:paraId="620A82F9" w14:textId="77777777" w:rsidR="001C3746" w:rsidRPr="00C90A71" w:rsidRDefault="001C3746" w:rsidP="001959C9">
            <w:pPr>
              <w:spacing w:before="40" w:after="40" w:line="240" w:lineRule="auto"/>
              <w:rPr>
                <w:rFonts w:ascii="Arial" w:hAnsi="Arial"/>
                <w:sz w:val="16"/>
              </w:rPr>
            </w:pPr>
            <w:r w:rsidRPr="00C90A71">
              <w:rPr>
                <w:rFonts w:ascii="Arial" w:hAnsi="Arial"/>
                <w:sz w:val="16"/>
              </w:rPr>
              <w:t>Absorbs complex work problems and demonstrates a broad and deep ability to create innovative workplace digital work processes, routines and products</w:t>
            </w:r>
          </w:p>
        </w:tc>
      </w:tr>
      <w:tr w:rsidR="001C3746" w:rsidRPr="00C90A71" w14:paraId="61CE6378" w14:textId="77777777" w:rsidTr="001959C9">
        <w:trPr>
          <w:trHeight w:val="962"/>
        </w:trPr>
        <w:tc>
          <w:tcPr>
            <w:tcW w:w="951" w:type="dxa"/>
            <w:shd w:val="clear" w:color="auto" w:fill="D9D9D9"/>
            <w:tcMar>
              <w:top w:w="100" w:type="dxa"/>
              <w:left w:w="100" w:type="dxa"/>
              <w:bottom w:w="100" w:type="dxa"/>
              <w:right w:w="100" w:type="dxa"/>
            </w:tcMar>
          </w:tcPr>
          <w:p w14:paraId="2A993455" w14:textId="77777777" w:rsidR="001C3746" w:rsidRPr="00C90A71" w:rsidRDefault="001C3746" w:rsidP="001959C9">
            <w:pPr>
              <w:spacing w:before="80" w:after="80" w:line="240" w:lineRule="auto"/>
              <w:rPr>
                <w:rFonts w:ascii="Arial" w:hAnsi="Arial"/>
                <w:b/>
                <w:sz w:val="17"/>
              </w:rPr>
            </w:pPr>
            <w:r w:rsidRPr="00C90A71">
              <w:rPr>
                <w:rFonts w:ascii="Arial" w:hAnsi="Arial"/>
                <w:b/>
                <w:sz w:val="17"/>
              </w:rPr>
              <w:t>Living in the digital age</w:t>
            </w:r>
          </w:p>
        </w:tc>
        <w:tc>
          <w:tcPr>
            <w:tcW w:w="1460" w:type="dxa"/>
            <w:shd w:val="clear" w:color="auto" w:fill="D9D9D9"/>
            <w:tcMar>
              <w:top w:w="100" w:type="dxa"/>
              <w:left w:w="100" w:type="dxa"/>
              <w:bottom w:w="100" w:type="dxa"/>
              <w:right w:w="100" w:type="dxa"/>
            </w:tcMar>
          </w:tcPr>
          <w:p w14:paraId="52796AD5" w14:textId="0A77389E" w:rsidR="001C3746" w:rsidRPr="00C90A71" w:rsidRDefault="001C3746" w:rsidP="001959C9">
            <w:pPr>
              <w:spacing w:before="40" w:after="40" w:line="240" w:lineRule="auto"/>
              <w:rPr>
                <w:rFonts w:ascii="Arial" w:hAnsi="Arial"/>
                <w:sz w:val="16"/>
              </w:rPr>
            </w:pPr>
            <w:r w:rsidRPr="00C90A71">
              <w:rPr>
                <w:rFonts w:ascii="Arial" w:hAnsi="Arial"/>
                <w:sz w:val="16"/>
              </w:rPr>
              <w:t>Awareness of digital threats and the social and environmental implications of digital technologies as well as basic privacy and copyright provisions</w:t>
            </w:r>
            <w:r w:rsidR="00671300">
              <w:rPr>
                <w:rFonts w:ascii="Arial" w:hAnsi="Arial"/>
                <w:sz w:val="16"/>
              </w:rPr>
              <w:t>.</w:t>
            </w:r>
            <w:r w:rsidRPr="00C90A71">
              <w:rPr>
                <w:rFonts w:ascii="Arial" w:hAnsi="Arial"/>
                <w:sz w:val="16"/>
              </w:rPr>
              <w:t xml:space="preserve"> </w:t>
            </w:r>
          </w:p>
          <w:p w14:paraId="170451EF" w14:textId="77777777" w:rsidR="001C3746" w:rsidRPr="00C90A71" w:rsidRDefault="001C3746" w:rsidP="001959C9">
            <w:pPr>
              <w:spacing w:before="40" w:after="40" w:line="240" w:lineRule="auto"/>
              <w:rPr>
                <w:rFonts w:ascii="Arial" w:hAnsi="Arial"/>
                <w:sz w:val="16"/>
              </w:rPr>
            </w:pPr>
          </w:p>
        </w:tc>
        <w:tc>
          <w:tcPr>
            <w:tcW w:w="1559" w:type="dxa"/>
            <w:shd w:val="clear" w:color="auto" w:fill="D9D9D9"/>
            <w:tcMar>
              <w:top w:w="100" w:type="dxa"/>
              <w:left w:w="100" w:type="dxa"/>
              <w:bottom w:w="100" w:type="dxa"/>
              <w:right w:w="100" w:type="dxa"/>
            </w:tcMar>
          </w:tcPr>
          <w:p w14:paraId="1BC80E86" w14:textId="1AC3AFF6" w:rsidR="001C3746" w:rsidRPr="00C90A71" w:rsidRDefault="001C3746" w:rsidP="001959C9">
            <w:pPr>
              <w:spacing w:before="40" w:after="40" w:line="240" w:lineRule="auto"/>
              <w:rPr>
                <w:rFonts w:ascii="Arial" w:hAnsi="Arial"/>
                <w:sz w:val="16"/>
              </w:rPr>
            </w:pPr>
            <w:r w:rsidRPr="00C90A71">
              <w:rPr>
                <w:rFonts w:ascii="Arial" w:hAnsi="Arial"/>
                <w:sz w:val="16"/>
              </w:rPr>
              <w:t>Follow/comply with basic organisational rules and policies to protect hardware, software, information and systems (for example, using anti-viruses and passwords)</w:t>
            </w:r>
            <w:r w:rsidR="00671300">
              <w:rPr>
                <w:rFonts w:ascii="Arial" w:hAnsi="Arial"/>
                <w:sz w:val="16"/>
              </w:rPr>
              <w:t>.</w:t>
            </w:r>
            <w:r w:rsidRPr="00C90A71">
              <w:rPr>
                <w:rFonts w:ascii="Arial" w:hAnsi="Arial"/>
                <w:sz w:val="16"/>
              </w:rPr>
              <w:t xml:space="preserve"> </w:t>
            </w:r>
          </w:p>
        </w:tc>
        <w:tc>
          <w:tcPr>
            <w:tcW w:w="1559" w:type="dxa"/>
            <w:shd w:val="clear" w:color="auto" w:fill="D9D9D9"/>
            <w:tcMar>
              <w:top w:w="100" w:type="dxa"/>
              <w:left w:w="100" w:type="dxa"/>
              <w:bottom w:w="100" w:type="dxa"/>
              <w:right w:w="100" w:type="dxa"/>
            </w:tcMar>
          </w:tcPr>
          <w:p w14:paraId="64E1F635" w14:textId="60422A6F" w:rsidR="001C3746" w:rsidRPr="00C90A71" w:rsidRDefault="001C3746" w:rsidP="001959C9">
            <w:pPr>
              <w:spacing w:before="40" w:after="40" w:line="240" w:lineRule="auto"/>
              <w:rPr>
                <w:rFonts w:ascii="Arial" w:hAnsi="Arial"/>
                <w:sz w:val="16"/>
              </w:rPr>
            </w:pPr>
            <w:r w:rsidRPr="00C90A71">
              <w:rPr>
                <w:rFonts w:ascii="Arial" w:hAnsi="Arial"/>
                <w:sz w:val="16"/>
              </w:rPr>
              <w:t>Apply advanced tools, techniques and configurations to protect hardware, software, information and systems</w:t>
            </w:r>
            <w:r w:rsidR="00671300">
              <w:rPr>
                <w:rFonts w:ascii="Arial" w:hAnsi="Arial"/>
                <w:sz w:val="16"/>
              </w:rPr>
              <w:t>.</w:t>
            </w:r>
            <w:r w:rsidRPr="00C90A71">
              <w:rPr>
                <w:rFonts w:ascii="Arial" w:hAnsi="Arial"/>
                <w:sz w:val="16"/>
              </w:rPr>
              <w:t xml:space="preserve">  </w:t>
            </w:r>
          </w:p>
        </w:tc>
        <w:tc>
          <w:tcPr>
            <w:tcW w:w="1276" w:type="dxa"/>
            <w:shd w:val="clear" w:color="auto" w:fill="D9D9D9"/>
            <w:tcMar>
              <w:top w:w="100" w:type="dxa"/>
              <w:left w:w="100" w:type="dxa"/>
              <w:bottom w:w="100" w:type="dxa"/>
              <w:right w:w="100" w:type="dxa"/>
            </w:tcMar>
          </w:tcPr>
          <w:p w14:paraId="4BAF2CB0" w14:textId="6562DBC2" w:rsidR="001C3746" w:rsidRPr="00C90A71" w:rsidRDefault="001C3746" w:rsidP="001959C9">
            <w:pPr>
              <w:spacing w:before="40" w:after="40" w:line="240" w:lineRule="auto"/>
              <w:rPr>
                <w:rFonts w:ascii="Arial" w:hAnsi="Arial"/>
                <w:sz w:val="16"/>
              </w:rPr>
            </w:pPr>
            <w:r w:rsidRPr="00C90A71">
              <w:rPr>
                <w:rFonts w:ascii="Arial" w:hAnsi="Arial"/>
                <w:sz w:val="16"/>
              </w:rPr>
              <w:t>Analyse digital risks and compliance to copyright and privacy to identify security threats and vulnerabilities</w:t>
            </w:r>
            <w:r w:rsidR="00671300">
              <w:rPr>
                <w:rFonts w:ascii="Arial" w:hAnsi="Arial"/>
                <w:sz w:val="16"/>
              </w:rPr>
              <w:t>.</w:t>
            </w:r>
            <w:r w:rsidRPr="00C90A71">
              <w:rPr>
                <w:rFonts w:ascii="Arial" w:hAnsi="Arial"/>
                <w:sz w:val="16"/>
              </w:rPr>
              <w:t xml:space="preserve"> </w:t>
            </w:r>
          </w:p>
        </w:tc>
        <w:tc>
          <w:tcPr>
            <w:tcW w:w="1417" w:type="dxa"/>
            <w:shd w:val="clear" w:color="auto" w:fill="D9D9D9"/>
            <w:tcMar>
              <w:top w:w="100" w:type="dxa"/>
              <w:left w:w="100" w:type="dxa"/>
              <w:bottom w:w="100" w:type="dxa"/>
              <w:right w:w="100" w:type="dxa"/>
            </w:tcMar>
          </w:tcPr>
          <w:p w14:paraId="1A524930" w14:textId="5DC215EE" w:rsidR="001C3746" w:rsidRPr="00C90A71" w:rsidRDefault="001C3746" w:rsidP="001959C9">
            <w:pPr>
              <w:spacing w:before="40" w:after="40" w:line="240" w:lineRule="auto"/>
              <w:rPr>
                <w:rFonts w:ascii="Arial" w:hAnsi="Arial"/>
                <w:sz w:val="16"/>
              </w:rPr>
            </w:pPr>
            <w:r w:rsidRPr="00C90A71">
              <w:rPr>
                <w:rFonts w:ascii="Arial" w:hAnsi="Arial"/>
                <w:sz w:val="16"/>
              </w:rPr>
              <w:t>Create policies and guidelines to improve digital security and protect copyright and privacy and keep up</w:t>
            </w:r>
            <w:r w:rsidR="00671300">
              <w:rPr>
                <w:rFonts w:ascii="Arial" w:hAnsi="Arial"/>
                <w:sz w:val="16"/>
              </w:rPr>
              <w:t xml:space="preserve"> </w:t>
            </w:r>
            <w:r w:rsidRPr="00C90A71">
              <w:rPr>
                <w:rFonts w:ascii="Arial" w:hAnsi="Arial"/>
                <w:sz w:val="16"/>
              </w:rPr>
              <w:t>to</w:t>
            </w:r>
            <w:r w:rsidR="00671300">
              <w:rPr>
                <w:rFonts w:ascii="Arial" w:hAnsi="Arial"/>
                <w:sz w:val="16"/>
              </w:rPr>
              <w:t xml:space="preserve"> </w:t>
            </w:r>
            <w:r w:rsidRPr="00C90A71">
              <w:rPr>
                <w:rFonts w:ascii="Arial" w:hAnsi="Arial"/>
                <w:sz w:val="16"/>
              </w:rPr>
              <w:t>date with latest security, privacy and copyright developments</w:t>
            </w:r>
            <w:r w:rsidR="00671300">
              <w:rPr>
                <w:rFonts w:ascii="Arial" w:hAnsi="Arial"/>
                <w:sz w:val="16"/>
              </w:rPr>
              <w:t>.</w:t>
            </w:r>
            <w:r w:rsidRPr="00C90A71">
              <w:rPr>
                <w:rFonts w:ascii="Arial" w:hAnsi="Arial"/>
                <w:sz w:val="16"/>
              </w:rPr>
              <w:t xml:space="preserve">  </w:t>
            </w:r>
          </w:p>
        </w:tc>
      </w:tr>
    </w:tbl>
    <w:p w14:paraId="45CAD2CD" w14:textId="77777777" w:rsidR="001C3746" w:rsidRPr="00C90A71" w:rsidRDefault="001C3746" w:rsidP="001C3746">
      <w:pPr>
        <w:spacing w:before="40" w:line="240" w:lineRule="auto"/>
        <w:ind w:left="567" w:hanging="567"/>
        <w:rPr>
          <w:rFonts w:ascii="Arial" w:hAnsi="Arial"/>
          <w:sz w:val="15"/>
        </w:rPr>
      </w:pPr>
    </w:p>
    <w:p w14:paraId="1105E502" w14:textId="77777777" w:rsidR="001C3746" w:rsidRDefault="001C3746" w:rsidP="001C3746">
      <w:pPr>
        <w:spacing w:before="40" w:line="240" w:lineRule="auto"/>
        <w:ind w:left="567" w:hanging="567"/>
        <w:rPr>
          <w:rFonts w:ascii="Arial" w:hAnsi="Arial"/>
          <w:sz w:val="15"/>
        </w:rPr>
      </w:pPr>
    </w:p>
    <w:p w14:paraId="2A2F2BBC" w14:textId="77777777" w:rsidR="001C3746" w:rsidRDefault="001C3746" w:rsidP="001C3746">
      <w:pPr>
        <w:spacing w:before="40" w:line="240" w:lineRule="auto"/>
        <w:ind w:left="567" w:hanging="567"/>
        <w:rPr>
          <w:rFonts w:ascii="Arial" w:hAnsi="Arial"/>
          <w:sz w:val="15"/>
        </w:rPr>
      </w:pPr>
    </w:p>
    <w:p w14:paraId="6EAD9300" w14:textId="77777777" w:rsidR="001C3746" w:rsidRDefault="001C3746" w:rsidP="001C3746">
      <w:pPr>
        <w:spacing w:before="40" w:line="240" w:lineRule="auto"/>
        <w:ind w:left="567" w:hanging="567"/>
        <w:rPr>
          <w:rFonts w:ascii="Arial" w:hAnsi="Arial"/>
          <w:sz w:val="15"/>
        </w:rPr>
      </w:pPr>
    </w:p>
    <w:p w14:paraId="13ED60B0" w14:textId="77777777" w:rsidR="001C3746" w:rsidRDefault="001C3746" w:rsidP="001C3746">
      <w:pPr>
        <w:spacing w:before="40" w:line="240" w:lineRule="auto"/>
        <w:ind w:left="567" w:hanging="567"/>
        <w:rPr>
          <w:rFonts w:ascii="Arial" w:hAnsi="Arial"/>
          <w:sz w:val="15"/>
        </w:rPr>
      </w:pPr>
    </w:p>
    <w:p w14:paraId="14A2F2D1" w14:textId="77777777" w:rsidR="001C3746" w:rsidRDefault="001C3746" w:rsidP="001C3746">
      <w:pPr>
        <w:spacing w:before="40" w:line="240" w:lineRule="auto"/>
        <w:ind w:left="567" w:hanging="567"/>
        <w:rPr>
          <w:rFonts w:ascii="Arial" w:hAnsi="Arial"/>
          <w:sz w:val="15"/>
        </w:rPr>
      </w:pPr>
    </w:p>
    <w:p w14:paraId="4A49FC37" w14:textId="77777777" w:rsidR="001C3746" w:rsidRDefault="001C3746" w:rsidP="001C3746">
      <w:pPr>
        <w:spacing w:before="40" w:line="240" w:lineRule="auto"/>
        <w:ind w:left="567" w:hanging="567"/>
        <w:rPr>
          <w:rFonts w:ascii="Arial" w:hAnsi="Arial"/>
          <w:sz w:val="15"/>
        </w:rPr>
      </w:pPr>
    </w:p>
    <w:p w14:paraId="135D9DFA" w14:textId="77777777" w:rsidR="001C3746" w:rsidRDefault="001C3746" w:rsidP="001C3746">
      <w:pPr>
        <w:spacing w:before="40" w:line="240" w:lineRule="auto"/>
        <w:ind w:left="567" w:hanging="567"/>
        <w:rPr>
          <w:rFonts w:ascii="Arial" w:hAnsi="Arial"/>
          <w:sz w:val="15"/>
        </w:rPr>
      </w:pPr>
    </w:p>
    <w:p w14:paraId="09824B0D" w14:textId="77777777" w:rsidR="001C3746" w:rsidRDefault="001C3746" w:rsidP="001C3746">
      <w:pPr>
        <w:spacing w:before="40" w:line="240" w:lineRule="auto"/>
        <w:ind w:left="567" w:hanging="567"/>
        <w:rPr>
          <w:rFonts w:ascii="Arial" w:hAnsi="Arial"/>
          <w:sz w:val="15"/>
        </w:rPr>
      </w:pPr>
    </w:p>
    <w:p w14:paraId="6685F348" w14:textId="77777777" w:rsidR="001C3746" w:rsidRDefault="001C3746" w:rsidP="001C3746">
      <w:pPr>
        <w:spacing w:before="40" w:line="240" w:lineRule="auto"/>
        <w:ind w:left="567" w:hanging="567"/>
        <w:rPr>
          <w:rFonts w:ascii="Arial" w:hAnsi="Arial"/>
          <w:sz w:val="15"/>
        </w:rPr>
      </w:pPr>
    </w:p>
    <w:p w14:paraId="3BD30EE3" w14:textId="77777777" w:rsidR="001C3746" w:rsidRDefault="001C3746" w:rsidP="001C3746">
      <w:pPr>
        <w:spacing w:before="40" w:line="240" w:lineRule="auto"/>
        <w:ind w:left="567" w:hanging="567"/>
        <w:rPr>
          <w:rFonts w:ascii="Arial" w:hAnsi="Arial"/>
          <w:sz w:val="15"/>
        </w:rPr>
      </w:pPr>
    </w:p>
    <w:p w14:paraId="2AEEEC5D" w14:textId="77777777" w:rsidR="001C3746" w:rsidRDefault="001C3746" w:rsidP="001C3746">
      <w:pPr>
        <w:spacing w:before="40" w:line="240" w:lineRule="auto"/>
        <w:ind w:left="567" w:hanging="567"/>
        <w:rPr>
          <w:rFonts w:ascii="Arial" w:hAnsi="Arial"/>
          <w:sz w:val="15"/>
        </w:rPr>
      </w:pPr>
    </w:p>
    <w:p w14:paraId="2AEE73B8" w14:textId="77777777" w:rsidR="001C3746" w:rsidRDefault="001C3746" w:rsidP="001C3746">
      <w:pPr>
        <w:spacing w:before="40" w:line="240" w:lineRule="auto"/>
        <w:ind w:left="567" w:hanging="567"/>
        <w:rPr>
          <w:rFonts w:ascii="Arial" w:hAnsi="Arial"/>
          <w:sz w:val="15"/>
        </w:rPr>
      </w:pPr>
    </w:p>
    <w:p w14:paraId="18DA1BB5" w14:textId="77777777" w:rsidR="001C3746" w:rsidRDefault="001C3746" w:rsidP="001C3746">
      <w:pPr>
        <w:spacing w:before="40" w:line="240" w:lineRule="auto"/>
        <w:ind w:left="567" w:hanging="567"/>
        <w:rPr>
          <w:rFonts w:ascii="Arial" w:hAnsi="Arial"/>
          <w:sz w:val="15"/>
        </w:rPr>
      </w:pPr>
    </w:p>
    <w:p w14:paraId="0265BBA2" w14:textId="77777777" w:rsidR="001C3746" w:rsidRDefault="001C3746" w:rsidP="001C3746">
      <w:pPr>
        <w:spacing w:before="40" w:line="240" w:lineRule="auto"/>
        <w:ind w:left="567" w:hanging="567"/>
        <w:rPr>
          <w:rFonts w:ascii="Arial" w:hAnsi="Arial"/>
          <w:sz w:val="15"/>
        </w:rPr>
      </w:pPr>
    </w:p>
    <w:p w14:paraId="13DBF744" w14:textId="77777777" w:rsidR="001C3746" w:rsidRDefault="001C3746" w:rsidP="001C3746">
      <w:pPr>
        <w:spacing w:before="40" w:line="240" w:lineRule="auto"/>
        <w:ind w:left="567" w:hanging="567"/>
        <w:rPr>
          <w:rFonts w:ascii="Arial" w:hAnsi="Arial"/>
          <w:sz w:val="15"/>
        </w:rPr>
      </w:pPr>
    </w:p>
    <w:p w14:paraId="78A9B522" w14:textId="77777777" w:rsidR="001C3746" w:rsidRDefault="001C3746" w:rsidP="001C3746">
      <w:pPr>
        <w:spacing w:before="40" w:line="240" w:lineRule="auto"/>
        <w:ind w:left="567" w:hanging="567"/>
        <w:rPr>
          <w:rFonts w:ascii="Arial" w:hAnsi="Arial"/>
          <w:sz w:val="15"/>
        </w:rPr>
      </w:pPr>
    </w:p>
    <w:p w14:paraId="2196CA7F" w14:textId="77777777" w:rsidR="001C3746" w:rsidRDefault="001C3746" w:rsidP="001C3746">
      <w:pPr>
        <w:spacing w:before="40" w:line="240" w:lineRule="auto"/>
        <w:ind w:left="567" w:hanging="567"/>
        <w:rPr>
          <w:rFonts w:ascii="Arial" w:hAnsi="Arial"/>
          <w:sz w:val="15"/>
        </w:rPr>
      </w:pPr>
    </w:p>
    <w:p w14:paraId="30E32867" w14:textId="77777777" w:rsidR="001C3746" w:rsidRDefault="001C3746" w:rsidP="001C3746">
      <w:pPr>
        <w:spacing w:before="40" w:line="240" w:lineRule="auto"/>
        <w:ind w:left="567" w:hanging="567"/>
        <w:rPr>
          <w:rFonts w:ascii="Arial" w:hAnsi="Arial"/>
          <w:sz w:val="15"/>
        </w:rPr>
      </w:pPr>
    </w:p>
    <w:p w14:paraId="1591CF16" w14:textId="77777777" w:rsidR="001C3746" w:rsidRDefault="001C3746" w:rsidP="001C3746">
      <w:pPr>
        <w:spacing w:before="40" w:line="240" w:lineRule="auto"/>
        <w:ind w:left="567" w:hanging="567"/>
        <w:rPr>
          <w:rFonts w:ascii="Arial" w:hAnsi="Arial"/>
          <w:sz w:val="15"/>
        </w:rPr>
      </w:pPr>
    </w:p>
    <w:p w14:paraId="15C24667" w14:textId="77777777" w:rsidR="001C3746" w:rsidRDefault="001C3746" w:rsidP="001C3746">
      <w:pPr>
        <w:spacing w:before="40" w:line="240" w:lineRule="auto"/>
        <w:ind w:left="567" w:hanging="567"/>
        <w:rPr>
          <w:rFonts w:ascii="Arial" w:hAnsi="Arial"/>
          <w:sz w:val="15"/>
        </w:rPr>
      </w:pPr>
    </w:p>
    <w:p w14:paraId="591394DD" w14:textId="77777777" w:rsidR="001C3746" w:rsidRDefault="001C3746" w:rsidP="001C3746">
      <w:pPr>
        <w:spacing w:before="40" w:line="240" w:lineRule="auto"/>
        <w:ind w:left="567" w:hanging="567"/>
        <w:rPr>
          <w:rFonts w:ascii="Arial" w:hAnsi="Arial"/>
          <w:sz w:val="15"/>
        </w:rPr>
      </w:pPr>
    </w:p>
    <w:p w14:paraId="5F42CC02" w14:textId="77777777" w:rsidR="001C3746" w:rsidRDefault="001C3746" w:rsidP="001C3746">
      <w:pPr>
        <w:spacing w:before="40" w:line="240" w:lineRule="auto"/>
        <w:ind w:left="567" w:hanging="567"/>
        <w:rPr>
          <w:rFonts w:ascii="Arial" w:hAnsi="Arial"/>
          <w:sz w:val="15"/>
        </w:rPr>
      </w:pPr>
    </w:p>
    <w:p w14:paraId="20994DE2" w14:textId="77777777" w:rsidR="001C3746" w:rsidRDefault="001C3746" w:rsidP="001C3746">
      <w:pPr>
        <w:spacing w:before="40" w:line="240" w:lineRule="auto"/>
        <w:ind w:left="567" w:hanging="567"/>
        <w:rPr>
          <w:rFonts w:ascii="Arial" w:hAnsi="Arial"/>
          <w:sz w:val="15"/>
        </w:rPr>
      </w:pPr>
    </w:p>
    <w:p w14:paraId="344D92D2" w14:textId="77777777" w:rsidR="001C3746" w:rsidRDefault="001C3746" w:rsidP="001C3746">
      <w:pPr>
        <w:spacing w:before="40" w:line="240" w:lineRule="auto"/>
        <w:ind w:left="567" w:hanging="567"/>
        <w:rPr>
          <w:rFonts w:ascii="Arial" w:hAnsi="Arial"/>
          <w:sz w:val="15"/>
        </w:rPr>
      </w:pPr>
    </w:p>
    <w:p w14:paraId="1F065337" w14:textId="77777777" w:rsidR="001C3746" w:rsidRDefault="001C3746" w:rsidP="001C3746">
      <w:pPr>
        <w:spacing w:before="40" w:line="240" w:lineRule="auto"/>
        <w:ind w:left="567" w:hanging="567"/>
        <w:rPr>
          <w:rFonts w:ascii="Arial" w:hAnsi="Arial"/>
          <w:sz w:val="15"/>
        </w:rPr>
      </w:pPr>
    </w:p>
    <w:p w14:paraId="50B31F0D" w14:textId="77777777" w:rsidR="001C3746" w:rsidRDefault="001C3746" w:rsidP="001C3746">
      <w:pPr>
        <w:spacing w:before="40" w:line="240" w:lineRule="auto"/>
        <w:ind w:left="567" w:hanging="567"/>
        <w:rPr>
          <w:rFonts w:ascii="Arial" w:hAnsi="Arial"/>
          <w:sz w:val="15"/>
        </w:rPr>
      </w:pPr>
    </w:p>
    <w:p w14:paraId="02BB06CD" w14:textId="77777777" w:rsidR="001C3746" w:rsidRDefault="001C3746" w:rsidP="001C3746">
      <w:pPr>
        <w:spacing w:before="40" w:line="240" w:lineRule="auto"/>
        <w:ind w:left="567" w:hanging="567"/>
        <w:rPr>
          <w:rFonts w:ascii="Arial" w:hAnsi="Arial"/>
          <w:sz w:val="15"/>
        </w:rPr>
      </w:pPr>
    </w:p>
    <w:p w14:paraId="5C00881D" w14:textId="77777777" w:rsidR="001C3746" w:rsidRDefault="001C3746" w:rsidP="001C3746">
      <w:pPr>
        <w:spacing w:before="40" w:line="240" w:lineRule="auto"/>
        <w:ind w:left="567" w:hanging="567"/>
        <w:rPr>
          <w:rFonts w:ascii="Arial" w:hAnsi="Arial"/>
          <w:sz w:val="15"/>
        </w:rPr>
      </w:pPr>
    </w:p>
    <w:p w14:paraId="1B72AFBC" w14:textId="77777777" w:rsidR="001C3746" w:rsidRDefault="001C3746" w:rsidP="001C3746">
      <w:pPr>
        <w:spacing w:before="40" w:line="240" w:lineRule="auto"/>
        <w:ind w:left="567" w:hanging="567"/>
        <w:rPr>
          <w:rFonts w:ascii="Arial" w:hAnsi="Arial"/>
          <w:sz w:val="15"/>
        </w:rPr>
      </w:pPr>
    </w:p>
    <w:p w14:paraId="19CC78B2" w14:textId="77777777" w:rsidR="001C3746" w:rsidRDefault="001C3746" w:rsidP="001C3746">
      <w:pPr>
        <w:spacing w:before="40" w:line="240" w:lineRule="auto"/>
        <w:ind w:left="567" w:hanging="567"/>
        <w:rPr>
          <w:rFonts w:ascii="Arial" w:hAnsi="Arial"/>
          <w:sz w:val="15"/>
        </w:rPr>
      </w:pPr>
    </w:p>
    <w:p w14:paraId="543EFD62" w14:textId="77777777" w:rsidR="001C3746" w:rsidRDefault="001C3746" w:rsidP="001C3746">
      <w:pPr>
        <w:spacing w:before="40" w:line="240" w:lineRule="auto"/>
        <w:ind w:left="567" w:hanging="567"/>
        <w:rPr>
          <w:rFonts w:ascii="Arial" w:hAnsi="Arial"/>
          <w:sz w:val="15"/>
        </w:rPr>
      </w:pPr>
    </w:p>
    <w:p w14:paraId="0F8B85B3" w14:textId="77777777" w:rsidR="001C3746" w:rsidRDefault="001C3746" w:rsidP="001C3746">
      <w:pPr>
        <w:spacing w:before="40" w:line="240" w:lineRule="auto"/>
        <w:ind w:left="567" w:hanging="567"/>
        <w:rPr>
          <w:rFonts w:ascii="Arial" w:hAnsi="Arial"/>
          <w:sz w:val="15"/>
        </w:rPr>
      </w:pPr>
    </w:p>
    <w:p w14:paraId="7694E97C" w14:textId="77777777" w:rsidR="001C3746" w:rsidRDefault="001C3746" w:rsidP="001C3746">
      <w:pPr>
        <w:spacing w:before="40" w:line="240" w:lineRule="auto"/>
        <w:ind w:left="567" w:hanging="567"/>
        <w:rPr>
          <w:rFonts w:ascii="Arial" w:hAnsi="Arial"/>
          <w:sz w:val="15"/>
        </w:rPr>
      </w:pPr>
    </w:p>
    <w:p w14:paraId="49CE227F" w14:textId="77777777" w:rsidR="001C3746" w:rsidRDefault="001C3746" w:rsidP="001C3746">
      <w:pPr>
        <w:spacing w:before="40" w:line="240" w:lineRule="auto"/>
        <w:ind w:left="567" w:hanging="567"/>
        <w:rPr>
          <w:rFonts w:ascii="Arial" w:hAnsi="Arial"/>
          <w:sz w:val="15"/>
        </w:rPr>
      </w:pPr>
    </w:p>
    <w:p w14:paraId="040E4412" w14:textId="77777777" w:rsidR="001C3746" w:rsidRDefault="001C3746" w:rsidP="001C3746">
      <w:pPr>
        <w:spacing w:before="40" w:line="240" w:lineRule="auto"/>
        <w:ind w:left="567" w:hanging="567"/>
        <w:rPr>
          <w:rFonts w:ascii="Arial" w:hAnsi="Arial"/>
          <w:sz w:val="15"/>
        </w:rPr>
      </w:pPr>
    </w:p>
    <w:p w14:paraId="32562987" w14:textId="77777777" w:rsidR="001C3746" w:rsidRDefault="001C3746" w:rsidP="001C3746">
      <w:pPr>
        <w:spacing w:before="40" w:line="240" w:lineRule="auto"/>
        <w:ind w:left="567" w:hanging="567"/>
        <w:rPr>
          <w:rFonts w:ascii="Arial" w:hAnsi="Arial"/>
          <w:sz w:val="15"/>
        </w:rPr>
      </w:pPr>
    </w:p>
    <w:p w14:paraId="2E83E25B" w14:textId="77777777" w:rsidR="001C3746" w:rsidRDefault="001C3746" w:rsidP="001C3746">
      <w:pPr>
        <w:spacing w:before="40" w:line="240" w:lineRule="auto"/>
        <w:ind w:left="567" w:hanging="567"/>
        <w:rPr>
          <w:rFonts w:ascii="Arial" w:hAnsi="Arial"/>
          <w:sz w:val="15"/>
        </w:rPr>
      </w:pPr>
    </w:p>
    <w:p w14:paraId="148F8D62" w14:textId="77777777" w:rsidR="001C3746" w:rsidRDefault="001C3746" w:rsidP="001C3746">
      <w:pPr>
        <w:spacing w:before="40" w:line="240" w:lineRule="auto"/>
        <w:ind w:left="567" w:hanging="567"/>
        <w:rPr>
          <w:rFonts w:ascii="Arial" w:hAnsi="Arial"/>
          <w:sz w:val="15"/>
        </w:rPr>
      </w:pPr>
    </w:p>
    <w:p w14:paraId="622FB7A6" w14:textId="77777777" w:rsidR="001C3746" w:rsidRDefault="001C3746" w:rsidP="001C3746">
      <w:pPr>
        <w:spacing w:before="40" w:line="240" w:lineRule="auto"/>
        <w:ind w:left="567" w:hanging="567"/>
        <w:rPr>
          <w:rFonts w:ascii="Arial" w:hAnsi="Arial"/>
          <w:sz w:val="15"/>
        </w:rPr>
      </w:pPr>
    </w:p>
    <w:p w14:paraId="5BA54D58" w14:textId="77777777" w:rsidR="001C3746" w:rsidRDefault="001C3746" w:rsidP="001C3746">
      <w:pPr>
        <w:spacing w:before="40" w:line="240" w:lineRule="auto"/>
        <w:ind w:left="567" w:hanging="567"/>
        <w:rPr>
          <w:rFonts w:ascii="Arial" w:hAnsi="Arial"/>
          <w:sz w:val="15"/>
        </w:rPr>
      </w:pPr>
    </w:p>
    <w:p w14:paraId="6F951457" w14:textId="77777777" w:rsidR="001C3746" w:rsidRDefault="001C3746" w:rsidP="001C3746">
      <w:pPr>
        <w:spacing w:before="40" w:line="240" w:lineRule="auto"/>
        <w:ind w:left="567" w:hanging="567"/>
        <w:rPr>
          <w:rFonts w:ascii="Arial" w:hAnsi="Arial"/>
          <w:sz w:val="15"/>
        </w:rPr>
      </w:pPr>
    </w:p>
    <w:p w14:paraId="453A329C" w14:textId="77777777" w:rsidR="001C3746" w:rsidRDefault="001C3746" w:rsidP="001C3746">
      <w:pPr>
        <w:spacing w:before="40" w:line="240" w:lineRule="auto"/>
        <w:ind w:left="567" w:hanging="567"/>
        <w:rPr>
          <w:rFonts w:ascii="Arial" w:hAnsi="Arial"/>
          <w:sz w:val="15"/>
        </w:rPr>
      </w:pPr>
    </w:p>
    <w:p w14:paraId="64B45ED0" w14:textId="77777777" w:rsidR="001C3746" w:rsidRDefault="001C3746" w:rsidP="001C3746">
      <w:pPr>
        <w:spacing w:before="40" w:line="240" w:lineRule="auto"/>
        <w:ind w:left="567" w:hanging="567"/>
        <w:rPr>
          <w:rFonts w:ascii="Arial" w:hAnsi="Arial"/>
          <w:sz w:val="15"/>
        </w:rPr>
      </w:pPr>
    </w:p>
    <w:p w14:paraId="76A65116" w14:textId="77777777" w:rsidR="001C3746" w:rsidRDefault="001C3746" w:rsidP="001C3746">
      <w:pPr>
        <w:spacing w:before="40" w:line="240" w:lineRule="auto"/>
        <w:ind w:left="567" w:hanging="567"/>
        <w:rPr>
          <w:rFonts w:ascii="Arial" w:hAnsi="Arial"/>
          <w:sz w:val="15"/>
        </w:rPr>
      </w:pPr>
    </w:p>
    <w:p w14:paraId="6581BF09" w14:textId="77777777" w:rsidR="001C3746" w:rsidRDefault="001C3746" w:rsidP="001C3746">
      <w:pPr>
        <w:spacing w:before="40" w:line="240" w:lineRule="auto"/>
        <w:ind w:left="567" w:hanging="567"/>
        <w:rPr>
          <w:rFonts w:ascii="Arial" w:hAnsi="Arial"/>
          <w:sz w:val="15"/>
        </w:rPr>
      </w:pPr>
    </w:p>
    <w:p w14:paraId="3D8ABAD3" w14:textId="7F892535" w:rsidR="001C3746" w:rsidRPr="00C90A71" w:rsidRDefault="001C3746" w:rsidP="001C3746">
      <w:pPr>
        <w:pStyle w:val="Source"/>
        <w:rPr>
          <w:sz w:val="17"/>
        </w:rPr>
      </w:pPr>
      <w:r w:rsidRPr="00C90A71">
        <w:t>Source: Gekara et al</w:t>
      </w:r>
      <w:r w:rsidR="00671300">
        <w:t>.</w:t>
      </w:r>
      <w:r w:rsidRPr="00C90A71">
        <w:t xml:space="preserve"> </w:t>
      </w:r>
      <w:r w:rsidR="00671300">
        <w:t>(</w:t>
      </w:r>
      <w:r w:rsidRPr="00C90A71">
        <w:t>2019b</w:t>
      </w:r>
      <w:r w:rsidR="00CA1436">
        <w:t>,</w:t>
      </w:r>
      <w:r w:rsidRPr="00C90A71">
        <w:t xml:space="preserve"> p.34</w:t>
      </w:r>
      <w:r w:rsidR="00CA1436">
        <w:t>).</w:t>
      </w:r>
      <w:r w:rsidRPr="00C90A71">
        <w:br w:type="page"/>
      </w:r>
    </w:p>
    <w:p w14:paraId="0E2E027A" w14:textId="5A4BEE0D" w:rsidR="001C3746" w:rsidRPr="00C90A71" w:rsidRDefault="001C3746" w:rsidP="009B712E">
      <w:pPr>
        <w:pStyle w:val="tabletitle"/>
      </w:pPr>
      <w:bookmarkStart w:id="64" w:name="_Toc21945876"/>
      <w:bookmarkStart w:id="65" w:name="_Toc31711375"/>
      <w:r w:rsidRPr="00C90A71">
        <w:lastRenderedPageBreak/>
        <w:t>Table B2</w:t>
      </w:r>
      <w:r w:rsidRPr="00C90A71">
        <w:tab/>
        <w:t xml:space="preserve">Australian Workforce Digital Skills Framework: </w:t>
      </w:r>
      <w:r w:rsidR="007207BD">
        <w:t>d</w:t>
      </w:r>
      <w:r w:rsidRPr="00C90A71">
        <w:t>igital skills category dimensions</w:t>
      </w:r>
      <w:bookmarkEnd w:id="62"/>
      <w:bookmarkEnd w:id="64"/>
      <w:bookmarkEnd w:id="65"/>
    </w:p>
    <w:tbl>
      <w:tblPr>
        <w:tblpPr w:leftFromText="180" w:rightFromText="180" w:vertAnchor="text" w:horzAnchor="margin" w:tblpY="52"/>
        <w:tblW w:w="7621" w:type="dxa"/>
        <w:tblBorders>
          <w:top w:val="single" w:sz="4" w:space="0" w:color="000000"/>
          <w:bottom w:val="single" w:sz="4" w:space="0" w:color="000000"/>
          <w:insideH w:val="single" w:sz="4" w:space="0" w:color="000000"/>
        </w:tblBorders>
        <w:tblLook w:val="0400" w:firstRow="0" w:lastRow="0" w:firstColumn="0" w:lastColumn="0" w:noHBand="0" w:noVBand="1"/>
      </w:tblPr>
      <w:tblGrid>
        <w:gridCol w:w="1234"/>
        <w:gridCol w:w="1745"/>
        <w:gridCol w:w="4642"/>
      </w:tblGrid>
      <w:tr w:rsidR="001C3746" w:rsidRPr="00C90A71" w14:paraId="53A98D15" w14:textId="77777777" w:rsidTr="001959C9">
        <w:trPr>
          <w:cantSplit/>
          <w:tblHeader/>
        </w:trPr>
        <w:tc>
          <w:tcPr>
            <w:tcW w:w="0" w:type="auto"/>
            <w:shd w:val="clear" w:color="auto" w:fill="D9D9D9"/>
          </w:tcPr>
          <w:p w14:paraId="1621C349" w14:textId="77777777" w:rsidR="001C3746" w:rsidRPr="00C90A71" w:rsidRDefault="001C3746" w:rsidP="001959C9">
            <w:pPr>
              <w:spacing w:before="80" w:after="80" w:line="240" w:lineRule="auto"/>
              <w:rPr>
                <w:rFonts w:ascii="Arial" w:hAnsi="Arial"/>
                <w:b/>
                <w:sz w:val="17"/>
              </w:rPr>
            </w:pPr>
            <w:r w:rsidRPr="00C90A71">
              <w:rPr>
                <w:rFonts w:ascii="Arial" w:hAnsi="Arial"/>
                <w:b/>
                <w:sz w:val="17"/>
              </w:rPr>
              <w:t xml:space="preserve">Category </w:t>
            </w:r>
          </w:p>
        </w:tc>
        <w:tc>
          <w:tcPr>
            <w:tcW w:w="0" w:type="auto"/>
            <w:shd w:val="clear" w:color="auto" w:fill="D9D9D9"/>
          </w:tcPr>
          <w:p w14:paraId="284D8D81" w14:textId="77777777" w:rsidR="001C3746" w:rsidRPr="00C90A71" w:rsidRDefault="001C3746" w:rsidP="001959C9">
            <w:pPr>
              <w:spacing w:before="80" w:after="80" w:line="240" w:lineRule="auto"/>
              <w:rPr>
                <w:rFonts w:ascii="Arial" w:hAnsi="Arial"/>
                <w:b/>
                <w:sz w:val="17"/>
              </w:rPr>
            </w:pPr>
            <w:r w:rsidRPr="00C90A71">
              <w:rPr>
                <w:rFonts w:ascii="Arial" w:hAnsi="Arial"/>
                <w:b/>
                <w:sz w:val="17"/>
              </w:rPr>
              <w:t xml:space="preserve">Subcategory </w:t>
            </w:r>
          </w:p>
        </w:tc>
        <w:tc>
          <w:tcPr>
            <w:tcW w:w="4642" w:type="dxa"/>
            <w:shd w:val="clear" w:color="auto" w:fill="D9D9D9"/>
          </w:tcPr>
          <w:p w14:paraId="423A5A5E" w14:textId="77777777" w:rsidR="001C3746" w:rsidRPr="00C90A71" w:rsidRDefault="001C3746" w:rsidP="001959C9">
            <w:pPr>
              <w:spacing w:before="80" w:after="80" w:line="240" w:lineRule="auto"/>
              <w:rPr>
                <w:rFonts w:ascii="Arial" w:hAnsi="Arial"/>
                <w:b/>
                <w:sz w:val="17"/>
              </w:rPr>
            </w:pPr>
            <w:r w:rsidRPr="00C90A71">
              <w:rPr>
                <w:rFonts w:ascii="Arial" w:hAnsi="Arial"/>
                <w:b/>
                <w:sz w:val="17"/>
              </w:rPr>
              <w:t xml:space="preserve">Indicator </w:t>
            </w:r>
          </w:p>
        </w:tc>
      </w:tr>
      <w:tr w:rsidR="001C3746" w:rsidRPr="00C90A71" w14:paraId="6AD3A14C" w14:textId="77777777" w:rsidTr="001959C9">
        <w:trPr>
          <w:cantSplit/>
          <w:trHeight w:val="335"/>
          <w:tblHeader/>
        </w:trPr>
        <w:tc>
          <w:tcPr>
            <w:tcW w:w="0" w:type="auto"/>
            <w:vMerge w:val="restart"/>
            <w:vAlign w:val="center"/>
          </w:tcPr>
          <w:p w14:paraId="2A963CAA"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Digital tools for working</w:t>
            </w:r>
          </w:p>
        </w:tc>
        <w:tc>
          <w:tcPr>
            <w:tcW w:w="0" w:type="auto"/>
            <w:vMerge w:val="restart"/>
            <w:vAlign w:val="center"/>
          </w:tcPr>
          <w:p w14:paraId="60A21E06"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Digital device  </w:t>
            </w:r>
          </w:p>
        </w:tc>
        <w:tc>
          <w:tcPr>
            <w:tcW w:w="4642" w:type="dxa"/>
            <w:vAlign w:val="center"/>
          </w:tcPr>
          <w:p w14:paraId="4666A4F8" w14:textId="77777777" w:rsidR="001C3746" w:rsidRPr="00C90A71" w:rsidRDefault="001C3746" w:rsidP="001959C9">
            <w:pPr>
              <w:spacing w:before="40" w:after="40" w:line="240" w:lineRule="auto"/>
              <w:rPr>
                <w:rFonts w:ascii="Arial" w:hAnsi="Arial"/>
                <w:sz w:val="16"/>
              </w:rPr>
            </w:pPr>
            <w:r w:rsidRPr="00C90A71">
              <w:rPr>
                <w:rFonts w:ascii="Arial" w:hAnsi="Arial"/>
                <w:sz w:val="16"/>
              </w:rPr>
              <w:t>Keyboard skills (keyboard dexterity)</w:t>
            </w:r>
          </w:p>
        </w:tc>
      </w:tr>
      <w:tr w:rsidR="001C3746" w:rsidRPr="00C90A71" w14:paraId="016414D7" w14:textId="77777777" w:rsidTr="001959C9">
        <w:trPr>
          <w:cantSplit/>
          <w:trHeight w:val="326"/>
          <w:tblHeader/>
        </w:trPr>
        <w:tc>
          <w:tcPr>
            <w:tcW w:w="0" w:type="auto"/>
            <w:vMerge/>
            <w:vAlign w:val="center"/>
          </w:tcPr>
          <w:p w14:paraId="53DFCD54" w14:textId="77777777" w:rsidR="001C3746" w:rsidRPr="00C90A71" w:rsidRDefault="001C3746" w:rsidP="001959C9">
            <w:pPr>
              <w:spacing w:before="40" w:after="40" w:line="240" w:lineRule="auto"/>
              <w:rPr>
                <w:rFonts w:ascii="Arial" w:hAnsi="Arial"/>
                <w:sz w:val="16"/>
              </w:rPr>
            </w:pPr>
          </w:p>
        </w:tc>
        <w:tc>
          <w:tcPr>
            <w:tcW w:w="0" w:type="auto"/>
            <w:vMerge/>
            <w:vAlign w:val="center"/>
          </w:tcPr>
          <w:p w14:paraId="4BD4FEEF" w14:textId="77777777" w:rsidR="001C3746" w:rsidRPr="00C90A71" w:rsidRDefault="001C3746" w:rsidP="001959C9">
            <w:pPr>
              <w:spacing w:before="40" w:after="40" w:line="240" w:lineRule="auto"/>
              <w:rPr>
                <w:rFonts w:ascii="Arial" w:hAnsi="Arial"/>
                <w:sz w:val="16"/>
              </w:rPr>
            </w:pPr>
          </w:p>
        </w:tc>
        <w:tc>
          <w:tcPr>
            <w:tcW w:w="4642" w:type="dxa"/>
            <w:vAlign w:val="center"/>
          </w:tcPr>
          <w:p w14:paraId="4544F47C" w14:textId="77777777" w:rsidR="001C3746" w:rsidRPr="00C90A71" w:rsidRDefault="001C3746" w:rsidP="001959C9">
            <w:pPr>
              <w:spacing w:before="40" w:after="40" w:line="240" w:lineRule="auto"/>
              <w:rPr>
                <w:rFonts w:ascii="Arial" w:hAnsi="Arial"/>
                <w:sz w:val="16"/>
              </w:rPr>
            </w:pPr>
            <w:r w:rsidRPr="00C90A71">
              <w:rPr>
                <w:rFonts w:ascii="Arial" w:hAnsi="Arial"/>
                <w:sz w:val="16"/>
              </w:rPr>
              <w:t>Operate industry (job) specific digital technologies</w:t>
            </w:r>
          </w:p>
        </w:tc>
      </w:tr>
      <w:tr w:rsidR="001C3746" w:rsidRPr="00C90A71" w14:paraId="4A947A92" w14:textId="77777777" w:rsidTr="001959C9">
        <w:trPr>
          <w:cantSplit/>
          <w:trHeight w:val="661"/>
          <w:tblHeader/>
        </w:trPr>
        <w:tc>
          <w:tcPr>
            <w:tcW w:w="0" w:type="auto"/>
            <w:vMerge/>
            <w:vAlign w:val="center"/>
          </w:tcPr>
          <w:p w14:paraId="77801CC5" w14:textId="77777777" w:rsidR="001C3746" w:rsidRPr="00C90A71" w:rsidRDefault="001C3746" w:rsidP="001959C9">
            <w:pPr>
              <w:spacing w:before="40" w:after="40" w:line="240" w:lineRule="auto"/>
              <w:rPr>
                <w:rFonts w:ascii="Arial" w:hAnsi="Arial"/>
                <w:sz w:val="16"/>
              </w:rPr>
            </w:pPr>
          </w:p>
        </w:tc>
        <w:tc>
          <w:tcPr>
            <w:tcW w:w="0" w:type="auto"/>
            <w:vMerge/>
            <w:tcBorders>
              <w:bottom w:val="single" w:sz="4" w:space="0" w:color="000000"/>
            </w:tcBorders>
            <w:vAlign w:val="center"/>
          </w:tcPr>
          <w:p w14:paraId="08DCB944" w14:textId="77777777" w:rsidR="001C3746" w:rsidRPr="00C90A71" w:rsidRDefault="001C3746" w:rsidP="001959C9">
            <w:pPr>
              <w:spacing w:before="40" w:after="40" w:line="240" w:lineRule="auto"/>
              <w:rPr>
                <w:rFonts w:ascii="Arial" w:hAnsi="Arial"/>
                <w:sz w:val="16"/>
              </w:rPr>
            </w:pPr>
          </w:p>
        </w:tc>
        <w:tc>
          <w:tcPr>
            <w:tcW w:w="4642" w:type="dxa"/>
            <w:tcBorders>
              <w:bottom w:val="single" w:sz="4" w:space="0" w:color="000000"/>
            </w:tcBorders>
            <w:vAlign w:val="center"/>
          </w:tcPr>
          <w:p w14:paraId="16BC22EC" w14:textId="2C6F5254" w:rsidR="001C3746" w:rsidRPr="00C90A71" w:rsidRDefault="001C3746" w:rsidP="001959C9">
            <w:pPr>
              <w:spacing w:before="40" w:after="40" w:line="240" w:lineRule="auto"/>
              <w:rPr>
                <w:rFonts w:ascii="Arial" w:hAnsi="Arial"/>
                <w:sz w:val="16"/>
              </w:rPr>
            </w:pPr>
            <w:r w:rsidRPr="00C90A71">
              <w:rPr>
                <w:rFonts w:ascii="Arial" w:hAnsi="Arial"/>
                <w:sz w:val="16"/>
              </w:rPr>
              <w:t>Learn and adapt quickly to nascent and emerging technologies (such as social, mobile, internet of things, apps, robotics, artificial intelligence etc</w:t>
            </w:r>
            <w:r w:rsidR="00205460">
              <w:rPr>
                <w:rFonts w:ascii="Arial" w:hAnsi="Arial"/>
                <w:sz w:val="16"/>
              </w:rPr>
              <w:t>.</w:t>
            </w:r>
            <w:r w:rsidRPr="00C90A71">
              <w:rPr>
                <w:rFonts w:ascii="Arial" w:hAnsi="Arial"/>
                <w:sz w:val="16"/>
              </w:rPr>
              <w:t>)</w:t>
            </w:r>
          </w:p>
        </w:tc>
      </w:tr>
      <w:tr w:rsidR="001C3746" w:rsidRPr="00C90A71" w14:paraId="1B2F066E" w14:textId="77777777" w:rsidTr="001959C9">
        <w:trPr>
          <w:cantSplit/>
          <w:trHeight w:val="479"/>
          <w:tblHeader/>
        </w:trPr>
        <w:tc>
          <w:tcPr>
            <w:tcW w:w="0" w:type="auto"/>
            <w:vMerge/>
            <w:vAlign w:val="center"/>
          </w:tcPr>
          <w:p w14:paraId="3D2F0DC7" w14:textId="77777777" w:rsidR="001C3746" w:rsidRPr="00C90A71" w:rsidRDefault="001C3746" w:rsidP="001959C9">
            <w:pPr>
              <w:spacing w:before="40" w:after="40" w:line="240" w:lineRule="auto"/>
              <w:rPr>
                <w:rFonts w:ascii="Arial" w:hAnsi="Arial"/>
                <w:sz w:val="16"/>
              </w:rPr>
            </w:pPr>
          </w:p>
        </w:tc>
        <w:tc>
          <w:tcPr>
            <w:tcW w:w="0" w:type="auto"/>
            <w:vMerge w:val="restart"/>
            <w:shd w:val="clear" w:color="auto" w:fill="D9D9D9"/>
            <w:vAlign w:val="center"/>
          </w:tcPr>
          <w:p w14:paraId="513063DC"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System competency </w:t>
            </w:r>
          </w:p>
        </w:tc>
        <w:tc>
          <w:tcPr>
            <w:tcW w:w="4642" w:type="dxa"/>
            <w:shd w:val="clear" w:color="auto" w:fill="D9D9D9"/>
            <w:vAlign w:val="center"/>
          </w:tcPr>
          <w:p w14:paraId="4873BD39" w14:textId="77777777" w:rsidR="001C3746" w:rsidRPr="00C90A71" w:rsidRDefault="001C3746" w:rsidP="001959C9">
            <w:pPr>
              <w:spacing w:before="40" w:after="40" w:line="240" w:lineRule="auto"/>
              <w:rPr>
                <w:rFonts w:ascii="Arial" w:hAnsi="Arial"/>
                <w:sz w:val="16"/>
              </w:rPr>
            </w:pPr>
            <w:r w:rsidRPr="00C90A71">
              <w:rPr>
                <w:rFonts w:ascii="Arial" w:hAnsi="Arial"/>
                <w:sz w:val="16"/>
              </w:rPr>
              <w:t>Use different enterprise information systems to complete complex transactions</w:t>
            </w:r>
          </w:p>
        </w:tc>
      </w:tr>
      <w:tr w:rsidR="001C3746" w:rsidRPr="00C90A71" w14:paraId="620785AE" w14:textId="77777777" w:rsidTr="001959C9">
        <w:trPr>
          <w:cantSplit/>
          <w:trHeight w:val="507"/>
          <w:tblHeader/>
        </w:trPr>
        <w:tc>
          <w:tcPr>
            <w:tcW w:w="0" w:type="auto"/>
            <w:vMerge/>
            <w:vAlign w:val="center"/>
          </w:tcPr>
          <w:p w14:paraId="761671D0" w14:textId="77777777" w:rsidR="001C3746" w:rsidRPr="00C90A71" w:rsidRDefault="001C3746" w:rsidP="001959C9">
            <w:pPr>
              <w:spacing w:before="40" w:after="40" w:line="240" w:lineRule="auto"/>
              <w:rPr>
                <w:rFonts w:ascii="Arial" w:hAnsi="Arial"/>
                <w:sz w:val="16"/>
              </w:rPr>
            </w:pPr>
          </w:p>
        </w:tc>
        <w:tc>
          <w:tcPr>
            <w:tcW w:w="0" w:type="auto"/>
            <w:vMerge/>
            <w:shd w:val="clear" w:color="auto" w:fill="D9D9D9"/>
            <w:vAlign w:val="center"/>
          </w:tcPr>
          <w:p w14:paraId="5619402F" w14:textId="77777777" w:rsidR="001C3746" w:rsidRPr="00C90A71" w:rsidRDefault="001C3746" w:rsidP="001959C9">
            <w:pPr>
              <w:spacing w:before="40" w:after="40" w:line="240" w:lineRule="auto"/>
              <w:rPr>
                <w:rFonts w:ascii="Arial" w:hAnsi="Arial"/>
                <w:sz w:val="16"/>
              </w:rPr>
            </w:pPr>
          </w:p>
        </w:tc>
        <w:tc>
          <w:tcPr>
            <w:tcW w:w="4642" w:type="dxa"/>
            <w:shd w:val="clear" w:color="auto" w:fill="D9D9D9"/>
            <w:vAlign w:val="center"/>
          </w:tcPr>
          <w:p w14:paraId="21C01C39"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Ability to extract insight from data analytics systems, engines and dashboards </w:t>
            </w:r>
          </w:p>
        </w:tc>
      </w:tr>
      <w:tr w:rsidR="001C3746" w:rsidRPr="00C90A71" w14:paraId="6A0FA87E" w14:textId="77777777" w:rsidTr="001959C9">
        <w:trPr>
          <w:cantSplit/>
          <w:trHeight w:val="380"/>
          <w:tblHeader/>
        </w:trPr>
        <w:tc>
          <w:tcPr>
            <w:tcW w:w="0" w:type="auto"/>
            <w:vMerge w:val="restart"/>
            <w:vAlign w:val="center"/>
          </w:tcPr>
          <w:p w14:paraId="55A04F48"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Digital ways of working</w:t>
            </w:r>
          </w:p>
        </w:tc>
        <w:tc>
          <w:tcPr>
            <w:tcW w:w="0" w:type="auto"/>
            <w:tcBorders>
              <w:bottom w:val="single" w:sz="4" w:space="0" w:color="000000"/>
            </w:tcBorders>
            <w:vAlign w:val="center"/>
          </w:tcPr>
          <w:p w14:paraId="020E6CA7"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Data analytics </w:t>
            </w:r>
          </w:p>
        </w:tc>
        <w:tc>
          <w:tcPr>
            <w:tcW w:w="4642" w:type="dxa"/>
            <w:tcBorders>
              <w:bottom w:val="single" w:sz="4" w:space="0" w:color="000000"/>
            </w:tcBorders>
            <w:vAlign w:val="center"/>
          </w:tcPr>
          <w:p w14:paraId="7E6B00EE" w14:textId="77777777" w:rsidR="001C3746" w:rsidRPr="00C90A71" w:rsidRDefault="001C3746" w:rsidP="001959C9">
            <w:pPr>
              <w:spacing w:before="40" w:after="40" w:line="240" w:lineRule="auto"/>
              <w:rPr>
                <w:rFonts w:ascii="Arial" w:hAnsi="Arial"/>
                <w:sz w:val="16"/>
              </w:rPr>
            </w:pPr>
            <w:r w:rsidRPr="00C90A71">
              <w:rPr>
                <w:rFonts w:ascii="Arial" w:hAnsi="Arial"/>
                <w:sz w:val="16"/>
              </w:rPr>
              <w:t>Ability to gather and analyse big data</w:t>
            </w:r>
          </w:p>
        </w:tc>
      </w:tr>
      <w:tr w:rsidR="001C3746" w:rsidRPr="00C90A71" w14:paraId="56A1223D" w14:textId="77777777" w:rsidTr="001959C9">
        <w:trPr>
          <w:cantSplit/>
          <w:trHeight w:val="534"/>
          <w:tblHeader/>
        </w:trPr>
        <w:tc>
          <w:tcPr>
            <w:tcW w:w="0" w:type="auto"/>
            <w:vMerge/>
            <w:vAlign w:val="center"/>
          </w:tcPr>
          <w:p w14:paraId="75BFC841" w14:textId="77777777" w:rsidR="001C3746" w:rsidRPr="00C90A71" w:rsidRDefault="001C3746" w:rsidP="001959C9">
            <w:pPr>
              <w:spacing w:before="40" w:after="40" w:line="240" w:lineRule="auto"/>
              <w:rPr>
                <w:rFonts w:ascii="Arial" w:hAnsi="Arial"/>
                <w:sz w:val="16"/>
              </w:rPr>
            </w:pPr>
          </w:p>
        </w:tc>
        <w:tc>
          <w:tcPr>
            <w:tcW w:w="0" w:type="auto"/>
            <w:vMerge w:val="restart"/>
            <w:shd w:val="clear" w:color="auto" w:fill="D9D9D9"/>
            <w:vAlign w:val="center"/>
          </w:tcPr>
          <w:p w14:paraId="597267B0" w14:textId="77777777" w:rsidR="001C3746" w:rsidRPr="00C90A71" w:rsidRDefault="001C3746" w:rsidP="001959C9">
            <w:pPr>
              <w:spacing w:before="40" w:after="40" w:line="240" w:lineRule="auto"/>
              <w:rPr>
                <w:rFonts w:ascii="Arial" w:hAnsi="Arial"/>
                <w:sz w:val="16"/>
              </w:rPr>
            </w:pPr>
            <w:r w:rsidRPr="00C90A71">
              <w:rPr>
                <w:rFonts w:ascii="Arial" w:hAnsi="Arial"/>
                <w:sz w:val="16"/>
              </w:rPr>
              <w:t>Digital communication and collaboration</w:t>
            </w:r>
          </w:p>
        </w:tc>
        <w:tc>
          <w:tcPr>
            <w:tcW w:w="4642" w:type="dxa"/>
            <w:shd w:val="clear" w:color="auto" w:fill="D9D9D9"/>
            <w:vAlign w:val="center"/>
          </w:tcPr>
          <w:p w14:paraId="1500B15E" w14:textId="77777777" w:rsidR="001C3746" w:rsidRPr="00C90A71" w:rsidRDefault="001C3746" w:rsidP="001959C9">
            <w:pPr>
              <w:spacing w:before="40" w:after="40" w:line="240" w:lineRule="auto"/>
              <w:rPr>
                <w:rFonts w:ascii="Arial" w:hAnsi="Arial"/>
                <w:sz w:val="16"/>
              </w:rPr>
            </w:pPr>
            <w:r w:rsidRPr="00C90A71">
              <w:rPr>
                <w:rFonts w:ascii="Arial" w:hAnsi="Arial"/>
                <w:sz w:val="16"/>
              </w:rPr>
              <w:t>Use advanced features of digital technologies with confidence for communication, cooperation and collaboration</w:t>
            </w:r>
          </w:p>
        </w:tc>
      </w:tr>
      <w:tr w:rsidR="001C3746" w:rsidRPr="00C90A71" w14:paraId="51548D84" w14:textId="77777777" w:rsidTr="001959C9">
        <w:trPr>
          <w:cantSplit/>
          <w:trHeight w:val="674"/>
          <w:tblHeader/>
        </w:trPr>
        <w:tc>
          <w:tcPr>
            <w:tcW w:w="0" w:type="auto"/>
            <w:vMerge/>
            <w:vAlign w:val="center"/>
          </w:tcPr>
          <w:p w14:paraId="7EAB55BF" w14:textId="77777777" w:rsidR="001C3746" w:rsidRPr="00C90A71" w:rsidRDefault="001C3746" w:rsidP="001959C9">
            <w:pPr>
              <w:spacing w:before="40" w:after="40" w:line="240" w:lineRule="auto"/>
              <w:rPr>
                <w:rFonts w:ascii="Arial" w:hAnsi="Arial"/>
                <w:sz w:val="16"/>
              </w:rPr>
            </w:pPr>
          </w:p>
        </w:tc>
        <w:tc>
          <w:tcPr>
            <w:tcW w:w="0" w:type="auto"/>
            <w:vMerge/>
            <w:shd w:val="clear" w:color="auto" w:fill="D9D9D9"/>
            <w:vAlign w:val="center"/>
          </w:tcPr>
          <w:p w14:paraId="0E058D8E" w14:textId="77777777" w:rsidR="001C3746" w:rsidRPr="00C90A71" w:rsidRDefault="001C3746" w:rsidP="001959C9">
            <w:pPr>
              <w:spacing w:before="40" w:after="40" w:line="240" w:lineRule="auto"/>
              <w:rPr>
                <w:rFonts w:ascii="Arial" w:hAnsi="Arial"/>
                <w:sz w:val="16"/>
              </w:rPr>
            </w:pPr>
          </w:p>
        </w:tc>
        <w:tc>
          <w:tcPr>
            <w:tcW w:w="4642" w:type="dxa"/>
            <w:shd w:val="clear" w:color="auto" w:fill="D9D9D9"/>
            <w:vAlign w:val="center"/>
          </w:tcPr>
          <w:p w14:paraId="06143C28" w14:textId="77777777" w:rsidR="001C3746" w:rsidRPr="00C90A71" w:rsidRDefault="001C3746" w:rsidP="001959C9">
            <w:pPr>
              <w:spacing w:before="40" w:after="40" w:line="240" w:lineRule="auto"/>
              <w:rPr>
                <w:rFonts w:ascii="Arial" w:hAnsi="Arial"/>
                <w:sz w:val="16"/>
              </w:rPr>
            </w:pPr>
            <w:r w:rsidRPr="00C90A71">
              <w:rPr>
                <w:rFonts w:ascii="Arial" w:hAnsi="Arial"/>
                <w:sz w:val="16"/>
              </w:rPr>
              <w:t>Effectively search, find, retrieve, process and communicate information from a variety of digital sources and in a variety of formats</w:t>
            </w:r>
          </w:p>
        </w:tc>
      </w:tr>
      <w:tr w:rsidR="001C3746" w:rsidRPr="00C90A71" w14:paraId="525021B6" w14:textId="77777777" w:rsidTr="001959C9">
        <w:trPr>
          <w:cantSplit/>
          <w:trHeight w:val="353"/>
          <w:tblHeader/>
        </w:trPr>
        <w:tc>
          <w:tcPr>
            <w:tcW w:w="0" w:type="auto"/>
            <w:vMerge w:val="restart"/>
            <w:vAlign w:val="center"/>
          </w:tcPr>
          <w:p w14:paraId="33C5E9A1"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 xml:space="preserve">Digital ways   of thinking </w:t>
            </w:r>
          </w:p>
        </w:tc>
        <w:tc>
          <w:tcPr>
            <w:tcW w:w="0" w:type="auto"/>
            <w:vMerge w:val="restart"/>
            <w:vAlign w:val="center"/>
          </w:tcPr>
          <w:p w14:paraId="4AA095D0"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Digital creativity and innovation </w:t>
            </w:r>
          </w:p>
        </w:tc>
        <w:tc>
          <w:tcPr>
            <w:tcW w:w="4642" w:type="dxa"/>
            <w:vAlign w:val="center"/>
          </w:tcPr>
          <w:p w14:paraId="0DA01B9E" w14:textId="77777777" w:rsidR="001C3746" w:rsidRPr="00C90A71" w:rsidRDefault="001C3746" w:rsidP="001959C9">
            <w:pPr>
              <w:spacing w:before="40" w:after="40" w:line="240" w:lineRule="auto"/>
              <w:rPr>
                <w:rFonts w:ascii="Arial" w:hAnsi="Arial"/>
                <w:sz w:val="16"/>
              </w:rPr>
            </w:pPr>
            <w:r w:rsidRPr="00C90A71">
              <w:rPr>
                <w:rFonts w:ascii="Arial" w:hAnsi="Arial"/>
                <w:sz w:val="16"/>
              </w:rPr>
              <w:t>A mindset to function with an increasingly digitised workplace</w:t>
            </w:r>
          </w:p>
        </w:tc>
      </w:tr>
      <w:tr w:rsidR="001C3746" w:rsidRPr="00C90A71" w14:paraId="1E4F83D6" w14:textId="77777777" w:rsidTr="001959C9">
        <w:trPr>
          <w:cantSplit/>
          <w:trHeight w:val="506"/>
          <w:tblHeader/>
        </w:trPr>
        <w:tc>
          <w:tcPr>
            <w:tcW w:w="0" w:type="auto"/>
            <w:vMerge/>
            <w:vAlign w:val="center"/>
          </w:tcPr>
          <w:p w14:paraId="672A2E7D" w14:textId="77777777" w:rsidR="001C3746" w:rsidRPr="00C90A71" w:rsidRDefault="001C3746" w:rsidP="001959C9">
            <w:pPr>
              <w:spacing w:before="40" w:after="40" w:line="240" w:lineRule="auto"/>
              <w:rPr>
                <w:rFonts w:ascii="Arial" w:hAnsi="Arial"/>
                <w:sz w:val="16"/>
              </w:rPr>
            </w:pPr>
          </w:p>
        </w:tc>
        <w:tc>
          <w:tcPr>
            <w:tcW w:w="0" w:type="auto"/>
            <w:vMerge/>
            <w:vAlign w:val="center"/>
          </w:tcPr>
          <w:p w14:paraId="5846566A" w14:textId="77777777" w:rsidR="001C3746" w:rsidRPr="00C90A71" w:rsidRDefault="001C3746" w:rsidP="001959C9">
            <w:pPr>
              <w:spacing w:before="40" w:after="40" w:line="240" w:lineRule="auto"/>
              <w:rPr>
                <w:rFonts w:ascii="Arial" w:hAnsi="Arial"/>
                <w:sz w:val="16"/>
              </w:rPr>
            </w:pPr>
          </w:p>
        </w:tc>
        <w:tc>
          <w:tcPr>
            <w:tcW w:w="4642" w:type="dxa"/>
            <w:vAlign w:val="center"/>
          </w:tcPr>
          <w:p w14:paraId="1D6DF4A8" w14:textId="77777777" w:rsidR="001C3746" w:rsidRPr="00C90A71" w:rsidRDefault="001C3746" w:rsidP="001959C9">
            <w:pPr>
              <w:spacing w:before="40" w:after="40" w:line="240" w:lineRule="auto"/>
              <w:rPr>
                <w:rFonts w:ascii="Arial" w:hAnsi="Arial"/>
                <w:sz w:val="16"/>
              </w:rPr>
            </w:pPr>
            <w:r w:rsidRPr="00C90A71">
              <w:rPr>
                <w:rFonts w:ascii="Arial" w:hAnsi="Arial"/>
                <w:sz w:val="16"/>
              </w:rPr>
              <w:t>Entrepreneurial and commercialisation mindset in the digital workplace environment</w:t>
            </w:r>
          </w:p>
        </w:tc>
      </w:tr>
      <w:tr w:rsidR="001C3746" w:rsidRPr="00C90A71" w14:paraId="23283883" w14:textId="77777777" w:rsidTr="001959C9">
        <w:trPr>
          <w:cantSplit/>
          <w:trHeight w:val="520"/>
          <w:tblHeader/>
        </w:trPr>
        <w:tc>
          <w:tcPr>
            <w:tcW w:w="0" w:type="auto"/>
            <w:vMerge/>
            <w:vAlign w:val="center"/>
          </w:tcPr>
          <w:p w14:paraId="6B81620F" w14:textId="77777777" w:rsidR="001C3746" w:rsidRPr="00C90A71" w:rsidRDefault="001C3746" w:rsidP="001959C9">
            <w:pPr>
              <w:spacing w:before="40" w:after="40" w:line="240" w:lineRule="auto"/>
              <w:rPr>
                <w:rFonts w:ascii="Arial" w:hAnsi="Arial"/>
                <w:sz w:val="16"/>
              </w:rPr>
            </w:pPr>
          </w:p>
        </w:tc>
        <w:tc>
          <w:tcPr>
            <w:tcW w:w="0" w:type="auto"/>
            <w:vMerge/>
            <w:tcBorders>
              <w:bottom w:val="single" w:sz="4" w:space="0" w:color="000000"/>
            </w:tcBorders>
            <w:vAlign w:val="center"/>
          </w:tcPr>
          <w:p w14:paraId="5D9BD7ED" w14:textId="77777777" w:rsidR="001C3746" w:rsidRPr="00C90A71" w:rsidRDefault="001C3746" w:rsidP="001959C9">
            <w:pPr>
              <w:spacing w:before="40" w:after="40" w:line="240" w:lineRule="auto"/>
              <w:rPr>
                <w:rFonts w:ascii="Arial" w:hAnsi="Arial"/>
                <w:sz w:val="16"/>
              </w:rPr>
            </w:pPr>
          </w:p>
        </w:tc>
        <w:tc>
          <w:tcPr>
            <w:tcW w:w="4642" w:type="dxa"/>
            <w:tcBorders>
              <w:bottom w:val="single" w:sz="4" w:space="0" w:color="000000"/>
            </w:tcBorders>
            <w:vAlign w:val="center"/>
          </w:tcPr>
          <w:p w14:paraId="3EB79051" w14:textId="77777777" w:rsidR="001C3746" w:rsidRPr="00C90A71" w:rsidRDefault="001C3746" w:rsidP="001959C9">
            <w:pPr>
              <w:spacing w:before="40" w:after="40" w:line="240" w:lineRule="auto"/>
              <w:rPr>
                <w:rFonts w:ascii="Arial" w:hAnsi="Arial"/>
                <w:sz w:val="16"/>
              </w:rPr>
            </w:pPr>
            <w:r w:rsidRPr="00C90A71">
              <w:rPr>
                <w:rFonts w:ascii="Arial" w:hAnsi="Arial"/>
                <w:sz w:val="16"/>
              </w:rPr>
              <w:t>Creativity and experimental mindset in the digital workplace environment</w:t>
            </w:r>
          </w:p>
        </w:tc>
      </w:tr>
      <w:tr w:rsidR="001C3746" w:rsidRPr="00C90A71" w14:paraId="09C8B601" w14:textId="77777777" w:rsidTr="001959C9">
        <w:trPr>
          <w:cantSplit/>
          <w:trHeight w:val="506"/>
          <w:tblHeader/>
        </w:trPr>
        <w:tc>
          <w:tcPr>
            <w:tcW w:w="0" w:type="auto"/>
            <w:vMerge/>
            <w:vAlign w:val="center"/>
          </w:tcPr>
          <w:p w14:paraId="590CBF32" w14:textId="77777777" w:rsidR="001C3746" w:rsidRPr="00C90A71" w:rsidRDefault="001C3746" w:rsidP="001959C9">
            <w:pPr>
              <w:spacing w:before="40" w:after="40" w:line="240" w:lineRule="auto"/>
              <w:rPr>
                <w:rFonts w:ascii="Arial" w:hAnsi="Arial"/>
                <w:sz w:val="16"/>
              </w:rPr>
            </w:pPr>
          </w:p>
        </w:tc>
        <w:tc>
          <w:tcPr>
            <w:tcW w:w="0" w:type="auto"/>
            <w:vMerge w:val="restart"/>
            <w:shd w:val="clear" w:color="auto" w:fill="D9D9D9"/>
            <w:vAlign w:val="center"/>
          </w:tcPr>
          <w:p w14:paraId="590FD78D"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Digital problem-solving </w:t>
            </w:r>
          </w:p>
        </w:tc>
        <w:tc>
          <w:tcPr>
            <w:tcW w:w="4642" w:type="dxa"/>
            <w:shd w:val="clear" w:color="auto" w:fill="D9D9D9"/>
            <w:vAlign w:val="center"/>
          </w:tcPr>
          <w:p w14:paraId="4FCD15C3" w14:textId="77777777" w:rsidR="001C3746" w:rsidRPr="00C90A71" w:rsidRDefault="001C3746" w:rsidP="001959C9">
            <w:pPr>
              <w:spacing w:before="40" w:after="40" w:line="240" w:lineRule="auto"/>
              <w:rPr>
                <w:rFonts w:ascii="Arial" w:hAnsi="Arial"/>
                <w:sz w:val="16"/>
              </w:rPr>
            </w:pPr>
            <w:r w:rsidRPr="00C90A71">
              <w:rPr>
                <w:rFonts w:ascii="Arial" w:hAnsi="Arial"/>
                <w:sz w:val="16"/>
              </w:rPr>
              <w:t>Troubleshoot/solve problems that arise when using digital technologies</w:t>
            </w:r>
          </w:p>
        </w:tc>
      </w:tr>
      <w:tr w:rsidR="001C3746" w:rsidRPr="00C90A71" w14:paraId="47B41631" w14:textId="77777777" w:rsidTr="001959C9">
        <w:trPr>
          <w:cantSplit/>
          <w:trHeight w:val="507"/>
          <w:tblHeader/>
        </w:trPr>
        <w:tc>
          <w:tcPr>
            <w:tcW w:w="0" w:type="auto"/>
            <w:vMerge/>
            <w:vAlign w:val="center"/>
          </w:tcPr>
          <w:p w14:paraId="73FB07DF" w14:textId="77777777" w:rsidR="001C3746" w:rsidRPr="00C90A71" w:rsidRDefault="001C3746" w:rsidP="001959C9">
            <w:pPr>
              <w:spacing w:before="40" w:after="40" w:line="240" w:lineRule="auto"/>
              <w:rPr>
                <w:rFonts w:ascii="Arial" w:hAnsi="Arial"/>
                <w:sz w:val="16"/>
              </w:rPr>
            </w:pPr>
          </w:p>
        </w:tc>
        <w:tc>
          <w:tcPr>
            <w:tcW w:w="0" w:type="auto"/>
            <w:vMerge/>
            <w:shd w:val="clear" w:color="auto" w:fill="D9D9D9"/>
            <w:vAlign w:val="center"/>
          </w:tcPr>
          <w:p w14:paraId="0069E91B" w14:textId="77777777" w:rsidR="001C3746" w:rsidRPr="00C90A71" w:rsidRDefault="001C3746" w:rsidP="001959C9">
            <w:pPr>
              <w:spacing w:before="40" w:after="40" w:line="240" w:lineRule="auto"/>
              <w:rPr>
                <w:rFonts w:ascii="Arial" w:hAnsi="Arial"/>
                <w:sz w:val="16"/>
              </w:rPr>
            </w:pPr>
          </w:p>
        </w:tc>
        <w:tc>
          <w:tcPr>
            <w:tcW w:w="4642" w:type="dxa"/>
            <w:shd w:val="clear" w:color="auto" w:fill="D9D9D9"/>
            <w:vAlign w:val="center"/>
          </w:tcPr>
          <w:p w14:paraId="7A206448" w14:textId="77777777" w:rsidR="001C3746" w:rsidRPr="00C90A71" w:rsidRDefault="001C3746" w:rsidP="001959C9">
            <w:pPr>
              <w:spacing w:before="40" w:after="40" w:line="240" w:lineRule="auto"/>
              <w:rPr>
                <w:rFonts w:ascii="Arial" w:hAnsi="Arial"/>
                <w:sz w:val="16"/>
              </w:rPr>
            </w:pPr>
            <w:r w:rsidRPr="00C90A71">
              <w:rPr>
                <w:rFonts w:ascii="Arial" w:hAnsi="Arial"/>
                <w:sz w:val="16"/>
              </w:rPr>
              <w:t>Recognise workplace problems and needs in the digital environment and propose innovative solutions</w:t>
            </w:r>
          </w:p>
        </w:tc>
      </w:tr>
      <w:tr w:rsidR="001C3746" w:rsidRPr="00C90A71" w14:paraId="62D88F84" w14:textId="77777777" w:rsidTr="001959C9">
        <w:trPr>
          <w:cantSplit/>
          <w:trHeight w:val="521"/>
          <w:tblHeader/>
        </w:trPr>
        <w:tc>
          <w:tcPr>
            <w:tcW w:w="0" w:type="auto"/>
            <w:vMerge w:val="restart"/>
            <w:vAlign w:val="center"/>
          </w:tcPr>
          <w:p w14:paraId="62C43D93" w14:textId="77777777" w:rsidR="001C3746" w:rsidRPr="00C90A71" w:rsidRDefault="001C3746" w:rsidP="001959C9">
            <w:pPr>
              <w:tabs>
                <w:tab w:val="left" w:pos="992"/>
              </w:tabs>
              <w:spacing w:before="20" w:after="20" w:line="240" w:lineRule="auto"/>
              <w:rPr>
                <w:rFonts w:ascii="Arial" w:hAnsi="Arial"/>
                <w:sz w:val="17"/>
              </w:rPr>
            </w:pPr>
            <w:r w:rsidRPr="00C90A71">
              <w:rPr>
                <w:rFonts w:ascii="Arial" w:hAnsi="Arial"/>
                <w:sz w:val="17"/>
              </w:rPr>
              <w:t xml:space="preserve">Living in the digital age </w:t>
            </w:r>
          </w:p>
        </w:tc>
        <w:tc>
          <w:tcPr>
            <w:tcW w:w="0" w:type="auto"/>
            <w:vMerge w:val="restart"/>
            <w:vAlign w:val="center"/>
          </w:tcPr>
          <w:p w14:paraId="1D7B2033" w14:textId="77777777" w:rsidR="001C3746" w:rsidRPr="00C90A71" w:rsidRDefault="001C3746" w:rsidP="001959C9">
            <w:pPr>
              <w:spacing w:before="40" w:after="40" w:line="240" w:lineRule="auto"/>
              <w:rPr>
                <w:rFonts w:ascii="Arial" w:hAnsi="Arial"/>
                <w:sz w:val="16"/>
              </w:rPr>
            </w:pPr>
            <w:r w:rsidRPr="00C90A71">
              <w:rPr>
                <w:rFonts w:ascii="Arial" w:hAnsi="Arial"/>
                <w:sz w:val="16"/>
              </w:rPr>
              <w:t xml:space="preserve">Digital safety and security </w:t>
            </w:r>
          </w:p>
        </w:tc>
        <w:tc>
          <w:tcPr>
            <w:tcW w:w="4642" w:type="dxa"/>
            <w:vAlign w:val="center"/>
          </w:tcPr>
          <w:p w14:paraId="178EF84E" w14:textId="77777777" w:rsidR="001C3746" w:rsidRPr="00C90A71" w:rsidRDefault="001C3746" w:rsidP="001959C9">
            <w:pPr>
              <w:spacing w:before="40" w:after="40" w:line="240" w:lineRule="auto"/>
              <w:rPr>
                <w:rFonts w:ascii="Arial" w:hAnsi="Arial"/>
                <w:sz w:val="16"/>
              </w:rPr>
            </w:pPr>
            <w:r w:rsidRPr="00C90A71">
              <w:rPr>
                <w:rFonts w:ascii="Arial" w:hAnsi="Arial"/>
                <w:sz w:val="16"/>
              </w:rPr>
              <w:t>Comply with organisational policies to protect hardware, software, information and systems</w:t>
            </w:r>
          </w:p>
        </w:tc>
      </w:tr>
      <w:tr w:rsidR="001C3746" w:rsidRPr="00C90A71" w14:paraId="1E1F55A2" w14:textId="77777777" w:rsidTr="001959C9">
        <w:trPr>
          <w:cantSplit/>
          <w:trHeight w:val="493"/>
          <w:tblHeader/>
        </w:trPr>
        <w:tc>
          <w:tcPr>
            <w:tcW w:w="0" w:type="auto"/>
            <w:vMerge/>
            <w:vAlign w:val="center"/>
          </w:tcPr>
          <w:p w14:paraId="2906AA39" w14:textId="77777777" w:rsidR="001C3746" w:rsidRPr="00C90A71" w:rsidRDefault="001C3746" w:rsidP="001959C9">
            <w:pPr>
              <w:widowControl w:val="0"/>
              <w:spacing w:before="120" w:line="240" w:lineRule="auto"/>
              <w:rPr>
                <w:szCs w:val="19"/>
              </w:rPr>
            </w:pPr>
          </w:p>
        </w:tc>
        <w:tc>
          <w:tcPr>
            <w:tcW w:w="0" w:type="auto"/>
            <w:vMerge/>
            <w:tcBorders>
              <w:bottom w:val="single" w:sz="4" w:space="0" w:color="000000"/>
            </w:tcBorders>
            <w:vAlign w:val="center"/>
          </w:tcPr>
          <w:p w14:paraId="7FBD1C6D" w14:textId="77777777" w:rsidR="001C3746" w:rsidRPr="00C90A71" w:rsidRDefault="001C3746" w:rsidP="001959C9">
            <w:pPr>
              <w:spacing w:before="40" w:after="40" w:line="240" w:lineRule="auto"/>
              <w:rPr>
                <w:rFonts w:ascii="Arial" w:hAnsi="Arial"/>
                <w:sz w:val="16"/>
              </w:rPr>
            </w:pPr>
          </w:p>
        </w:tc>
        <w:tc>
          <w:tcPr>
            <w:tcW w:w="4642" w:type="dxa"/>
            <w:tcBorders>
              <w:bottom w:val="single" w:sz="4" w:space="0" w:color="000000"/>
            </w:tcBorders>
            <w:vAlign w:val="center"/>
          </w:tcPr>
          <w:p w14:paraId="14F88BFE" w14:textId="77777777" w:rsidR="001C3746" w:rsidRPr="00C90A71" w:rsidRDefault="001C3746" w:rsidP="001959C9">
            <w:pPr>
              <w:spacing w:before="40" w:after="40" w:line="240" w:lineRule="auto"/>
              <w:rPr>
                <w:rFonts w:ascii="Arial" w:hAnsi="Arial"/>
                <w:sz w:val="16"/>
              </w:rPr>
            </w:pPr>
            <w:r w:rsidRPr="00C90A71">
              <w:rPr>
                <w:rFonts w:ascii="Arial" w:hAnsi="Arial"/>
                <w:sz w:val="16"/>
              </w:rPr>
              <w:t>Analyse digital risks to identify cyber security threats and vulnerabilities</w:t>
            </w:r>
          </w:p>
        </w:tc>
      </w:tr>
      <w:tr w:rsidR="001C3746" w:rsidRPr="00C90A71" w14:paraId="0A090E70" w14:textId="77777777" w:rsidTr="001959C9">
        <w:trPr>
          <w:cantSplit/>
          <w:trHeight w:val="506"/>
          <w:tblHeader/>
        </w:trPr>
        <w:tc>
          <w:tcPr>
            <w:tcW w:w="0" w:type="auto"/>
            <w:vMerge/>
            <w:vAlign w:val="center"/>
          </w:tcPr>
          <w:p w14:paraId="3324F0D5" w14:textId="77777777" w:rsidR="001C3746" w:rsidRPr="00C90A71" w:rsidRDefault="001C3746" w:rsidP="001959C9">
            <w:pPr>
              <w:spacing w:before="120" w:line="240" w:lineRule="auto"/>
              <w:rPr>
                <w:szCs w:val="19"/>
              </w:rPr>
            </w:pPr>
          </w:p>
        </w:tc>
        <w:tc>
          <w:tcPr>
            <w:tcW w:w="0" w:type="auto"/>
            <w:vMerge w:val="restart"/>
            <w:shd w:val="clear" w:color="auto" w:fill="D9D9D9"/>
            <w:vAlign w:val="center"/>
          </w:tcPr>
          <w:p w14:paraId="2B37F213" w14:textId="77777777" w:rsidR="001C3746" w:rsidRPr="00C90A71" w:rsidRDefault="001C3746" w:rsidP="001959C9">
            <w:pPr>
              <w:spacing w:before="40" w:after="40" w:line="240" w:lineRule="auto"/>
              <w:rPr>
                <w:rFonts w:ascii="Arial" w:hAnsi="Arial"/>
                <w:sz w:val="16"/>
              </w:rPr>
            </w:pPr>
            <w:r w:rsidRPr="00C90A71">
              <w:rPr>
                <w:rFonts w:ascii="Arial" w:hAnsi="Arial"/>
                <w:sz w:val="16"/>
              </w:rPr>
              <w:t>Social and ethical responsibility</w:t>
            </w:r>
          </w:p>
        </w:tc>
        <w:tc>
          <w:tcPr>
            <w:tcW w:w="4642" w:type="dxa"/>
            <w:shd w:val="clear" w:color="auto" w:fill="D9D9D9"/>
            <w:vAlign w:val="center"/>
          </w:tcPr>
          <w:p w14:paraId="1C4E7C73" w14:textId="77777777" w:rsidR="001C3746" w:rsidRPr="00C90A71" w:rsidRDefault="001C3746" w:rsidP="001959C9">
            <w:pPr>
              <w:spacing w:before="40" w:after="40" w:line="240" w:lineRule="auto"/>
              <w:rPr>
                <w:rFonts w:ascii="Arial" w:hAnsi="Arial"/>
                <w:sz w:val="16"/>
              </w:rPr>
            </w:pPr>
            <w:r w:rsidRPr="00C90A71">
              <w:rPr>
                <w:rFonts w:ascii="Arial" w:hAnsi="Arial"/>
                <w:sz w:val="16"/>
              </w:rPr>
              <w:t>Understand the importance of privacy in handling data and information</w:t>
            </w:r>
          </w:p>
        </w:tc>
      </w:tr>
      <w:tr w:rsidR="001C3746" w:rsidRPr="00C90A71" w14:paraId="3037F43A" w14:textId="77777777" w:rsidTr="001959C9">
        <w:trPr>
          <w:cantSplit/>
          <w:trHeight w:val="534"/>
          <w:tblHeader/>
        </w:trPr>
        <w:tc>
          <w:tcPr>
            <w:tcW w:w="0" w:type="auto"/>
            <w:vMerge/>
          </w:tcPr>
          <w:p w14:paraId="187B9D2E" w14:textId="77777777" w:rsidR="001C3746" w:rsidRPr="00C90A71" w:rsidRDefault="001C3746" w:rsidP="001959C9">
            <w:pPr>
              <w:widowControl w:val="0"/>
              <w:spacing w:before="120" w:line="240" w:lineRule="auto"/>
              <w:rPr>
                <w:szCs w:val="19"/>
              </w:rPr>
            </w:pPr>
          </w:p>
        </w:tc>
        <w:tc>
          <w:tcPr>
            <w:tcW w:w="0" w:type="auto"/>
            <w:vMerge/>
            <w:shd w:val="clear" w:color="auto" w:fill="D9D9D9"/>
          </w:tcPr>
          <w:p w14:paraId="5949B3EB" w14:textId="77777777" w:rsidR="001C3746" w:rsidRPr="00C90A71" w:rsidRDefault="001C3746" w:rsidP="001959C9">
            <w:pPr>
              <w:spacing w:before="40" w:after="40" w:line="240" w:lineRule="auto"/>
              <w:rPr>
                <w:rFonts w:ascii="Arial" w:hAnsi="Arial"/>
                <w:sz w:val="16"/>
              </w:rPr>
            </w:pPr>
          </w:p>
        </w:tc>
        <w:tc>
          <w:tcPr>
            <w:tcW w:w="4642" w:type="dxa"/>
            <w:shd w:val="clear" w:color="auto" w:fill="D9D9D9"/>
            <w:vAlign w:val="center"/>
          </w:tcPr>
          <w:p w14:paraId="7B881FC6" w14:textId="23FF9A5A" w:rsidR="001C3746" w:rsidRPr="00C90A71" w:rsidRDefault="001C3746" w:rsidP="001959C9">
            <w:pPr>
              <w:spacing w:before="40" w:after="40" w:line="240" w:lineRule="auto"/>
              <w:rPr>
                <w:rFonts w:ascii="Arial" w:hAnsi="Arial"/>
                <w:sz w:val="16"/>
              </w:rPr>
            </w:pPr>
            <w:r w:rsidRPr="00C90A71">
              <w:rPr>
                <w:rFonts w:ascii="Arial" w:hAnsi="Arial"/>
                <w:sz w:val="16"/>
              </w:rPr>
              <w:t>Understand the positive and negative environmental impacts of digital technologies</w:t>
            </w:r>
            <w:r w:rsidR="00A97DD2">
              <w:rPr>
                <w:rFonts w:ascii="Arial" w:hAnsi="Arial"/>
                <w:sz w:val="16"/>
              </w:rPr>
              <w:t>.</w:t>
            </w:r>
          </w:p>
        </w:tc>
      </w:tr>
    </w:tbl>
    <w:p w14:paraId="6DA1344D" w14:textId="77777777" w:rsidR="001C3746" w:rsidRDefault="001C3746" w:rsidP="001C3746">
      <w:pPr>
        <w:spacing w:before="40" w:line="240" w:lineRule="auto"/>
        <w:ind w:left="567" w:hanging="567"/>
        <w:rPr>
          <w:rFonts w:ascii="Arial" w:hAnsi="Arial"/>
          <w:sz w:val="15"/>
        </w:rPr>
      </w:pPr>
    </w:p>
    <w:p w14:paraId="5C606901" w14:textId="77777777" w:rsidR="001C3746" w:rsidRDefault="001C3746" w:rsidP="001C3746">
      <w:pPr>
        <w:spacing w:before="40" w:line="240" w:lineRule="auto"/>
        <w:ind w:left="567" w:hanging="567"/>
        <w:rPr>
          <w:rFonts w:ascii="Arial" w:hAnsi="Arial"/>
          <w:sz w:val="15"/>
        </w:rPr>
      </w:pPr>
    </w:p>
    <w:p w14:paraId="79A92F17" w14:textId="77777777" w:rsidR="001C3746" w:rsidRDefault="001C3746" w:rsidP="001C3746">
      <w:pPr>
        <w:spacing w:before="40" w:line="240" w:lineRule="auto"/>
        <w:ind w:left="567" w:hanging="567"/>
        <w:rPr>
          <w:rFonts w:ascii="Arial" w:hAnsi="Arial"/>
          <w:sz w:val="15"/>
        </w:rPr>
      </w:pPr>
    </w:p>
    <w:p w14:paraId="6A807C7D" w14:textId="77777777" w:rsidR="001C3746" w:rsidRDefault="001C3746" w:rsidP="001C3746">
      <w:pPr>
        <w:spacing w:before="40" w:line="240" w:lineRule="auto"/>
        <w:ind w:left="567" w:hanging="567"/>
        <w:rPr>
          <w:rFonts w:ascii="Arial" w:hAnsi="Arial"/>
          <w:sz w:val="15"/>
        </w:rPr>
      </w:pPr>
    </w:p>
    <w:p w14:paraId="5E34C06B" w14:textId="77777777" w:rsidR="001C3746" w:rsidRDefault="001C3746" w:rsidP="001C3746">
      <w:pPr>
        <w:spacing w:before="40" w:line="240" w:lineRule="auto"/>
        <w:ind w:left="567" w:hanging="567"/>
        <w:rPr>
          <w:rFonts w:ascii="Arial" w:hAnsi="Arial"/>
          <w:sz w:val="15"/>
        </w:rPr>
      </w:pPr>
    </w:p>
    <w:p w14:paraId="28C6B020" w14:textId="77777777" w:rsidR="001C3746" w:rsidRDefault="001C3746" w:rsidP="001C3746">
      <w:pPr>
        <w:spacing w:before="40" w:line="240" w:lineRule="auto"/>
        <w:ind w:left="567" w:hanging="567"/>
        <w:rPr>
          <w:rFonts w:ascii="Arial" w:hAnsi="Arial"/>
          <w:sz w:val="15"/>
        </w:rPr>
      </w:pPr>
    </w:p>
    <w:p w14:paraId="695F7AA3" w14:textId="77777777" w:rsidR="001C3746" w:rsidRDefault="001C3746" w:rsidP="001C3746">
      <w:pPr>
        <w:spacing w:before="40" w:line="240" w:lineRule="auto"/>
        <w:ind w:left="567" w:hanging="567"/>
        <w:rPr>
          <w:rFonts w:ascii="Arial" w:hAnsi="Arial"/>
          <w:sz w:val="15"/>
        </w:rPr>
      </w:pPr>
    </w:p>
    <w:p w14:paraId="0EF0B634" w14:textId="77777777" w:rsidR="001C3746" w:rsidRDefault="001C3746" w:rsidP="001C3746">
      <w:pPr>
        <w:spacing w:before="40" w:line="240" w:lineRule="auto"/>
        <w:ind w:left="567" w:hanging="567"/>
        <w:rPr>
          <w:rFonts w:ascii="Arial" w:hAnsi="Arial"/>
          <w:sz w:val="15"/>
        </w:rPr>
      </w:pPr>
    </w:p>
    <w:p w14:paraId="438AAD73" w14:textId="77777777" w:rsidR="001C3746" w:rsidRDefault="001C3746" w:rsidP="001C3746">
      <w:pPr>
        <w:spacing w:before="40" w:line="240" w:lineRule="auto"/>
        <w:ind w:left="567" w:hanging="567"/>
        <w:rPr>
          <w:rFonts w:ascii="Arial" w:hAnsi="Arial"/>
          <w:sz w:val="15"/>
        </w:rPr>
      </w:pPr>
    </w:p>
    <w:p w14:paraId="3A2CF656" w14:textId="77777777" w:rsidR="001C3746" w:rsidRDefault="001C3746" w:rsidP="001C3746">
      <w:pPr>
        <w:spacing w:before="40" w:line="240" w:lineRule="auto"/>
        <w:ind w:left="567" w:hanging="567"/>
        <w:rPr>
          <w:rFonts w:ascii="Arial" w:hAnsi="Arial"/>
          <w:sz w:val="15"/>
        </w:rPr>
      </w:pPr>
    </w:p>
    <w:p w14:paraId="69F307BF" w14:textId="77777777" w:rsidR="001C3746" w:rsidRDefault="001C3746" w:rsidP="001C3746">
      <w:pPr>
        <w:spacing w:before="40" w:line="240" w:lineRule="auto"/>
        <w:ind w:left="567" w:hanging="567"/>
        <w:rPr>
          <w:rFonts w:ascii="Arial" w:hAnsi="Arial"/>
          <w:sz w:val="15"/>
        </w:rPr>
      </w:pPr>
    </w:p>
    <w:p w14:paraId="2B7D27AB" w14:textId="77777777" w:rsidR="001C3746" w:rsidRDefault="001C3746" w:rsidP="001C3746">
      <w:pPr>
        <w:spacing w:before="40" w:line="240" w:lineRule="auto"/>
        <w:ind w:left="567" w:hanging="567"/>
        <w:rPr>
          <w:rFonts w:ascii="Arial" w:hAnsi="Arial"/>
          <w:sz w:val="15"/>
        </w:rPr>
      </w:pPr>
    </w:p>
    <w:p w14:paraId="7B679991" w14:textId="77777777" w:rsidR="001C3746" w:rsidRDefault="001C3746" w:rsidP="001C3746">
      <w:pPr>
        <w:spacing w:before="40" w:line="240" w:lineRule="auto"/>
        <w:ind w:left="567" w:hanging="567"/>
        <w:rPr>
          <w:rFonts w:ascii="Arial" w:hAnsi="Arial"/>
          <w:sz w:val="15"/>
        </w:rPr>
      </w:pPr>
    </w:p>
    <w:p w14:paraId="507B56B2" w14:textId="77777777" w:rsidR="001C3746" w:rsidRDefault="001C3746" w:rsidP="001C3746">
      <w:pPr>
        <w:spacing w:before="40" w:line="240" w:lineRule="auto"/>
        <w:ind w:left="567" w:hanging="567"/>
        <w:rPr>
          <w:rFonts w:ascii="Arial" w:hAnsi="Arial"/>
          <w:sz w:val="15"/>
        </w:rPr>
      </w:pPr>
    </w:p>
    <w:p w14:paraId="26B9D0CB" w14:textId="77777777" w:rsidR="001C3746" w:rsidRDefault="001C3746" w:rsidP="001C3746">
      <w:pPr>
        <w:spacing w:before="40" w:line="240" w:lineRule="auto"/>
        <w:ind w:left="567" w:hanging="567"/>
        <w:rPr>
          <w:rFonts w:ascii="Arial" w:hAnsi="Arial"/>
          <w:sz w:val="15"/>
        </w:rPr>
      </w:pPr>
    </w:p>
    <w:p w14:paraId="418BC553" w14:textId="77777777" w:rsidR="001C3746" w:rsidRDefault="001C3746" w:rsidP="001C3746">
      <w:pPr>
        <w:spacing w:before="40" w:line="240" w:lineRule="auto"/>
        <w:ind w:left="567" w:hanging="567"/>
        <w:rPr>
          <w:rFonts w:ascii="Arial" w:hAnsi="Arial"/>
          <w:sz w:val="15"/>
        </w:rPr>
      </w:pPr>
    </w:p>
    <w:p w14:paraId="2A1DE93B" w14:textId="77777777" w:rsidR="001C3746" w:rsidRDefault="001C3746" w:rsidP="001C3746">
      <w:pPr>
        <w:spacing w:before="40" w:line="240" w:lineRule="auto"/>
        <w:ind w:left="567" w:hanging="567"/>
        <w:rPr>
          <w:rFonts w:ascii="Arial" w:hAnsi="Arial"/>
          <w:sz w:val="15"/>
        </w:rPr>
      </w:pPr>
    </w:p>
    <w:p w14:paraId="58893B5F" w14:textId="77777777" w:rsidR="001C3746" w:rsidRDefault="001C3746" w:rsidP="001C3746">
      <w:pPr>
        <w:spacing w:before="40" w:line="240" w:lineRule="auto"/>
        <w:ind w:left="567" w:hanging="567"/>
        <w:rPr>
          <w:rFonts w:ascii="Arial" w:hAnsi="Arial"/>
          <w:sz w:val="15"/>
        </w:rPr>
      </w:pPr>
    </w:p>
    <w:p w14:paraId="23B79B88" w14:textId="77777777" w:rsidR="001C3746" w:rsidRDefault="001C3746" w:rsidP="001C3746">
      <w:pPr>
        <w:spacing w:before="40" w:line="240" w:lineRule="auto"/>
        <w:ind w:left="567" w:hanging="567"/>
        <w:rPr>
          <w:rFonts w:ascii="Arial" w:hAnsi="Arial"/>
          <w:sz w:val="15"/>
        </w:rPr>
      </w:pPr>
    </w:p>
    <w:p w14:paraId="55D67916" w14:textId="77777777" w:rsidR="001C3746" w:rsidRDefault="001C3746" w:rsidP="001C3746">
      <w:pPr>
        <w:spacing w:before="40" w:line="240" w:lineRule="auto"/>
        <w:ind w:left="567" w:hanging="567"/>
        <w:rPr>
          <w:rFonts w:ascii="Arial" w:hAnsi="Arial"/>
          <w:sz w:val="15"/>
        </w:rPr>
      </w:pPr>
    </w:p>
    <w:p w14:paraId="1FF0222D" w14:textId="77777777" w:rsidR="001C3746" w:rsidRDefault="001C3746" w:rsidP="001C3746">
      <w:pPr>
        <w:spacing w:before="40" w:line="240" w:lineRule="auto"/>
        <w:ind w:left="567" w:hanging="567"/>
        <w:rPr>
          <w:rFonts w:ascii="Arial" w:hAnsi="Arial"/>
          <w:sz w:val="15"/>
        </w:rPr>
      </w:pPr>
    </w:p>
    <w:p w14:paraId="5A5BE260" w14:textId="77777777" w:rsidR="001C3746" w:rsidRDefault="001C3746" w:rsidP="001C3746">
      <w:pPr>
        <w:spacing w:before="40" w:line="240" w:lineRule="auto"/>
        <w:ind w:left="567" w:hanging="567"/>
        <w:rPr>
          <w:rFonts w:ascii="Arial" w:hAnsi="Arial"/>
          <w:sz w:val="15"/>
        </w:rPr>
      </w:pPr>
    </w:p>
    <w:p w14:paraId="12086866" w14:textId="77777777" w:rsidR="001C3746" w:rsidRDefault="001C3746" w:rsidP="001C3746">
      <w:pPr>
        <w:spacing w:before="40" w:line="240" w:lineRule="auto"/>
        <w:ind w:left="567" w:hanging="567"/>
        <w:rPr>
          <w:rFonts w:ascii="Arial" w:hAnsi="Arial"/>
          <w:sz w:val="15"/>
        </w:rPr>
      </w:pPr>
    </w:p>
    <w:p w14:paraId="6799DDA1" w14:textId="77777777" w:rsidR="001C3746" w:rsidRDefault="001C3746" w:rsidP="001C3746">
      <w:pPr>
        <w:spacing w:before="40" w:line="240" w:lineRule="auto"/>
        <w:ind w:left="567" w:hanging="567"/>
        <w:rPr>
          <w:rFonts w:ascii="Arial" w:hAnsi="Arial"/>
          <w:sz w:val="15"/>
        </w:rPr>
      </w:pPr>
    </w:p>
    <w:p w14:paraId="14D85BC2" w14:textId="77777777" w:rsidR="001C3746" w:rsidRDefault="001C3746" w:rsidP="001C3746">
      <w:pPr>
        <w:spacing w:before="40" w:line="240" w:lineRule="auto"/>
        <w:ind w:left="567" w:hanging="567"/>
        <w:rPr>
          <w:rFonts w:ascii="Arial" w:hAnsi="Arial"/>
          <w:sz w:val="15"/>
        </w:rPr>
      </w:pPr>
    </w:p>
    <w:p w14:paraId="4B44D507" w14:textId="77777777" w:rsidR="001C3746" w:rsidRDefault="001C3746" w:rsidP="001C3746">
      <w:pPr>
        <w:spacing w:before="40" w:line="240" w:lineRule="auto"/>
        <w:ind w:left="567" w:hanging="567"/>
        <w:rPr>
          <w:rFonts w:ascii="Arial" w:hAnsi="Arial"/>
          <w:sz w:val="15"/>
        </w:rPr>
      </w:pPr>
    </w:p>
    <w:p w14:paraId="2AAD462F" w14:textId="77777777" w:rsidR="001C3746" w:rsidRDefault="001C3746" w:rsidP="001C3746">
      <w:pPr>
        <w:spacing w:before="40" w:line="240" w:lineRule="auto"/>
        <w:ind w:left="567" w:hanging="567"/>
        <w:rPr>
          <w:rFonts w:ascii="Arial" w:hAnsi="Arial"/>
          <w:sz w:val="15"/>
        </w:rPr>
      </w:pPr>
    </w:p>
    <w:p w14:paraId="546A4E57" w14:textId="77777777" w:rsidR="001C3746" w:rsidRDefault="001C3746" w:rsidP="001C3746">
      <w:pPr>
        <w:spacing w:before="40" w:line="240" w:lineRule="auto"/>
        <w:ind w:left="567" w:hanging="567"/>
        <w:rPr>
          <w:rFonts w:ascii="Arial" w:hAnsi="Arial"/>
          <w:sz w:val="15"/>
        </w:rPr>
      </w:pPr>
    </w:p>
    <w:p w14:paraId="0D4C5492" w14:textId="77777777" w:rsidR="001C3746" w:rsidRDefault="001C3746" w:rsidP="001C3746">
      <w:pPr>
        <w:spacing w:before="40" w:line="240" w:lineRule="auto"/>
        <w:ind w:left="567" w:hanging="567"/>
        <w:rPr>
          <w:rFonts w:ascii="Arial" w:hAnsi="Arial"/>
          <w:sz w:val="15"/>
        </w:rPr>
      </w:pPr>
    </w:p>
    <w:p w14:paraId="44552D45" w14:textId="77777777" w:rsidR="001C3746" w:rsidRDefault="001C3746" w:rsidP="001C3746">
      <w:pPr>
        <w:spacing w:before="40" w:line="240" w:lineRule="auto"/>
        <w:ind w:left="567" w:hanging="567"/>
        <w:rPr>
          <w:rFonts w:ascii="Arial" w:hAnsi="Arial"/>
          <w:sz w:val="15"/>
        </w:rPr>
      </w:pPr>
    </w:p>
    <w:p w14:paraId="12B68DCE" w14:textId="77777777" w:rsidR="001C3746" w:rsidRDefault="001C3746" w:rsidP="001C3746">
      <w:pPr>
        <w:spacing w:before="40" w:line="240" w:lineRule="auto"/>
        <w:ind w:left="567" w:hanging="567"/>
        <w:rPr>
          <w:rFonts w:ascii="Arial" w:hAnsi="Arial"/>
          <w:sz w:val="15"/>
        </w:rPr>
      </w:pPr>
    </w:p>
    <w:p w14:paraId="006AD43B" w14:textId="77777777" w:rsidR="001C3746" w:rsidRDefault="001C3746" w:rsidP="001C3746">
      <w:pPr>
        <w:spacing w:before="40" w:line="240" w:lineRule="auto"/>
        <w:ind w:left="567" w:hanging="567"/>
        <w:rPr>
          <w:rFonts w:ascii="Arial" w:hAnsi="Arial"/>
          <w:sz w:val="15"/>
        </w:rPr>
      </w:pPr>
    </w:p>
    <w:p w14:paraId="1D5C9E59" w14:textId="77777777" w:rsidR="001C3746" w:rsidRDefault="001C3746" w:rsidP="001C3746">
      <w:pPr>
        <w:spacing w:before="40" w:line="240" w:lineRule="auto"/>
        <w:ind w:left="567" w:hanging="567"/>
        <w:rPr>
          <w:rFonts w:ascii="Arial" w:hAnsi="Arial"/>
          <w:sz w:val="15"/>
        </w:rPr>
      </w:pPr>
    </w:p>
    <w:p w14:paraId="053377AE" w14:textId="77777777" w:rsidR="001C3746" w:rsidRDefault="001C3746" w:rsidP="001C3746">
      <w:pPr>
        <w:spacing w:before="40" w:line="240" w:lineRule="auto"/>
        <w:ind w:left="567" w:hanging="567"/>
        <w:rPr>
          <w:rFonts w:ascii="Arial" w:hAnsi="Arial"/>
          <w:sz w:val="15"/>
        </w:rPr>
      </w:pPr>
    </w:p>
    <w:p w14:paraId="228307CC" w14:textId="77777777" w:rsidR="001C3746" w:rsidRDefault="001C3746" w:rsidP="001C3746">
      <w:pPr>
        <w:spacing w:before="40" w:line="240" w:lineRule="auto"/>
        <w:ind w:left="567" w:hanging="567"/>
        <w:rPr>
          <w:rFonts w:ascii="Arial" w:hAnsi="Arial"/>
          <w:sz w:val="15"/>
        </w:rPr>
      </w:pPr>
    </w:p>
    <w:p w14:paraId="17CED412" w14:textId="77777777" w:rsidR="001C3746" w:rsidRDefault="001C3746" w:rsidP="001C3746">
      <w:pPr>
        <w:spacing w:before="40" w:line="240" w:lineRule="auto"/>
        <w:ind w:left="567" w:hanging="567"/>
        <w:rPr>
          <w:rFonts w:ascii="Arial" w:hAnsi="Arial"/>
          <w:sz w:val="15"/>
        </w:rPr>
      </w:pPr>
    </w:p>
    <w:p w14:paraId="74AA8626" w14:textId="77777777" w:rsidR="001C3746" w:rsidRDefault="001C3746" w:rsidP="001C3746">
      <w:pPr>
        <w:spacing w:before="40" w:line="240" w:lineRule="auto"/>
        <w:ind w:left="567" w:hanging="567"/>
        <w:rPr>
          <w:rFonts w:ascii="Arial" w:hAnsi="Arial"/>
          <w:sz w:val="15"/>
        </w:rPr>
      </w:pPr>
    </w:p>
    <w:p w14:paraId="4CE94C90" w14:textId="77777777" w:rsidR="001C3746" w:rsidRDefault="001C3746" w:rsidP="001C3746">
      <w:pPr>
        <w:spacing w:before="40" w:line="240" w:lineRule="auto"/>
        <w:ind w:left="567" w:hanging="567"/>
        <w:rPr>
          <w:rFonts w:ascii="Arial" w:hAnsi="Arial"/>
          <w:sz w:val="15"/>
        </w:rPr>
      </w:pPr>
    </w:p>
    <w:p w14:paraId="2D2B0FFF" w14:textId="77777777" w:rsidR="001C3746" w:rsidRDefault="001C3746" w:rsidP="001C3746">
      <w:pPr>
        <w:spacing w:before="40" w:line="240" w:lineRule="auto"/>
        <w:ind w:left="567" w:hanging="567"/>
        <w:rPr>
          <w:rFonts w:ascii="Arial" w:hAnsi="Arial"/>
          <w:sz w:val="15"/>
        </w:rPr>
      </w:pPr>
    </w:p>
    <w:p w14:paraId="681181C0" w14:textId="77777777" w:rsidR="001C3746" w:rsidRDefault="001C3746" w:rsidP="001C3746">
      <w:pPr>
        <w:spacing w:before="40" w:line="240" w:lineRule="auto"/>
        <w:ind w:left="567" w:hanging="567"/>
        <w:rPr>
          <w:rFonts w:ascii="Arial" w:hAnsi="Arial"/>
          <w:sz w:val="15"/>
        </w:rPr>
      </w:pPr>
    </w:p>
    <w:p w14:paraId="02AB93F9" w14:textId="77777777" w:rsidR="001C3746" w:rsidRDefault="001C3746" w:rsidP="001C3746">
      <w:pPr>
        <w:spacing w:before="40" w:line="240" w:lineRule="auto"/>
        <w:ind w:left="567" w:hanging="567"/>
        <w:rPr>
          <w:rFonts w:ascii="Arial" w:hAnsi="Arial"/>
          <w:sz w:val="15"/>
        </w:rPr>
      </w:pPr>
    </w:p>
    <w:p w14:paraId="0B58562E" w14:textId="77777777" w:rsidR="001C3746" w:rsidRDefault="001C3746" w:rsidP="001C3746">
      <w:pPr>
        <w:spacing w:before="40" w:line="240" w:lineRule="auto"/>
        <w:ind w:left="567" w:hanging="567"/>
        <w:rPr>
          <w:rFonts w:ascii="Arial" w:hAnsi="Arial"/>
          <w:sz w:val="15"/>
        </w:rPr>
      </w:pPr>
    </w:p>
    <w:p w14:paraId="56EEE852" w14:textId="77777777" w:rsidR="001C3746" w:rsidRDefault="001C3746" w:rsidP="001C3746">
      <w:pPr>
        <w:spacing w:before="40" w:line="240" w:lineRule="auto"/>
        <w:ind w:left="567" w:hanging="567"/>
        <w:rPr>
          <w:rFonts w:ascii="Arial" w:hAnsi="Arial"/>
          <w:sz w:val="15"/>
        </w:rPr>
      </w:pPr>
    </w:p>
    <w:p w14:paraId="265378CF" w14:textId="650DDDE2" w:rsidR="001C3746" w:rsidRPr="00C90A71" w:rsidRDefault="001C3746" w:rsidP="001C3746">
      <w:pPr>
        <w:pStyle w:val="Source"/>
      </w:pPr>
      <w:r w:rsidRPr="00C90A71">
        <w:t>Source: Gekara et al</w:t>
      </w:r>
      <w:r w:rsidR="0040379F">
        <w:t>.</w:t>
      </w:r>
      <w:r w:rsidRPr="00C90A71">
        <w:t xml:space="preserve"> </w:t>
      </w:r>
      <w:r w:rsidR="0040379F">
        <w:t>(</w:t>
      </w:r>
      <w:r w:rsidRPr="00C90A71">
        <w:t>2019b</w:t>
      </w:r>
      <w:r w:rsidR="0040379F">
        <w:t>,</w:t>
      </w:r>
      <w:r w:rsidRPr="00C90A71">
        <w:t xml:space="preserve"> p.32</w:t>
      </w:r>
      <w:r w:rsidR="0040379F">
        <w:t>).</w:t>
      </w:r>
    </w:p>
    <w:p w14:paraId="6B4E5E62" w14:textId="77777777" w:rsidR="001C3746" w:rsidRDefault="001C3746">
      <w:pPr>
        <w:spacing w:before="0" w:line="240" w:lineRule="auto"/>
        <w:rPr>
          <w:rFonts w:eastAsiaTheme="minorHAnsi"/>
          <w:b/>
          <w:noProof/>
          <w:lang w:eastAsia="en-AU"/>
        </w:rPr>
        <w:sectPr w:rsidR="001C3746" w:rsidSect="008E6C3A">
          <w:footerReference w:type="even" r:id="rId28"/>
          <w:footerReference w:type="default" r:id="rId29"/>
          <w:pgSz w:w="11907" w:h="16840" w:code="9"/>
          <w:pgMar w:top="1276" w:right="1701" w:bottom="1276" w:left="1134" w:header="709" w:footer="556" w:gutter="0"/>
          <w:cols w:space="708" w:equalWidth="0">
            <w:col w:w="8788"/>
          </w:cols>
          <w:docGrid w:linePitch="360"/>
        </w:sectPr>
      </w:pPr>
      <w:r>
        <w:rPr>
          <w:rFonts w:eastAsiaTheme="minorHAnsi"/>
          <w:b/>
          <w:noProof/>
          <w:lang w:eastAsia="en-AU"/>
        </w:rPr>
        <w:br w:type="page"/>
      </w:r>
    </w:p>
    <w:p w14:paraId="3887D6DB" w14:textId="032BF1C6" w:rsidR="001C3746" w:rsidRPr="00C90A71" w:rsidRDefault="001C3746" w:rsidP="00F313F5">
      <w:pPr>
        <w:pStyle w:val="Heading1"/>
        <w:rPr>
          <w:rFonts w:eastAsiaTheme="minorHAnsi"/>
          <w:noProof/>
          <w:lang w:eastAsia="en-AU"/>
        </w:rPr>
      </w:pPr>
      <w:bookmarkStart w:id="66" w:name="_Toc22636833"/>
      <w:bookmarkStart w:id="67" w:name="_Toc31711257"/>
      <w:r w:rsidRPr="00C90A71">
        <w:rPr>
          <w:rFonts w:eastAsiaTheme="minorHAnsi"/>
          <w:noProof/>
          <w:lang w:eastAsia="en-AU"/>
        </w:rPr>
        <w:lastRenderedPageBreak/>
        <w:t xml:space="preserve">Appendix C European </w:t>
      </w:r>
      <w:r w:rsidRPr="00F313F5">
        <w:rPr>
          <w:rFonts w:eastAsiaTheme="minorHAnsi"/>
        </w:rPr>
        <w:t>Framework</w:t>
      </w:r>
      <w:r w:rsidRPr="00C90A71">
        <w:rPr>
          <w:rFonts w:eastAsiaTheme="minorHAnsi"/>
          <w:noProof/>
          <w:lang w:eastAsia="en-AU"/>
        </w:rPr>
        <w:t xml:space="preserve"> for the Digital Competence of Educators (</w:t>
      </w:r>
      <w:r w:rsidRPr="00F313F5">
        <w:rPr>
          <w:rFonts w:eastAsiaTheme="minorHAnsi"/>
        </w:rPr>
        <w:t>DigCompEdu</w:t>
      </w:r>
      <w:r w:rsidRPr="00C90A71">
        <w:rPr>
          <w:rFonts w:eastAsiaTheme="minorHAnsi"/>
          <w:noProof/>
          <w:lang w:eastAsia="en-AU"/>
        </w:rPr>
        <w:t>)</w:t>
      </w:r>
      <w:r w:rsidR="001D0C13">
        <w:rPr>
          <w:rFonts w:eastAsiaTheme="minorHAnsi"/>
          <w:noProof/>
          <w:lang w:eastAsia="en-AU"/>
        </w:rPr>
        <w:t>:</w:t>
      </w:r>
      <w:r w:rsidRPr="00C90A71">
        <w:rPr>
          <w:rFonts w:eastAsiaTheme="minorHAnsi"/>
          <w:noProof/>
          <w:lang w:eastAsia="en-AU"/>
        </w:rPr>
        <w:t xml:space="preserve"> detail</w:t>
      </w:r>
      <w:bookmarkEnd w:id="66"/>
      <w:bookmarkEnd w:id="67"/>
    </w:p>
    <w:p w14:paraId="4E4A4FC6" w14:textId="77777777" w:rsidR="001C3746" w:rsidRPr="00C90A71" w:rsidRDefault="001C3746" w:rsidP="009B712E">
      <w:pPr>
        <w:pStyle w:val="tabletitle"/>
      </w:pPr>
      <w:bookmarkStart w:id="68" w:name="_Toc21945877"/>
      <w:bookmarkStart w:id="69" w:name="_Toc31711376"/>
      <w:r w:rsidRPr="00C90A71">
        <w:t>Table C1</w:t>
      </w:r>
      <w:r w:rsidRPr="00C90A71">
        <w:tab/>
        <w:t xml:space="preserve">Key areas of educator development and associated competencies in the European Framework </w:t>
      </w:r>
      <w:bookmarkEnd w:id="68"/>
      <w:r w:rsidR="00F313F5" w:rsidRPr="00C90A71">
        <w:t>fo</w:t>
      </w:r>
      <w:r w:rsidR="00F313F5">
        <w:t xml:space="preserve">r </w:t>
      </w:r>
      <w:r w:rsidR="00F313F5" w:rsidRPr="00C90A71">
        <w:t>the Digital Competence of Educators (DigCompEdu)</w:t>
      </w:r>
      <w:bookmarkEnd w:id="69"/>
    </w:p>
    <w:p w14:paraId="13E32BF6" w14:textId="77777777" w:rsidR="001C3746" w:rsidRPr="00C90A71" w:rsidRDefault="001C3746" w:rsidP="001C3746">
      <w:pPr>
        <w:spacing w:before="40" w:line="240" w:lineRule="auto"/>
        <w:ind w:left="567" w:hanging="567"/>
        <w:rPr>
          <w:rFonts w:ascii="Arial" w:hAnsi="Arial"/>
          <w:sz w:val="15"/>
        </w:rPr>
      </w:pPr>
    </w:p>
    <w:tbl>
      <w:tblPr>
        <w:tblStyle w:val="TableGridLight1"/>
        <w:tblW w:w="13745" w:type="dxa"/>
        <w:tblLook w:val="04A0" w:firstRow="1" w:lastRow="0" w:firstColumn="1" w:lastColumn="0" w:noHBand="0" w:noVBand="1"/>
      </w:tblPr>
      <w:tblGrid>
        <w:gridCol w:w="2122"/>
        <w:gridCol w:w="2693"/>
        <w:gridCol w:w="8930"/>
      </w:tblGrid>
      <w:tr w:rsidR="001C3746" w:rsidRPr="00C90A71" w14:paraId="4E5D0E6E" w14:textId="77777777" w:rsidTr="001959C9">
        <w:tc>
          <w:tcPr>
            <w:tcW w:w="2122" w:type="dxa"/>
            <w:tcBorders>
              <w:top w:val="single" w:sz="4" w:space="0" w:color="auto"/>
              <w:left w:val="single" w:sz="4" w:space="0" w:color="auto"/>
              <w:bottom w:val="single" w:sz="4" w:space="0" w:color="auto"/>
              <w:right w:val="single" w:sz="4" w:space="0" w:color="auto"/>
            </w:tcBorders>
          </w:tcPr>
          <w:p w14:paraId="0D1A255B" w14:textId="77777777" w:rsidR="001C3746" w:rsidRPr="00C90A71" w:rsidRDefault="001C3746" w:rsidP="001959C9">
            <w:pPr>
              <w:spacing w:before="80" w:after="80"/>
              <w:rPr>
                <w:rFonts w:ascii="Arial" w:hAnsi="Arial"/>
                <w:b/>
                <w:sz w:val="17"/>
              </w:rPr>
            </w:pPr>
            <w:r w:rsidRPr="00C90A71">
              <w:rPr>
                <w:rFonts w:ascii="Arial" w:hAnsi="Arial"/>
                <w:b/>
                <w:sz w:val="17"/>
              </w:rPr>
              <w:t>Key area</w:t>
            </w:r>
          </w:p>
        </w:tc>
        <w:tc>
          <w:tcPr>
            <w:tcW w:w="2693" w:type="dxa"/>
            <w:tcBorders>
              <w:top w:val="single" w:sz="4" w:space="0" w:color="auto"/>
              <w:left w:val="single" w:sz="4" w:space="0" w:color="auto"/>
              <w:bottom w:val="single" w:sz="4" w:space="0" w:color="auto"/>
              <w:right w:val="single" w:sz="4" w:space="0" w:color="auto"/>
            </w:tcBorders>
          </w:tcPr>
          <w:p w14:paraId="3F17D53F" w14:textId="77777777" w:rsidR="001C3746" w:rsidRPr="00C90A71" w:rsidRDefault="001C3746" w:rsidP="001959C9">
            <w:pPr>
              <w:spacing w:before="80" w:after="80"/>
              <w:rPr>
                <w:rFonts w:ascii="Arial" w:hAnsi="Arial"/>
                <w:b/>
                <w:sz w:val="17"/>
              </w:rPr>
            </w:pPr>
            <w:r w:rsidRPr="00C90A71">
              <w:rPr>
                <w:rFonts w:ascii="Arial" w:hAnsi="Arial"/>
                <w:b/>
                <w:sz w:val="17"/>
              </w:rPr>
              <w:t>Competency</w:t>
            </w:r>
          </w:p>
        </w:tc>
        <w:tc>
          <w:tcPr>
            <w:tcW w:w="8930" w:type="dxa"/>
            <w:tcBorders>
              <w:top w:val="single" w:sz="4" w:space="0" w:color="auto"/>
              <w:left w:val="single" w:sz="4" w:space="0" w:color="auto"/>
              <w:bottom w:val="single" w:sz="4" w:space="0" w:color="auto"/>
              <w:right w:val="single" w:sz="4" w:space="0" w:color="auto"/>
            </w:tcBorders>
          </w:tcPr>
          <w:p w14:paraId="105CACC7" w14:textId="77777777" w:rsidR="001C3746" w:rsidRPr="00C90A71" w:rsidRDefault="001C3746" w:rsidP="001959C9">
            <w:pPr>
              <w:spacing w:before="80" w:after="80"/>
              <w:rPr>
                <w:rFonts w:ascii="Arial" w:hAnsi="Arial"/>
                <w:b/>
                <w:sz w:val="17"/>
              </w:rPr>
            </w:pPr>
          </w:p>
        </w:tc>
      </w:tr>
      <w:tr w:rsidR="001C3746" w:rsidRPr="00C90A71" w14:paraId="3B2E4F71" w14:textId="77777777" w:rsidTr="001959C9">
        <w:tc>
          <w:tcPr>
            <w:tcW w:w="2122" w:type="dxa"/>
            <w:tcBorders>
              <w:top w:val="single" w:sz="4" w:space="0" w:color="auto"/>
              <w:left w:val="single" w:sz="4" w:space="0" w:color="auto"/>
              <w:bottom w:val="nil"/>
              <w:right w:val="single" w:sz="4" w:space="0" w:color="auto"/>
            </w:tcBorders>
          </w:tcPr>
          <w:p w14:paraId="62FF7E61" w14:textId="01362164" w:rsidR="001C3746" w:rsidRPr="00C90A71" w:rsidRDefault="001C3746" w:rsidP="001959C9">
            <w:pPr>
              <w:tabs>
                <w:tab w:val="left" w:pos="992"/>
              </w:tabs>
              <w:spacing w:before="20" w:after="20"/>
              <w:rPr>
                <w:rFonts w:ascii="Arial" w:hAnsi="Arial"/>
                <w:sz w:val="17"/>
              </w:rPr>
            </w:pPr>
            <w:r w:rsidRPr="00C90A71">
              <w:rPr>
                <w:rFonts w:ascii="Arial" w:hAnsi="Arial"/>
                <w:sz w:val="17"/>
              </w:rPr>
              <w:t xml:space="preserve">Professional </w:t>
            </w:r>
            <w:r w:rsidR="001D0C13">
              <w:rPr>
                <w:rFonts w:ascii="Arial" w:hAnsi="Arial"/>
                <w:sz w:val="17"/>
              </w:rPr>
              <w:t>e</w:t>
            </w:r>
            <w:r w:rsidRPr="00C90A71">
              <w:rPr>
                <w:rFonts w:ascii="Arial" w:hAnsi="Arial"/>
                <w:sz w:val="17"/>
              </w:rPr>
              <w:t>ngagement</w:t>
            </w:r>
          </w:p>
        </w:tc>
        <w:tc>
          <w:tcPr>
            <w:tcW w:w="2693" w:type="dxa"/>
            <w:tcBorders>
              <w:top w:val="single" w:sz="4" w:space="0" w:color="auto"/>
              <w:left w:val="single" w:sz="4" w:space="0" w:color="auto"/>
              <w:bottom w:val="single" w:sz="4" w:space="0" w:color="auto"/>
              <w:right w:val="single" w:sz="4" w:space="0" w:color="auto"/>
            </w:tcBorders>
          </w:tcPr>
          <w:p w14:paraId="7EA04911" w14:textId="77777777" w:rsidR="001C3746" w:rsidRPr="00C90A71" w:rsidRDefault="001C3746" w:rsidP="001959C9">
            <w:pPr>
              <w:spacing w:before="40" w:after="40"/>
              <w:rPr>
                <w:rFonts w:ascii="Arial" w:hAnsi="Arial"/>
                <w:sz w:val="16"/>
              </w:rPr>
            </w:pPr>
            <w:r w:rsidRPr="00C90A71">
              <w:rPr>
                <w:rFonts w:ascii="Arial" w:hAnsi="Arial"/>
                <w:sz w:val="16"/>
              </w:rPr>
              <w:t>Organisational communication</w:t>
            </w:r>
          </w:p>
        </w:tc>
        <w:tc>
          <w:tcPr>
            <w:tcW w:w="8930" w:type="dxa"/>
            <w:tcBorders>
              <w:top w:val="single" w:sz="4" w:space="0" w:color="auto"/>
              <w:left w:val="single" w:sz="4" w:space="0" w:color="auto"/>
              <w:bottom w:val="single" w:sz="4" w:space="0" w:color="auto"/>
              <w:right w:val="single" w:sz="4" w:space="0" w:color="auto"/>
            </w:tcBorders>
          </w:tcPr>
          <w:p w14:paraId="66201EB7" w14:textId="7C9722DE" w:rsidR="001C3746" w:rsidRPr="00C90A71" w:rsidRDefault="001C3746" w:rsidP="001959C9">
            <w:pPr>
              <w:spacing w:before="40" w:after="40"/>
              <w:rPr>
                <w:rFonts w:ascii="Arial" w:hAnsi="Arial"/>
                <w:sz w:val="16"/>
              </w:rPr>
            </w:pPr>
            <w:r w:rsidRPr="00C90A71">
              <w:rPr>
                <w:rFonts w:ascii="Arial" w:hAnsi="Arial"/>
                <w:sz w:val="16"/>
              </w:rPr>
              <w:t xml:space="preserve">To use digital technologies to enhance organisational communication with learners, parents and third parties </w:t>
            </w:r>
          </w:p>
          <w:p w14:paraId="794730F6" w14:textId="4D219C9A" w:rsidR="001C3746" w:rsidRPr="00C90A71" w:rsidRDefault="001C3746" w:rsidP="001959C9">
            <w:pPr>
              <w:spacing w:before="40" w:after="40"/>
              <w:rPr>
                <w:rFonts w:ascii="Arial" w:hAnsi="Arial"/>
                <w:sz w:val="16"/>
              </w:rPr>
            </w:pPr>
            <w:r w:rsidRPr="00C90A71">
              <w:rPr>
                <w:rFonts w:ascii="Arial" w:hAnsi="Arial"/>
                <w:sz w:val="16"/>
              </w:rPr>
              <w:t>To contribute to collaboratively developing and improving organisational communication strategies</w:t>
            </w:r>
          </w:p>
        </w:tc>
      </w:tr>
      <w:tr w:rsidR="001C3746" w:rsidRPr="00C90A71" w14:paraId="635228EF" w14:textId="77777777" w:rsidTr="001959C9">
        <w:tc>
          <w:tcPr>
            <w:tcW w:w="2122" w:type="dxa"/>
            <w:tcBorders>
              <w:top w:val="nil"/>
              <w:left w:val="single" w:sz="4" w:space="0" w:color="auto"/>
              <w:bottom w:val="nil"/>
              <w:right w:val="single" w:sz="4" w:space="0" w:color="auto"/>
            </w:tcBorders>
          </w:tcPr>
          <w:p w14:paraId="7AAA8879"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7B4295C5" w14:textId="77777777" w:rsidR="001C3746" w:rsidRPr="00C90A71" w:rsidRDefault="001C3746" w:rsidP="001959C9">
            <w:pPr>
              <w:spacing w:before="40" w:after="40"/>
              <w:rPr>
                <w:rFonts w:ascii="Arial" w:hAnsi="Arial"/>
                <w:sz w:val="16"/>
              </w:rPr>
            </w:pPr>
            <w:r w:rsidRPr="00C90A71">
              <w:rPr>
                <w:rFonts w:ascii="Arial" w:hAnsi="Arial"/>
                <w:sz w:val="16"/>
              </w:rPr>
              <w:t>Professional collaboration</w:t>
            </w:r>
          </w:p>
        </w:tc>
        <w:tc>
          <w:tcPr>
            <w:tcW w:w="8930" w:type="dxa"/>
            <w:tcBorders>
              <w:top w:val="single" w:sz="4" w:space="0" w:color="auto"/>
              <w:left w:val="single" w:sz="4" w:space="0" w:color="auto"/>
              <w:bottom w:val="single" w:sz="4" w:space="0" w:color="auto"/>
              <w:right w:val="single" w:sz="4" w:space="0" w:color="auto"/>
            </w:tcBorders>
          </w:tcPr>
          <w:p w14:paraId="4478A4AC" w14:textId="26005D4B" w:rsidR="001C3746" w:rsidRPr="00C90A71" w:rsidRDefault="001C3746" w:rsidP="001959C9">
            <w:pPr>
              <w:spacing w:before="40" w:after="40"/>
              <w:rPr>
                <w:rFonts w:ascii="Arial" w:hAnsi="Arial"/>
                <w:sz w:val="16"/>
              </w:rPr>
            </w:pPr>
            <w:r w:rsidRPr="00C90A71">
              <w:rPr>
                <w:rFonts w:ascii="Arial" w:hAnsi="Arial"/>
                <w:sz w:val="16"/>
              </w:rPr>
              <w:t>To use digital technologies to engage in collaboration with other educators, sharing and exchanging knowledge and experiences and collaboratively innovating pedagogic practices</w:t>
            </w:r>
          </w:p>
        </w:tc>
      </w:tr>
      <w:tr w:rsidR="001C3746" w:rsidRPr="00C90A71" w14:paraId="55DE8B5F" w14:textId="77777777" w:rsidTr="001959C9">
        <w:tc>
          <w:tcPr>
            <w:tcW w:w="2122" w:type="dxa"/>
            <w:tcBorders>
              <w:top w:val="nil"/>
              <w:left w:val="single" w:sz="4" w:space="0" w:color="auto"/>
              <w:bottom w:val="nil"/>
              <w:right w:val="single" w:sz="4" w:space="0" w:color="auto"/>
            </w:tcBorders>
          </w:tcPr>
          <w:p w14:paraId="61F9397B"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311F09AA" w14:textId="77777777" w:rsidR="001C3746" w:rsidRPr="00C90A71" w:rsidRDefault="001C3746" w:rsidP="001959C9">
            <w:pPr>
              <w:spacing w:before="40" w:after="40"/>
              <w:rPr>
                <w:rFonts w:ascii="Arial" w:hAnsi="Arial"/>
                <w:sz w:val="16"/>
              </w:rPr>
            </w:pPr>
            <w:r w:rsidRPr="00C90A71">
              <w:rPr>
                <w:rFonts w:ascii="Arial" w:hAnsi="Arial"/>
                <w:sz w:val="16"/>
              </w:rPr>
              <w:t>Reflective practice</w:t>
            </w:r>
          </w:p>
        </w:tc>
        <w:tc>
          <w:tcPr>
            <w:tcW w:w="8930" w:type="dxa"/>
            <w:tcBorders>
              <w:top w:val="single" w:sz="4" w:space="0" w:color="auto"/>
              <w:left w:val="single" w:sz="4" w:space="0" w:color="auto"/>
              <w:bottom w:val="single" w:sz="4" w:space="0" w:color="auto"/>
              <w:right w:val="single" w:sz="4" w:space="0" w:color="auto"/>
            </w:tcBorders>
          </w:tcPr>
          <w:p w14:paraId="0EC27A67" w14:textId="7707D298" w:rsidR="001C3746" w:rsidRPr="00C90A71" w:rsidRDefault="001C3746" w:rsidP="001959C9">
            <w:pPr>
              <w:spacing w:before="40" w:after="40"/>
              <w:rPr>
                <w:rFonts w:ascii="Arial" w:hAnsi="Arial"/>
                <w:sz w:val="16"/>
              </w:rPr>
            </w:pPr>
            <w:r w:rsidRPr="00C90A71">
              <w:rPr>
                <w:rFonts w:ascii="Arial" w:hAnsi="Arial"/>
                <w:sz w:val="16"/>
              </w:rPr>
              <w:t>To individually and collectively reflect on, critically assess and actively develop one’s own digital pedagogical practice and that of one’s educational community</w:t>
            </w:r>
          </w:p>
        </w:tc>
      </w:tr>
      <w:tr w:rsidR="001C3746" w:rsidRPr="00C90A71" w14:paraId="0796435B" w14:textId="77777777" w:rsidTr="001959C9">
        <w:tc>
          <w:tcPr>
            <w:tcW w:w="2122" w:type="dxa"/>
            <w:tcBorders>
              <w:top w:val="nil"/>
              <w:left w:val="single" w:sz="4" w:space="0" w:color="auto"/>
              <w:bottom w:val="single" w:sz="4" w:space="0" w:color="auto"/>
              <w:right w:val="single" w:sz="4" w:space="0" w:color="auto"/>
            </w:tcBorders>
          </w:tcPr>
          <w:p w14:paraId="5595A011"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682A7CDF" w14:textId="1712CA31" w:rsidR="001C3746" w:rsidRPr="00C90A71" w:rsidRDefault="001C3746" w:rsidP="001959C9">
            <w:pPr>
              <w:spacing w:before="40" w:after="40"/>
              <w:rPr>
                <w:rFonts w:ascii="Arial" w:hAnsi="Arial"/>
                <w:sz w:val="16"/>
              </w:rPr>
            </w:pPr>
            <w:r w:rsidRPr="00C90A71">
              <w:rPr>
                <w:rFonts w:ascii="Arial" w:hAnsi="Arial"/>
                <w:sz w:val="16"/>
              </w:rPr>
              <w:t xml:space="preserve">Digital </w:t>
            </w:r>
            <w:r w:rsidR="001D0C13" w:rsidRPr="00C90A71">
              <w:rPr>
                <w:rFonts w:ascii="Arial" w:hAnsi="Arial"/>
                <w:sz w:val="16"/>
              </w:rPr>
              <w:t>continuous professional development</w:t>
            </w:r>
          </w:p>
        </w:tc>
        <w:tc>
          <w:tcPr>
            <w:tcW w:w="8930" w:type="dxa"/>
            <w:tcBorders>
              <w:top w:val="single" w:sz="4" w:space="0" w:color="auto"/>
              <w:left w:val="single" w:sz="4" w:space="0" w:color="auto"/>
              <w:bottom w:val="single" w:sz="4" w:space="0" w:color="auto"/>
              <w:right w:val="single" w:sz="4" w:space="0" w:color="auto"/>
            </w:tcBorders>
          </w:tcPr>
          <w:p w14:paraId="410568E7" w14:textId="022714F2" w:rsidR="001C3746" w:rsidRPr="00C90A71" w:rsidRDefault="001C3746" w:rsidP="001959C9">
            <w:pPr>
              <w:spacing w:before="40" w:after="40"/>
              <w:rPr>
                <w:rFonts w:ascii="Arial" w:hAnsi="Arial"/>
                <w:sz w:val="16"/>
              </w:rPr>
            </w:pPr>
            <w:r w:rsidRPr="00C90A71">
              <w:rPr>
                <w:rFonts w:ascii="Arial" w:hAnsi="Arial"/>
                <w:sz w:val="16"/>
              </w:rPr>
              <w:t>To use digital sources and resources for continuous professional development</w:t>
            </w:r>
          </w:p>
        </w:tc>
      </w:tr>
      <w:tr w:rsidR="001C3746" w:rsidRPr="00C90A71" w14:paraId="0D0DCBCC" w14:textId="77777777" w:rsidTr="001959C9">
        <w:tc>
          <w:tcPr>
            <w:tcW w:w="2122" w:type="dxa"/>
            <w:tcBorders>
              <w:top w:val="single" w:sz="4" w:space="0" w:color="auto"/>
              <w:left w:val="single" w:sz="4" w:space="0" w:color="auto"/>
              <w:bottom w:val="single" w:sz="4" w:space="0" w:color="auto"/>
              <w:right w:val="single" w:sz="4" w:space="0" w:color="auto"/>
            </w:tcBorders>
          </w:tcPr>
          <w:p w14:paraId="2AA2C0F1"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40D0B0F2" w14:textId="77777777" w:rsidR="001C3746" w:rsidRPr="00C90A71" w:rsidRDefault="001C3746" w:rsidP="001959C9">
            <w:pPr>
              <w:spacing w:before="40" w:after="40"/>
              <w:rPr>
                <w:rFonts w:ascii="Arial" w:hAnsi="Arial"/>
                <w:sz w:val="16"/>
              </w:rPr>
            </w:pPr>
          </w:p>
        </w:tc>
        <w:tc>
          <w:tcPr>
            <w:tcW w:w="8930" w:type="dxa"/>
            <w:tcBorders>
              <w:top w:val="single" w:sz="4" w:space="0" w:color="auto"/>
              <w:left w:val="single" w:sz="4" w:space="0" w:color="auto"/>
              <w:bottom w:val="single" w:sz="4" w:space="0" w:color="auto"/>
              <w:right w:val="single" w:sz="4" w:space="0" w:color="auto"/>
            </w:tcBorders>
          </w:tcPr>
          <w:p w14:paraId="21211420" w14:textId="77777777" w:rsidR="001C3746" w:rsidRPr="00C90A71" w:rsidRDefault="001C3746" w:rsidP="001959C9">
            <w:pPr>
              <w:spacing w:before="40" w:after="40"/>
              <w:rPr>
                <w:rFonts w:ascii="Arial" w:hAnsi="Arial"/>
                <w:sz w:val="16"/>
              </w:rPr>
            </w:pPr>
          </w:p>
        </w:tc>
      </w:tr>
      <w:tr w:rsidR="001C3746" w:rsidRPr="00C90A71" w14:paraId="1262FD3A" w14:textId="77777777" w:rsidTr="001959C9">
        <w:tc>
          <w:tcPr>
            <w:tcW w:w="2122" w:type="dxa"/>
            <w:tcBorders>
              <w:top w:val="single" w:sz="4" w:space="0" w:color="auto"/>
              <w:left w:val="single" w:sz="4" w:space="0" w:color="auto"/>
              <w:bottom w:val="nil"/>
              <w:right w:val="single" w:sz="4" w:space="0" w:color="auto"/>
            </w:tcBorders>
          </w:tcPr>
          <w:p w14:paraId="654FFF1D" w14:textId="1850952D" w:rsidR="001C3746" w:rsidRPr="00C90A71" w:rsidRDefault="001C3746" w:rsidP="001959C9">
            <w:pPr>
              <w:tabs>
                <w:tab w:val="left" w:pos="992"/>
              </w:tabs>
              <w:spacing w:before="20" w:after="20"/>
              <w:rPr>
                <w:rFonts w:ascii="Arial" w:hAnsi="Arial"/>
                <w:sz w:val="17"/>
              </w:rPr>
            </w:pPr>
            <w:r w:rsidRPr="00C90A71">
              <w:rPr>
                <w:rFonts w:ascii="Arial" w:hAnsi="Arial"/>
                <w:sz w:val="17"/>
              </w:rPr>
              <w:t xml:space="preserve">Digital </w:t>
            </w:r>
            <w:r w:rsidR="001D0C13">
              <w:rPr>
                <w:rFonts w:ascii="Arial" w:hAnsi="Arial"/>
                <w:sz w:val="17"/>
              </w:rPr>
              <w:t>r</w:t>
            </w:r>
            <w:r w:rsidRPr="00C90A71">
              <w:rPr>
                <w:rFonts w:ascii="Arial" w:hAnsi="Arial"/>
                <w:sz w:val="17"/>
              </w:rPr>
              <w:t>esources</w:t>
            </w:r>
          </w:p>
        </w:tc>
        <w:tc>
          <w:tcPr>
            <w:tcW w:w="2693" w:type="dxa"/>
            <w:tcBorders>
              <w:top w:val="single" w:sz="4" w:space="0" w:color="auto"/>
              <w:left w:val="single" w:sz="4" w:space="0" w:color="auto"/>
              <w:bottom w:val="single" w:sz="4" w:space="0" w:color="auto"/>
              <w:right w:val="single" w:sz="4" w:space="0" w:color="auto"/>
            </w:tcBorders>
          </w:tcPr>
          <w:p w14:paraId="48FAE99B" w14:textId="77777777" w:rsidR="001C3746" w:rsidRPr="00C90A71" w:rsidRDefault="001C3746" w:rsidP="001959C9">
            <w:pPr>
              <w:spacing w:before="40" w:after="40"/>
              <w:rPr>
                <w:rFonts w:ascii="Arial" w:hAnsi="Arial"/>
                <w:sz w:val="16"/>
              </w:rPr>
            </w:pPr>
            <w:r w:rsidRPr="00C90A71">
              <w:rPr>
                <w:rFonts w:ascii="Arial" w:hAnsi="Arial"/>
                <w:sz w:val="16"/>
              </w:rPr>
              <w:t>Selecting</w:t>
            </w:r>
          </w:p>
        </w:tc>
        <w:tc>
          <w:tcPr>
            <w:tcW w:w="8930" w:type="dxa"/>
            <w:tcBorders>
              <w:top w:val="single" w:sz="4" w:space="0" w:color="auto"/>
              <w:left w:val="single" w:sz="4" w:space="0" w:color="auto"/>
              <w:bottom w:val="single" w:sz="4" w:space="0" w:color="auto"/>
              <w:right w:val="single" w:sz="4" w:space="0" w:color="auto"/>
            </w:tcBorders>
          </w:tcPr>
          <w:p w14:paraId="5CE0B2A1" w14:textId="5FE8B095" w:rsidR="001C3746" w:rsidRPr="00C90A71" w:rsidRDefault="001C3746" w:rsidP="001959C9">
            <w:pPr>
              <w:spacing w:before="40" w:after="40"/>
              <w:rPr>
                <w:rFonts w:ascii="Arial" w:hAnsi="Arial"/>
                <w:sz w:val="16"/>
              </w:rPr>
            </w:pPr>
            <w:r w:rsidRPr="00C90A71">
              <w:rPr>
                <w:rFonts w:ascii="Arial" w:hAnsi="Arial"/>
                <w:sz w:val="16"/>
              </w:rPr>
              <w:t xml:space="preserve">To identify, assess and select digital resources for teaching and learning </w:t>
            </w:r>
          </w:p>
          <w:p w14:paraId="3331A3BB" w14:textId="7CCB3066" w:rsidR="001C3746" w:rsidRPr="00C90A71" w:rsidRDefault="001C3746" w:rsidP="001959C9">
            <w:pPr>
              <w:spacing w:before="40" w:after="40"/>
              <w:rPr>
                <w:rFonts w:ascii="Arial" w:hAnsi="Arial"/>
                <w:sz w:val="16"/>
              </w:rPr>
            </w:pPr>
            <w:r w:rsidRPr="00C90A71">
              <w:rPr>
                <w:rFonts w:ascii="Arial" w:hAnsi="Arial"/>
                <w:sz w:val="16"/>
              </w:rPr>
              <w:t>To consider the specific learning objective, context, pedagogical approach, and learner group, when selecting digital resources and planning their use</w:t>
            </w:r>
          </w:p>
        </w:tc>
      </w:tr>
      <w:tr w:rsidR="001C3746" w:rsidRPr="00C90A71" w14:paraId="243B2CFD" w14:textId="77777777" w:rsidTr="00F313F5">
        <w:tc>
          <w:tcPr>
            <w:tcW w:w="2122" w:type="dxa"/>
            <w:tcBorders>
              <w:top w:val="nil"/>
              <w:left w:val="single" w:sz="4" w:space="0" w:color="auto"/>
              <w:bottom w:val="single" w:sz="4" w:space="0" w:color="auto"/>
              <w:right w:val="single" w:sz="4" w:space="0" w:color="auto"/>
            </w:tcBorders>
          </w:tcPr>
          <w:p w14:paraId="7A9947B3"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65608F9E" w14:textId="77777777" w:rsidR="001C3746" w:rsidRPr="00C90A71" w:rsidRDefault="001C3746" w:rsidP="001959C9">
            <w:pPr>
              <w:spacing w:before="40" w:after="40"/>
              <w:rPr>
                <w:rFonts w:ascii="Arial" w:hAnsi="Arial"/>
                <w:sz w:val="16"/>
              </w:rPr>
            </w:pPr>
            <w:r w:rsidRPr="00C90A71">
              <w:rPr>
                <w:rFonts w:ascii="Arial" w:hAnsi="Arial"/>
                <w:sz w:val="16"/>
              </w:rPr>
              <w:t>Creating &amp; modifying</w:t>
            </w:r>
          </w:p>
        </w:tc>
        <w:tc>
          <w:tcPr>
            <w:tcW w:w="8930" w:type="dxa"/>
            <w:tcBorders>
              <w:top w:val="single" w:sz="4" w:space="0" w:color="auto"/>
              <w:left w:val="single" w:sz="4" w:space="0" w:color="auto"/>
              <w:bottom w:val="single" w:sz="4" w:space="0" w:color="auto"/>
              <w:right w:val="single" w:sz="4" w:space="0" w:color="auto"/>
            </w:tcBorders>
          </w:tcPr>
          <w:p w14:paraId="44728853" w14:textId="7842DE65" w:rsidR="001C3746" w:rsidRPr="00C90A71" w:rsidRDefault="001C3746" w:rsidP="001959C9">
            <w:pPr>
              <w:spacing w:before="40" w:after="40"/>
              <w:rPr>
                <w:rFonts w:ascii="Arial" w:hAnsi="Arial"/>
                <w:sz w:val="16"/>
              </w:rPr>
            </w:pPr>
            <w:r w:rsidRPr="00C90A71">
              <w:rPr>
                <w:rFonts w:ascii="Arial" w:hAnsi="Arial"/>
                <w:sz w:val="16"/>
              </w:rPr>
              <w:t>To modify and build on existing openly</w:t>
            </w:r>
            <w:r w:rsidR="00986FC6">
              <w:rPr>
                <w:rFonts w:ascii="Arial" w:hAnsi="Arial"/>
                <w:sz w:val="16"/>
              </w:rPr>
              <w:t xml:space="preserve"> </w:t>
            </w:r>
            <w:r w:rsidRPr="00C90A71">
              <w:rPr>
                <w:rFonts w:ascii="Arial" w:hAnsi="Arial"/>
                <w:sz w:val="16"/>
              </w:rPr>
              <w:t xml:space="preserve">licensed resources and other resources where this is permitted </w:t>
            </w:r>
          </w:p>
          <w:p w14:paraId="78E4AF84" w14:textId="385ACF1D" w:rsidR="001C3746" w:rsidRPr="00C90A71" w:rsidRDefault="001C3746" w:rsidP="001959C9">
            <w:pPr>
              <w:spacing w:before="40" w:after="40"/>
              <w:rPr>
                <w:rFonts w:ascii="Arial" w:hAnsi="Arial"/>
                <w:sz w:val="16"/>
              </w:rPr>
            </w:pPr>
            <w:r w:rsidRPr="00C90A71">
              <w:rPr>
                <w:rFonts w:ascii="Arial" w:hAnsi="Arial"/>
                <w:sz w:val="16"/>
              </w:rPr>
              <w:t xml:space="preserve">To create or co-create new digital educational resources </w:t>
            </w:r>
          </w:p>
          <w:p w14:paraId="782E5336" w14:textId="0EC86048" w:rsidR="001C3746" w:rsidRPr="00C90A71" w:rsidRDefault="001C3746" w:rsidP="001959C9">
            <w:pPr>
              <w:spacing w:before="40" w:after="40"/>
              <w:rPr>
                <w:rFonts w:ascii="Arial" w:hAnsi="Arial"/>
                <w:sz w:val="16"/>
              </w:rPr>
            </w:pPr>
            <w:r w:rsidRPr="00C90A71">
              <w:rPr>
                <w:rFonts w:ascii="Arial" w:hAnsi="Arial"/>
                <w:sz w:val="16"/>
              </w:rPr>
              <w:t>To consider the specific learning objective, context, pedagogical approach, and learner group, when designing digital resources and planning their use</w:t>
            </w:r>
          </w:p>
        </w:tc>
      </w:tr>
      <w:tr w:rsidR="00F313F5" w:rsidRPr="00C90A71" w14:paraId="57FD2C99" w14:textId="77777777" w:rsidTr="00F313F5">
        <w:tc>
          <w:tcPr>
            <w:tcW w:w="2122" w:type="dxa"/>
            <w:tcBorders>
              <w:top w:val="single" w:sz="4" w:space="0" w:color="auto"/>
              <w:left w:val="nil"/>
              <w:bottom w:val="nil"/>
              <w:right w:val="nil"/>
            </w:tcBorders>
          </w:tcPr>
          <w:p w14:paraId="0D39AED2" w14:textId="77777777" w:rsidR="00F313F5" w:rsidRPr="00C90A71" w:rsidRDefault="00F313F5" w:rsidP="001959C9">
            <w:pPr>
              <w:spacing w:before="40" w:after="40"/>
              <w:rPr>
                <w:rFonts w:ascii="Arial" w:hAnsi="Arial"/>
                <w:sz w:val="16"/>
              </w:rPr>
            </w:pPr>
          </w:p>
        </w:tc>
        <w:tc>
          <w:tcPr>
            <w:tcW w:w="2693" w:type="dxa"/>
            <w:tcBorders>
              <w:top w:val="single" w:sz="4" w:space="0" w:color="auto"/>
              <w:left w:val="nil"/>
              <w:bottom w:val="nil"/>
              <w:right w:val="nil"/>
            </w:tcBorders>
          </w:tcPr>
          <w:p w14:paraId="78F457A5" w14:textId="77777777" w:rsidR="00F313F5" w:rsidRPr="00C90A71" w:rsidRDefault="00F313F5" w:rsidP="001959C9">
            <w:pPr>
              <w:spacing w:before="40" w:after="40"/>
              <w:rPr>
                <w:rFonts w:ascii="Arial" w:hAnsi="Arial"/>
                <w:sz w:val="16"/>
              </w:rPr>
            </w:pPr>
          </w:p>
        </w:tc>
        <w:tc>
          <w:tcPr>
            <w:tcW w:w="8930" w:type="dxa"/>
            <w:tcBorders>
              <w:top w:val="single" w:sz="4" w:space="0" w:color="auto"/>
              <w:left w:val="nil"/>
              <w:bottom w:val="nil"/>
              <w:right w:val="nil"/>
            </w:tcBorders>
          </w:tcPr>
          <w:p w14:paraId="50D35F55" w14:textId="77777777" w:rsidR="00F313F5" w:rsidRPr="00C90A71" w:rsidRDefault="00F313F5" w:rsidP="001959C9">
            <w:pPr>
              <w:spacing w:before="40" w:after="40"/>
              <w:rPr>
                <w:rFonts w:ascii="Arial" w:hAnsi="Arial"/>
                <w:sz w:val="16"/>
              </w:rPr>
            </w:pPr>
          </w:p>
        </w:tc>
      </w:tr>
    </w:tbl>
    <w:p w14:paraId="26A4D8ED" w14:textId="14C58318" w:rsidR="00F313F5" w:rsidRDefault="00F313F5">
      <w:r>
        <w:rPr>
          <w:rFonts w:ascii="Arial" w:hAnsi="Arial"/>
          <w:b/>
          <w:sz w:val="17"/>
        </w:rPr>
        <w:lastRenderedPageBreak/>
        <w:t>Table C1 con</w:t>
      </w:r>
      <w:r w:rsidR="00986FC6">
        <w:rPr>
          <w:rFonts w:ascii="Arial" w:hAnsi="Arial"/>
          <w:b/>
          <w:sz w:val="17"/>
        </w:rPr>
        <w:t>t.</w:t>
      </w:r>
    </w:p>
    <w:tbl>
      <w:tblPr>
        <w:tblStyle w:val="TableGridLight1"/>
        <w:tblW w:w="13745" w:type="dxa"/>
        <w:tblLook w:val="04A0" w:firstRow="1" w:lastRow="0" w:firstColumn="1" w:lastColumn="0" w:noHBand="0" w:noVBand="1"/>
      </w:tblPr>
      <w:tblGrid>
        <w:gridCol w:w="2122"/>
        <w:gridCol w:w="2693"/>
        <w:gridCol w:w="8930"/>
      </w:tblGrid>
      <w:tr w:rsidR="00F313F5" w:rsidRPr="00C90A71" w14:paraId="2949C0C6" w14:textId="77777777" w:rsidTr="00F313F5">
        <w:tc>
          <w:tcPr>
            <w:tcW w:w="2122" w:type="dxa"/>
            <w:tcBorders>
              <w:top w:val="single" w:sz="4" w:space="0" w:color="auto"/>
              <w:left w:val="single" w:sz="4" w:space="0" w:color="auto"/>
              <w:bottom w:val="single" w:sz="4" w:space="0" w:color="auto"/>
              <w:right w:val="single" w:sz="4" w:space="0" w:color="auto"/>
            </w:tcBorders>
          </w:tcPr>
          <w:p w14:paraId="1D22D2CB" w14:textId="77777777" w:rsidR="00F313F5" w:rsidRPr="00C90A71" w:rsidRDefault="00F313F5" w:rsidP="00F313F5">
            <w:pPr>
              <w:spacing w:before="80" w:after="80"/>
              <w:rPr>
                <w:rFonts w:ascii="Arial" w:hAnsi="Arial"/>
                <w:b/>
                <w:sz w:val="17"/>
              </w:rPr>
            </w:pPr>
            <w:r w:rsidRPr="00C90A71">
              <w:rPr>
                <w:rFonts w:ascii="Arial" w:hAnsi="Arial"/>
                <w:b/>
                <w:sz w:val="17"/>
              </w:rPr>
              <w:t>Key area</w:t>
            </w:r>
          </w:p>
        </w:tc>
        <w:tc>
          <w:tcPr>
            <w:tcW w:w="2693" w:type="dxa"/>
            <w:tcBorders>
              <w:top w:val="single" w:sz="4" w:space="0" w:color="auto"/>
              <w:left w:val="single" w:sz="4" w:space="0" w:color="auto"/>
              <w:bottom w:val="single" w:sz="4" w:space="0" w:color="auto"/>
              <w:right w:val="single" w:sz="4" w:space="0" w:color="auto"/>
            </w:tcBorders>
          </w:tcPr>
          <w:p w14:paraId="5BFD6F4A" w14:textId="77777777" w:rsidR="00F313F5" w:rsidRPr="00C90A71" w:rsidRDefault="00F313F5" w:rsidP="00F313F5">
            <w:pPr>
              <w:spacing w:before="80" w:after="80"/>
              <w:rPr>
                <w:rFonts w:ascii="Arial" w:hAnsi="Arial"/>
                <w:b/>
                <w:sz w:val="17"/>
              </w:rPr>
            </w:pPr>
            <w:r w:rsidRPr="00C90A71">
              <w:rPr>
                <w:rFonts w:ascii="Arial" w:hAnsi="Arial"/>
                <w:b/>
                <w:sz w:val="17"/>
              </w:rPr>
              <w:t>Competency</w:t>
            </w:r>
          </w:p>
        </w:tc>
        <w:tc>
          <w:tcPr>
            <w:tcW w:w="8930" w:type="dxa"/>
            <w:tcBorders>
              <w:top w:val="single" w:sz="4" w:space="0" w:color="auto"/>
              <w:left w:val="single" w:sz="4" w:space="0" w:color="auto"/>
              <w:bottom w:val="single" w:sz="4" w:space="0" w:color="auto"/>
              <w:right w:val="single" w:sz="4" w:space="0" w:color="auto"/>
            </w:tcBorders>
          </w:tcPr>
          <w:p w14:paraId="24A356E8" w14:textId="77777777" w:rsidR="00F313F5" w:rsidRPr="00C90A71" w:rsidRDefault="00F313F5" w:rsidP="00F313F5">
            <w:pPr>
              <w:spacing w:before="80" w:after="80"/>
              <w:rPr>
                <w:rFonts w:ascii="Arial" w:hAnsi="Arial"/>
                <w:b/>
                <w:sz w:val="17"/>
              </w:rPr>
            </w:pPr>
          </w:p>
        </w:tc>
      </w:tr>
      <w:tr w:rsidR="001C3746" w:rsidRPr="00C90A71" w14:paraId="09134005" w14:textId="77777777" w:rsidTr="00F313F5">
        <w:tc>
          <w:tcPr>
            <w:tcW w:w="2122" w:type="dxa"/>
            <w:tcBorders>
              <w:top w:val="single" w:sz="4" w:space="0" w:color="auto"/>
              <w:left w:val="single" w:sz="4" w:space="0" w:color="auto"/>
              <w:bottom w:val="single" w:sz="4" w:space="0" w:color="auto"/>
              <w:right w:val="single" w:sz="4" w:space="0" w:color="auto"/>
            </w:tcBorders>
          </w:tcPr>
          <w:p w14:paraId="0D753224" w14:textId="17B2A95A" w:rsidR="001C3746" w:rsidRPr="00C90A71" w:rsidRDefault="00F313F5" w:rsidP="001959C9">
            <w:pPr>
              <w:spacing w:before="40" w:after="40"/>
              <w:rPr>
                <w:rFonts w:ascii="Arial" w:hAnsi="Arial"/>
                <w:sz w:val="16"/>
              </w:rPr>
            </w:pPr>
            <w:r>
              <w:rPr>
                <w:rFonts w:ascii="Arial" w:hAnsi="Arial"/>
                <w:sz w:val="16"/>
              </w:rPr>
              <w:t>Digital resources cont</w:t>
            </w:r>
            <w:r w:rsidR="00AA3D66">
              <w:rPr>
                <w:rFonts w:ascii="Arial" w:hAnsi="Arial"/>
                <w:sz w:val="16"/>
              </w:rPr>
              <w:t>.</w:t>
            </w:r>
          </w:p>
        </w:tc>
        <w:tc>
          <w:tcPr>
            <w:tcW w:w="2693" w:type="dxa"/>
            <w:tcBorders>
              <w:top w:val="single" w:sz="4" w:space="0" w:color="auto"/>
              <w:left w:val="single" w:sz="4" w:space="0" w:color="auto"/>
              <w:bottom w:val="single" w:sz="4" w:space="0" w:color="auto"/>
              <w:right w:val="single" w:sz="4" w:space="0" w:color="auto"/>
            </w:tcBorders>
          </w:tcPr>
          <w:p w14:paraId="64114A1F" w14:textId="77777777" w:rsidR="001C3746" w:rsidRPr="00C90A71" w:rsidRDefault="001C3746" w:rsidP="001959C9">
            <w:pPr>
              <w:spacing w:before="40" w:after="40"/>
              <w:rPr>
                <w:rFonts w:ascii="Arial" w:hAnsi="Arial"/>
                <w:sz w:val="16"/>
              </w:rPr>
            </w:pPr>
            <w:r w:rsidRPr="00C90A71">
              <w:rPr>
                <w:rFonts w:ascii="Arial" w:hAnsi="Arial"/>
                <w:sz w:val="16"/>
              </w:rPr>
              <w:t>Managing, protecting, sharing</w:t>
            </w:r>
          </w:p>
        </w:tc>
        <w:tc>
          <w:tcPr>
            <w:tcW w:w="8930" w:type="dxa"/>
            <w:tcBorders>
              <w:top w:val="single" w:sz="4" w:space="0" w:color="auto"/>
              <w:left w:val="single" w:sz="4" w:space="0" w:color="auto"/>
              <w:bottom w:val="single" w:sz="4" w:space="0" w:color="auto"/>
              <w:right w:val="single" w:sz="4" w:space="0" w:color="auto"/>
            </w:tcBorders>
          </w:tcPr>
          <w:p w14:paraId="06556633" w14:textId="32A7E9CE" w:rsidR="001C3746" w:rsidRPr="00C90A71" w:rsidRDefault="001C3746" w:rsidP="001959C9">
            <w:pPr>
              <w:spacing w:before="40" w:after="40"/>
              <w:rPr>
                <w:rFonts w:ascii="Arial" w:hAnsi="Arial"/>
                <w:sz w:val="16"/>
              </w:rPr>
            </w:pPr>
            <w:r w:rsidRPr="00C90A71">
              <w:rPr>
                <w:rFonts w:ascii="Arial" w:hAnsi="Arial"/>
                <w:sz w:val="16"/>
              </w:rPr>
              <w:t xml:space="preserve">To organise digital content and make it available to learners, parents and other educators </w:t>
            </w:r>
          </w:p>
          <w:p w14:paraId="153E6B53" w14:textId="6EC14D57" w:rsidR="001C3746" w:rsidRPr="00C90A71" w:rsidRDefault="001C3746" w:rsidP="001959C9">
            <w:pPr>
              <w:spacing w:before="40" w:after="40"/>
              <w:rPr>
                <w:rFonts w:ascii="Arial" w:hAnsi="Arial"/>
                <w:sz w:val="16"/>
              </w:rPr>
            </w:pPr>
            <w:r w:rsidRPr="00C90A71">
              <w:rPr>
                <w:rFonts w:ascii="Arial" w:hAnsi="Arial"/>
                <w:sz w:val="16"/>
              </w:rPr>
              <w:t xml:space="preserve">To effectively protect sensitive digital content </w:t>
            </w:r>
          </w:p>
          <w:p w14:paraId="16A81CDB" w14:textId="08C0E3B7" w:rsidR="001C3746" w:rsidRPr="00C90A71" w:rsidRDefault="001C3746" w:rsidP="001959C9">
            <w:pPr>
              <w:spacing w:before="40" w:after="40"/>
              <w:rPr>
                <w:rFonts w:ascii="Arial" w:hAnsi="Arial"/>
                <w:sz w:val="16"/>
              </w:rPr>
            </w:pPr>
            <w:r w:rsidRPr="00C90A71">
              <w:rPr>
                <w:rFonts w:ascii="Arial" w:hAnsi="Arial"/>
                <w:sz w:val="16"/>
              </w:rPr>
              <w:t xml:space="preserve">To respect and correctly apply privacy and copyright rules </w:t>
            </w:r>
          </w:p>
          <w:p w14:paraId="4A67BEE5" w14:textId="760E8AFF" w:rsidR="001C3746" w:rsidRPr="00C90A71" w:rsidRDefault="001C3746" w:rsidP="001959C9">
            <w:pPr>
              <w:spacing w:before="40" w:after="40"/>
              <w:rPr>
                <w:rFonts w:ascii="Arial" w:hAnsi="Arial"/>
                <w:sz w:val="16"/>
              </w:rPr>
            </w:pPr>
            <w:r w:rsidRPr="00C90A71">
              <w:rPr>
                <w:rFonts w:ascii="Arial" w:hAnsi="Arial"/>
                <w:sz w:val="16"/>
              </w:rPr>
              <w:t>To understand the use and creation of open licen</w:t>
            </w:r>
            <w:r w:rsidR="002D2FA7">
              <w:rPr>
                <w:rFonts w:ascii="Arial" w:hAnsi="Arial"/>
                <w:sz w:val="16"/>
              </w:rPr>
              <w:t>c</w:t>
            </w:r>
            <w:r w:rsidRPr="00C90A71">
              <w:rPr>
                <w:rFonts w:ascii="Arial" w:hAnsi="Arial"/>
                <w:sz w:val="16"/>
              </w:rPr>
              <w:t>es and open educational resources, including their proper attribution</w:t>
            </w:r>
          </w:p>
        </w:tc>
      </w:tr>
      <w:tr w:rsidR="00F313F5" w:rsidRPr="00C90A71" w14:paraId="5461D007" w14:textId="77777777" w:rsidTr="001959C9">
        <w:tc>
          <w:tcPr>
            <w:tcW w:w="2122" w:type="dxa"/>
            <w:tcBorders>
              <w:top w:val="nil"/>
              <w:left w:val="single" w:sz="4" w:space="0" w:color="auto"/>
              <w:bottom w:val="single" w:sz="4" w:space="0" w:color="auto"/>
              <w:right w:val="single" w:sz="4" w:space="0" w:color="auto"/>
            </w:tcBorders>
          </w:tcPr>
          <w:p w14:paraId="428BB7B7" w14:textId="77777777" w:rsidR="00F313F5" w:rsidRPr="00C90A71" w:rsidRDefault="00F313F5"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0513AE4B" w14:textId="77777777" w:rsidR="00F313F5" w:rsidRPr="00C90A71" w:rsidRDefault="00F313F5" w:rsidP="001959C9">
            <w:pPr>
              <w:spacing w:before="40" w:after="40"/>
              <w:rPr>
                <w:rFonts w:ascii="Arial" w:hAnsi="Arial"/>
                <w:sz w:val="16"/>
              </w:rPr>
            </w:pPr>
          </w:p>
        </w:tc>
        <w:tc>
          <w:tcPr>
            <w:tcW w:w="8930" w:type="dxa"/>
            <w:tcBorders>
              <w:top w:val="single" w:sz="4" w:space="0" w:color="auto"/>
              <w:left w:val="single" w:sz="4" w:space="0" w:color="auto"/>
              <w:bottom w:val="single" w:sz="4" w:space="0" w:color="auto"/>
              <w:right w:val="single" w:sz="4" w:space="0" w:color="auto"/>
            </w:tcBorders>
          </w:tcPr>
          <w:p w14:paraId="5F12194F" w14:textId="77777777" w:rsidR="00F313F5" w:rsidRPr="00C90A71" w:rsidRDefault="00F313F5" w:rsidP="001959C9">
            <w:pPr>
              <w:spacing w:before="40" w:after="40"/>
              <w:rPr>
                <w:rFonts w:ascii="Arial" w:hAnsi="Arial"/>
                <w:sz w:val="16"/>
              </w:rPr>
            </w:pPr>
          </w:p>
        </w:tc>
      </w:tr>
      <w:tr w:rsidR="00F313F5" w:rsidRPr="00C90A71" w14:paraId="41ED6838" w14:textId="77777777" w:rsidTr="001959C9">
        <w:tc>
          <w:tcPr>
            <w:tcW w:w="2122" w:type="dxa"/>
            <w:vMerge w:val="restart"/>
            <w:tcBorders>
              <w:top w:val="single" w:sz="4" w:space="0" w:color="auto"/>
              <w:left w:val="single" w:sz="4" w:space="0" w:color="auto"/>
              <w:right w:val="single" w:sz="4" w:space="0" w:color="auto"/>
            </w:tcBorders>
          </w:tcPr>
          <w:p w14:paraId="47767EB3" w14:textId="780AFDA4" w:rsidR="00F313F5" w:rsidRPr="00C90A71" w:rsidRDefault="00F313F5" w:rsidP="001959C9">
            <w:pPr>
              <w:tabs>
                <w:tab w:val="left" w:pos="992"/>
              </w:tabs>
              <w:spacing w:before="20" w:after="20"/>
              <w:rPr>
                <w:rFonts w:ascii="Arial" w:hAnsi="Arial"/>
                <w:sz w:val="17"/>
              </w:rPr>
            </w:pPr>
            <w:r w:rsidRPr="00C90A71">
              <w:rPr>
                <w:rFonts w:ascii="Arial" w:hAnsi="Arial"/>
                <w:sz w:val="17"/>
              </w:rPr>
              <w:t xml:space="preserve">Teaching and </w:t>
            </w:r>
            <w:r w:rsidR="003E1869">
              <w:rPr>
                <w:rFonts w:ascii="Arial" w:hAnsi="Arial"/>
                <w:sz w:val="17"/>
              </w:rPr>
              <w:t>l</w:t>
            </w:r>
            <w:r w:rsidRPr="00C90A71">
              <w:rPr>
                <w:rFonts w:ascii="Arial" w:hAnsi="Arial"/>
                <w:sz w:val="17"/>
              </w:rPr>
              <w:t>earning</w:t>
            </w:r>
          </w:p>
        </w:tc>
        <w:tc>
          <w:tcPr>
            <w:tcW w:w="2693" w:type="dxa"/>
            <w:tcBorders>
              <w:top w:val="single" w:sz="4" w:space="0" w:color="auto"/>
              <w:left w:val="single" w:sz="4" w:space="0" w:color="auto"/>
              <w:bottom w:val="single" w:sz="4" w:space="0" w:color="auto"/>
              <w:right w:val="single" w:sz="4" w:space="0" w:color="auto"/>
            </w:tcBorders>
          </w:tcPr>
          <w:p w14:paraId="27E770EC" w14:textId="77777777" w:rsidR="00F313F5" w:rsidRPr="00C90A71" w:rsidRDefault="00F313F5" w:rsidP="001959C9">
            <w:pPr>
              <w:spacing w:before="40" w:after="40"/>
              <w:rPr>
                <w:rFonts w:ascii="Arial" w:hAnsi="Arial"/>
                <w:sz w:val="16"/>
              </w:rPr>
            </w:pPr>
            <w:r w:rsidRPr="00C90A71">
              <w:rPr>
                <w:rFonts w:ascii="Arial" w:hAnsi="Arial"/>
                <w:sz w:val="16"/>
              </w:rPr>
              <w:t>Teaching</w:t>
            </w:r>
          </w:p>
        </w:tc>
        <w:tc>
          <w:tcPr>
            <w:tcW w:w="8930" w:type="dxa"/>
            <w:tcBorders>
              <w:top w:val="single" w:sz="4" w:space="0" w:color="auto"/>
              <w:left w:val="single" w:sz="4" w:space="0" w:color="auto"/>
              <w:bottom w:val="single" w:sz="4" w:space="0" w:color="auto"/>
              <w:right w:val="single" w:sz="4" w:space="0" w:color="auto"/>
            </w:tcBorders>
          </w:tcPr>
          <w:p w14:paraId="74E3C3AE" w14:textId="58B1804D" w:rsidR="00F313F5" w:rsidRPr="00C90A71" w:rsidRDefault="00F313F5" w:rsidP="001959C9">
            <w:pPr>
              <w:spacing w:before="40" w:after="40"/>
              <w:rPr>
                <w:rFonts w:ascii="Arial" w:hAnsi="Arial"/>
                <w:sz w:val="16"/>
              </w:rPr>
            </w:pPr>
            <w:r w:rsidRPr="00C90A71">
              <w:rPr>
                <w:rFonts w:ascii="Arial" w:hAnsi="Arial"/>
                <w:sz w:val="16"/>
              </w:rPr>
              <w:t xml:space="preserve">To plan for and implement digital devices and resources in the teaching process, so as to enhance the effectiveness of teaching interventions </w:t>
            </w:r>
          </w:p>
          <w:p w14:paraId="60D6E205" w14:textId="2C93F067" w:rsidR="00F313F5" w:rsidRPr="00C90A71" w:rsidRDefault="00F313F5" w:rsidP="001959C9">
            <w:pPr>
              <w:spacing w:before="40" w:after="40"/>
              <w:rPr>
                <w:rFonts w:ascii="Arial" w:hAnsi="Arial"/>
                <w:sz w:val="16"/>
              </w:rPr>
            </w:pPr>
            <w:r w:rsidRPr="00C90A71">
              <w:rPr>
                <w:rFonts w:ascii="Arial" w:hAnsi="Arial"/>
                <w:sz w:val="16"/>
              </w:rPr>
              <w:t xml:space="preserve">To appropriately manage and orchestrate digital teaching interventions </w:t>
            </w:r>
          </w:p>
          <w:p w14:paraId="2EA9C4BE" w14:textId="427A5E82" w:rsidR="00F313F5" w:rsidRPr="00C90A71" w:rsidRDefault="00F313F5" w:rsidP="001959C9">
            <w:pPr>
              <w:spacing w:before="40" w:after="40"/>
              <w:rPr>
                <w:rFonts w:ascii="Arial" w:hAnsi="Arial"/>
                <w:sz w:val="16"/>
              </w:rPr>
            </w:pPr>
            <w:r w:rsidRPr="00C90A71">
              <w:rPr>
                <w:rFonts w:ascii="Arial" w:hAnsi="Arial"/>
                <w:sz w:val="16"/>
              </w:rPr>
              <w:t>To experiment with and develop new formats and pedagogical methods for instruction</w:t>
            </w:r>
          </w:p>
        </w:tc>
      </w:tr>
      <w:tr w:rsidR="00F313F5" w:rsidRPr="00C90A71" w14:paraId="22488479" w14:textId="77777777" w:rsidTr="00F313F5">
        <w:tc>
          <w:tcPr>
            <w:tcW w:w="2122" w:type="dxa"/>
            <w:vMerge/>
            <w:tcBorders>
              <w:left w:val="single" w:sz="4" w:space="0" w:color="auto"/>
              <w:right w:val="single" w:sz="4" w:space="0" w:color="auto"/>
            </w:tcBorders>
          </w:tcPr>
          <w:p w14:paraId="4BC3F2DA" w14:textId="77777777" w:rsidR="00F313F5" w:rsidRPr="00C90A71" w:rsidRDefault="00F313F5"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37486C1D" w14:textId="77777777" w:rsidR="00F313F5" w:rsidRPr="00C90A71" w:rsidRDefault="00F313F5" w:rsidP="001959C9">
            <w:pPr>
              <w:spacing w:before="40" w:after="40"/>
              <w:rPr>
                <w:rFonts w:ascii="Arial" w:hAnsi="Arial"/>
                <w:sz w:val="16"/>
              </w:rPr>
            </w:pPr>
            <w:r w:rsidRPr="00C90A71">
              <w:rPr>
                <w:rFonts w:ascii="Arial" w:hAnsi="Arial"/>
                <w:sz w:val="16"/>
              </w:rPr>
              <w:t>Guidance</w:t>
            </w:r>
          </w:p>
        </w:tc>
        <w:tc>
          <w:tcPr>
            <w:tcW w:w="8930" w:type="dxa"/>
            <w:tcBorders>
              <w:top w:val="single" w:sz="4" w:space="0" w:color="auto"/>
              <w:left w:val="single" w:sz="4" w:space="0" w:color="auto"/>
              <w:bottom w:val="single" w:sz="4" w:space="0" w:color="auto"/>
              <w:right w:val="single" w:sz="4" w:space="0" w:color="auto"/>
            </w:tcBorders>
          </w:tcPr>
          <w:p w14:paraId="706862FC" w14:textId="2DE18451" w:rsidR="00F313F5" w:rsidRPr="00C90A71" w:rsidRDefault="00F313F5" w:rsidP="001959C9">
            <w:pPr>
              <w:spacing w:before="40" w:after="40"/>
              <w:rPr>
                <w:rFonts w:ascii="Arial" w:hAnsi="Arial"/>
                <w:sz w:val="16"/>
              </w:rPr>
            </w:pPr>
            <w:r w:rsidRPr="00C90A71">
              <w:rPr>
                <w:rFonts w:ascii="Arial" w:hAnsi="Arial"/>
                <w:sz w:val="16"/>
              </w:rPr>
              <w:t xml:space="preserve">To use digital technologies and services to enhance the interaction with learners, individually and collectively, within and outside the learning session </w:t>
            </w:r>
          </w:p>
          <w:p w14:paraId="6FAA3E34" w14:textId="3F9DE9C6" w:rsidR="00F313F5" w:rsidRPr="00C90A71" w:rsidRDefault="00F313F5" w:rsidP="001959C9">
            <w:pPr>
              <w:spacing w:before="40" w:after="40"/>
              <w:rPr>
                <w:rFonts w:ascii="Arial" w:hAnsi="Arial"/>
                <w:sz w:val="16"/>
              </w:rPr>
            </w:pPr>
            <w:r w:rsidRPr="00C90A71">
              <w:rPr>
                <w:rFonts w:ascii="Arial" w:hAnsi="Arial"/>
                <w:sz w:val="16"/>
              </w:rPr>
              <w:t xml:space="preserve">To use digital technologies to offer timely and targeted guidance and assistance </w:t>
            </w:r>
          </w:p>
          <w:p w14:paraId="71213704" w14:textId="281E1C4F" w:rsidR="00F313F5" w:rsidRPr="00C90A71" w:rsidRDefault="00F313F5" w:rsidP="001959C9">
            <w:pPr>
              <w:spacing w:before="40" w:after="40"/>
              <w:rPr>
                <w:rFonts w:ascii="Arial" w:hAnsi="Arial"/>
                <w:sz w:val="16"/>
              </w:rPr>
            </w:pPr>
            <w:r w:rsidRPr="00C90A71">
              <w:rPr>
                <w:rFonts w:ascii="Arial" w:hAnsi="Arial"/>
                <w:sz w:val="16"/>
              </w:rPr>
              <w:t>To experiment with and develop new forms and formats for offering guidance and support</w:t>
            </w:r>
          </w:p>
        </w:tc>
      </w:tr>
      <w:tr w:rsidR="00F313F5" w:rsidRPr="00C90A71" w14:paraId="0A4437FD" w14:textId="77777777" w:rsidTr="00F313F5">
        <w:tc>
          <w:tcPr>
            <w:tcW w:w="2122" w:type="dxa"/>
            <w:vMerge/>
            <w:tcBorders>
              <w:left w:val="single" w:sz="4" w:space="0" w:color="auto"/>
              <w:right w:val="single" w:sz="4" w:space="0" w:color="auto"/>
            </w:tcBorders>
          </w:tcPr>
          <w:p w14:paraId="530EDEB6" w14:textId="77777777" w:rsidR="00F313F5" w:rsidRPr="00C90A71" w:rsidRDefault="00F313F5"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7C82D444" w14:textId="77777777" w:rsidR="00F313F5" w:rsidRPr="00C90A71" w:rsidRDefault="00F313F5" w:rsidP="001959C9">
            <w:pPr>
              <w:spacing w:before="40" w:after="40"/>
              <w:rPr>
                <w:rFonts w:ascii="Arial" w:hAnsi="Arial"/>
                <w:sz w:val="16"/>
              </w:rPr>
            </w:pPr>
            <w:r w:rsidRPr="00C90A71">
              <w:rPr>
                <w:rFonts w:ascii="Arial" w:hAnsi="Arial"/>
                <w:sz w:val="16"/>
              </w:rPr>
              <w:t>Collaborative learning</w:t>
            </w:r>
          </w:p>
        </w:tc>
        <w:tc>
          <w:tcPr>
            <w:tcW w:w="8930" w:type="dxa"/>
            <w:tcBorders>
              <w:top w:val="single" w:sz="4" w:space="0" w:color="auto"/>
              <w:left w:val="single" w:sz="4" w:space="0" w:color="auto"/>
              <w:bottom w:val="single" w:sz="4" w:space="0" w:color="auto"/>
              <w:right w:val="single" w:sz="4" w:space="0" w:color="auto"/>
            </w:tcBorders>
          </w:tcPr>
          <w:p w14:paraId="421620FA" w14:textId="2630D233" w:rsidR="00F313F5" w:rsidRPr="00C90A71" w:rsidRDefault="00F313F5" w:rsidP="001959C9">
            <w:pPr>
              <w:spacing w:before="40" w:after="40"/>
              <w:rPr>
                <w:rFonts w:ascii="Arial" w:hAnsi="Arial"/>
                <w:sz w:val="16"/>
              </w:rPr>
            </w:pPr>
            <w:r w:rsidRPr="00C90A71">
              <w:rPr>
                <w:rFonts w:ascii="Arial" w:hAnsi="Arial"/>
                <w:sz w:val="16"/>
              </w:rPr>
              <w:t xml:space="preserve">To use digital technologies to foster and enhance learner collaboration </w:t>
            </w:r>
          </w:p>
          <w:p w14:paraId="65FBDC6D" w14:textId="39FCBDA7" w:rsidR="00F313F5" w:rsidRPr="00C90A71" w:rsidRDefault="00F313F5" w:rsidP="001959C9">
            <w:pPr>
              <w:spacing w:before="40" w:after="40"/>
              <w:rPr>
                <w:rFonts w:ascii="Arial" w:hAnsi="Arial"/>
                <w:sz w:val="16"/>
              </w:rPr>
            </w:pPr>
            <w:r w:rsidRPr="00C90A71">
              <w:rPr>
                <w:rFonts w:ascii="Arial" w:hAnsi="Arial"/>
                <w:sz w:val="16"/>
              </w:rPr>
              <w:t>To enable learners to use digital technologies as part of collaborative assignments, as a means of enhancing communication, collaboration and collaborative knowledge creation</w:t>
            </w:r>
          </w:p>
        </w:tc>
      </w:tr>
      <w:tr w:rsidR="00F313F5" w:rsidRPr="00C90A71" w14:paraId="6C5F0C89" w14:textId="77777777" w:rsidTr="00F313F5">
        <w:tc>
          <w:tcPr>
            <w:tcW w:w="2122" w:type="dxa"/>
            <w:vMerge/>
            <w:tcBorders>
              <w:left w:val="single" w:sz="4" w:space="0" w:color="auto"/>
              <w:bottom w:val="single" w:sz="4" w:space="0" w:color="auto"/>
              <w:right w:val="single" w:sz="4" w:space="0" w:color="auto"/>
            </w:tcBorders>
          </w:tcPr>
          <w:p w14:paraId="76249815" w14:textId="77777777" w:rsidR="00F313F5" w:rsidRPr="00C90A71" w:rsidRDefault="00F313F5"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74EB6027" w14:textId="77777777" w:rsidR="00F313F5" w:rsidRPr="00C90A71" w:rsidRDefault="00F313F5" w:rsidP="001959C9">
            <w:pPr>
              <w:spacing w:before="40" w:after="40"/>
              <w:rPr>
                <w:rFonts w:ascii="Arial" w:hAnsi="Arial"/>
                <w:sz w:val="16"/>
              </w:rPr>
            </w:pPr>
            <w:r w:rsidRPr="00C90A71">
              <w:rPr>
                <w:rFonts w:ascii="Arial" w:hAnsi="Arial"/>
                <w:sz w:val="16"/>
              </w:rPr>
              <w:t>Self-regulated learning</w:t>
            </w:r>
          </w:p>
        </w:tc>
        <w:tc>
          <w:tcPr>
            <w:tcW w:w="8930" w:type="dxa"/>
            <w:tcBorders>
              <w:top w:val="single" w:sz="4" w:space="0" w:color="auto"/>
              <w:left w:val="single" w:sz="4" w:space="0" w:color="auto"/>
              <w:bottom w:val="single" w:sz="4" w:space="0" w:color="auto"/>
              <w:right w:val="single" w:sz="4" w:space="0" w:color="auto"/>
            </w:tcBorders>
          </w:tcPr>
          <w:p w14:paraId="04D4A232" w14:textId="098751E1" w:rsidR="00F313F5" w:rsidRPr="00C90A71" w:rsidRDefault="00F313F5" w:rsidP="001959C9">
            <w:pPr>
              <w:spacing w:before="40" w:after="40"/>
              <w:rPr>
                <w:rFonts w:ascii="Arial" w:hAnsi="Arial"/>
                <w:sz w:val="16"/>
              </w:rPr>
            </w:pPr>
            <w:r w:rsidRPr="00C90A71">
              <w:rPr>
                <w:rFonts w:ascii="Arial" w:hAnsi="Arial"/>
                <w:sz w:val="16"/>
              </w:rPr>
              <w:t>To use digital technologies to support self-regulated learning processes i.e. to enable learners to plan, monitor and reflect on their own learning, provide evidence of progress, share insights and come up with creative solutions.</w:t>
            </w:r>
          </w:p>
        </w:tc>
      </w:tr>
      <w:tr w:rsidR="001C3746" w:rsidRPr="00C90A71" w14:paraId="2A32B7CD" w14:textId="77777777" w:rsidTr="00F313F5">
        <w:tc>
          <w:tcPr>
            <w:tcW w:w="2122" w:type="dxa"/>
            <w:tcBorders>
              <w:top w:val="single" w:sz="4" w:space="0" w:color="auto"/>
              <w:left w:val="single" w:sz="4" w:space="0" w:color="auto"/>
              <w:bottom w:val="single" w:sz="4" w:space="0" w:color="auto"/>
              <w:right w:val="single" w:sz="4" w:space="0" w:color="auto"/>
            </w:tcBorders>
          </w:tcPr>
          <w:p w14:paraId="1570E2B3"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26B5BB7B" w14:textId="77777777" w:rsidR="001C3746" w:rsidRPr="00C90A71" w:rsidRDefault="001C3746" w:rsidP="001959C9">
            <w:pPr>
              <w:spacing w:before="40" w:after="40"/>
              <w:rPr>
                <w:rFonts w:ascii="Arial" w:hAnsi="Arial"/>
                <w:sz w:val="16"/>
              </w:rPr>
            </w:pPr>
          </w:p>
        </w:tc>
        <w:tc>
          <w:tcPr>
            <w:tcW w:w="8930" w:type="dxa"/>
            <w:tcBorders>
              <w:top w:val="single" w:sz="4" w:space="0" w:color="auto"/>
              <w:left w:val="single" w:sz="4" w:space="0" w:color="auto"/>
              <w:bottom w:val="single" w:sz="4" w:space="0" w:color="auto"/>
              <w:right w:val="single" w:sz="4" w:space="0" w:color="auto"/>
            </w:tcBorders>
          </w:tcPr>
          <w:p w14:paraId="24E617FB" w14:textId="77777777" w:rsidR="001C3746" w:rsidRPr="00C90A71" w:rsidRDefault="001C3746" w:rsidP="001959C9">
            <w:pPr>
              <w:spacing w:before="40" w:after="40"/>
              <w:rPr>
                <w:rFonts w:ascii="Arial" w:hAnsi="Arial"/>
                <w:sz w:val="16"/>
              </w:rPr>
            </w:pPr>
          </w:p>
        </w:tc>
      </w:tr>
      <w:tr w:rsidR="001C3746" w:rsidRPr="00C90A71" w14:paraId="792FBD31" w14:textId="77777777" w:rsidTr="00F313F5">
        <w:tc>
          <w:tcPr>
            <w:tcW w:w="2122" w:type="dxa"/>
            <w:tcBorders>
              <w:top w:val="single" w:sz="4" w:space="0" w:color="auto"/>
              <w:left w:val="single" w:sz="4" w:space="0" w:color="auto"/>
              <w:bottom w:val="nil"/>
              <w:right w:val="single" w:sz="4" w:space="0" w:color="auto"/>
            </w:tcBorders>
          </w:tcPr>
          <w:p w14:paraId="76C1EF1D" w14:textId="77777777" w:rsidR="001C3746" w:rsidRPr="00C90A71" w:rsidRDefault="001C3746" w:rsidP="001959C9">
            <w:pPr>
              <w:tabs>
                <w:tab w:val="left" w:pos="992"/>
              </w:tabs>
              <w:spacing w:before="20" w:after="20"/>
              <w:rPr>
                <w:rFonts w:ascii="Arial" w:hAnsi="Arial"/>
                <w:sz w:val="17"/>
              </w:rPr>
            </w:pPr>
            <w:r w:rsidRPr="00C90A71">
              <w:rPr>
                <w:rFonts w:ascii="Arial" w:hAnsi="Arial"/>
                <w:sz w:val="17"/>
              </w:rPr>
              <w:t>Assessment</w:t>
            </w:r>
          </w:p>
        </w:tc>
        <w:tc>
          <w:tcPr>
            <w:tcW w:w="2693" w:type="dxa"/>
            <w:tcBorders>
              <w:top w:val="single" w:sz="4" w:space="0" w:color="auto"/>
              <w:left w:val="single" w:sz="4" w:space="0" w:color="auto"/>
              <w:bottom w:val="single" w:sz="4" w:space="0" w:color="auto"/>
              <w:right w:val="single" w:sz="4" w:space="0" w:color="auto"/>
            </w:tcBorders>
          </w:tcPr>
          <w:p w14:paraId="08FF1BDB" w14:textId="77777777" w:rsidR="001C3746" w:rsidRPr="00C90A71" w:rsidRDefault="001C3746" w:rsidP="001959C9">
            <w:pPr>
              <w:spacing w:before="40" w:after="40"/>
              <w:rPr>
                <w:rFonts w:ascii="Arial" w:hAnsi="Arial"/>
                <w:sz w:val="16"/>
              </w:rPr>
            </w:pPr>
            <w:r w:rsidRPr="00C90A71">
              <w:rPr>
                <w:rFonts w:ascii="Arial" w:hAnsi="Arial"/>
                <w:sz w:val="16"/>
              </w:rPr>
              <w:t>Assessment strategies</w:t>
            </w:r>
          </w:p>
        </w:tc>
        <w:tc>
          <w:tcPr>
            <w:tcW w:w="8930" w:type="dxa"/>
            <w:tcBorders>
              <w:top w:val="single" w:sz="4" w:space="0" w:color="auto"/>
              <w:left w:val="single" w:sz="4" w:space="0" w:color="auto"/>
              <w:bottom w:val="single" w:sz="4" w:space="0" w:color="auto"/>
              <w:right w:val="single" w:sz="4" w:space="0" w:color="auto"/>
            </w:tcBorders>
          </w:tcPr>
          <w:p w14:paraId="3DDC5ED3" w14:textId="30048251" w:rsidR="001C3746" w:rsidRPr="00C90A71" w:rsidRDefault="001C3746" w:rsidP="001959C9">
            <w:pPr>
              <w:spacing w:before="40" w:after="40"/>
              <w:rPr>
                <w:rFonts w:ascii="Arial" w:hAnsi="Arial"/>
                <w:sz w:val="16"/>
              </w:rPr>
            </w:pPr>
            <w:r w:rsidRPr="00C90A71">
              <w:rPr>
                <w:rFonts w:ascii="Arial" w:hAnsi="Arial"/>
                <w:sz w:val="16"/>
              </w:rPr>
              <w:t xml:space="preserve">To use digital technologies for formative and summative assessment </w:t>
            </w:r>
          </w:p>
          <w:p w14:paraId="4A2E9C51" w14:textId="2B1FE186" w:rsidR="001C3746" w:rsidRPr="00C90A71" w:rsidRDefault="001C3746" w:rsidP="001959C9">
            <w:pPr>
              <w:spacing w:before="40" w:after="40"/>
              <w:rPr>
                <w:rFonts w:ascii="Arial" w:hAnsi="Arial"/>
                <w:sz w:val="16"/>
              </w:rPr>
            </w:pPr>
            <w:r w:rsidRPr="00C90A71">
              <w:rPr>
                <w:rFonts w:ascii="Arial" w:hAnsi="Arial"/>
                <w:sz w:val="16"/>
              </w:rPr>
              <w:t>To enhance the diversity and suitability of assessment formats and approaches</w:t>
            </w:r>
          </w:p>
        </w:tc>
      </w:tr>
      <w:tr w:rsidR="001C3746" w:rsidRPr="00C90A71" w14:paraId="4AF7A35E" w14:textId="77777777" w:rsidTr="00F313F5">
        <w:tc>
          <w:tcPr>
            <w:tcW w:w="2122" w:type="dxa"/>
            <w:tcBorders>
              <w:top w:val="nil"/>
              <w:left w:val="single" w:sz="4" w:space="0" w:color="auto"/>
              <w:bottom w:val="nil"/>
              <w:right w:val="single" w:sz="4" w:space="0" w:color="auto"/>
            </w:tcBorders>
          </w:tcPr>
          <w:p w14:paraId="377A04FA"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5F1DAE2E" w14:textId="77777777" w:rsidR="001C3746" w:rsidRPr="00C90A71" w:rsidRDefault="001C3746" w:rsidP="001959C9">
            <w:pPr>
              <w:spacing w:before="40" w:after="40"/>
              <w:rPr>
                <w:rFonts w:ascii="Arial" w:hAnsi="Arial"/>
                <w:sz w:val="16"/>
              </w:rPr>
            </w:pPr>
            <w:r w:rsidRPr="00C90A71">
              <w:rPr>
                <w:rFonts w:ascii="Arial" w:hAnsi="Arial"/>
                <w:sz w:val="16"/>
              </w:rPr>
              <w:t>Analysing evidence</w:t>
            </w:r>
          </w:p>
        </w:tc>
        <w:tc>
          <w:tcPr>
            <w:tcW w:w="8930" w:type="dxa"/>
            <w:tcBorders>
              <w:top w:val="single" w:sz="4" w:space="0" w:color="auto"/>
              <w:left w:val="single" w:sz="4" w:space="0" w:color="auto"/>
              <w:bottom w:val="single" w:sz="4" w:space="0" w:color="auto"/>
              <w:right w:val="single" w:sz="4" w:space="0" w:color="auto"/>
            </w:tcBorders>
          </w:tcPr>
          <w:p w14:paraId="10AFFFDE" w14:textId="011B8B61" w:rsidR="001C3746" w:rsidRPr="00C90A71" w:rsidRDefault="001C3746" w:rsidP="001959C9">
            <w:pPr>
              <w:spacing w:before="40" w:after="40"/>
              <w:rPr>
                <w:rFonts w:ascii="Arial" w:hAnsi="Arial"/>
                <w:sz w:val="16"/>
              </w:rPr>
            </w:pPr>
            <w:r w:rsidRPr="00C90A71">
              <w:rPr>
                <w:rFonts w:ascii="Arial" w:hAnsi="Arial"/>
                <w:sz w:val="16"/>
              </w:rPr>
              <w:t>To generate, select, critically analyse and interpret digital evidence on learner activity, performance and progress, in order to inform teaching and learning</w:t>
            </w:r>
          </w:p>
        </w:tc>
      </w:tr>
      <w:tr w:rsidR="001C3746" w:rsidRPr="00C90A71" w14:paraId="2695BF5D" w14:textId="77777777" w:rsidTr="00F313F5">
        <w:tc>
          <w:tcPr>
            <w:tcW w:w="2122" w:type="dxa"/>
            <w:tcBorders>
              <w:top w:val="nil"/>
              <w:left w:val="single" w:sz="4" w:space="0" w:color="auto"/>
              <w:bottom w:val="nil"/>
              <w:right w:val="single" w:sz="4" w:space="0" w:color="auto"/>
            </w:tcBorders>
          </w:tcPr>
          <w:p w14:paraId="19431E13" w14:textId="77777777" w:rsidR="001C3746" w:rsidRPr="00C90A71" w:rsidRDefault="001C3746" w:rsidP="001959C9">
            <w:pPr>
              <w:spacing w:before="40" w:after="40"/>
              <w:rPr>
                <w:rFonts w:ascii="Arial" w:hAnsi="Arial"/>
                <w:sz w:val="16"/>
              </w:rPr>
            </w:pPr>
          </w:p>
        </w:tc>
        <w:tc>
          <w:tcPr>
            <w:tcW w:w="2693" w:type="dxa"/>
            <w:tcBorders>
              <w:top w:val="single" w:sz="4" w:space="0" w:color="auto"/>
              <w:left w:val="single" w:sz="4" w:space="0" w:color="auto"/>
              <w:bottom w:val="nil"/>
              <w:right w:val="single" w:sz="4" w:space="0" w:color="auto"/>
            </w:tcBorders>
          </w:tcPr>
          <w:p w14:paraId="3EE578F9" w14:textId="77777777" w:rsidR="001C3746" w:rsidRPr="00C90A71" w:rsidRDefault="001C3746" w:rsidP="001959C9">
            <w:pPr>
              <w:spacing w:before="40" w:after="40"/>
              <w:rPr>
                <w:rFonts w:ascii="Arial" w:hAnsi="Arial"/>
                <w:sz w:val="16"/>
              </w:rPr>
            </w:pPr>
            <w:r w:rsidRPr="00C90A71">
              <w:rPr>
                <w:rFonts w:ascii="Arial" w:hAnsi="Arial"/>
                <w:sz w:val="16"/>
              </w:rPr>
              <w:t>Feedback and planning</w:t>
            </w:r>
          </w:p>
        </w:tc>
        <w:tc>
          <w:tcPr>
            <w:tcW w:w="8930" w:type="dxa"/>
            <w:tcBorders>
              <w:top w:val="single" w:sz="4" w:space="0" w:color="auto"/>
              <w:left w:val="single" w:sz="4" w:space="0" w:color="auto"/>
              <w:bottom w:val="nil"/>
              <w:right w:val="single" w:sz="4" w:space="0" w:color="auto"/>
            </w:tcBorders>
          </w:tcPr>
          <w:p w14:paraId="045EB989" w14:textId="18BEB679" w:rsidR="001C3746" w:rsidRPr="00C90A71" w:rsidRDefault="001C3746" w:rsidP="001959C9">
            <w:pPr>
              <w:spacing w:before="40" w:after="40"/>
              <w:rPr>
                <w:rFonts w:ascii="Arial" w:hAnsi="Arial"/>
                <w:sz w:val="16"/>
              </w:rPr>
            </w:pPr>
            <w:r w:rsidRPr="00C90A71">
              <w:rPr>
                <w:rFonts w:ascii="Arial" w:hAnsi="Arial"/>
                <w:sz w:val="16"/>
              </w:rPr>
              <w:t xml:space="preserve">To use digital technologies to provide targeted and timely feedback to learners </w:t>
            </w:r>
          </w:p>
          <w:p w14:paraId="41005E6A" w14:textId="676AF634" w:rsidR="001C3746" w:rsidRPr="00C90A71" w:rsidRDefault="001C3746" w:rsidP="001959C9">
            <w:pPr>
              <w:spacing w:before="40" w:after="40"/>
              <w:rPr>
                <w:rFonts w:ascii="Arial" w:hAnsi="Arial"/>
                <w:sz w:val="16"/>
              </w:rPr>
            </w:pPr>
            <w:r w:rsidRPr="00C90A71">
              <w:rPr>
                <w:rFonts w:ascii="Arial" w:hAnsi="Arial"/>
                <w:sz w:val="16"/>
              </w:rPr>
              <w:t xml:space="preserve">To adapt teaching strategies and to provide targeted support, based on the evidence generated by the digital technologies used </w:t>
            </w:r>
          </w:p>
          <w:p w14:paraId="4632D157" w14:textId="0D7421B7" w:rsidR="001C3746" w:rsidRPr="00C90A71" w:rsidRDefault="001C3746" w:rsidP="001959C9">
            <w:pPr>
              <w:spacing w:before="40" w:after="40"/>
              <w:rPr>
                <w:rFonts w:ascii="Arial" w:hAnsi="Arial"/>
                <w:sz w:val="16"/>
              </w:rPr>
            </w:pPr>
            <w:r w:rsidRPr="00C90A71">
              <w:rPr>
                <w:rFonts w:ascii="Arial" w:hAnsi="Arial"/>
                <w:sz w:val="16"/>
              </w:rPr>
              <w:t>To enable learners and parents to understand the evidence provided by digital technologies and use it for decision-making</w:t>
            </w:r>
          </w:p>
        </w:tc>
      </w:tr>
      <w:tr w:rsidR="00F313F5" w:rsidRPr="00C90A71" w14:paraId="778189A2" w14:textId="77777777" w:rsidTr="00F313F5">
        <w:tc>
          <w:tcPr>
            <w:tcW w:w="2122" w:type="dxa"/>
            <w:tcBorders>
              <w:top w:val="nil"/>
              <w:left w:val="nil"/>
              <w:bottom w:val="single" w:sz="4" w:space="0" w:color="auto"/>
              <w:right w:val="nil"/>
            </w:tcBorders>
          </w:tcPr>
          <w:p w14:paraId="59DB1492" w14:textId="1FBDBDFB" w:rsidR="00F313F5" w:rsidRPr="00C90A71" w:rsidRDefault="00F313F5" w:rsidP="001959C9">
            <w:pPr>
              <w:spacing w:before="40" w:after="40"/>
              <w:rPr>
                <w:rFonts w:ascii="Arial" w:hAnsi="Arial"/>
                <w:sz w:val="16"/>
              </w:rPr>
            </w:pPr>
            <w:r>
              <w:rPr>
                <w:rFonts w:ascii="Arial" w:hAnsi="Arial"/>
                <w:b/>
                <w:sz w:val="17"/>
              </w:rPr>
              <w:lastRenderedPageBreak/>
              <w:t>Table C1 con</w:t>
            </w:r>
            <w:r w:rsidR="00F25939">
              <w:rPr>
                <w:rFonts w:ascii="Arial" w:hAnsi="Arial"/>
                <w:b/>
                <w:sz w:val="17"/>
              </w:rPr>
              <w:t>t.</w:t>
            </w:r>
          </w:p>
        </w:tc>
        <w:tc>
          <w:tcPr>
            <w:tcW w:w="2693" w:type="dxa"/>
            <w:tcBorders>
              <w:top w:val="nil"/>
              <w:left w:val="nil"/>
              <w:bottom w:val="single" w:sz="4" w:space="0" w:color="auto"/>
              <w:right w:val="nil"/>
            </w:tcBorders>
          </w:tcPr>
          <w:p w14:paraId="44B1114F" w14:textId="77777777" w:rsidR="00F313F5" w:rsidRPr="00C90A71" w:rsidRDefault="00F313F5" w:rsidP="001959C9">
            <w:pPr>
              <w:spacing w:before="40" w:after="40"/>
              <w:rPr>
                <w:rFonts w:ascii="Arial" w:hAnsi="Arial"/>
                <w:sz w:val="16"/>
              </w:rPr>
            </w:pPr>
          </w:p>
        </w:tc>
        <w:tc>
          <w:tcPr>
            <w:tcW w:w="8930" w:type="dxa"/>
            <w:tcBorders>
              <w:top w:val="nil"/>
              <w:left w:val="nil"/>
              <w:bottom w:val="single" w:sz="4" w:space="0" w:color="auto"/>
              <w:right w:val="nil"/>
            </w:tcBorders>
          </w:tcPr>
          <w:p w14:paraId="57F1EF98" w14:textId="77777777" w:rsidR="00F313F5" w:rsidRPr="00C90A71" w:rsidRDefault="00F313F5" w:rsidP="001959C9">
            <w:pPr>
              <w:spacing w:before="40" w:after="40"/>
              <w:rPr>
                <w:rFonts w:ascii="Arial" w:hAnsi="Arial"/>
                <w:sz w:val="16"/>
              </w:rPr>
            </w:pPr>
          </w:p>
        </w:tc>
      </w:tr>
      <w:tr w:rsidR="00F313F5" w:rsidRPr="00C90A71" w14:paraId="09953600" w14:textId="77777777" w:rsidTr="00F313F5">
        <w:tc>
          <w:tcPr>
            <w:tcW w:w="2122" w:type="dxa"/>
            <w:tcBorders>
              <w:top w:val="single" w:sz="4" w:space="0" w:color="auto"/>
              <w:left w:val="single" w:sz="4" w:space="0" w:color="auto"/>
              <w:bottom w:val="single" w:sz="4" w:space="0" w:color="auto"/>
              <w:right w:val="single" w:sz="4" w:space="0" w:color="auto"/>
            </w:tcBorders>
          </w:tcPr>
          <w:p w14:paraId="3F8A0FE0" w14:textId="77777777" w:rsidR="00F313F5" w:rsidRPr="00C90A71" w:rsidRDefault="00F313F5" w:rsidP="00F313F5">
            <w:pPr>
              <w:spacing w:before="80" w:after="80"/>
              <w:rPr>
                <w:rFonts w:ascii="Arial" w:hAnsi="Arial"/>
                <w:b/>
                <w:sz w:val="17"/>
              </w:rPr>
            </w:pPr>
            <w:r w:rsidRPr="00C90A71">
              <w:rPr>
                <w:rFonts w:ascii="Arial" w:hAnsi="Arial"/>
                <w:b/>
                <w:sz w:val="17"/>
              </w:rPr>
              <w:t>Key area</w:t>
            </w:r>
          </w:p>
        </w:tc>
        <w:tc>
          <w:tcPr>
            <w:tcW w:w="2693" w:type="dxa"/>
            <w:tcBorders>
              <w:top w:val="single" w:sz="4" w:space="0" w:color="auto"/>
              <w:left w:val="single" w:sz="4" w:space="0" w:color="auto"/>
              <w:bottom w:val="single" w:sz="4" w:space="0" w:color="auto"/>
              <w:right w:val="single" w:sz="4" w:space="0" w:color="auto"/>
            </w:tcBorders>
          </w:tcPr>
          <w:p w14:paraId="2E8FE050" w14:textId="77777777" w:rsidR="00F313F5" w:rsidRPr="00C90A71" w:rsidRDefault="00F313F5" w:rsidP="00F313F5">
            <w:pPr>
              <w:spacing w:before="80" w:after="80"/>
              <w:rPr>
                <w:rFonts w:ascii="Arial" w:hAnsi="Arial"/>
                <w:b/>
                <w:sz w:val="17"/>
              </w:rPr>
            </w:pPr>
            <w:r w:rsidRPr="00C90A71">
              <w:rPr>
                <w:rFonts w:ascii="Arial" w:hAnsi="Arial"/>
                <w:b/>
                <w:sz w:val="17"/>
              </w:rPr>
              <w:t>Competency</w:t>
            </w:r>
          </w:p>
        </w:tc>
        <w:tc>
          <w:tcPr>
            <w:tcW w:w="8930" w:type="dxa"/>
            <w:tcBorders>
              <w:top w:val="single" w:sz="4" w:space="0" w:color="auto"/>
              <w:left w:val="single" w:sz="4" w:space="0" w:color="auto"/>
              <w:bottom w:val="single" w:sz="4" w:space="0" w:color="auto"/>
              <w:right w:val="single" w:sz="4" w:space="0" w:color="auto"/>
            </w:tcBorders>
          </w:tcPr>
          <w:p w14:paraId="609D3208" w14:textId="77777777" w:rsidR="00F313F5" w:rsidRPr="00C90A71" w:rsidRDefault="00F313F5" w:rsidP="00F313F5">
            <w:pPr>
              <w:spacing w:before="40" w:after="40"/>
              <w:rPr>
                <w:rFonts w:ascii="Arial" w:hAnsi="Arial"/>
                <w:sz w:val="16"/>
              </w:rPr>
            </w:pPr>
          </w:p>
        </w:tc>
      </w:tr>
      <w:tr w:rsidR="00F313F5" w:rsidRPr="00C90A71" w14:paraId="59446FF1" w14:textId="77777777" w:rsidTr="00F313F5">
        <w:tc>
          <w:tcPr>
            <w:tcW w:w="2122" w:type="dxa"/>
            <w:tcBorders>
              <w:top w:val="single" w:sz="4" w:space="0" w:color="auto"/>
              <w:left w:val="single" w:sz="4" w:space="0" w:color="auto"/>
              <w:bottom w:val="nil"/>
              <w:right w:val="single" w:sz="4" w:space="0" w:color="auto"/>
            </w:tcBorders>
          </w:tcPr>
          <w:p w14:paraId="3C45505A" w14:textId="5B313A6C" w:rsidR="00F313F5" w:rsidRPr="00C90A71" w:rsidRDefault="00F313F5" w:rsidP="00F313F5">
            <w:pPr>
              <w:tabs>
                <w:tab w:val="left" w:pos="992"/>
              </w:tabs>
              <w:spacing w:before="20" w:after="20"/>
              <w:rPr>
                <w:rFonts w:ascii="Arial" w:hAnsi="Arial"/>
                <w:sz w:val="17"/>
              </w:rPr>
            </w:pPr>
            <w:r w:rsidRPr="00C90A71">
              <w:rPr>
                <w:rFonts w:ascii="Arial" w:hAnsi="Arial"/>
                <w:sz w:val="17"/>
              </w:rPr>
              <w:t xml:space="preserve">Empowering </w:t>
            </w:r>
            <w:r w:rsidR="00F25939">
              <w:rPr>
                <w:rFonts w:ascii="Arial" w:hAnsi="Arial"/>
                <w:sz w:val="17"/>
              </w:rPr>
              <w:t>l</w:t>
            </w:r>
            <w:r w:rsidRPr="00C90A71">
              <w:rPr>
                <w:rFonts w:ascii="Arial" w:hAnsi="Arial"/>
                <w:sz w:val="17"/>
              </w:rPr>
              <w:t>earners</w:t>
            </w:r>
          </w:p>
        </w:tc>
        <w:tc>
          <w:tcPr>
            <w:tcW w:w="2693" w:type="dxa"/>
            <w:tcBorders>
              <w:top w:val="single" w:sz="4" w:space="0" w:color="auto"/>
              <w:left w:val="single" w:sz="4" w:space="0" w:color="auto"/>
              <w:bottom w:val="single" w:sz="4" w:space="0" w:color="auto"/>
              <w:right w:val="single" w:sz="4" w:space="0" w:color="auto"/>
            </w:tcBorders>
          </w:tcPr>
          <w:p w14:paraId="4A2868EF" w14:textId="77777777" w:rsidR="00F313F5" w:rsidRPr="00C90A71" w:rsidRDefault="00F313F5" w:rsidP="00F313F5">
            <w:pPr>
              <w:spacing w:before="40" w:after="40"/>
              <w:rPr>
                <w:rFonts w:ascii="Arial" w:hAnsi="Arial"/>
                <w:sz w:val="16"/>
              </w:rPr>
            </w:pPr>
            <w:r w:rsidRPr="00C90A71">
              <w:rPr>
                <w:rFonts w:ascii="Arial" w:hAnsi="Arial"/>
                <w:sz w:val="16"/>
              </w:rPr>
              <w:t>Accessibility &amp; inclusion</w:t>
            </w:r>
          </w:p>
        </w:tc>
        <w:tc>
          <w:tcPr>
            <w:tcW w:w="8930" w:type="dxa"/>
            <w:tcBorders>
              <w:top w:val="single" w:sz="4" w:space="0" w:color="auto"/>
              <w:left w:val="single" w:sz="4" w:space="0" w:color="auto"/>
              <w:bottom w:val="single" w:sz="4" w:space="0" w:color="auto"/>
              <w:right w:val="single" w:sz="4" w:space="0" w:color="auto"/>
            </w:tcBorders>
          </w:tcPr>
          <w:p w14:paraId="0B4E634E" w14:textId="186E6721" w:rsidR="00F313F5" w:rsidRPr="00C90A71" w:rsidRDefault="00F313F5" w:rsidP="00F313F5">
            <w:pPr>
              <w:spacing w:before="40" w:after="40"/>
              <w:rPr>
                <w:rFonts w:ascii="Arial" w:hAnsi="Arial"/>
                <w:sz w:val="16"/>
              </w:rPr>
            </w:pPr>
            <w:r w:rsidRPr="00C90A71">
              <w:rPr>
                <w:rFonts w:ascii="Arial" w:hAnsi="Arial"/>
                <w:sz w:val="16"/>
              </w:rPr>
              <w:t>To ensure accessibility to learning resources and activities, for all learners, including those with special needs. To consider and respond to learners’ (digital) expectations, abilities, uses and misconceptions, as well as contextual, physical or cognitive constraints to their use of digital technologies</w:t>
            </w:r>
          </w:p>
        </w:tc>
      </w:tr>
      <w:tr w:rsidR="00F313F5" w:rsidRPr="00C90A71" w14:paraId="10D96092" w14:textId="77777777" w:rsidTr="00F313F5">
        <w:tc>
          <w:tcPr>
            <w:tcW w:w="2122" w:type="dxa"/>
            <w:tcBorders>
              <w:top w:val="nil"/>
              <w:left w:val="single" w:sz="4" w:space="0" w:color="auto"/>
              <w:bottom w:val="nil"/>
              <w:right w:val="single" w:sz="4" w:space="0" w:color="auto"/>
            </w:tcBorders>
          </w:tcPr>
          <w:p w14:paraId="31874AC4" w14:textId="77777777" w:rsidR="00F313F5" w:rsidRPr="00C90A71" w:rsidRDefault="00F313F5" w:rsidP="00F313F5">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2E4C0F5B" w14:textId="77777777" w:rsidR="00F313F5" w:rsidRPr="00C90A71" w:rsidRDefault="00F313F5" w:rsidP="00F313F5">
            <w:pPr>
              <w:spacing w:before="40" w:after="40"/>
              <w:rPr>
                <w:rFonts w:ascii="Arial" w:hAnsi="Arial"/>
                <w:sz w:val="16"/>
              </w:rPr>
            </w:pPr>
            <w:r w:rsidRPr="00C90A71">
              <w:rPr>
                <w:rFonts w:ascii="Arial" w:hAnsi="Arial"/>
                <w:sz w:val="16"/>
              </w:rPr>
              <w:t>Differentiation &amp; personalisation</w:t>
            </w:r>
          </w:p>
        </w:tc>
        <w:tc>
          <w:tcPr>
            <w:tcW w:w="8930" w:type="dxa"/>
            <w:tcBorders>
              <w:top w:val="single" w:sz="4" w:space="0" w:color="auto"/>
              <w:left w:val="single" w:sz="4" w:space="0" w:color="auto"/>
              <w:bottom w:val="single" w:sz="4" w:space="0" w:color="auto"/>
              <w:right w:val="single" w:sz="4" w:space="0" w:color="auto"/>
            </w:tcBorders>
          </w:tcPr>
          <w:p w14:paraId="36F5DAD8" w14:textId="5E771602" w:rsidR="00F313F5" w:rsidRPr="00C90A71" w:rsidRDefault="00F313F5" w:rsidP="00F313F5">
            <w:pPr>
              <w:spacing w:before="40" w:after="40"/>
              <w:rPr>
                <w:rFonts w:ascii="Arial" w:hAnsi="Arial"/>
                <w:sz w:val="16"/>
              </w:rPr>
            </w:pPr>
            <w:r w:rsidRPr="00C90A71">
              <w:rPr>
                <w:rFonts w:ascii="Arial" w:hAnsi="Arial"/>
                <w:sz w:val="16"/>
              </w:rPr>
              <w:t>To use digital technologies to address learners’ diverse learning needs, by allowing learners to advance at different levels and speeds, and to follow individual learning pathways and objectives</w:t>
            </w:r>
          </w:p>
        </w:tc>
      </w:tr>
      <w:tr w:rsidR="00F313F5" w:rsidRPr="00C90A71" w14:paraId="1782BFFA" w14:textId="77777777" w:rsidTr="00F313F5">
        <w:tc>
          <w:tcPr>
            <w:tcW w:w="2122" w:type="dxa"/>
            <w:tcBorders>
              <w:top w:val="nil"/>
              <w:left w:val="single" w:sz="4" w:space="0" w:color="auto"/>
              <w:bottom w:val="single" w:sz="4" w:space="0" w:color="auto"/>
              <w:right w:val="single" w:sz="4" w:space="0" w:color="auto"/>
            </w:tcBorders>
          </w:tcPr>
          <w:p w14:paraId="7E5A7B2E" w14:textId="77777777" w:rsidR="00F313F5" w:rsidRPr="00C90A71" w:rsidRDefault="00F313F5" w:rsidP="00F313F5">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7034921D" w14:textId="77777777" w:rsidR="00F313F5" w:rsidRPr="00C90A71" w:rsidRDefault="00F313F5" w:rsidP="00F313F5">
            <w:pPr>
              <w:spacing w:before="40" w:after="40"/>
              <w:rPr>
                <w:rFonts w:ascii="Arial" w:hAnsi="Arial"/>
                <w:sz w:val="16"/>
              </w:rPr>
            </w:pPr>
            <w:r w:rsidRPr="00C90A71">
              <w:rPr>
                <w:rFonts w:ascii="Arial" w:hAnsi="Arial"/>
                <w:sz w:val="16"/>
              </w:rPr>
              <w:t>Actively engaging learners</w:t>
            </w:r>
          </w:p>
        </w:tc>
        <w:tc>
          <w:tcPr>
            <w:tcW w:w="8930" w:type="dxa"/>
            <w:tcBorders>
              <w:top w:val="single" w:sz="4" w:space="0" w:color="auto"/>
              <w:left w:val="single" w:sz="4" w:space="0" w:color="auto"/>
              <w:bottom w:val="single" w:sz="4" w:space="0" w:color="auto"/>
              <w:right w:val="single" w:sz="4" w:space="0" w:color="auto"/>
            </w:tcBorders>
          </w:tcPr>
          <w:p w14:paraId="2BD64CDC" w14:textId="19942D56" w:rsidR="00F313F5" w:rsidRPr="00C90A71" w:rsidRDefault="00F313F5" w:rsidP="00F313F5">
            <w:pPr>
              <w:spacing w:before="40" w:after="40"/>
              <w:rPr>
                <w:rFonts w:ascii="Arial" w:hAnsi="Arial"/>
                <w:sz w:val="16"/>
              </w:rPr>
            </w:pPr>
            <w:r w:rsidRPr="00C90A71">
              <w:rPr>
                <w:rFonts w:ascii="Arial" w:hAnsi="Arial"/>
                <w:sz w:val="16"/>
              </w:rPr>
              <w:t xml:space="preserve">To use digital technologies to foster learners’ active and creative engagement with a subject matter </w:t>
            </w:r>
          </w:p>
          <w:p w14:paraId="574F642B" w14:textId="649BF137" w:rsidR="00F313F5" w:rsidRPr="00C90A71" w:rsidRDefault="00F313F5" w:rsidP="00F313F5">
            <w:pPr>
              <w:spacing w:before="40" w:after="40"/>
              <w:rPr>
                <w:rFonts w:ascii="Arial" w:hAnsi="Arial"/>
                <w:sz w:val="16"/>
              </w:rPr>
            </w:pPr>
            <w:r w:rsidRPr="00C90A71">
              <w:rPr>
                <w:rFonts w:ascii="Arial" w:hAnsi="Arial"/>
                <w:sz w:val="16"/>
              </w:rPr>
              <w:t xml:space="preserve">To use digital technologies within pedagogic strategies that foster learners’ transversal skills, deep thinking and creative expression </w:t>
            </w:r>
          </w:p>
          <w:p w14:paraId="1BC2B411" w14:textId="340FBF95" w:rsidR="00F313F5" w:rsidRPr="00C90A71" w:rsidRDefault="00F313F5" w:rsidP="00F313F5">
            <w:pPr>
              <w:spacing w:before="40" w:after="40"/>
              <w:rPr>
                <w:rFonts w:ascii="Arial" w:hAnsi="Arial"/>
                <w:sz w:val="16"/>
              </w:rPr>
            </w:pPr>
            <w:r w:rsidRPr="00C90A71">
              <w:rPr>
                <w:rFonts w:ascii="Arial" w:hAnsi="Arial"/>
                <w:sz w:val="16"/>
              </w:rPr>
              <w:t>To open up learning to new, real-world contexts, which involve learners themselves in hands-on activities, scientific investigation or complex problem</w:t>
            </w:r>
            <w:r w:rsidR="00DD44A9">
              <w:rPr>
                <w:rFonts w:ascii="Arial" w:hAnsi="Arial"/>
                <w:sz w:val="16"/>
              </w:rPr>
              <w:t>-</w:t>
            </w:r>
            <w:r w:rsidRPr="00C90A71">
              <w:rPr>
                <w:rFonts w:ascii="Arial" w:hAnsi="Arial"/>
                <w:sz w:val="16"/>
              </w:rPr>
              <w:t>solving, or in other ways increase learners’ active involvement in complex subject matters</w:t>
            </w:r>
          </w:p>
        </w:tc>
      </w:tr>
      <w:tr w:rsidR="00F313F5" w:rsidRPr="00C90A71" w14:paraId="1BB21CAC" w14:textId="77777777" w:rsidTr="00F313F5">
        <w:tc>
          <w:tcPr>
            <w:tcW w:w="2122" w:type="dxa"/>
            <w:tcBorders>
              <w:top w:val="single" w:sz="4" w:space="0" w:color="auto"/>
              <w:left w:val="single" w:sz="4" w:space="0" w:color="auto"/>
              <w:bottom w:val="single" w:sz="4" w:space="0" w:color="auto"/>
              <w:right w:val="single" w:sz="4" w:space="0" w:color="auto"/>
            </w:tcBorders>
          </w:tcPr>
          <w:p w14:paraId="0E0B9E75" w14:textId="77777777" w:rsidR="00F313F5" w:rsidRPr="00C90A71" w:rsidRDefault="00F313F5" w:rsidP="00F313F5">
            <w:pPr>
              <w:spacing w:before="40" w:after="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6ECAB0AA" w14:textId="77777777" w:rsidR="00F313F5" w:rsidRPr="00C90A71" w:rsidRDefault="00F313F5" w:rsidP="00F313F5">
            <w:pPr>
              <w:spacing w:before="40" w:after="40"/>
              <w:rPr>
                <w:rFonts w:ascii="Arial" w:hAnsi="Arial"/>
                <w:sz w:val="16"/>
              </w:rPr>
            </w:pPr>
          </w:p>
        </w:tc>
        <w:tc>
          <w:tcPr>
            <w:tcW w:w="8930" w:type="dxa"/>
            <w:tcBorders>
              <w:top w:val="single" w:sz="4" w:space="0" w:color="auto"/>
              <w:left w:val="single" w:sz="4" w:space="0" w:color="auto"/>
              <w:bottom w:val="single" w:sz="4" w:space="0" w:color="auto"/>
              <w:right w:val="single" w:sz="4" w:space="0" w:color="auto"/>
            </w:tcBorders>
          </w:tcPr>
          <w:p w14:paraId="70E85281" w14:textId="77777777" w:rsidR="00F313F5" w:rsidRPr="00C90A71" w:rsidRDefault="00F313F5" w:rsidP="00F313F5">
            <w:pPr>
              <w:spacing w:before="40" w:after="40"/>
              <w:rPr>
                <w:rFonts w:ascii="Arial" w:hAnsi="Arial"/>
                <w:sz w:val="16"/>
              </w:rPr>
            </w:pPr>
          </w:p>
        </w:tc>
      </w:tr>
      <w:tr w:rsidR="006E38ED" w:rsidRPr="00C90A71" w14:paraId="3879AE1B" w14:textId="77777777" w:rsidTr="007A0254">
        <w:tc>
          <w:tcPr>
            <w:tcW w:w="2122" w:type="dxa"/>
            <w:vMerge w:val="restart"/>
            <w:tcBorders>
              <w:top w:val="single" w:sz="4" w:space="0" w:color="auto"/>
              <w:left w:val="single" w:sz="4" w:space="0" w:color="auto"/>
              <w:right w:val="single" w:sz="4" w:space="0" w:color="auto"/>
            </w:tcBorders>
          </w:tcPr>
          <w:p w14:paraId="61608E2B" w14:textId="77777777" w:rsidR="006E38ED" w:rsidRPr="00C90A71" w:rsidRDefault="006E38ED" w:rsidP="00F313F5">
            <w:pPr>
              <w:tabs>
                <w:tab w:val="left" w:pos="992"/>
              </w:tabs>
              <w:spacing w:before="20" w:after="20"/>
              <w:rPr>
                <w:rFonts w:ascii="Arial" w:hAnsi="Arial"/>
                <w:sz w:val="17"/>
              </w:rPr>
            </w:pPr>
            <w:r w:rsidRPr="00C90A71">
              <w:rPr>
                <w:rFonts w:ascii="Arial" w:hAnsi="Arial"/>
                <w:sz w:val="17"/>
              </w:rPr>
              <w:t>Facilitating learners’ digital competence</w:t>
            </w:r>
          </w:p>
          <w:p w14:paraId="1B02A510" w14:textId="07E6A847" w:rsidR="006E38ED" w:rsidRPr="00C90A71" w:rsidRDefault="006E38ED" w:rsidP="00F313F5">
            <w:pPr>
              <w:spacing w:before="40"/>
              <w:rPr>
                <w:rFonts w:ascii="Arial" w:hAnsi="Arial"/>
                <w:sz w:val="17"/>
              </w:rPr>
            </w:pPr>
          </w:p>
        </w:tc>
        <w:tc>
          <w:tcPr>
            <w:tcW w:w="2693" w:type="dxa"/>
            <w:tcBorders>
              <w:top w:val="single" w:sz="4" w:space="0" w:color="auto"/>
              <w:left w:val="single" w:sz="4" w:space="0" w:color="auto"/>
              <w:bottom w:val="single" w:sz="4" w:space="0" w:color="auto"/>
              <w:right w:val="single" w:sz="4" w:space="0" w:color="auto"/>
            </w:tcBorders>
          </w:tcPr>
          <w:p w14:paraId="4F832197" w14:textId="77777777" w:rsidR="006E38ED" w:rsidRPr="00C90A71" w:rsidRDefault="006E38ED" w:rsidP="00F313F5">
            <w:pPr>
              <w:spacing w:before="40" w:after="40"/>
              <w:rPr>
                <w:rFonts w:ascii="Arial" w:hAnsi="Arial"/>
                <w:sz w:val="16"/>
              </w:rPr>
            </w:pPr>
            <w:r w:rsidRPr="00C90A71">
              <w:rPr>
                <w:rFonts w:ascii="Arial" w:hAnsi="Arial"/>
                <w:sz w:val="16"/>
              </w:rPr>
              <w:t>Information &amp; media literacy</w:t>
            </w:r>
          </w:p>
          <w:p w14:paraId="74AC8255" w14:textId="77777777" w:rsidR="006E38ED" w:rsidRPr="00C90A71" w:rsidRDefault="006E38ED" w:rsidP="00F313F5">
            <w:pPr>
              <w:spacing w:before="40" w:after="40"/>
              <w:rPr>
                <w:rFonts w:ascii="Arial" w:hAnsi="Arial"/>
                <w:sz w:val="16"/>
              </w:rPr>
            </w:pPr>
          </w:p>
        </w:tc>
        <w:tc>
          <w:tcPr>
            <w:tcW w:w="8930" w:type="dxa"/>
            <w:tcBorders>
              <w:top w:val="single" w:sz="4" w:space="0" w:color="auto"/>
              <w:left w:val="single" w:sz="4" w:space="0" w:color="auto"/>
              <w:bottom w:val="single" w:sz="4" w:space="0" w:color="auto"/>
              <w:right w:val="single" w:sz="4" w:space="0" w:color="auto"/>
            </w:tcBorders>
          </w:tcPr>
          <w:p w14:paraId="1910E6F9" w14:textId="1A475AD1" w:rsidR="006E38ED" w:rsidRPr="00C90A71" w:rsidRDefault="006E38ED" w:rsidP="00F313F5">
            <w:pPr>
              <w:spacing w:before="40" w:after="40"/>
              <w:rPr>
                <w:rFonts w:ascii="Arial" w:hAnsi="Arial"/>
                <w:sz w:val="16"/>
              </w:rPr>
            </w:pPr>
            <w:r w:rsidRPr="00C90A71">
              <w:rPr>
                <w:rFonts w:ascii="Arial" w:hAnsi="Arial"/>
                <w:sz w:val="16"/>
              </w:rPr>
              <w:t>To incorporate learning activities, assignments and assessments which require learners to articulate information needs; to find information and resources in digital environments; to organise, process, analyse and interpret information; and to compare and critically evaluate the credibility and reliability of information and its sources</w:t>
            </w:r>
          </w:p>
        </w:tc>
      </w:tr>
      <w:tr w:rsidR="006E38ED" w:rsidRPr="00C90A71" w14:paraId="7EE7EE8F" w14:textId="77777777" w:rsidTr="007A0254">
        <w:tc>
          <w:tcPr>
            <w:tcW w:w="2122" w:type="dxa"/>
            <w:vMerge/>
            <w:tcBorders>
              <w:left w:val="single" w:sz="4" w:space="0" w:color="auto"/>
              <w:right w:val="single" w:sz="4" w:space="0" w:color="auto"/>
            </w:tcBorders>
          </w:tcPr>
          <w:p w14:paraId="2F191EDF" w14:textId="5DC4C904" w:rsidR="006E38ED" w:rsidRPr="00C90A71" w:rsidRDefault="006E38ED" w:rsidP="00F313F5">
            <w:pPr>
              <w:spacing w:before="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71C21B6A" w14:textId="77777777" w:rsidR="006E38ED" w:rsidRPr="00C90A71" w:rsidRDefault="006E38ED" w:rsidP="00F313F5">
            <w:pPr>
              <w:spacing w:before="40" w:after="40"/>
              <w:rPr>
                <w:rFonts w:ascii="Arial" w:hAnsi="Arial"/>
                <w:sz w:val="16"/>
              </w:rPr>
            </w:pPr>
            <w:r w:rsidRPr="00C90A71">
              <w:rPr>
                <w:rFonts w:ascii="Arial" w:hAnsi="Arial"/>
                <w:sz w:val="16"/>
              </w:rPr>
              <w:t>Communication &amp; collaboration</w:t>
            </w:r>
          </w:p>
        </w:tc>
        <w:tc>
          <w:tcPr>
            <w:tcW w:w="8930" w:type="dxa"/>
            <w:tcBorders>
              <w:top w:val="single" w:sz="4" w:space="0" w:color="auto"/>
              <w:left w:val="single" w:sz="4" w:space="0" w:color="auto"/>
              <w:bottom w:val="single" w:sz="4" w:space="0" w:color="auto"/>
              <w:right w:val="single" w:sz="4" w:space="0" w:color="auto"/>
            </w:tcBorders>
          </w:tcPr>
          <w:p w14:paraId="3EA29982" w14:textId="3E73C15E" w:rsidR="006E38ED" w:rsidRPr="00C90A71" w:rsidRDefault="006E38ED" w:rsidP="00F313F5">
            <w:pPr>
              <w:spacing w:before="40" w:after="40"/>
              <w:rPr>
                <w:rFonts w:ascii="Arial" w:hAnsi="Arial"/>
                <w:sz w:val="16"/>
              </w:rPr>
            </w:pPr>
            <w:r w:rsidRPr="00C90A71">
              <w:rPr>
                <w:rFonts w:ascii="Arial" w:hAnsi="Arial"/>
                <w:sz w:val="16"/>
              </w:rPr>
              <w:t>To incorporate learning activities, assignments and assessments which require learners to effectively and responsibly use digital technologies for communication, collaboration and civic participation</w:t>
            </w:r>
          </w:p>
        </w:tc>
      </w:tr>
      <w:tr w:rsidR="006E38ED" w:rsidRPr="00C90A71" w14:paraId="1112888B" w14:textId="77777777" w:rsidTr="007A0254">
        <w:tc>
          <w:tcPr>
            <w:tcW w:w="2122" w:type="dxa"/>
            <w:vMerge/>
            <w:tcBorders>
              <w:left w:val="single" w:sz="4" w:space="0" w:color="auto"/>
              <w:right w:val="single" w:sz="4" w:space="0" w:color="auto"/>
            </w:tcBorders>
          </w:tcPr>
          <w:p w14:paraId="22B7D817" w14:textId="449FA1A5" w:rsidR="006E38ED" w:rsidRPr="00C90A71" w:rsidRDefault="006E38ED" w:rsidP="00F313F5">
            <w:pPr>
              <w:spacing w:before="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01E9B2D1" w14:textId="77777777" w:rsidR="006E38ED" w:rsidRPr="00C90A71" w:rsidRDefault="006E38ED" w:rsidP="00F313F5">
            <w:pPr>
              <w:spacing w:before="40" w:after="40"/>
              <w:rPr>
                <w:rFonts w:ascii="Arial" w:hAnsi="Arial"/>
                <w:sz w:val="16"/>
              </w:rPr>
            </w:pPr>
            <w:r w:rsidRPr="00C90A71">
              <w:rPr>
                <w:rFonts w:ascii="Arial" w:hAnsi="Arial"/>
                <w:sz w:val="16"/>
              </w:rPr>
              <w:t>Content creation</w:t>
            </w:r>
          </w:p>
        </w:tc>
        <w:tc>
          <w:tcPr>
            <w:tcW w:w="8930" w:type="dxa"/>
            <w:tcBorders>
              <w:top w:val="single" w:sz="4" w:space="0" w:color="auto"/>
              <w:left w:val="single" w:sz="4" w:space="0" w:color="auto"/>
              <w:bottom w:val="single" w:sz="4" w:space="0" w:color="auto"/>
              <w:right w:val="single" w:sz="4" w:space="0" w:color="auto"/>
            </w:tcBorders>
          </w:tcPr>
          <w:p w14:paraId="7D7DA1D6" w14:textId="09DFA6C9" w:rsidR="006E38ED" w:rsidRPr="00C90A71" w:rsidRDefault="006E38ED" w:rsidP="00F313F5">
            <w:pPr>
              <w:spacing w:before="40" w:after="40"/>
              <w:rPr>
                <w:rFonts w:ascii="Arial" w:hAnsi="Arial"/>
                <w:sz w:val="16"/>
              </w:rPr>
            </w:pPr>
            <w:r w:rsidRPr="00C90A71">
              <w:rPr>
                <w:rFonts w:ascii="Arial" w:hAnsi="Arial"/>
                <w:sz w:val="16"/>
              </w:rPr>
              <w:t xml:space="preserve">To incorporate learning activities, assignments and assessments which require learners to express themselves through digital means, and to modify and create digital content in different formats </w:t>
            </w:r>
          </w:p>
          <w:p w14:paraId="57B68B80" w14:textId="07C304D9" w:rsidR="006E38ED" w:rsidRPr="00C90A71" w:rsidRDefault="006E38ED" w:rsidP="00F313F5">
            <w:pPr>
              <w:spacing w:before="40" w:after="40"/>
              <w:rPr>
                <w:rFonts w:ascii="Arial" w:hAnsi="Arial"/>
                <w:sz w:val="16"/>
              </w:rPr>
            </w:pPr>
            <w:r w:rsidRPr="00C90A71">
              <w:rPr>
                <w:rFonts w:ascii="Arial" w:hAnsi="Arial"/>
                <w:sz w:val="16"/>
              </w:rPr>
              <w:t>To teach learners how copyright and licen</w:t>
            </w:r>
            <w:r>
              <w:rPr>
                <w:rFonts w:ascii="Arial" w:hAnsi="Arial"/>
                <w:sz w:val="16"/>
              </w:rPr>
              <w:t>c</w:t>
            </w:r>
            <w:r w:rsidRPr="00C90A71">
              <w:rPr>
                <w:rFonts w:ascii="Arial" w:hAnsi="Arial"/>
                <w:sz w:val="16"/>
              </w:rPr>
              <w:t>es apply to digital content, how to reference sources and attribute licen</w:t>
            </w:r>
            <w:r>
              <w:rPr>
                <w:rFonts w:ascii="Arial" w:hAnsi="Arial"/>
                <w:sz w:val="16"/>
              </w:rPr>
              <w:t>c</w:t>
            </w:r>
            <w:r w:rsidRPr="00C90A71">
              <w:rPr>
                <w:rFonts w:ascii="Arial" w:hAnsi="Arial"/>
                <w:sz w:val="16"/>
              </w:rPr>
              <w:t>es</w:t>
            </w:r>
          </w:p>
        </w:tc>
      </w:tr>
      <w:tr w:rsidR="006E38ED" w:rsidRPr="00C90A71" w14:paraId="79E0B121" w14:textId="77777777" w:rsidTr="007A0254">
        <w:tc>
          <w:tcPr>
            <w:tcW w:w="2122" w:type="dxa"/>
            <w:vMerge/>
            <w:tcBorders>
              <w:left w:val="single" w:sz="4" w:space="0" w:color="auto"/>
              <w:bottom w:val="nil"/>
              <w:right w:val="single" w:sz="4" w:space="0" w:color="auto"/>
            </w:tcBorders>
          </w:tcPr>
          <w:p w14:paraId="616D5320" w14:textId="0B4CF016" w:rsidR="006E38ED" w:rsidRPr="00C90A71" w:rsidRDefault="006E38ED" w:rsidP="00F313F5">
            <w:pPr>
              <w:spacing w:before="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3A1AD216" w14:textId="77777777" w:rsidR="006E38ED" w:rsidRPr="00C90A71" w:rsidRDefault="006E38ED" w:rsidP="00F313F5">
            <w:pPr>
              <w:spacing w:before="40"/>
              <w:rPr>
                <w:rFonts w:ascii="Arial" w:hAnsi="Arial"/>
                <w:sz w:val="16"/>
              </w:rPr>
            </w:pPr>
            <w:r w:rsidRPr="00C90A71">
              <w:rPr>
                <w:rFonts w:ascii="Arial" w:hAnsi="Arial"/>
                <w:sz w:val="16"/>
              </w:rPr>
              <w:t>Responsible use</w:t>
            </w:r>
          </w:p>
        </w:tc>
        <w:tc>
          <w:tcPr>
            <w:tcW w:w="8930" w:type="dxa"/>
            <w:tcBorders>
              <w:top w:val="single" w:sz="4" w:space="0" w:color="auto"/>
              <w:left w:val="single" w:sz="4" w:space="0" w:color="auto"/>
              <w:bottom w:val="single" w:sz="4" w:space="0" w:color="auto"/>
              <w:right w:val="single" w:sz="4" w:space="0" w:color="auto"/>
            </w:tcBorders>
          </w:tcPr>
          <w:p w14:paraId="31FA5934" w14:textId="4B3AED21" w:rsidR="006E38ED" w:rsidRPr="00C90A71" w:rsidRDefault="006E38ED" w:rsidP="00F313F5">
            <w:pPr>
              <w:spacing w:before="40"/>
              <w:rPr>
                <w:rFonts w:ascii="Arial" w:hAnsi="Arial"/>
                <w:sz w:val="16"/>
              </w:rPr>
            </w:pPr>
            <w:r w:rsidRPr="00C90A71">
              <w:rPr>
                <w:rFonts w:ascii="Arial" w:hAnsi="Arial"/>
                <w:sz w:val="16"/>
              </w:rPr>
              <w:t xml:space="preserve">To take measures to ensure learners’ physical, psychological and social wellbeing while using digital technologies </w:t>
            </w:r>
          </w:p>
          <w:p w14:paraId="6C3CF71B" w14:textId="2EA7E727" w:rsidR="006E38ED" w:rsidRPr="00C90A71" w:rsidRDefault="006E38ED" w:rsidP="00F313F5">
            <w:pPr>
              <w:spacing w:before="40"/>
              <w:rPr>
                <w:rFonts w:ascii="Arial" w:hAnsi="Arial"/>
                <w:sz w:val="16"/>
              </w:rPr>
            </w:pPr>
            <w:r w:rsidRPr="00C90A71">
              <w:rPr>
                <w:rFonts w:ascii="Arial" w:hAnsi="Arial"/>
                <w:sz w:val="16"/>
              </w:rPr>
              <w:t>To empower learners to manage risks and use digital technologies safely and responsibly</w:t>
            </w:r>
          </w:p>
        </w:tc>
      </w:tr>
      <w:tr w:rsidR="00F313F5" w:rsidRPr="00C90A71" w14:paraId="1CE60F7F" w14:textId="77777777" w:rsidTr="00F313F5">
        <w:tc>
          <w:tcPr>
            <w:tcW w:w="2122" w:type="dxa"/>
            <w:tcBorders>
              <w:top w:val="nil"/>
              <w:left w:val="single" w:sz="4" w:space="0" w:color="auto"/>
              <w:bottom w:val="single" w:sz="4" w:space="0" w:color="auto"/>
              <w:right w:val="single" w:sz="4" w:space="0" w:color="auto"/>
            </w:tcBorders>
          </w:tcPr>
          <w:p w14:paraId="3BF8359A" w14:textId="77777777" w:rsidR="00F313F5" w:rsidRPr="00C90A71" w:rsidRDefault="00F313F5" w:rsidP="00F313F5">
            <w:pPr>
              <w:spacing w:before="40"/>
              <w:rPr>
                <w:rFonts w:ascii="Arial" w:hAnsi="Arial"/>
                <w:sz w:val="16"/>
              </w:rPr>
            </w:pPr>
          </w:p>
        </w:tc>
        <w:tc>
          <w:tcPr>
            <w:tcW w:w="2693" w:type="dxa"/>
            <w:tcBorders>
              <w:top w:val="single" w:sz="4" w:space="0" w:color="auto"/>
              <w:left w:val="single" w:sz="4" w:space="0" w:color="auto"/>
              <w:bottom w:val="single" w:sz="4" w:space="0" w:color="auto"/>
              <w:right w:val="single" w:sz="4" w:space="0" w:color="auto"/>
            </w:tcBorders>
          </w:tcPr>
          <w:p w14:paraId="3C2D1D1A" w14:textId="334D8844" w:rsidR="00F313F5" w:rsidRPr="00C90A71" w:rsidRDefault="00F313F5" w:rsidP="00F313F5">
            <w:pPr>
              <w:spacing w:before="40"/>
              <w:rPr>
                <w:rFonts w:ascii="Arial" w:hAnsi="Arial"/>
                <w:sz w:val="16"/>
              </w:rPr>
            </w:pPr>
            <w:r w:rsidRPr="00C90A71">
              <w:rPr>
                <w:rFonts w:ascii="Arial" w:hAnsi="Arial"/>
                <w:sz w:val="16"/>
              </w:rPr>
              <w:t>Problem</w:t>
            </w:r>
            <w:r w:rsidR="00E23D9A">
              <w:rPr>
                <w:rFonts w:ascii="Arial" w:hAnsi="Arial"/>
                <w:sz w:val="16"/>
              </w:rPr>
              <w:t>-</w:t>
            </w:r>
            <w:r w:rsidRPr="00C90A71">
              <w:rPr>
                <w:rFonts w:ascii="Arial" w:hAnsi="Arial"/>
                <w:sz w:val="16"/>
              </w:rPr>
              <w:t>solving</w:t>
            </w:r>
          </w:p>
        </w:tc>
        <w:tc>
          <w:tcPr>
            <w:tcW w:w="8930" w:type="dxa"/>
            <w:tcBorders>
              <w:top w:val="single" w:sz="4" w:space="0" w:color="auto"/>
              <w:left w:val="single" w:sz="4" w:space="0" w:color="auto"/>
              <w:bottom w:val="single" w:sz="4" w:space="0" w:color="auto"/>
              <w:right w:val="single" w:sz="4" w:space="0" w:color="auto"/>
            </w:tcBorders>
          </w:tcPr>
          <w:p w14:paraId="29C24537" w14:textId="77777777" w:rsidR="00F313F5" w:rsidRPr="00C90A71" w:rsidRDefault="00F313F5" w:rsidP="00F313F5">
            <w:pPr>
              <w:spacing w:before="40"/>
              <w:rPr>
                <w:rFonts w:ascii="Arial" w:hAnsi="Arial"/>
                <w:sz w:val="16"/>
              </w:rPr>
            </w:pPr>
            <w:r w:rsidRPr="00C90A71">
              <w:rPr>
                <w:rFonts w:ascii="Arial" w:hAnsi="Arial"/>
                <w:sz w:val="16"/>
              </w:rPr>
              <w:t>To incorporate learning activities, assignments and assessments which require learners to identify and solve technical problems, or to transfer technological knowledge creatively to new situations.</w:t>
            </w:r>
          </w:p>
        </w:tc>
      </w:tr>
    </w:tbl>
    <w:p w14:paraId="40ED3DAC" w14:textId="77777777" w:rsidR="001C3746" w:rsidRPr="00C90A71" w:rsidRDefault="001C3746" w:rsidP="00F313F5">
      <w:pPr>
        <w:pStyle w:val="Source"/>
      </w:pPr>
      <w:r w:rsidRPr="00C90A71">
        <w:t>Source: Redecker 2017, p.24-25</w:t>
      </w:r>
    </w:p>
    <w:p w14:paraId="6863D4B6" w14:textId="77777777" w:rsidR="001C3746" w:rsidRDefault="001C3746" w:rsidP="00F313F5">
      <w:pPr>
        <w:pStyle w:val="Source"/>
      </w:pPr>
      <w:bookmarkStart w:id="70" w:name="_Toc21945878"/>
    </w:p>
    <w:p w14:paraId="3EA0CE1D" w14:textId="77777777" w:rsidR="006E38ED" w:rsidRDefault="006E38ED">
      <w:pPr>
        <w:spacing w:before="0" w:line="240" w:lineRule="auto"/>
        <w:rPr>
          <w:rFonts w:ascii="Arial" w:hAnsi="Arial"/>
          <w:b/>
          <w:sz w:val="17"/>
        </w:rPr>
      </w:pPr>
      <w:bookmarkStart w:id="71" w:name="_Toc31711377"/>
      <w:r>
        <w:br w:type="page"/>
      </w:r>
    </w:p>
    <w:p w14:paraId="58E4332A" w14:textId="36D258AE" w:rsidR="001C3746" w:rsidRPr="00850F37" w:rsidRDefault="001C3746" w:rsidP="009B712E">
      <w:pPr>
        <w:pStyle w:val="tabletitle"/>
      </w:pPr>
      <w:r w:rsidRPr="00C90A71">
        <w:lastRenderedPageBreak/>
        <w:t>Table C2</w:t>
      </w:r>
      <w:r w:rsidRPr="00C90A71">
        <w:tab/>
        <w:t>Levels of educator proficiency as prescribed in the DigCompEdu</w:t>
      </w:r>
      <w:bookmarkEnd w:id="70"/>
      <w:bookmarkEnd w:id="71"/>
    </w:p>
    <w:tbl>
      <w:tblPr>
        <w:tblStyle w:val="TableGridLight1"/>
        <w:tblW w:w="13750" w:type="dxa"/>
        <w:tblLook w:val="04A0" w:firstRow="1" w:lastRow="0" w:firstColumn="1" w:lastColumn="0" w:noHBand="0" w:noVBand="1"/>
      </w:tblPr>
      <w:tblGrid>
        <w:gridCol w:w="6804"/>
        <w:gridCol w:w="6946"/>
      </w:tblGrid>
      <w:tr w:rsidR="001C3746" w:rsidRPr="00C90A71" w14:paraId="0B2BF08D" w14:textId="77777777" w:rsidTr="00F313F5">
        <w:tc>
          <w:tcPr>
            <w:tcW w:w="6804" w:type="dxa"/>
            <w:tcBorders>
              <w:top w:val="single" w:sz="4" w:space="0" w:color="auto"/>
              <w:left w:val="nil"/>
              <w:bottom w:val="single" w:sz="4" w:space="0" w:color="auto"/>
              <w:right w:val="single" w:sz="4" w:space="0" w:color="auto"/>
            </w:tcBorders>
          </w:tcPr>
          <w:p w14:paraId="458BC56C" w14:textId="77777777" w:rsidR="001C3746" w:rsidRPr="00C90A71" w:rsidRDefault="001C3746" w:rsidP="001959C9">
            <w:pPr>
              <w:spacing w:before="80" w:after="80"/>
              <w:rPr>
                <w:rFonts w:ascii="Arial" w:hAnsi="Arial"/>
                <w:b/>
                <w:sz w:val="17"/>
              </w:rPr>
            </w:pPr>
            <w:r w:rsidRPr="00C90A71">
              <w:rPr>
                <w:rFonts w:ascii="Arial" w:hAnsi="Arial"/>
                <w:b/>
                <w:sz w:val="17"/>
              </w:rPr>
              <w:t>Newcomer (A1):</w:t>
            </w:r>
          </w:p>
        </w:tc>
        <w:tc>
          <w:tcPr>
            <w:tcW w:w="6946" w:type="dxa"/>
            <w:tcBorders>
              <w:top w:val="single" w:sz="4" w:space="0" w:color="auto"/>
              <w:left w:val="single" w:sz="4" w:space="0" w:color="auto"/>
              <w:bottom w:val="single" w:sz="4" w:space="0" w:color="auto"/>
              <w:right w:val="nil"/>
            </w:tcBorders>
          </w:tcPr>
          <w:p w14:paraId="1E21A10B" w14:textId="77777777" w:rsidR="001C3746" w:rsidRPr="00C90A71" w:rsidRDefault="001C3746" w:rsidP="001959C9">
            <w:pPr>
              <w:spacing w:before="80" w:after="80"/>
              <w:rPr>
                <w:rFonts w:ascii="Arial" w:hAnsi="Arial"/>
                <w:b/>
                <w:sz w:val="17"/>
              </w:rPr>
            </w:pPr>
            <w:r w:rsidRPr="00C90A71">
              <w:rPr>
                <w:rFonts w:ascii="Arial" w:hAnsi="Arial"/>
                <w:b/>
                <w:sz w:val="17"/>
              </w:rPr>
              <w:t>Explorer (A2):</w:t>
            </w:r>
          </w:p>
        </w:tc>
      </w:tr>
      <w:tr w:rsidR="001C3746" w:rsidRPr="00C90A71" w14:paraId="3B0EFA87" w14:textId="77777777" w:rsidTr="00F313F5">
        <w:tc>
          <w:tcPr>
            <w:tcW w:w="6804" w:type="dxa"/>
            <w:tcBorders>
              <w:top w:val="single" w:sz="4" w:space="0" w:color="auto"/>
              <w:left w:val="nil"/>
              <w:bottom w:val="nil"/>
              <w:right w:val="single" w:sz="4" w:space="0" w:color="auto"/>
            </w:tcBorders>
          </w:tcPr>
          <w:p w14:paraId="2FB804A0" w14:textId="77777777" w:rsidR="001C3746" w:rsidRPr="00C90A71" w:rsidRDefault="001C3746" w:rsidP="001959C9">
            <w:pPr>
              <w:spacing w:before="40" w:after="40"/>
              <w:rPr>
                <w:rFonts w:ascii="Arial" w:hAnsi="Arial"/>
                <w:sz w:val="16"/>
              </w:rPr>
            </w:pPr>
            <w:r w:rsidRPr="00C90A71">
              <w:rPr>
                <w:rFonts w:ascii="Arial" w:hAnsi="Arial"/>
                <w:sz w:val="16"/>
              </w:rPr>
              <w:t>Newcomers are aware of the potential of digital technologies for enhancing pedagogical and professional practice. However, they have had very little contact with digital technologies and use them mainly for lesson preparation, administration or organisational communication. Newcomers need guidance and encouragement to expand their repertoire and to apply their existing digital competence in the pedagogical realm.</w:t>
            </w:r>
          </w:p>
        </w:tc>
        <w:tc>
          <w:tcPr>
            <w:tcW w:w="6946" w:type="dxa"/>
            <w:tcBorders>
              <w:top w:val="single" w:sz="4" w:space="0" w:color="auto"/>
              <w:left w:val="single" w:sz="4" w:space="0" w:color="auto"/>
              <w:bottom w:val="nil"/>
              <w:right w:val="nil"/>
            </w:tcBorders>
          </w:tcPr>
          <w:p w14:paraId="419638D4" w14:textId="7E618110" w:rsidR="001C3746" w:rsidRPr="00C90A71" w:rsidRDefault="001C3746" w:rsidP="001959C9">
            <w:pPr>
              <w:spacing w:before="40" w:after="40"/>
              <w:rPr>
                <w:rFonts w:ascii="Arial" w:hAnsi="Arial"/>
                <w:sz w:val="16"/>
              </w:rPr>
            </w:pPr>
            <w:r w:rsidRPr="00C90A71">
              <w:rPr>
                <w:rFonts w:ascii="Arial" w:hAnsi="Arial"/>
                <w:sz w:val="16"/>
              </w:rPr>
              <w:t>Explorers are aware of the potential of digital technologies and are interested in exploring them to enhance pedagogical and professional practice. They have started using digital technologies in some areas of digital competence, without, however, following a comprehensive or consistent approach. Explorers need encouragement, insight and inspiration e.g. through the example and guidance of colleagues, embedded in a collaborative exchange of practices.</w:t>
            </w:r>
          </w:p>
        </w:tc>
      </w:tr>
      <w:tr w:rsidR="001C3746" w:rsidRPr="00C90A71" w14:paraId="0A6F7FD1" w14:textId="77777777" w:rsidTr="00F313F5">
        <w:tc>
          <w:tcPr>
            <w:tcW w:w="6804" w:type="dxa"/>
            <w:tcBorders>
              <w:top w:val="nil"/>
              <w:left w:val="nil"/>
              <w:bottom w:val="single" w:sz="4" w:space="0" w:color="auto"/>
              <w:right w:val="single" w:sz="4" w:space="0" w:color="auto"/>
            </w:tcBorders>
          </w:tcPr>
          <w:p w14:paraId="48ADDAE5" w14:textId="77777777" w:rsidR="001C3746" w:rsidRPr="00C90A71" w:rsidRDefault="001C3746" w:rsidP="001959C9"/>
        </w:tc>
        <w:tc>
          <w:tcPr>
            <w:tcW w:w="6946" w:type="dxa"/>
            <w:tcBorders>
              <w:top w:val="nil"/>
              <w:left w:val="single" w:sz="4" w:space="0" w:color="auto"/>
              <w:bottom w:val="single" w:sz="4" w:space="0" w:color="auto"/>
              <w:right w:val="nil"/>
            </w:tcBorders>
          </w:tcPr>
          <w:p w14:paraId="50B35277" w14:textId="77777777" w:rsidR="001C3746" w:rsidRPr="00C90A71" w:rsidRDefault="001C3746" w:rsidP="001959C9"/>
        </w:tc>
      </w:tr>
      <w:tr w:rsidR="001C3746" w:rsidRPr="00C90A71" w14:paraId="6B9ADB46" w14:textId="77777777" w:rsidTr="00F313F5">
        <w:tc>
          <w:tcPr>
            <w:tcW w:w="6804" w:type="dxa"/>
            <w:tcBorders>
              <w:top w:val="single" w:sz="4" w:space="0" w:color="auto"/>
              <w:left w:val="nil"/>
              <w:bottom w:val="single" w:sz="4" w:space="0" w:color="auto"/>
              <w:right w:val="single" w:sz="4" w:space="0" w:color="auto"/>
            </w:tcBorders>
          </w:tcPr>
          <w:p w14:paraId="72872D92" w14:textId="77777777" w:rsidR="001C3746" w:rsidRPr="00C90A71" w:rsidRDefault="001C3746" w:rsidP="001959C9">
            <w:pPr>
              <w:spacing w:before="80" w:after="80"/>
              <w:rPr>
                <w:rFonts w:ascii="Arial" w:hAnsi="Arial"/>
                <w:b/>
                <w:sz w:val="17"/>
              </w:rPr>
            </w:pPr>
            <w:r w:rsidRPr="00C90A71">
              <w:rPr>
                <w:rFonts w:ascii="Arial" w:hAnsi="Arial"/>
                <w:b/>
                <w:sz w:val="17"/>
              </w:rPr>
              <w:t>Integrator (B1):</w:t>
            </w:r>
          </w:p>
        </w:tc>
        <w:tc>
          <w:tcPr>
            <w:tcW w:w="6946" w:type="dxa"/>
            <w:tcBorders>
              <w:top w:val="single" w:sz="4" w:space="0" w:color="auto"/>
              <w:left w:val="single" w:sz="4" w:space="0" w:color="auto"/>
              <w:bottom w:val="single" w:sz="4" w:space="0" w:color="auto"/>
              <w:right w:val="nil"/>
            </w:tcBorders>
          </w:tcPr>
          <w:p w14:paraId="46EC202B" w14:textId="77777777" w:rsidR="001C3746" w:rsidRPr="00C90A71" w:rsidRDefault="001C3746" w:rsidP="001959C9">
            <w:pPr>
              <w:spacing w:before="80" w:after="80"/>
              <w:rPr>
                <w:rFonts w:ascii="Arial" w:hAnsi="Arial"/>
                <w:b/>
                <w:sz w:val="17"/>
              </w:rPr>
            </w:pPr>
            <w:r w:rsidRPr="00C90A71">
              <w:rPr>
                <w:rFonts w:ascii="Arial" w:hAnsi="Arial"/>
                <w:b/>
                <w:sz w:val="17"/>
              </w:rPr>
              <w:t>Expert (B2):</w:t>
            </w:r>
          </w:p>
        </w:tc>
      </w:tr>
      <w:tr w:rsidR="001C3746" w:rsidRPr="00C90A71" w14:paraId="4A0C18D9" w14:textId="77777777" w:rsidTr="00F313F5">
        <w:tc>
          <w:tcPr>
            <w:tcW w:w="6804" w:type="dxa"/>
            <w:tcBorders>
              <w:top w:val="single" w:sz="4" w:space="0" w:color="auto"/>
              <w:left w:val="nil"/>
              <w:bottom w:val="nil"/>
              <w:right w:val="single" w:sz="4" w:space="0" w:color="auto"/>
            </w:tcBorders>
          </w:tcPr>
          <w:p w14:paraId="2EDAFB7A" w14:textId="63E78CF1" w:rsidR="001C3746" w:rsidRPr="00C90A71" w:rsidRDefault="001C3746" w:rsidP="001959C9">
            <w:pPr>
              <w:spacing w:before="40" w:after="40"/>
              <w:rPr>
                <w:rFonts w:ascii="Arial" w:hAnsi="Arial"/>
                <w:sz w:val="16"/>
              </w:rPr>
            </w:pPr>
            <w:r w:rsidRPr="00C90A71">
              <w:rPr>
                <w:rFonts w:ascii="Arial" w:hAnsi="Arial"/>
                <w:sz w:val="16"/>
              </w:rPr>
              <w:t>Integrators experiment with digital technologies in a variety of contexts and for a range of purposes, integrating them into many of their practices. They creatively use them to enhance diverse aspects of their professional engagement. They are eager to expand their repertoire of practices. They are, however, still working on understanding which tools work best in which situations and on fitting digital technologies to pedagogic strategies and methods. Integrators just need some more time for experimentation and reflection, complemented by collaborative encouragement and knowledge exchange to become Experts</w:t>
            </w:r>
            <w:r w:rsidR="006E79C9">
              <w:rPr>
                <w:rFonts w:ascii="Arial" w:hAnsi="Arial"/>
                <w:sz w:val="16"/>
              </w:rPr>
              <w:t>.</w:t>
            </w:r>
          </w:p>
        </w:tc>
        <w:tc>
          <w:tcPr>
            <w:tcW w:w="6946" w:type="dxa"/>
            <w:tcBorders>
              <w:top w:val="single" w:sz="4" w:space="0" w:color="auto"/>
              <w:left w:val="single" w:sz="4" w:space="0" w:color="auto"/>
              <w:bottom w:val="nil"/>
              <w:right w:val="nil"/>
            </w:tcBorders>
          </w:tcPr>
          <w:p w14:paraId="21EE324B" w14:textId="77777777" w:rsidR="001C3746" w:rsidRPr="00C90A71" w:rsidRDefault="001C3746" w:rsidP="001959C9">
            <w:pPr>
              <w:spacing w:before="40" w:after="40"/>
              <w:rPr>
                <w:rFonts w:ascii="Arial" w:hAnsi="Arial"/>
                <w:sz w:val="16"/>
              </w:rPr>
            </w:pPr>
            <w:r w:rsidRPr="00C90A71">
              <w:rPr>
                <w:rFonts w:ascii="Arial" w:hAnsi="Arial"/>
                <w:sz w:val="16"/>
              </w:rPr>
              <w:t>Experts use a range of digital technologies confidently, creatively and critically to enhance their professional activities. They purposefully select digital technologies for particular situations,</w:t>
            </w:r>
            <w:r w:rsidR="003E741D">
              <w:rPr>
                <w:rFonts w:ascii="Arial" w:hAnsi="Arial"/>
                <w:sz w:val="16"/>
              </w:rPr>
              <w:t xml:space="preserve"> </w:t>
            </w:r>
            <w:r w:rsidRPr="00C90A71">
              <w:rPr>
                <w:rFonts w:ascii="Arial" w:hAnsi="Arial"/>
                <w:sz w:val="16"/>
              </w:rPr>
              <w:t>and try to understand the benefits and drawbacks of different digital strategies. They are curious and open to new ideas, knowing that there are many things they have not tried out yet. They use experimentation as a means of expanding, structuring and consolidating their repertoire of strategies. Experts are the backbone of any educational organisation when it comes to innovating practice.</w:t>
            </w:r>
          </w:p>
        </w:tc>
      </w:tr>
      <w:tr w:rsidR="001C3746" w:rsidRPr="00C90A71" w14:paraId="1D517426" w14:textId="77777777" w:rsidTr="00F313F5">
        <w:tc>
          <w:tcPr>
            <w:tcW w:w="6804" w:type="dxa"/>
            <w:tcBorders>
              <w:top w:val="nil"/>
              <w:left w:val="nil"/>
              <w:bottom w:val="single" w:sz="4" w:space="0" w:color="auto"/>
              <w:right w:val="single" w:sz="4" w:space="0" w:color="auto"/>
            </w:tcBorders>
          </w:tcPr>
          <w:p w14:paraId="4D22201D" w14:textId="77777777" w:rsidR="001C3746" w:rsidRPr="00C90A71" w:rsidRDefault="001C3746" w:rsidP="001959C9"/>
        </w:tc>
        <w:tc>
          <w:tcPr>
            <w:tcW w:w="6946" w:type="dxa"/>
            <w:tcBorders>
              <w:top w:val="nil"/>
              <w:left w:val="single" w:sz="4" w:space="0" w:color="auto"/>
              <w:bottom w:val="single" w:sz="4" w:space="0" w:color="auto"/>
              <w:right w:val="nil"/>
            </w:tcBorders>
          </w:tcPr>
          <w:p w14:paraId="3136C5DD" w14:textId="77777777" w:rsidR="001C3746" w:rsidRPr="00C90A71" w:rsidRDefault="001C3746" w:rsidP="001959C9"/>
        </w:tc>
      </w:tr>
      <w:tr w:rsidR="001C3746" w:rsidRPr="00C90A71" w14:paraId="05CE3074" w14:textId="77777777" w:rsidTr="00F313F5">
        <w:tc>
          <w:tcPr>
            <w:tcW w:w="6804" w:type="dxa"/>
            <w:tcBorders>
              <w:top w:val="single" w:sz="4" w:space="0" w:color="auto"/>
              <w:left w:val="nil"/>
              <w:bottom w:val="single" w:sz="4" w:space="0" w:color="auto"/>
              <w:right w:val="single" w:sz="4" w:space="0" w:color="auto"/>
            </w:tcBorders>
          </w:tcPr>
          <w:p w14:paraId="58E18682" w14:textId="77777777" w:rsidR="001C3746" w:rsidRPr="00C90A71" w:rsidRDefault="001C3746" w:rsidP="001959C9">
            <w:pPr>
              <w:spacing w:before="80" w:after="80"/>
              <w:rPr>
                <w:rFonts w:ascii="Arial" w:hAnsi="Arial"/>
                <w:b/>
                <w:sz w:val="17"/>
              </w:rPr>
            </w:pPr>
            <w:r w:rsidRPr="00C90A71">
              <w:rPr>
                <w:rFonts w:ascii="Arial" w:hAnsi="Arial"/>
                <w:b/>
                <w:sz w:val="17"/>
              </w:rPr>
              <w:t>Leader (C1):</w:t>
            </w:r>
          </w:p>
        </w:tc>
        <w:tc>
          <w:tcPr>
            <w:tcW w:w="6946" w:type="dxa"/>
            <w:tcBorders>
              <w:top w:val="single" w:sz="4" w:space="0" w:color="auto"/>
              <w:left w:val="single" w:sz="4" w:space="0" w:color="auto"/>
              <w:bottom w:val="single" w:sz="4" w:space="0" w:color="auto"/>
              <w:right w:val="nil"/>
            </w:tcBorders>
          </w:tcPr>
          <w:p w14:paraId="5EF2059D" w14:textId="77777777" w:rsidR="001C3746" w:rsidRPr="00C90A71" w:rsidRDefault="001C3746" w:rsidP="001959C9">
            <w:pPr>
              <w:spacing w:before="80" w:after="80"/>
              <w:rPr>
                <w:rFonts w:ascii="Arial" w:hAnsi="Arial"/>
                <w:b/>
                <w:sz w:val="17"/>
              </w:rPr>
            </w:pPr>
            <w:r w:rsidRPr="00C90A71">
              <w:rPr>
                <w:rFonts w:ascii="Arial" w:hAnsi="Arial"/>
                <w:b/>
                <w:sz w:val="17"/>
              </w:rPr>
              <w:t>Pioneer (C2):</w:t>
            </w:r>
          </w:p>
        </w:tc>
      </w:tr>
      <w:tr w:rsidR="001C3746" w:rsidRPr="00C90A71" w14:paraId="6721411F" w14:textId="77777777" w:rsidTr="00F313F5">
        <w:tc>
          <w:tcPr>
            <w:tcW w:w="6804" w:type="dxa"/>
            <w:tcBorders>
              <w:top w:val="single" w:sz="4" w:space="0" w:color="auto"/>
              <w:left w:val="nil"/>
              <w:bottom w:val="single" w:sz="4" w:space="0" w:color="auto"/>
              <w:right w:val="single" w:sz="4" w:space="0" w:color="auto"/>
            </w:tcBorders>
          </w:tcPr>
          <w:p w14:paraId="52259281" w14:textId="42801A90" w:rsidR="001C3746" w:rsidRPr="00C90A71" w:rsidRDefault="001C3746" w:rsidP="001959C9">
            <w:pPr>
              <w:spacing w:before="40" w:after="40"/>
              <w:rPr>
                <w:rFonts w:ascii="Arial" w:hAnsi="Arial"/>
                <w:sz w:val="16"/>
              </w:rPr>
            </w:pPr>
            <w:r w:rsidRPr="00C90A71">
              <w:rPr>
                <w:rFonts w:ascii="Arial" w:hAnsi="Arial"/>
                <w:sz w:val="16"/>
              </w:rPr>
              <w:t>Leaders have a consistent and comprehensive approach to using digital technologies to enhance pedagogic and professional practices. They rely on a broad repertoire of digital strategies</w:t>
            </w:r>
            <w:r w:rsidR="005A6134">
              <w:rPr>
                <w:rFonts w:ascii="Arial" w:hAnsi="Arial"/>
                <w:sz w:val="16"/>
              </w:rPr>
              <w:t>,</w:t>
            </w:r>
            <w:r w:rsidRPr="00C90A71">
              <w:rPr>
                <w:rFonts w:ascii="Arial" w:hAnsi="Arial"/>
                <w:sz w:val="16"/>
              </w:rPr>
              <w:t xml:space="preserve"> from which they know how to choose the most appropriate for any given situation. They continuously reflect on and further develop their practices. Exchanging with peers, they keep updated on new developments and ideas. They are a source of inspiration for others, to whom they pass on their expertise.</w:t>
            </w:r>
          </w:p>
        </w:tc>
        <w:tc>
          <w:tcPr>
            <w:tcW w:w="6946" w:type="dxa"/>
            <w:tcBorders>
              <w:top w:val="single" w:sz="4" w:space="0" w:color="auto"/>
              <w:left w:val="single" w:sz="4" w:space="0" w:color="auto"/>
              <w:bottom w:val="single" w:sz="4" w:space="0" w:color="auto"/>
              <w:right w:val="nil"/>
            </w:tcBorders>
          </w:tcPr>
          <w:p w14:paraId="067239D4" w14:textId="02685554" w:rsidR="001C3746" w:rsidRPr="00C90A71" w:rsidRDefault="001C3746" w:rsidP="001959C9">
            <w:pPr>
              <w:spacing w:before="40" w:after="40"/>
              <w:rPr>
                <w:rFonts w:ascii="Arial" w:hAnsi="Arial"/>
                <w:sz w:val="16"/>
              </w:rPr>
            </w:pPr>
            <w:r w:rsidRPr="00C90A71">
              <w:rPr>
                <w:rFonts w:ascii="Arial" w:hAnsi="Arial"/>
                <w:sz w:val="16"/>
              </w:rPr>
              <w:t>Pioneers question the adequacy of contemporary digital and pedagogical practices, of which they themselves are Leaders. They are concerned about the constraints or drawbacks of these practices and driven by the impulse to innovate education even further. Pioneers experiment with highly innovative and complex digital technologies and/or develop novel pedagogical approaches. Pioneers are a unique and rare species. They lead innovation and are a role model for younger teachers.</w:t>
            </w:r>
          </w:p>
        </w:tc>
      </w:tr>
    </w:tbl>
    <w:p w14:paraId="01CC2A91" w14:textId="0AD8AC1E" w:rsidR="001C3746" w:rsidRPr="00B64252" w:rsidRDefault="003E741D" w:rsidP="003E741D">
      <w:pPr>
        <w:pStyle w:val="Source"/>
        <w:rPr>
          <w:noProof/>
        </w:rPr>
      </w:pPr>
      <w:r>
        <w:rPr>
          <w:noProof/>
        </w:rPr>
        <w:t xml:space="preserve">Source: </w:t>
      </w:r>
      <w:r w:rsidR="001C3746" w:rsidRPr="00C90A71">
        <w:rPr>
          <w:noProof/>
        </w:rPr>
        <w:t xml:space="preserve">Redecker </w:t>
      </w:r>
      <w:r w:rsidR="00BB6C11">
        <w:rPr>
          <w:noProof/>
        </w:rPr>
        <w:t>(</w:t>
      </w:r>
      <w:r w:rsidR="001C3746" w:rsidRPr="00C90A71">
        <w:rPr>
          <w:noProof/>
        </w:rPr>
        <w:t>2017, p.30</w:t>
      </w:r>
      <w:r w:rsidR="00BB6C11">
        <w:rPr>
          <w:noProof/>
        </w:rPr>
        <w:t>).</w:t>
      </w:r>
    </w:p>
    <w:p w14:paraId="1089AA29" w14:textId="77777777" w:rsidR="003E741D" w:rsidRDefault="001C3746" w:rsidP="001C3746">
      <w:pPr>
        <w:spacing w:before="0" w:line="240" w:lineRule="auto"/>
        <w:sectPr w:rsidR="003E741D" w:rsidSect="001C3746">
          <w:pgSz w:w="16840" w:h="11907" w:orient="landscape" w:code="9"/>
          <w:pgMar w:top="1134" w:right="1276" w:bottom="1701" w:left="1276" w:header="709" w:footer="556" w:gutter="0"/>
          <w:cols w:space="708" w:equalWidth="0">
            <w:col w:w="8788"/>
          </w:cols>
          <w:docGrid w:linePitch="360"/>
        </w:sectPr>
      </w:pPr>
      <w:r w:rsidRPr="00C90A71">
        <w:br w:type="page"/>
      </w:r>
    </w:p>
    <w:p w14:paraId="0C51A431" w14:textId="085C0BF1" w:rsidR="003E741D" w:rsidRPr="00C90A71" w:rsidRDefault="003E741D" w:rsidP="003E741D">
      <w:pPr>
        <w:pStyle w:val="Heading1"/>
        <w:rPr>
          <w:rFonts w:eastAsiaTheme="minorHAnsi"/>
          <w:noProof/>
          <w:lang w:eastAsia="en-AU"/>
        </w:rPr>
      </w:pPr>
      <w:bookmarkStart w:id="72" w:name="_Toc31711258"/>
      <w:r w:rsidRPr="00C90A71">
        <w:rPr>
          <w:rFonts w:eastAsiaTheme="minorHAnsi"/>
          <w:noProof/>
          <w:lang w:eastAsia="en-AU"/>
        </w:rPr>
        <w:lastRenderedPageBreak/>
        <w:t>Appendix D European Framework for Digitally Competent Educational Organisations (DigCompOrg)</w:t>
      </w:r>
      <w:r w:rsidR="0004046F">
        <w:rPr>
          <w:rFonts w:eastAsiaTheme="minorHAnsi"/>
          <w:noProof/>
          <w:lang w:eastAsia="en-AU"/>
        </w:rPr>
        <w:t>:</w:t>
      </w:r>
      <w:r w:rsidRPr="00C90A71">
        <w:rPr>
          <w:rFonts w:eastAsiaTheme="minorHAnsi"/>
          <w:noProof/>
          <w:lang w:eastAsia="en-AU"/>
        </w:rPr>
        <w:t xml:space="preserve"> detail</w:t>
      </w:r>
      <w:bookmarkEnd w:id="72"/>
    </w:p>
    <w:p w14:paraId="3314A63F" w14:textId="17DE8CDB" w:rsidR="003E741D" w:rsidRPr="00850F37" w:rsidRDefault="003E741D" w:rsidP="009B712E">
      <w:pPr>
        <w:pStyle w:val="tabletitle"/>
      </w:pPr>
      <w:bookmarkStart w:id="73" w:name="_Toc31711378"/>
      <w:r w:rsidRPr="00C90A71">
        <w:t>Table D1</w:t>
      </w:r>
      <w:r w:rsidRPr="00C90A71">
        <w:tab/>
        <w:t>Elements, sub-elements and descriptors compris</w:t>
      </w:r>
      <w:r w:rsidR="00D41F76">
        <w:t>ing</w:t>
      </w:r>
      <w:r w:rsidRPr="00C90A71">
        <w:t xml:space="preserve"> the European Framework for Digitally Competent Educational Organisations (DigCompOrg)</w:t>
      </w:r>
      <w:bookmarkEnd w:id="73"/>
    </w:p>
    <w:tbl>
      <w:tblPr>
        <w:tblStyle w:val="TableGridLight2"/>
        <w:tblW w:w="8926" w:type="dxa"/>
        <w:tblLook w:val="04A0" w:firstRow="1" w:lastRow="0" w:firstColumn="1" w:lastColumn="0" w:noHBand="0" w:noVBand="1"/>
      </w:tblPr>
      <w:tblGrid>
        <w:gridCol w:w="2642"/>
        <w:gridCol w:w="2643"/>
        <w:gridCol w:w="3641"/>
      </w:tblGrid>
      <w:tr w:rsidR="003E741D" w:rsidRPr="00C90A71" w14:paraId="3D0E260E" w14:textId="77777777" w:rsidTr="001959C9">
        <w:tc>
          <w:tcPr>
            <w:tcW w:w="2642" w:type="dxa"/>
            <w:tcBorders>
              <w:top w:val="single" w:sz="4" w:space="0" w:color="auto"/>
              <w:left w:val="nil"/>
              <w:bottom w:val="single" w:sz="4" w:space="0" w:color="auto"/>
              <w:right w:val="single" w:sz="4" w:space="0" w:color="auto"/>
            </w:tcBorders>
          </w:tcPr>
          <w:p w14:paraId="3A3A8C70" w14:textId="77777777" w:rsidR="003E741D" w:rsidRPr="00C90A71" w:rsidRDefault="003E741D" w:rsidP="001959C9">
            <w:pPr>
              <w:spacing w:before="80" w:after="80"/>
              <w:rPr>
                <w:rFonts w:ascii="Arial" w:hAnsi="Arial"/>
                <w:b/>
                <w:sz w:val="17"/>
              </w:rPr>
            </w:pPr>
            <w:r w:rsidRPr="00C90A71">
              <w:rPr>
                <w:rFonts w:ascii="Arial" w:hAnsi="Arial"/>
                <w:b/>
                <w:sz w:val="17"/>
              </w:rPr>
              <w:t>Thematic elements</w:t>
            </w:r>
          </w:p>
        </w:tc>
        <w:tc>
          <w:tcPr>
            <w:tcW w:w="2643" w:type="dxa"/>
            <w:tcBorders>
              <w:top w:val="single" w:sz="4" w:space="0" w:color="auto"/>
              <w:left w:val="single" w:sz="4" w:space="0" w:color="auto"/>
              <w:bottom w:val="single" w:sz="4" w:space="0" w:color="auto"/>
              <w:right w:val="single" w:sz="4" w:space="0" w:color="auto"/>
            </w:tcBorders>
          </w:tcPr>
          <w:p w14:paraId="732A7E73" w14:textId="77777777" w:rsidR="003E741D" w:rsidRPr="00C90A71" w:rsidRDefault="003E741D" w:rsidP="001959C9">
            <w:pPr>
              <w:spacing w:before="80" w:after="80"/>
              <w:rPr>
                <w:rFonts w:ascii="Arial" w:hAnsi="Arial"/>
                <w:b/>
                <w:sz w:val="17"/>
              </w:rPr>
            </w:pPr>
            <w:r w:rsidRPr="00C90A71">
              <w:rPr>
                <w:rFonts w:ascii="Arial" w:hAnsi="Arial"/>
                <w:b/>
                <w:sz w:val="17"/>
              </w:rPr>
              <w:t>Sub-elements</w:t>
            </w:r>
          </w:p>
        </w:tc>
        <w:tc>
          <w:tcPr>
            <w:tcW w:w="3641" w:type="dxa"/>
            <w:tcBorders>
              <w:top w:val="single" w:sz="4" w:space="0" w:color="auto"/>
              <w:left w:val="single" w:sz="4" w:space="0" w:color="auto"/>
              <w:bottom w:val="single" w:sz="4" w:space="0" w:color="auto"/>
              <w:right w:val="nil"/>
            </w:tcBorders>
          </w:tcPr>
          <w:p w14:paraId="4041F2D8" w14:textId="77777777" w:rsidR="003E741D" w:rsidRPr="00C90A71" w:rsidRDefault="003E741D" w:rsidP="001959C9">
            <w:pPr>
              <w:spacing w:before="80" w:after="80"/>
              <w:rPr>
                <w:rFonts w:ascii="Arial" w:hAnsi="Arial"/>
                <w:b/>
                <w:sz w:val="17"/>
              </w:rPr>
            </w:pPr>
            <w:r w:rsidRPr="00C90A71">
              <w:rPr>
                <w:rFonts w:ascii="Arial" w:hAnsi="Arial"/>
                <w:b/>
                <w:sz w:val="17"/>
              </w:rPr>
              <w:t>Descriptors</w:t>
            </w:r>
          </w:p>
        </w:tc>
      </w:tr>
      <w:tr w:rsidR="003E741D" w:rsidRPr="00C90A71" w14:paraId="4D762AA5" w14:textId="77777777" w:rsidTr="001959C9">
        <w:tc>
          <w:tcPr>
            <w:tcW w:w="2642" w:type="dxa"/>
            <w:vMerge w:val="restart"/>
            <w:tcBorders>
              <w:top w:val="single" w:sz="4" w:space="0" w:color="auto"/>
              <w:left w:val="nil"/>
              <w:right w:val="single" w:sz="4" w:space="0" w:color="auto"/>
            </w:tcBorders>
            <w:vAlign w:val="center"/>
          </w:tcPr>
          <w:p w14:paraId="62D6BBE7" w14:textId="0ED3B9D2" w:rsidR="003E741D" w:rsidRPr="00C90A71" w:rsidRDefault="003E741D" w:rsidP="001959C9">
            <w:pPr>
              <w:spacing w:before="80" w:after="80"/>
              <w:rPr>
                <w:rFonts w:ascii="Arial" w:hAnsi="Arial"/>
                <w:b/>
                <w:sz w:val="17"/>
              </w:rPr>
            </w:pPr>
            <w:r w:rsidRPr="00C90A71">
              <w:rPr>
                <w:rFonts w:ascii="Arial" w:hAnsi="Arial"/>
                <w:b/>
                <w:sz w:val="17"/>
              </w:rPr>
              <w:t xml:space="preserve">Leadership &amp; </w:t>
            </w:r>
            <w:r w:rsidR="000B05AE" w:rsidRPr="00C90A71">
              <w:rPr>
                <w:rFonts w:ascii="Arial" w:hAnsi="Arial"/>
                <w:b/>
                <w:sz w:val="17"/>
              </w:rPr>
              <w:t>governance practices</w:t>
            </w:r>
          </w:p>
        </w:tc>
        <w:tc>
          <w:tcPr>
            <w:tcW w:w="2643" w:type="dxa"/>
            <w:vMerge w:val="restart"/>
            <w:tcBorders>
              <w:top w:val="single" w:sz="4" w:space="0" w:color="auto"/>
              <w:left w:val="single" w:sz="4" w:space="0" w:color="auto"/>
              <w:right w:val="single" w:sz="4" w:space="0" w:color="auto"/>
            </w:tcBorders>
            <w:vAlign w:val="center"/>
          </w:tcPr>
          <w:p w14:paraId="62F37E6F" w14:textId="6A46D658" w:rsidR="003E741D" w:rsidRPr="00C90A71" w:rsidRDefault="003E741D" w:rsidP="001959C9">
            <w:pPr>
              <w:tabs>
                <w:tab w:val="left" w:pos="992"/>
              </w:tabs>
              <w:spacing w:before="20" w:after="20"/>
              <w:rPr>
                <w:rFonts w:ascii="Arial" w:hAnsi="Arial"/>
                <w:sz w:val="17"/>
              </w:rPr>
            </w:pPr>
            <w:r w:rsidRPr="00C90A71">
              <w:rPr>
                <w:rFonts w:ascii="Arial" w:hAnsi="Arial"/>
                <w:sz w:val="17"/>
              </w:rPr>
              <w:t xml:space="preserve">Integration of </w:t>
            </w:r>
            <w:r w:rsidR="00C54925" w:rsidRPr="00C90A71">
              <w:rPr>
                <w:rFonts w:ascii="Arial" w:hAnsi="Arial"/>
                <w:sz w:val="17"/>
              </w:rPr>
              <w:t xml:space="preserve">digital-age learning </w:t>
            </w:r>
            <w:r w:rsidRPr="00C90A71">
              <w:rPr>
                <w:rFonts w:ascii="Arial" w:hAnsi="Arial"/>
                <w:sz w:val="17"/>
              </w:rPr>
              <w:t>is part of the overall mission, vision and strategy</w:t>
            </w:r>
            <w:r w:rsidR="00FC44D5">
              <w:rPr>
                <w:rFonts w:ascii="Arial" w:hAnsi="Arial"/>
                <w:sz w:val="17"/>
              </w:rPr>
              <w:t>.</w:t>
            </w:r>
          </w:p>
        </w:tc>
        <w:tc>
          <w:tcPr>
            <w:tcW w:w="3641" w:type="dxa"/>
            <w:tcBorders>
              <w:top w:val="single" w:sz="4" w:space="0" w:color="auto"/>
              <w:left w:val="single" w:sz="4" w:space="0" w:color="auto"/>
              <w:right w:val="nil"/>
            </w:tcBorders>
          </w:tcPr>
          <w:p w14:paraId="32464948" w14:textId="27696848" w:rsidR="003E741D" w:rsidRPr="00C90A71" w:rsidRDefault="003E741D" w:rsidP="001959C9">
            <w:pPr>
              <w:spacing w:before="40" w:after="40"/>
              <w:rPr>
                <w:rFonts w:ascii="Arial" w:hAnsi="Arial"/>
                <w:sz w:val="16"/>
              </w:rPr>
            </w:pPr>
            <w:r w:rsidRPr="00C90A71">
              <w:rPr>
                <w:rFonts w:ascii="Arial" w:hAnsi="Arial"/>
                <w:sz w:val="16"/>
              </w:rPr>
              <w:t>1. The potential of digital learning technologies is clearly flagged</w:t>
            </w:r>
            <w:r w:rsidR="00D9078C">
              <w:rPr>
                <w:rFonts w:ascii="Arial" w:hAnsi="Arial"/>
                <w:sz w:val="16"/>
              </w:rPr>
              <w:t>.</w:t>
            </w:r>
          </w:p>
        </w:tc>
      </w:tr>
      <w:tr w:rsidR="003E741D" w:rsidRPr="00C90A71" w14:paraId="017CE227" w14:textId="77777777" w:rsidTr="001959C9">
        <w:tc>
          <w:tcPr>
            <w:tcW w:w="2642" w:type="dxa"/>
            <w:vMerge/>
            <w:tcBorders>
              <w:left w:val="nil"/>
              <w:right w:val="single" w:sz="4" w:space="0" w:color="auto"/>
            </w:tcBorders>
          </w:tcPr>
          <w:p w14:paraId="494ECD77" w14:textId="77777777" w:rsidR="003E741D" w:rsidRPr="00C90A71" w:rsidRDefault="003E741D" w:rsidP="001959C9">
            <w:pPr>
              <w:spacing w:before="80" w:after="80"/>
              <w:rPr>
                <w:rFonts w:ascii="Arial" w:hAnsi="Arial"/>
                <w:b/>
                <w:sz w:val="17"/>
              </w:rPr>
            </w:pPr>
          </w:p>
        </w:tc>
        <w:tc>
          <w:tcPr>
            <w:tcW w:w="2643" w:type="dxa"/>
            <w:vMerge/>
            <w:tcBorders>
              <w:left w:val="single" w:sz="4" w:space="0" w:color="auto"/>
              <w:right w:val="single" w:sz="4" w:space="0" w:color="auto"/>
            </w:tcBorders>
          </w:tcPr>
          <w:p w14:paraId="6F2D19AE" w14:textId="77777777" w:rsidR="003E741D" w:rsidRPr="00C90A71" w:rsidRDefault="003E741D" w:rsidP="001959C9"/>
        </w:tc>
        <w:tc>
          <w:tcPr>
            <w:tcW w:w="3641" w:type="dxa"/>
            <w:tcBorders>
              <w:left w:val="single" w:sz="4" w:space="0" w:color="auto"/>
              <w:right w:val="nil"/>
            </w:tcBorders>
          </w:tcPr>
          <w:p w14:paraId="303F250B" w14:textId="11D25A8A" w:rsidR="003E741D" w:rsidRPr="00C90A71" w:rsidRDefault="003E741D" w:rsidP="001959C9">
            <w:pPr>
              <w:spacing w:before="40" w:after="40"/>
              <w:rPr>
                <w:rFonts w:ascii="Arial" w:hAnsi="Arial"/>
                <w:sz w:val="16"/>
              </w:rPr>
            </w:pPr>
            <w:r w:rsidRPr="00C90A71">
              <w:rPr>
                <w:rFonts w:ascii="Arial" w:hAnsi="Arial"/>
                <w:sz w:val="16"/>
              </w:rPr>
              <w:t>2. The benefits of digital learning technologies are communicated</w:t>
            </w:r>
            <w:r w:rsidR="00D9078C">
              <w:rPr>
                <w:rFonts w:ascii="Arial" w:hAnsi="Arial"/>
                <w:sz w:val="16"/>
              </w:rPr>
              <w:t>.</w:t>
            </w:r>
          </w:p>
        </w:tc>
      </w:tr>
      <w:tr w:rsidR="003E741D" w:rsidRPr="00C90A71" w14:paraId="208F5F3D" w14:textId="77777777" w:rsidTr="001959C9">
        <w:tc>
          <w:tcPr>
            <w:tcW w:w="2642" w:type="dxa"/>
            <w:vMerge/>
            <w:tcBorders>
              <w:left w:val="nil"/>
              <w:right w:val="single" w:sz="4" w:space="0" w:color="auto"/>
            </w:tcBorders>
          </w:tcPr>
          <w:p w14:paraId="2EFCACC3" w14:textId="77777777" w:rsidR="003E741D" w:rsidRPr="00C90A71" w:rsidRDefault="003E741D" w:rsidP="001959C9">
            <w:pPr>
              <w:spacing w:before="80" w:after="80"/>
              <w:rPr>
                <w:rFonts w:ascii="Arial" w:hAnsi="Arial"/>
                <w:b/>
                <w:sz w:val="17"/>
              </w:rPr>
            </w:pPr>
          </w:p>
        </w:tc>
        <w:tc>
          <w:tcPr>
            <w:tcW w:w="2643" w:type="dxa"/>
            <w:vMerge/>
            <w:tcBorders>
              <w:left w:val="single" w:sz="4" w:space="0" w:color="auto"/>
              <w:right w:val="single" w:sz="4" w:space="0" w:color="auto"/>
            </w:tcBorders>
          </w:tcPr>
          <w:p w14:paraId="2E7C9054" w14:textId="77777777" w:rsidR="003E741D" w:rsidRPr="00C90A71" w:rsidRDefault="003E741D" w:rsidP="001959C9"/>
        </w:tc>
        <w:tc>
          <w:tcPr>
            <w:tcW w:w="3641" w:type="dxa"/>
            <w:tcBorders>
              <w:left w:val="single" w:sz="4" w:space="0" w:color="auto"/>
              <w:right w:val="nil"/>
            </w:tcBorders>
          </w:tcPr>
          <w:p w14:paraId="7BB9C389" w14:textId="4DE82571" w:rsidR="003E741D" w:rsidRPr="00C90A71" w:rsidRDefault="003E741D" w:rsidP="001959C9">
            <w:pPr>
              <w:spacing w:before="40" w:after="40"/>
              <w:rPr>
                <w:rFonts w:ascii="Arial" w:hAnsi="Arial"/>
                <w:sz w:val="16"/>
              </w:rPr>
            </w:pPr>
            <w:r w:rsidRPr="00C90A71">
              <w:rPr>
                <w:rFonts w:ascii="Arial" w:hAnsi="Arial"/>
                <w:sz w:val="16"/>
              </w:rPr>
              <w:t>3. The strategic plan encompasses digital-age learning</w:t>
            </w:r>
            <w:r w:rsidR="00D9078C">
              <w:rPr>
                <w:rFonts w:ascii="Arial" w:hAnsi="Arial"/>
                <w:sz w:val="16"/>
              </w:rPr>
              <w:t>.</w:t>
            </w:r>
          </w:p>
        </w:tc>
      </w:tr>
      <w:tr w:rsidR="003E741D" w:rsidRPr="00C90A71" w14:paraId="745C7127" w14:textId="77777777" w:rsidTr="001959C9">
        <w:tc>
          <w:tcPr>
            <w:tcW w:w="2642" w:type="dxa"/>
            <w:vMerge/>
            <w:tcBorders>
              <w:left w:val="nil"/>
              <w:right w:val="single" w:sz="4" w:space="0" w:color="auto"/>
            </w:tcBorders>
          </w:tcPr>
          <w:p w14:paraId="374557CA" w14:textId="77777777" w:rsidR="003E741D" w:rsidRPr="00C90A71" w:rsidRDefault="003E741D" w:rsidP="001959C9">
            <w:pPr>
              <w:spacing w:before="80" w:after="80"/>
              <w:rPr>
                <w:rFonts w:ascii="Arial" w:hAnsi="Arial"/>
                <w:b/>
                <w:sz w:val="17"/>
              </w:rPr>
            </w:pPr>
          </w:p>
        </w:tc>
        <w:tc>
          <w:tcPr>
            <w:tcW w:w="2643" w:type="dxa"/>
            <w:vMerge/>
            <w:tcBorders>
              <w:left w:val="single" w:sz="4" w:space="0" w:color="auto"/>
              <w:bottom w:val="single" w:sz="4" w:space="0" w:color="auto"/>
              <w:right w:val="single" w:sz="4" w:space="0" w:color="auto"/>
            </w:tcBorders>
          </w:tcPr>
          <w:p w14:paraId="7A45B5CC" w14:textId="77777777" w:rsidR="003E741D" w:rsidRPr="00C90A71" w:rsidRDefault="003E741D" w:rsidP="001959C9"/>
        </w:tc>
        <w:tc>
          <w:tcPr>
            <w:tcW w:w="3641" w:type="dxa"/>
            <w:tcBorders>
              <w:left w:val="single" w:sz="4" w:space="0" w:color="auto"/>
              <w:bottom w:val="single" w:sz="4" w:space="0" w:color="auto"/>
              <w:right w:val="nil"/>
            </w:tcBorders>
          </w:tcPr>
          <w:p w14:paraId="5F5C5602" w14:textId="5DF13A90" w:rsidR="003E741D" w:rsidRPr="00C90A71" w:rsidRDefault="003E741D" w:rsidP="001959C9">
            <w:pPr>
              <w:spacing w:before="40" w:after="40"/>
              <w:rPr>
                <w:rFonts w:ascii="Arial" w:hAnsi="Arial"/>
                <w:sz w:val="16"/>
              </w:rPr>
            </w:pPr>
            <w:r w:rsidRPr="00C90A71">
              <w:rPr>
                <w:rFonts w:ascii="Arial" w:hAnsi="Arial"/>
                <w:sz w:val="16"/>
              </w:rPr>
              <w:t>4. Open education is an aspect of public engagement</w:t>
            </w:r>
            <w:r w:rsidR="00D9078C">
              <w:rPr>
                <w:rFonts w:ascii="Arial" w:hAnsi="Arial"/>
                <w:sz w:val="16"/>
              </w:rPr>
              <w:t>.</w:t>
            </w:r>
          </w:p>
        </w:tc>
      </w:tr>
      <w:tr w:rsidR="003E741D" w:rsidRPr="00C90A71" w14:paraId="74F2E9D9" w14:textId="77777777" w:rsidTr="001959C9">
        <w:tc>
          <w:tcPr>
            <w:tcW w:w="2642" w:type="dxa"/>
            <w:vMerge/>
            <w:tcBorders>
              <w:left w:val="nil"/>
              <w:right w:val="single" w:sz="4" w:space="0" w:color="auto"/>
            </w:tcBorders>
          </w:tcPr>
          <w:p w14:paraId="196DCAA0"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24030D81" w14:textId="3A99CD5A" w:rsidR="003E741D" w:rsidRPr="00C90A71" w:rsidRDefault="003E741D" w:rsidP="001959C9">
            <w:pPr>
              <w:tabs>
                <w:tab w:val="left" w:pos="992"/>
              </w:tabs>
              <w:spacing w:before="20" w:after="20"/>
              <w:rPr>
                <w:rFonts w:ascii="Arial" w:hAnsi="Arial"/>
                <w:sz w:val="17"/>
              </w:rPr>
            </w:pPr>
            <w:r w:rsidRPr="00C90A71">
              <w:rPr>
                <w:rFonts w:ascii="Arial" w:hAnsi="Arial"/>
                <w:sz w:val="17"/>
              </w:rPr>
              <w:t>Strategy for digital</w:t>
            </w:r>
            <w:r w:rsidR="00C54925">
              <w:rPr>
                <w:rFonts w:ascii="Arial" w:hAnsi="Arial"/>
                <w:sz w:val="17"/>
              </w:rPr>
              <w:t>-</w:t>
            </w:r>
            <w:r w:rsidRPr="00C90A71">
              <w:rPr>
                <w:rFonts w:ascii="Arial" w:hAnsi="Arial"/>
                <w:sz w:val="17"/>
              </w:rPr>
              <w:t>age learning is supported by an implementation plan</w:t>
            </w:r>
            <w:r w:rsidR="00FC44D5">
              <w:rPr>
                <w:rFonts w:ascii="Arial" w:hAnsi="Arial"/>
                <w:sz w:val="17"/>
              </w:rPr>
              <w:t>.</w:t>
            </w:r>
          </w:p>
        </w:tc>
        <w:tc>
          <w:tcPr>
            <w:tcW w:w="3641" w:type="dxa"/>
            <w:tcBorders>
              <w:top w:val="single" w:sz="4" w:space="0" w:color="auto"/>
              <w:left w:val="single" w:sz="4" w:space="0" w:color="auto"/>
              <w:right w:val="nil"/>
            </w:tcBorders>
          </w:tcPr>
          <w:p w14:paraId="2429DC3E" w14:textId="0A609057" w:rsidR="003E741D" w:rsidRPr="00C90A71" w:rsidRDefault="003E741D" w:rsidP="001959C9">
            <w:pPr>
              <w:spacing w:before="40" w:after="40"/>
              <w:rPr>
                <w:rFonts w:ascii="Arial" w:hAnsi="Arial"/>
                <w:sz w:val="16"/>
              </w:rPr>
            </w:pPr>
            <w:r w:rsidRPr="00C90A71">
              <w:rPr>
                <w:rFonts w:ascii="Arial" w:hAnsi="Arial"/>
                <w:sz w:val="16"/>
              </w:rPr>
              <w:t>5. Planning builds on enablers while addressing barriers</w:t>
            </w:r>
            <w:r w:rsidR="00D9078C">
              <w:rPr>
                <w:rFonts w:ascii="Arial" w:hAnsi="Arial"/>
                <w:sz w:val="16"/>
              </w:rPr>
              <w:t>.</w:t>
            </w:r>
          </w:p>
        </w:tc>
      </w:tr>
      <w:tr w:rsidR="003E741D" w:rsidRPr="00C90A71" w14:paraId="0989A9F7" w14:textId="77777777" w:rsidTr="001959C9">
        <w:tc>
          <w:tcPr>
            <w:tcW w:w="2642" w:type="dxa"/>
            <w:vMerge/>
            <w:tcBorders>
              <w:left w:val="nil"/>
              <w:right w:val="single" w:sz="4" w:space="0" w:color="auto"/>
            </w:tcBorders>
          </w:tcPr>
          <w:p w14:paraId="260213EF" w14:textId="77777777" w:rsidR="003E741D" w:rsidRPr="00C90A71" w:rsidRDefault="003E741D" w:rsidP="001959C9"/>
        </w:tc>
        <w:tc>
          <w:tcPr>
            <w:tcW w:w="2643" w:type="dxa"/>
            <w:vMerge/>
            <w:tcBorders>
              <w:left w:val="single" w:sz="4" w:space="0" w:color="auto"/>
              <w:right w:val="single" w:sz="4" w:space="0" w:color="auto"/>
            </w:tcBorders>
          </w:tcPr>
          <w:p w14:paraId="38C37318" w14:textId="77777777" w:rsidR="003E741D" w:rsidRPr="00C90A71" w:rsidRDefault="003E741D" w:rsidP="001959C9"/>
        </w:tc>
        <w:tc>
          <w:tcPr>
            <w:tcW w:w="3641" w:type="dxa"/>
            <w:tcBorders>
              <w:left w:val="single" w:sz="4" w:space="0" w:color="auto"/>
              <w:right w:val="nil"/>
            </w:tcBorders>
          </w:tcPr>
          <w:p w14:paraId="3D232D32" w14:textId="358E0DE8" w:rsidR="003E741D" w:rsidRPr="00C90A71" w:rsidRDefault="003E741D" w:rsidP="001959C9">
            <w:pPr>
              <w:spacing w:before="40" w:after="40"/>
              <w:rPr>
                <w:rFonts w:ascii="Arial" w:hAnsi="Arial"/>
                <w:sz w:val="16"/>
              </w:rPr>
            </w:pPr>
            <w:r w:rsidRPr="00C90A71">
              <w:rPr>
                <w:rFonts w:ascii="Arial" w:hAnsi="Arial"/>
                <w:sz w:val="16"/>
              </w:rPr>
              <w:t>6. Internal stakeholders have a degree of autonomy</w:t>
            </w:r>
            <w:r w:rsidR="00D9078C">
              <w:rPr>
                <w:rFonts w:ascii="Arial" w:hAnsi="Arial"/>
                <w:sz w:val="16"/>
              </w:rPr>
              <w:t>.</w:t>
            </w:r>
          </w:p>
        </w:tc>
      </w:tr>
      <w:tr w:rsidR="003E741D" w:rsidRPr="00C90A71" w14:paraId="19862E55" w14:textId="77777777" w:rsidTr="001959C9">
        <w:tc>
          <w:tcPr>
            <w:tcW w:w="2642" w:type="dxa"/>
            <w:vMerge/>
            <w:tcBorders>
              <w:left w:val="nil"/>
              <w:right w:val="single" w:sz="4" w:space="0" w:color="auto"/>
            </w:tcBorders>
          </w:tcPr>
          <w:p w14:paraId="014A1132" w14:textId="77777777" w:rsidR="003E741D" w:rsidRPr="00C90A71" w:rsidRDefault="003E741D" w:rsidP="001959C9"/>
        </w:tc>
        <w:tc>
          <w:tcPr>
            <w:tcW w:w="2643" w:type="dxa"/>
            <w:vMerge/>
            <w:tcBorders>
              <w:left w:val="single" w:sz="4" w:space="0" w:color="auto"/>
              <w:right w:val="single" w:sz="4" w:space="0" w:color="auto"/>
            </w:tcBorders>
          </w:tcPr>
          <w:p w14:paraId="118261F1" w14:textId="77777777" w:rsidR="003E741D" w:rsidRPr="00C90A71" w:rsidRDefault="003E741D" w:rsidP="001959C9"/>
        </w:tc>
        <w:tc>
          <w:tcPr>
            <w:tcW w:w="3641" w:type="dxa"/>
            <w:tcBorders>
              <w:left w:val="single" w:sz="4" w:space="0" w:color="auto"/>
              <w:right w:val="nil"/>
            </w:tcBorders>
          </w:tcPr>
          <w:p w14:paraId="51F4058F" w14:textId="25B84EE1" w:rsidR="003E741D" w:rsidRPr="00C90A71" w:rsidRDefault="003E741D" w:rsidP="001959C9">
            <w:pPr>
              <w:spacing w:before="40" w:after="40"/>
              <w:rPr>
                <w:rFonts w:ascii="Arial" w:hAnsi="Arial"/>
                <w:sz w:val="16"/>
              </w:rPr>
            </w:pPr>
            <w:r w:rsidRPr="00C90A71">
              <w:rPr>
                <w:rFonts w:ascii="Arial" w:hAnsi="Arial"/>
                <w:sz w:val="16"/>
              </w:rPr>
              <w:t>7. Opportunities, incentives and rewards for staff are identified</w:t>
            </w:r>
            <w:r w:rsidR="00D9078C">
              <w:rPr>
                <w:rFonts w:ascii="Arial" w:hAnsi="Arial"/>
                <w:sz w:val="16"/>
              </w:rPr>
              <w:t>.</w:t>
            </w:r>
          </w:p>
        </w:tc>
      </w:tr>
      <w:tr w:rsidR="003E741D" w:rsidRPr="00C90A71" w14:paraId="0C4FD84E" w14:textId="77777777" w:rsidTr="001959C9">
        <w:tc>
          <w:tcPr>
            <w:tcW w:w="2642" w:type="dxa"/>
            <w:vMerge/>
            <w:tcBorders>
              <w:left w:val="nil"/>
              <w:right w:val="single" w:sz="4" w:space="0" w:color="auto"/>
            </w:tcBorders>
          </w:tcPr>
          <w:p w14:paraId="4BAC39E9" w14:textId="77777777" w:rsidR="003E741D" w:rsidRPr="00C90A71" w:rsidRDefault="003E741D" w:rsidP="001959C9"/>
        </w:tc>
        <w:tc>
          <w:tcPr>
            <w:tcW w:w="2643" w:type="dxa"/>
            <w:vMerge/>
            <w:tcBorders>
              <w:left w:val="single" w:sz="4" w:space="0" w:color="auto"/>
              <w:right w:val="single" w:sz="4" w:space="0" w:color="auto"/>
            </w:tcBorders>
          </w:tcPr>
          <w:p w14:paraId="293680FA" w14:textId="77777777" w:rsidR="003E741D" w:rsidRPr="00C90A71" w:rsidRDefault="003E741D" w:rsidP="001959C9"/>
        </w:tc>
        <w:tc>
          <w:tcPr>
            <w:tcW w:w="3641" w:type="dxa"/>
            <w:tcBorders>
              <w:left w:val="single" w:sz="4" w:space="0" w:color="auto"/>
              <w:right w:val="nil"/>
            </w:tcBorders>
          </w:tcPr>
          <w:p w14:paraId="2AFECECA" w14:textId="578A908A" w:rsidR="003E741D" w:rsidRPr="00C90A71" w:rsidRDefault="003E741D" w:rsidP="001959C9">
            <w:pPr>
              <w:spacing w:before="40" w:after="40"/>
              <w:rPr>
                <w:rFonts w:ascii="Arial" w:hAnsi="Arial"/>
                <w:sz w:val="16"/>
              </w:rPr>
            </w:pPr>
            <w:r w:rsidRPr="00C90A71">
              <w:rPr>
                <w:rFonts w:ascii="Arial" w:hAnsi="Arial"/>
                <w:sz w:val="16"/>
              </w:rPr>
              <w:t>8. Digital-age learning is aligned with broader priorities</w:t>
            </w:r>
            <w:r w:rsidR="00805B82">
              <w:rPr>
                <w:rFonts w:ascii="Arial" w:hAnsi="Arial"/>
                <w:sz w:val="16"/>
              </w:rPr>
              <w:t>.</w:t>
            </w:r>
          </w:p>
        </w:tc>
      </w:tr>
      <w:tr w:rsidR="003E741D" w:rsidRPr="00C90A71" w14:paraId="766394AB" w14:textId="77777777" w:rsidTr="001959C9">
        <w:tc>
          <w:tcPr>
            <w:tcW w:w="2642" w:type="dxa"/>
            <w:vMerge/>
            <w:tcBorders>
              <w:left w:val="nil"/>
              <w:right w:val="single" w:sz="4" w:space="0" w:color="auto"/>
            </w:tcBorders>
          </w:tcPr>
          <w:p w14:paraId="6E29CF4C"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550281D5" w14:textId="77777777" w:rsidR="003E741D" w:rsidRPr="00C90A71" w:rsidRDefault="003E741D" w:rsidP="001959C9"/>
        </w:tc>
        <w:tc>
          <w:tcPr>
            <w:tcW w:w="3641" w:type="dxa"/>
            <w:tcBorders>
              <w:left w:val="single" w:sz="4" w:space="0" w:color="auto"/>
              <w:bottom w:val="single" w:sz="4" w:space="0" w:color="auto"/>
              <w:right w:val="nil"/>
            </w:tcBorders>
          </w:tcPr>
          <w:p w14:paraId="5C3B9F85" w14:textId="79D7E1B6" w:rsidR="003E741D" w:rsidRPr="00C90A71" w:rsidRDefault="003E741D" w:rsidP="001959C9">
            <w:pPr>
              <w:spacing w:before="40" w:after="40"/>
              <w:rPr>
                <w:rFonts w:ascii="Arial" w:hAnsi="Arial"/>
                <w:sz w:val="16"/>
              </w:rPr>
            </w:pPr>
            <w:r w:rsidRPr="00C90A71">
              <w:rPr>
                <w:rFonts w:ascii="Arial" w:hAnsi="Arial"/>
                <w:sz w:val="16"/>
              </w:rPr>
              <w:t>9. There are twin goals of modernising existing educational provision and offering new opportunities</w:t>
            </w:r>
            <w:r w:rsidR="00805B82">
              <w:rPr>
                <w:rFonts w:ascii="Arial" w:hAnsi="Arial"/>
                <w:sz w:val="16"/>
              </w:rPr>
              <w:t>.</w:t>
            </w:r>
          </w:p>
        </w:tc>
      </w:tr>
      <w:tr w:rsidR="003E741D" w:rsidRPr="00C90A71" w14:paraId="45A7441B" w14:textId="77777777" w:rsidTr="001959C9">
        <w:tc>
          <w:tcPr>
            <w:tcW w:w="2642" w:type="dxa"/>
            <w:vMerge/>
            <w:tcBorders>
              <w:left w:val="nil"/>
              <w:right w:val="single" w:sz="4" w:space="0" w:color="auto"/>
            </w:tcBorders>
          </w:tcPr>
          <w:p w14:paraId="654B5EC7"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177FDF79" w14:textId="3967D84D" w:rsidR="003E741D" w:rsidRPr="00C90A71" w:rsidRDefault="003E741D" w:rsidP="001959C9">
            <w:pPr>
              <w:tabs>
                <w:tab w:val="left" w:pos="992"/>
              </w:tabs>
              <w:spacing w:before="20" w:after="20"/>
              <w:rPr>
                <w:rFonts w:ascii="Arial" w:hAnsi="Arial"/>
                <w:sz w:val="17"/>
              </w:rPr>
            </w:pPr>
            <w:r w:rsidRPr="00C90A71">
              <w:rPr>
                <w:rFonts w:ascii="Arial" w:hAnsi="Arial"/>
                <w:sz w:val="17"/>
              </w:rPr>
              <w:t xml:space="preserve">A </w:t>
            </w:r>
            <w:r w:rsidR="00C54925" w:rsidRPr="00C90A71">
              <w:rPr>
                <w:rFonts w:ascii="Arial" w:hAnsi="Arial"/>
                <w:sz w:val="17"/>
              </w:rPr>
              <w:t xml:space="preserve">management and governance model </w:t>
            </w:r>
            <w:r w:rsidRPr="00C90A71">
              <w:rPr>
                <w:rFonts w:ascii="Arial" w:hAnsi="Arial"/>
                <w:sz w:val="17"/>
              </w:rPr>
              <w:t>is in place</w:t>
            </w:r>
            <w:r w:rsidR="00FC44D5">
              <w:rPr>
                <w:rFonts w:ascii="Arial" w:hAnsi="Arial"/>
                <w:sz w:val="17"/>
              </w:rPr>
              <w:t>.</w:t>
            </w:r>
          </w:p>
        </w:tc>
        <w:tc>
          <w:tcPr>
            <w:tcW w:w="3641" w:type="dxa"/>
            <w:tcBorders>
              <w:top w:val="single" w:sz="4" w:space="0" w:color="auto"/>
              <w:left w:val="single" w:sz="4" w:space="0" w:color="auto"/>
              <w:right w:val="nil"/>
            </w:tcBorders>
          </w:tcPr>
          <w:p w14:paraId="1FACDD01" w14:textId="69FAEC50" w:rsidR="003E741D" w:rsidRPr="00C90A71" w:rsidRDefault="003E741D" w:rsidP="001959C9">
            <w:pPr>
              <w:spacing w:before="40" w:after="40"/>
              <w:rPr>
                <w:rFonts w:ascii="Arial" w:hAnsi="Arial"/>
                <w:sz w:val="16"/>
              </w:rPr>
            </w:pPr>
            <w:r w:rsidRPr="00C90A71">
              <w:rPr>
                <w:rFonts w:ascii="Arial" w:hAnsi="Arial"/>
                <w:sz w:val="16"/>
              </w:rPr>
              <w:t>10. There is a shared understanding of and commitment to the implementation plan</w:t>
            </w:r>
            <w:r w:rsidR="00805B82">
              <w:rPr>
                <w:rFonts w:ascii="Arial" w:hAnsi="Arial"/>
                <w:sz w:val="16"/>
              </w:rPr>
              <w:t>.</w:t>
            </w:r>
          </w:p>
        </w:tc>
      </w:tr>
      <w:tr w:rsidR="003E741D" w:rsidRPr="00C90A71" w14:paraId="2A21C910" w14:textId="77777777" w:rsidTr="001959C9">
        <w:tc>
          <w:tcPr>
            <w:tcW w:w="2642" w:type="dxa"/>
            <w:vMerge/>
            <w:tcBorders>
              <w:left w:val="nil"/>
              <w:right w:val="single" w:sz="4" w:space="0" w:color="auto"/>
            </w:tcBorders>
          </w:tcPr>
          <w:p w14:paraId="3CECAA5B" w14:textId="77777777" w:rsidR="003E741D" w:rsidRPr="00C90A71" w:rsidRDefault="003E741D" w:rsidP="001959C9"/>
        </w:tc>
        <w:tc>
          <w:tcPr>
            <w:tcW w:w="2643" w:type="dxa"/>
            <w:vMerge/>
            <w:tcBorders>
              <w:left w:val="single" w:sz="4" w:space="0" w:color="auto"/>
              <w:right w:val="single" w:sz="4" w:space="0" w:color="auto"/>
            </w:tcBorders>
          </w:tcPr>
          <w:p w14:paraId="5E504A23" w14:textId="77777777" w:rsidR="003E741D" w:rsidRPr="00C90A71" w:rsidRDefault="003E741D" w:rsidP="001959C9"/>
        </w:tc>
        <w:tc>
          <w:tcPr>
            <w:tcW w:w="3641" w:type="dxa"/>
            <w:tcBorders>
              <w:left w:val="single" w:sz="4" w:space="0" w:color="auto"/>
              <w:right w:val="nil"/>
            </w:tcBorders>
          </w:tcPr>
          <w:p w14:paraId="4938FBD4" w14:textId="5A48BA2A" w:rsidR="003E741D" w:rsidRPr="00C90A71" w:rsidRDefault="003E741D" w:rsidP="001959C9">
            <w:pPr>
              <w:spacing w:before="40" w:after="40"/>
              <w:rPr>
                <w:rFonts w:ascii="Arial" w:hAnsi="Arial"/>
                <w:sz w:val="16"/>
              </w:rPr>
            </w:pPr>
            <w:r w:rsidRPr="00C90A71">
              <w:rPr>
                <w:rFonts w:ascii="Arial" w:hAnsi="Arial"/>
                <w:sz w:val="16"/>
              </w:rPr>
              <w:t>11. Management responsibility is clearly assigned</w:t>
            </w:r>
            <w:r w:rsidR="00805B82">
              <w:rPr>
                <w:rFonts w:ascii="Arial" w:hAnsi="Arial"/>
                <w:sz w:val="16"/>
              </w:rPr>
              <w:t>.</w:t>
            </w:r>
          </w:p>
        </w:tc>
      </w:tr>
      <w:tr w:rsidR="003E741D" w:rsidRPr="00C90A71" w14:paraId="286D83BF" w14:textId="77777777" w:rsidTr="001959C9">
        <w:tc>
          <w:tcPr>
            <w:tcW w:w="2642" w:type="dxa"/>
            <w:vMerge/>
            <w:tcBorders>
              <w:left w:val="nil"/>
              <w:right w:val="single" w:sz="4" w:space="0" w:color="auto"/>
            </w:tcBorders>
          </w:tcPr>
          <w:p w14:paraId="6D2B2481" w14:textId="77777777" w:rsidR="003E741D" w:rsidRPr="00C90A71" w:rsidRDefault="003E741D" w:rsidP="001959C9"/>
        </w:tc>
        <w:tc>
          <w:tcPr>
            <w:tcW w:w="2643" w:type="dxa"/>
            <w:vMerge/>
            <w:tcBorders>
              <w:left w:val="single" w:sz="4" w:space="0" w:color="auto"/>
              <w:right w:val="single" w:sz="4" w:space="0" w:color="auto"/>
            </w:tcBorders>
          </w:tcPr>
          <w:p w14:paraId="2B2463D2" w14:textId="77777777" w:rsidR="003E741D" w:rsidRPr="00C90A71" w:rsidRDefault="003E741D" w:rsidP="001959C9"/>
        </w:tc>
        <w:tc>
          <w:tcPr>
            <w:tcW w:w="3641" w:type="dxa"/>
            <w:tcBorders>
              <w:left w:val="single" w:sz="4" w:space="0" w:color="auto"/>
              <w:right w:val="nil"/>
            </w:tcBorders>
          </w:tcPr>
          <w:p w14:paraId="2E164BFA" w14:textId="331AB5D3" w:rsidR="003E741D" w:rsidRPr="00C90A71" w:rsidRDefault="003E741D" w:rsidP="001959C9">
            <w:pPr>
              <w:spacing w:before="40" w:after="40"/>
              <w:rPr>
                <w:rFonts w:ascii="Arial" w:hAnsi="Arial"/>
                <w:sz w:val="16"/>
              </w:rPr>
            </w:pPr>
            <w:r w:rsidRPr="00C90A71">
              <w:rPr>
                <w:rFonts w:ascii="Arial" w:hAnsi="Arial"/>
                <w:sz w:val="16"/>
              </w:rPr>
              <w:t>12. Resources are aligned with budgets and staffing</w:t>
            </w:r>
            <w:r w:rsidR="00805B82">
              <w:rPr>
                <w:rFonts w:ascii="Arial" w:hAnsi="Arial"/>
                <w:sz w:val="16"/>
              </w:rPr>
              <w:t>.</w:t>
            </w:r>
          </w:p>
        </w:tc>
      </w:tr>
      <w:tr w:rsidR="003E741D" w:rsidRPr="00C90A71" w14:paraId="3A4DD313" w14:textId="77777777" w:rsidTr="001959C9">
        <w:tc>
          <w:tcPr>
            <w:tcW w:w="2642" w:type="dxa"/>
            <w:vMerge/>
            <w:tcBorders>
              <w:left w:val="nil"/>
              <w:right w:val="single" w:sz="4" w:space="0" w:color="auto"/>
            </w:tcBorders>
          </w:tcPr>
          <w:p w14:paraId="0C640CA2" w14:textId="77777777" w:rsidR="003E741D" w:rsidRPr="00C90A71" w:rsidRDefault="003E741D" w:rsidP="001959C9"/>
        </w:tc>
        <w:tc>
          <w:tcPr>
            <w:tcW w:w="2643" w:type="dxa"/>
            <w:vMerge/>
            <w:tcBorders>
              <w:left w:val="single" w:sz="4" w:space="0" w:color="auto"/>
              <w:right w:val="single" w:sz="4" w:space="0" w:color="auto"/>
            </w:tcBorders>
          </w:tcPr>
          <w:p w14:paraId="754558F2" w14:textId="77777777" w:rsidR="003E741D" w:rsidRPr="00C90A71" w:rsidRDefault="003E741D" w:rsidP="001959C9"/>
        </w:tc>
        <w:tc>
          <w:tcPr>
            <w:tcW w:w="3641" w:type="dxa"/>
            <w:tcBorders>
              <w:left w:val="single" w:sz="4" w:space="0" w:color="auto"/>
              <w:right w:val="nil"/>
            </w:tcBorders>
          </w:tcPr>
          <w:p w14:paraId="007241AA" w14:textId="22BE2DF4" w:rsidR="003E741D" w:rsidRPr="00C90A71" w:rsidRDefault="003E741D" w:rsidP="001959C9">
            <w:pPr>
              <w:spacing w:before="40" w:after="40"/>
              <w:rPr>
                <w:rFonts w:ascii="Arial" w:hAnsi="Arial"/>
                <w:sz w:val="16"/>
              </w:rPr>
            </w:pPr>
            <w:r w:rsidRPr="00C90A71">
              <w:rPr>
                <w:rFonts w:ascii="Arial" w:hAnsi="Arial"/>
                <w:sz w:val="16"/>
              </w:rPr>
              <w:t>13. The outcomes, quality and impact of the implementation plan are reviewed</w:t>
            </w:r>
            <w:r w:rsidR="00805B82">
              <w:rPr>
                <w:rFonts w:ascii="Arial" w:hAnsi="Arial"/>
                <w:sz w:val="16"/>
              </w:rPr>
              <w:t>.</w:t>
            </w:r>
          </w:p>
        </w:tc>
      </w:tr>
      <w:tr w:rsidR="003E741D" w:rsidRPr="00C90A71" w14:paraId="01ED1C93" w14:textId="77777777" w:rsidTr="001959C9">
        <w:tc>
          <w:tcPr>
            <w:tcW w:w="2642" w:type="dxa"/>
            <w:vMerge/>
            <w:tcBorders>
              <w:left w:val="nil"/>
              <w:right w:val="single" w:sz="4" w:space="0" w:color="auto"/>
            </w:tcBorders>
          </w:tcPr>
          <w:p w14:paraId="56A76235" w14:textId="77777777" w:rsidR="003E741D" w:rsidRPr="00C90A71" w:rsidRDefault="003E741D" w:rsidP="001959C9"/>
        </w:tc>
        <w:tc>
          <w:tcPr>
            <w:tcW w:w="2643" w:type="dxa"/>
            <w:vMerge/>
            <w:tcBorders>
              <w:left w:val="single" w:sz="4" w:space="0" w:color="auto"/>
              <w:right w:val="single" w:sz="4" w:space="0" w:color="auto"/>
            </w:tcBorders>
          </w:tcPr>
          <w:p w14:paraId="6E6F7C8B" w14:textId="77777777" w:rsidR="003E741D" w:rsidRPr="00C90A71" w:rsidRDefault="003E741D" w:rsidP="001959C9"/>
        </w:tc>
        <w:tc>
          <w:tcPr>
            <w:tcW w:w="3641" w:type="dxa"/>
            <w:tcBorders>
              <w:left w:val="single" w:sz="4" w:space="0" w:color="auto"/>
              <w:right w:val="nil"/>
            </w:tcBorders>
          </w:tcPr>
          <w:p w14:paraId="4609D2E9" w14:textId="74F5BC5C" w:rsidR="003E741D" w:rsidRPr="00C90A71" w:rsidRDefault="003E741D" w:rsidP="001959C9">
            <w:pPr>
              <w:spacing w:before="40" w:after="40"/>
              <w:rPr>
                <w:rFonts w:ascii="Arial" w:hAnsi="Arial"/>
                <w:sz w:val="16"/>
              </w:rPr>
            </w:pPr>
            <w:r w:rsidRPr="00C90A71">
              <w:rPr>
                <w:rFonts w:ascii="Arial" w:hAnsi="Arial"/>
                <w:sz w:val="16"/>
              </w:rPr>
              <w:t>14. Specific initiatives or pilots are evaluated</w:t>
            </w:r>
            <w:r w:rsidR="00805B82">
              <w:rPr>
                <w:rFonts w:ascii="Arial" w:hAnsi="Arial"/>
                <w:sz w:val="16"/>
              </w:rPr>
              <w:t>.</w:t>
            </w:r>
          </w:p>
        </w:tc>
      </w:tr>
      <w:tr w:rsidR="003E741D" w:rsidRPr="00C90A71" w14:paraId="22C16E1D" w14:textId="77777777" w:rsidTr="001959C9">
        <w:tc>
          <w:tcPr>
            <w:tcW w:w="2642" w:type="dxa"/>
            <w:vMerge/>
            <w:tcBorders>
              <w:left w:val="nil"/>
              <w:right w:val="single" w:sz="4" w:space="0" w:color="auto"/>
            </w:tcBorders>
          </w:tcPr>
          <w:p w14:paraId="006DE469" w14:textId="77777777" w:rsidR="003E741D" w:rsidRPr="00C90A71" w:rsidRDefault="003E741D" w:rsidP="001959C9"/>
        </w:tc>
        <w:tc>
          <w:tcPr>
            <w:tcW w:w="2643" w:type="dxa"/>
            <w:vMerge/>
            <w:tcBorders>
              <w:left w:val="single" w:sz="4" w:space="0" w:color="auto"/>
              <w:right w:val="single" w:sz="4" w:space="0" w:color="auto"/>
            </w:tcBorders>
          </w:tcPr>
          <w:p w14:paraId="12E03BAF" w14:textId="77777777" w:rsidR="003E741D" w:rsidRPr="00C90A71" w:rsidRDefault="003E741D" w:rsidP="001959C9"/>
        </w:tc>
        <w:tc>
          <w:tcPr>
            <w:tcW w:w="3641" w:type="dxa"/>
            <w:tcBorders>
              <w:left w:val="single" w:sz="4" w:space="0" w:color="auto"/>
              <w:bottom w:val="single" w:sz="4" w:space="0" w:color="BFBFBF"/>
              <w:right w:val="nil"/>
            </w:tcBorders>
          </w:tcPr>
          <w:p w14:paraId="3F5E6124" w14:textId="124803A5" w:rsidR="003E741D" w:rsidRPr="00C90A71" w:rsidRDefault="003E741D" w:rsidP="001959C9">
            <w:pPr>
              <w:spacing w:before="40" w:after="40"/>
              <w:rPr>
                <w:rFonts w:ascii="Arial" w:hAnsi="Arial"/>
                <w:sz w:val="16"/>
              </w:rPr>
            </w:pPr>
            <w:r w:rsidRPr="00C90A71">
              <w:rPr>
                <w:rFonts w:ascii="Arial" w:hAnsi="Arial"/>
                <w:sz w:val="16"/>
              </w:rPr>
              <w:t>15. Implementation status is benchmarked</w:t>
            </w:r>
            <w:r w:rsidR="00805B82">
              <w:rPr>
                <w:rFonts w:ascii="Arial" w:hAnsi="Arial"/>
                <w:sz w:val="16"/>
              </w:rPr>
              <w:t>.</w:t>
            </w:r>
          </w:p>
        </w:tc>
      </w:tr>
      <w:tr w:rsidR="003E741D" w:rsidRPr="00C90A71" w14:paraId="6F9BD89B" w14:textId="77777777" w:rsidTr="003E741D">
        <w:tc>
          <w:tcPr>
            <w:tcW w:w="2642" w:type="dxa"/>
            <w:vMerge/>
            <w:tcBorders>
              <w:left w:val="nil"/>
              <w:bottom w:val="single" w:sz="4" w:space="0" w:color="auto"/>
              <w:right w:val="single" w:sz="4" w:space="0" w:color="auto"/>
            </w:tcBorders>
          </w:tcPr>
          <w:p w14:paraId="71AA17E3"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25635900" w14:textId="77777777" w:rsidR="003E741D" w:rsidRPr="00C90A71" w:rsidRDefault="003E741D" w:rsidP="001959C9"/>
        </w:tc>
        <w:tc>
          <w:tcPr>
            <w:tcW w:w="3641" w:type="dxa"/>
            <w:tcBorders>
              <w:left w:val="single" w:sz="4" w:space="0" w:color="auto"/>
              <w:bottom w:val="single" w:sz="4" w:space="0" w:color="auto"/>
              <w:right w:val="nil"/>
            </w:tcBorders>
          </w:tcPr>
          <w:p w14:paraId="6F5A2073" w14:textId="6FC08BE8" w:rsidR="003E741D" w:rsidRPr="00C90A71" w:rsidRDefault="003E741D" w:rsidP="001959C9">
            <w:pPr>
              <w:spacing w:before="40" w:after="40"/>
              <w:rPr>
                <w:rFonts w:ascii="Arial" w:hAnsi="Arial"/>
                <w:sz w:val="16"/>
              </w:rPr>
            </w:pPr>
            <w:r w:rsidRPr="00C90A71">
              <w:rPr>
                <w:rFonts w:ascii="Arial" w:hAnsi="Arial"/>
                <w:sz w:val="16"/>
              </w:rPr>
              <w:t>16. Oversight of policy and direction is evident</w:t>
            </w:r>
            <w:r w:rsidR="00805B82">
              <w:rPr>
                <w:rFonts w:ascii="Arial" w:hAnsi="Arial"/>
                <w:sz w:val="16"/>
              </w:rPr>
              <w:t>.</w:t>
            </w:r>
          </w:p>
        </w:tc>
      </w:tr>
      <w:tr w:rsidR="003E741D" w:rsidRPr="00C90A71" w14:paraId="438E124F" w14:textId="77777777" w:rsidTr="003E741D">
        <w:tc>
          <w:tcPr>
            <w:tcW w:w="2642" w:type="dxa"/>
            <w:tcBorders>
              <w:top w:val="single" w:sz="4" w:space="0" w:color="auto"/>
              <w:left w:val="nil"/>
              <w:bottom w:val="nil"/>
              <w:right w:val="nil"/>
            </w:tcBorders>
          </w:tcPr>
          <w:p w14:paraId="48D1A3D3" w14:textId="77777777" w:rsidR="003E741D" w:rsidRPr="00C90A71" w:rsidRDefault="003E741D" w:rsidP="001959C9"/>
        </w:tc>
        <w:tc>
          <w:tcPr>
            <w:tcW w:w="2643" w:type="dxa"/>
            <w:tcBorders>
              <w:top w:val="single" w:sz="4" w:space="0" w:color="auto"/>
              <w:left w:val="nil"/>
              <w:bottom w:val="nil"/>
              <w:right w:val="nil"/>
            </w:tcBorders>
          </w:tcPr>
          <w:p w14:paraId="2D86B6B0" w14:textId="77777777" w:rsidR="003E741D" w:rsidRPr="00C90A71" w:rsidRDefault="003E741D" w:rsidP="001959C9"/>
        </w:tc>
        <w:tc>
          <w:tcPr>
            <w:tcW w:w="3641" w:type="dxa"/>
            <w:tcBorders>
              <w:top w:val="single" w:sz="4" w:space="0" w:color="auto"/>
              <w:left w:val="nil"/>
              <w:bottom w:val="nil"/>
              <w:right w:val="nil"/>
            </w:tcBorders>
          </w:tcPr>
          <w:p w14:paraId="241B3A08" w14:textId="77777777" w:rsidR="003E741D" w:rsidRPr="00C90A71" w:rsidRDefault="003E741D" w:rsidP="001959C9">
            <w:pPr>
              <w:spacing w:before="40" w:after="40"/>
              <w:rPr>
                <w:rFonts w:ascii="Arial" w:hAnsi="Arial"/>
                <w:sz w:val="16"/>
              </w:rPr>
            </w:pPr>
          </w:p>
        </w:tc>
      </w:tr>
      <w:tr w:rsidR="003E741D" w:rsidRPr="00C90A71" w14:paraId="48CE9A87" w14:textId="77777777" w:rsidTr="003E741D">
        <w:tc>
          <w:tcPr>
            <w:tcW w:w="2642" w:type="dxa"/>
            <w:tcBorders>
              <w:top w:val="nil"/>
              <w:left w:val="nil"/>
              <w:bottom w:val="single" w:sz="4" w:space="0" w:color="auto"/>
              <w:right w:val="nil"/>
            </w:tcBorders>
          </w:tcPr>
          <w:p w14:paraId="3C612C87" w14:textId="77777777" w:rsidR="003E741D" w:rsidRPr="00C90A71" w:rsidRDefault="003E741D" w:rsidP="001959C9"/>
        </w:tc>
        <w:tc>
          <w:tcPr>
            <w:tcW w:w="2643" w:type="dxa"/>
            <w:tcBorders>
              <w:top w:val="nil"/>
              <w:left w:val="nil"/>
              <w:bottom w:val="single" w:sz="4" w:space="0" w:color="auto"/>
              <w:right w:val="nil"/>
            </w:tcBorders>
          </w:tcPr>
          <w:p w14:paraId="76F609FC" w14:textId="77777777" w:rsidR="003E741D" w:rsidRPr="00C90A71" w:rsidRDefault="003E741D" w:rsidP="001959C9"/>
        </w:tc>
        <w:tc>
          <w:tcPr>
            <w:tcW w:w="3641" w:type="dxa"/>
            <w:tcBorders>
              <w:top w:val="nil"/>
              <w:left w:val="nil"/>
              <w:bottom w:val="single" w:sz="4" w:space="0" w:color="auto"/>
              <w:right w:val="nil"/>
            </w:tcBorders>
          </w:tcPr>
          <w:p w14:paraId="57EA0BAC" w14:textId="77777777" w:rsidR="003E741D" w:rsidRPr="00C90A71" w:rsidRDefault="003E741D" w:rsidP="001959C9">
            <w:pPr>
              <w:spacing w:before="40" w:after="40"/>
              <w:rPr>
                <w:rFonts w:ascii="Arial" w:hAnsi="Arial"/>
                <w:sz w:val="16"/>
              </w:rPr>
            </w:pPr>
          </w:p>
        </w:tc>
      </w:tr>
      <w:tr w:rsidR="003E741D" w:rsidRPr="00C90A71" w14:paraId="66C8EED7" w14:textId="77777777" w:rsidTr="003E741D">
        <w:tc>
          <w:tcPr>
            <w:tcW w:w="2642" w:type="dxa"/>
            <w:vMerge w:val="restart"/>
            <w:tcBorders>
              <w:top w:val="single" w:sz="4" w:space="0" w:color="auto"/>
              <w:left w:val="nil"/>
              <w:right w:val="single" w:sz="4" w:space="0" w:color="auto"/>
            </w:tcBorders>
            <w:vAlign w:val="center"/>
          </w:tcPr>
          <w:p w14:paraId="390B0D1A" w14:textId="2C15E11A" w:rsidR="003E741D" w:rsidRPr="00C90A71" w:rsidRDefault="003E741D" w:rsidP="001959C9">
            <w:pPr>
              <w:spacing w:before="80" w:after="80"/>
            </w:pPr>
            <w:r w:rsidRPr="00B922CC">
              <w:rPr>
                <w:rFonts w:ascii="Arial" w:hAnsi="Arial"/>
                <w:b/>
                <w:sz w:val="17"/>
              </w:rPr>
              <w:t xml:space="preserve">Teaching </w:t>
            </w:r>
            <w:r w:rsidR="00805B82" w:rsidRPr="00B922CC">
              <w:rPr>
                <w:rFonts w:ascii="Arial" w:hAnsi="Arial"/>
                <w:b/>
                <w:sz w:val="17"/>
              </w:rPr>
              <w:t>and learning practices</w:t>
            </w:r>
          </w:p>
        </w:tc>
        <w:tc>
          <w:tcPr>
            <w:tcW w:w="2643" w:type="dxa"/>
            <w:vMerge w:val="restart"/>
            <w:tcBorders>
              <w:top w:val="single" w:sz="4" w:space="0" w:color="auto"/>
              <w:left w:val="single" w:sz="4" w:space="0" w:color="auto"/>
              <w:right w:val="single" w:sz="4" w:space="0" w:color="auto"/>
            </w:tcBorders>
            <w:vAlign w:val="center"/>
          </w:tcPr>
          <w:p w14:paraId="78027309" w14:textId="00701FCC" w:rsidR="003E741D" w:rsidRPr="00C90A71" w:rsidRDefault="003E741D" w:rsidP="001959C9">
            <w:pPr>
              <w:tabs>
                <w:tab w:val="left" w:pos="992"/>
              </w:tabs>
              <w:spacing w:before="20" w:after="20"/>
            </w:pPr>
            <w:r w:rsidRPr="00B922CC">
              <w:rPr>
                <w:rFonts w:ascii="Arial" w:hAnsi="Arial"/>
                <w:sz w:val="17"/>
              </w:rPr>
              <w:t xml:space="preserve">Digital </w:t>
            </w:r>
            <w:r w:rsidR="00805B82">
              <w:rPr>
                <w:rFonts w:ascii="Arial" w:hAnsi="Arial"/>
                <w:sz w:val="17"/>
              </w:rPr>
              <w:t>c</w:t>
            </w:r>
            <w:r w:rsidRPr="00B922CC">
              <w:rPr>
                <w:rFonts w:ascii="Arial" w:hAnsi="Arial"/>
                <w:sz w:val="17"/>
              </w:rPr>
              <w:t>ompetence is promoted, benchmarked and assessed</w:t>
            </w:r>
            <w:r w:rsidR="000171DA">
              <w:rPr>
                <w:rFonts w:ascii="Arial" w:hAnsi="Arial"/>
                <w:sz w:val="17"/>
              </w:rPr>
              <w:t>.</w:t>
            </w:r>
          </w:p>
        </w:tc>
        <w:tc>
          <w:tcPr>
            <w:tcW w:w="3641" w:type="dxa"/>
            <w:tcBorders>
              <w:top w:val="single" w:sz="4" w:space="0" w:color="auto"/>
              <w:left w:val="single" w:sz="4" w:space="0" w:color="auto"/>
              <w:right w:val="nil"/>
            </w:tcBorders>
          </w:tcPr>
          <w:p w14:paraId="1104233F" w14:textId="7992BE4E" w:rsidR="003E741D" w:rsidRPr="00B922CC" w:rsidRDefault="003E741D" w:rsidP="001959C9">
            <w:pPr>
              <w:spacing w:before="40" w:after="40"/>
              <w:rPr>
                <w:rFonts w:ascii="Arial" w:hAnsi="Arial"/>
                <w:sz w:val="16"/>
              </w:rPr>
            </w:pPr>
            <w:r w:rsidRPr="00B922CC">
              <w:rPr>
                <w:rFonts w:ascii="Arial" w:hAnsi="Arial"/>
                <w:sz w:val="16"/>
              </w:rPr>
              <w:t xml:space="preserve">17. Staff and students are </w:t>
            </w:r>
            <w:r>
              <w:rPr>
                <w:rFonts w:ascii="Arial" w:hAnsi="Arial"/>
                <w:sz w:val="16"/>
              </w:rPr>
              <w:t>d</w:t>
            </w:r>
            <w:r w:rsidRPr="00B922CC">
              <w:rPr>
                <w:rFonts w:ascii="Arial" w:hAnsi="Arial"/>
                <w:sz w:val="16"/>
              </w:rPr>
              <w:t>igitally</w:t>
            </w:r>
            <w:r w:rsidR="00805B82">
              <w:rPr>
                <w:rFonts w:ascii="Arial" w:hAnsi="Arial"/>
                <w:sz w:val="16"/>
              </w:rPr>
              <w:t xml:space="preserve"> </w:t>
            </w:r>
            <w:r>
              <w:rPr>
                <w:rFonts w:ascii="Arial" w:hAnsi="Arial"/>
                <w:sz w:val="16"/>
              </w:rPr>
              <w:t>c</w:t>
            </w:r>
            <w:r w:rsidRPr="00B922CC">
              <w:rPr>
                <w:rFonts w:ascii="Arial" w:hAnsi="Arial"/>
                <w:sz w:val="16"/>
              </w:rPr>
              <w:t>ompetent</w:t>
            </w:r>
            <w:r w:rsidR="00805B82">
              <w:rPr>
                <w:rFonts w:ascii="Arial" w:hAnsi="Arial"/>
                <w:sz w:val="16"/>
              </w:rPr>
              <w:t>.</w:t>
            </w:r>
          </w:p>
        </w:tc>
      </w:tr>
      <w:tr w:rsidR="003E741D" w:rsidRPr="00C90A71" w14:paraId="680C8C8F" w14:textId="77777777" w:rsidTr="001959C9">
        <w:tc>
          <w:tcPr>
            <w:tcW w:w="2642" w:type="dxa"/>
            <w:vMerge/>
            <w:tcBorders>
              <w:left w:val="nil"/>
              <w:right w:val="single" w:sz="4" w:space="0" w:color="auto"/>
            </w:tcBorders>
          </w:tcPr>
          <w:p w14:paraId="457FAED5" w14:textId="77777777" w:rsidR="003E741D" w:rsidRPr="00C90A71" w:rsidRDefault="003E741D" w:rsidP="001959C9">
            <w:pPr>
              <w:spacing w:before="80" w:after="80"/>
            </w:pPr>
          </w:p>
        </w:tc>
        <w:tc>
          <w:tcPr>
            <w:tcW w:w="2643" w:type="dxa"/>
            <w:vMerge/>
            <w:tcBorders>
              <w:left w:val="single" w:sz="4" w:space="0" w:color="auto"/>
              <w:right w:val="single" w:sz="4" w:space="0" w:color="auto"/>
            </w:tcBorders>
          </w:tcPr>
          <w:p w14:paraId="4E62FD77" w14:textId="77777777" w:rsidR="003E741D" w:rsidRPr="00B922CC" w:rsidRDefault="003E741D" w:rsidP="001959C9">
            <w:pPr>
              <w:tabs>
                <w:tab w:val="left" w:pos="992"/>
              </w:tabs>
              <w:spacing w:before="20" w:after="20"/>
              <w:rPr>
                <w:rFonts w:ascii="Arial" w:hAnsi="Arial"/>
                <w:sz w:val="17"/>
              </w:rPr>
            </w:pPr>
          </w:p>
        </w:tc>
        <w:tc>
          <w:tcPr>
            <w:tcW w:w="3641" w:type="dxa"/>
            <w:tcBorders>
              <w:left w:val="single" w:sz="4" w:space="0" w:color="auto"/>
              <w:right w:val="nil"/>
            </w:tcBorders>
          </w:tcPr>
          <w:p w14:paraId="46A2A123" w14:textId="2FE193D5" w:rsidR="003E741D" w:rsidRPr="00B922CC" w:rsidRDefault="003E741D" w:rsidP="001959C9">
            <w:pPr>
              <w:spacing w:before="40" w:after="40"/>
              <w:rPr>
                <w:rFonts w:ascii="Arial" w:hAnsi="Arial"/>
                <w:sz w:val="16"/>
              </w:rPr>
            </w:pPr>
            <w:r w:rsidRPr="00B922CC">
              <w:rPr>
                <w:rFonts w:ascii="Arial" w:hAnsi="Arial"/>
                <w:sz w:val="16"/>
              </w:rPr>
              <w:t>18. Safety, risks and responsible behaviour in online environments are foregrounded</w:t>
            </w:r>
            <w:r w:rsidR="00020298">
              <w:rPr>
                <w:rFonts w:ascii="Arial" w:hAnsi="Arial"/>
                <w:sz w:val="16"/>
              </w:rPr>
              <w:t>.</w:t>
            </w:r>
          </w:p>
        </w:tc>
      </w:tr>
      <w:tr w:rsidR="003E741D" w:rsidRPr="00C90A71" w14:paraId="50219559" w14:textId="77777777" w:rsidTr="001959C9">
        <w:tc>
          <w:tcPr>
            <w:tcW w:w="2642" w:type="dxa"/>
            <w:vMerge/>
            <w:tcBorders>
              <w:left w:val="nil"/>
              <w:right w:val="single" w:sz="4" w:space="0" w:color="auto"/>
            </w:tcBorders>
          </w:tcPr>
          <w:p w14:paraId="447949C7" w14:textId="77777777" w:rsidR="003E741D" w:rsidRPr="00B922CC" w:rsidRDefault="003E741D" w:rsidP="001959C9">
            <w:pPr>
              <w:spacing w:before="80" w:after="80"/>
              <w:rPr>
                <w:rFonts w:ascii="Arial" w:hAnsi="Arial"/>
                <w:b/>
                <w:sz w:val="17"/>
              </w:rPr>
            </w:pPr>
          </w:p>
        </w:tc>
        <w:tc>
          <w:tcPr>
            <w:tcW w:w="2643" w:type="dxa"/>
            <w:vMerge/>
            <w:tcBorders>
              <w:left w:val="single" w:sz="4" w:space="0" w:color="auto"/>
              <w:right w:val="single" w:sz="4" w:space="0" w:color="auto"/>
            </w:tcBorders>
          </w:tcPr>
          <w:p w14:paraId="7C102C7C" w14:textId="77777777" w:rsidR="003E741D" w:rsidRPr="00B922CC" w:rsidRDefault="003E741D" w:rsidP="001959C9">
            <w:pPr>
              <w:tabs>
                <w:tab w:val="left" w:pos="992"/>
              </w:tabs>
              <w:spacing w:before="20" w:after="20"/>
              <w:rPr>
                <w:rFonts w:ascii="Arial" w:hAnsi="Arial"/>
                <w:sz w:val="17"/>
              </w:rPr>
            </w:pPr>
          </w:p>
        </w:tc>
        <w:tc>
          <w:tcPr>
            <w:tcW w:w="3641" w:type="dxa"/>
            <w:tcBorders>
              <w:left w:val="single" w:sz="4" w:space="0" w:color="auto"/>
              <w:bottom w:val="single" w:sz="4" w:space="0" w:color="BFBFBF"/>
              <w:right w:val="nil"/>
            </w:tcBorders>
          </w:tcPr>
          <w:p w14:paraId="13877F0B" w14:textId="554736EE" w:rsidR="003E741D" w:rsidRPr="00B922CC" w:rsidRDefault="003E741D" w:rsidP="001959C9">
            <w:pPr>
              <w:spacing w:before="40" w:after="40"/>
              <w:rPr>
                <w:rFonts w:ascii="Arial" w:hAnsi="Arial"/>
                <w:sz w:val="16"/>
              </w:rPr>
            </w:pPr>
            <w:r w:rsidRPr="00B922CC">
              <w:rPr>
                <w:rFonts w:ascii="Arial" w:hAnsi="Arial"/>
                <w:sz w:val="16"/>
              </w:rPr>
              <w:t xml:space="preserve">19. The </w:t>
            </w:r>
            <w:r w:rsidR="00020298" w:rsidRPr="00B922CC">
              <w:rPr>
                <w:rFonts w:ascii="Arial" w:hAnsi="Arial"/>
                <w:sz w:val="16"/>
              </w:rPr>
              <w:t xml:space="preserve">digital competence </w:t>
            </w:r>
            <w:r w:rsidRPr="00B922CC">
              <w:rPr>
                <w:rFonts w:ascii="Arial" w:hAnsi="Arial"/>
                <w:sz w:val="16"/>
              </w:rPr>
              <w:t>(DC) of staff and students is benchmarked</w:t>
            </w:r>
            <w:r w:rsidR="00020298">
              <w:rPr>
                <w:rFonts w:ascii="Arial" w:hAnsi="Arial"/>
                <w:sz w:val="16"/>
              </w:rPr>
              <w:t>.</w:t>
            </w:r>
          </w:p>
        </w:tc>
      </w:tr>
      <w:tr w:rsidR="003E741D" w:rsidRPr="00C90A71" w14:paraId="40F6EAFD" w14:textId="77777777" w:rsidTr="001959C9">
        <w:tc>
          <w:tcPr>
            <w:tcW w:w="2642" w:type="dxa"/>
            <w:vMerge/>
            <w:tcBorders>
              <w:left w:val="nil"/>
              <w:right w:val="single" w:sz="4" w:space="0" w:color="auto"/>
            </w:tcBorders>
          </w:tcPr>
          <w:p w14:paraId="336B54B2"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379CF094" w14:textId="77777777" w:rsidR="003E741D" w:rsidRPr="00C90A71" w:rsidRDefault="003E741D" w:rsidP="001959C9"/>
        </w:tc>
        <w:tc>
          <w:tcPr>
            <w:tcW w:w="3641" w:type="dxa"/>
            <w:tcBorders>
              <w:left w:val="single" w:sz="4" w:space="0" w:color="auto"/>
              <w:bottom w:val="single" w:sz="4" w:space="0" w:color="auto"/>
              <w:right w:val="nil"/>
            </w:tcBorders>
          </w:tcPr>
          <w:p w14:paraId="1AC63549" w14:textId="28132081" w:rsidR="003E741D" w:rsidRPr="00B922CC" w:rsidRDefault="003E741D" w:rsidP="001959C9">
            <w:pPr>
              <w:spacing w:before="40" w:after="40"/>
              <w:rPr>
                <w:rFonts w:ascii="Arial" w:hAnsi="Arial"/>
                <w:sz w:val="16"/>
              </w:rPr>
            </w:pPr>
            <w:r w:rsidRPr="00B922CC">
              <w:rPr>
                <w:rFonts w:ascii="Arial" w:hAnsi="Arial"/>
                <w:sz w:val="16"/>
              </w:rPr>
              <w:t>20. DC is included in staff appraisal</w:t>
            </w:r>
            <w:r w:rsidR="00020298">
              <w:rPr>
                <w:rFonts w:ascii="Arial" w:hAnsi="Arial"/>
                <w:sz w:val="16"/>
              </w:rPr>
              <w:t>.</w:t>
            </w:r>
          </w:p>
        </w:tc>
      </w:tr>
      <w:tr w:rsidR="003E741D" w:rsidRPr="00C90A71" w14:paraId="19AB2967" w14:textId="77777777" w:rsidTr="001959C9">
        <w:tc>
          <w:tcPr>
            <w:tcW w:w="2642" w:type="dxa"/>
            <w:vMerge/>
            <w:tcBorders>
              <w:left w:val="nil"/>
              <w:right w:val="single" w:sz="4" w:space="0" w:color="auto"/>
            </w:tcBorders>
          </w:tcPr>
          <w:p w14:paraId="5BA1D1F6"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6A00B357" w14:textId="68807BFF" w:rsidR="003E741D" w:rsidRPr="00B922CC" w:rsidRDefault="003E741D" w:rsidP="001959C9">
            <w:pPr>
              <w:tabs>
                <w:tab w:val="left" w:pos="992"/>
              </w:tabs>
              <w:spacing w:before="20" w:after="20"/>
              <w:rPr>
                <w:rFonts w:ascii="Arial" w:hAnsi="Arial"/>
                <w:sz w:val="17"/>
              </w:rPr>
            </w:pPr>
            <w:r w:rsidRPr="00B922CC">
              <w:rPr>
                <w:rFonts w:ascii="Arial" w:hAnsi="Arial"/>
                <w:sz w:val="17"/>
              </w:rPr>
              <w:t>A rethinking of roles and pedagogical approaches takes place</w:t>
            </w:r>
            <w:r w:rsidR="000171DA">
              <w:rPr>
                <w:rFonts w:ascii="Arial" w:hAnsi="Arial"/>
                <w:sz w:val="17"/>
              </w:rPr>
              <w:t>.</w:t>
            </w:r>
          </w:p>
        </w:tc>
        <w:tc>
          <w:tcPr>
            <w:tcW w:w="3641" w:type="dxa"/>
            <w:tcBorders>
              <w:top w:val="single" w:sz="4" w:space="0" w:color="auto"/>
              <w:left w:val="single" w:sz="4" w:space="0" w:color="auto"/>
              <w:right w:val="nil"/>
            </w:tcBorders>
          </w:tcPr>
          <w:p w14:paraId="37ECFCCE" w14:textId="00D2B8C1" w:rsidR="003E741D" w:rsidRPr="00B922CC" w:rsidRDefault="003E741D" w:rsidP="001959C9">
            <w:pPr>
              <w:spacing w:before="40" w:after="40"/>
              <w:rPr>
                <w:rFonts w:ascii="Arial" w:hAnsi="Arial"/>
                <w:sz w:val="16"/>
              </w:rPr>
            </w:pPr>
            <w:r w:rsidRPr="00B922CC">
              <w:rPr>
                <w:rFonts w:ascii="Arial" w:hAnsi="Arial"/>
                <w:sz w:val="16"/>
              </w:rPr>
              <w:t>21. Staff are partners in change</w:t>
            </w:r>
            <w:r w:rsidR="00020298">
              <w:rPr>
                <w:rFonts w:ascii="Arial" w:hAnsi="Arial"/>
                <w:sz w:val="16"/>
              </w:rPr>
              <w:t>.</w:t>
            </w:r>
          </w:p>
        </w:tc>
      </w:tr>
      <w:tr w:rsidR="003E741D" w:rsidRPr="00C90A71" w14:paraId="3536C09F" w14:textId="77777777" w:rsidTr="001959C9">
        <w:tc>
          <w:tcPr>
            <w:tcW w:w="2642" w:type="dxa"/>
            <w:vMerge/>
            <w:tcBorders>
              <w:left w:val="nil"/>
              <w:right w:val="single" w:sz="4" w:space="0" w:color="auto"/>
            </w:tcBorders>
          </w:tcPr>
          <w:p w14:paraId="56602198" w14:textId="77777777" w:rsidR="003E741D" w:rsidRPr="00C90A71" w:rsidRDefault="003E741D" w:rsidP="001959C9"/>
        </w:tc>
        <w:tc>
          <w:tcPr>
            <w:tcW w:w="2643" w:type="dxa"/>
            <w:vMerge/>
            <w:tcBorders>
              <w:left w:val="single" w:sz="4" w:space="0" w:color="auto"/>
              <w:right w:val="single" w:sz="4" w:space="0" w:color="auto"/>
            </w:tcBorders>
            <w:vAlign w:val="center"/>
          </w:tcPr>
          <w:p w14:paraId="40F5A181" w14:textId="77777777" w:rsidR="003E741D" w:rsidRPr="00C90A71" w:rsidRDefault="003E741D" w:rsidP="001959C9">
            <w:pPr>
              <w:jc w:val="center"/>
            </w:pPr>
          </w:p>
        </w:tc>
        <w:tc>
          <w:tcPr>
            <w:tcW w:w="3641" w:type="dxa"/>
            <w:tcBorders>
              <w:left w:val="single" w:sz="4" w:space="0" w:color="auto"/>
              <w:right w:val="nil"/>
            </w:tcBorders>
          </w:tcPr>
          <w:p w14:paraId="2A41B12C" w14:textId="2F0666F5" w:rsidR="003E741D" w:rsidRPr="00B922CC" w:rsidRDefault="003E741D" w:rsidP="001959C9">
            <w:pPr>
              <w:spacing w:before="40" w:after="40"/>
              <w:rPr>
                <w:rFonts w:ascii="Arial" w:hAnsi="Arial"/>
                <w:sz w:val="16"/>
              </w:rPr>
            </w:pPr>
            <w:r w:rsidRPr="00B922CC">
              <w:rPr>
                <w:rFonts w:ascii="Arial" w:hAnsi="Arial"/>
                <w:sz w:val="16"/>
              </w:rPr>
              <w:t>22. New roles are envisaged for staff</w:t>
            </w:r>
            <w:r w:rsidR="00020298">
              <w:rPr>
                <w:rFonts w:ascii="Arial" w:hAnsi="Arial"/>
                <w:sz w:val="16"/>
              </w:rPr>
              <w:t>.</w:t>
            </w:r>
          </w:p>
        </w:tc>
      </w:tr>
      <w:tr w:rsidR="003E741D" w:rsidRPr="00C90A71" w14:paraId="43C12ED1" w14:textId="77777777" w:rsidTr="001959C9">
        <w:tc>
          <w:tcPr>
            <w:tcW w:w="2642" w:type="dxa"/>
            <w:vMerge/>
            <w:tcBorders>
              <w:left w:val="nil"/>
              <w:right w:val="single" w:sz="4" w:space="0" w:color="auto"/>
            </w:tcBorders>
          </w:tcPr>
          <w:p w14:paraId="10887339" w14:textId="77777777" w:rsidR="003E741D" w:rsidRPr="00C90A71" w:rsidRDefault="003E741D" w:rsidP="001959C9"/>
        </w:tc>
        <w:tc>
          <w:tcPr>
            <w:tcW w:w="2643" w:type="dxa"/>
            <w:vMerge/>
            <w:tcBorders>
              <w:left w:val="single" w:sz="4" w:space="0" w:color="auto"/>
              <w:right w:val="single" w:sz="4" w:space="0" w:color="auto"/>
            </w:tcBorders>
            <w:vAlign w:val="center"/>
          </w:tcPr>
          <w:p w14:paraId="5DB914EB" w14:textId="77777777" w:rsidR="003E741D" w:rsidRPr="00C90A71" w:rsidRDefault="003E741D" w:rsidP="001959C9">
            <w:pPr>
              <w:jc w:val="center"/>
            </w:pPr>
          </w:p>
        </w:tc>
        <w:tc>
          <w:tcPr>
            <w:tcW w:w="3641" w:type="dxa"/>
            <w:tcBorders>
              <w:left w:val="single" w:sz="4" w:space="0" w:color="auto"/>
              <w:right w:val="nil"/>
            </w:tcBorders>
          </w:tcPr>
          <w:p w14:paraId="20645297" w14:textId="23A88A3E" w:rsidR="003E741D" w:rsidRPr="00B922CC" w:rsidRDefault="003E741D" w:rsidP="001959C9">
            <w:pPr>
              <w:spacing w:before="40" w:after="40"/>
              <w:rPr>
                <w:rFonts w:ascii="Arial" w:hAnsi="Arial"/>
                <w:sz w:val="16"/>
              </w:rPr>
            </w:pPr>
            <w:r w:rsidRPr="00B922CC">
              <w:rPr>
                <w:rFonts w:ascii="Arial" w:hAnsi="Arial"/>
                <w:sz w:val="16"/>
              </w:rPr>
              <w:t>23. New roles are envisaged for students</w:t>
            </w:r>
            <w:r w:rsidR="00020298">
              <w:rPr>
                <w:rFonts w:ascii="Arial" w:hAnsi="Arial"/>
                <w:sz w:val="16"/>
              </w:rPr>
              <w:t>.</w:t>
            </w:r>
          </w:p>
        </w:tc>
      </w:tr>
      <w:tr w:rsidR="003E741D" w:rsidRPr="00C90A71" w14:paraId="438B5A46" w14:textId="77777777" w:rsidTr="001959C9">
        <w:tc>
          <w:tcPr>
            <w:tcW w:w="2642" w:type="dxa"/>
            <w:vMerge/>
            <w:tcBorders>
              <w:left w:val="nil"/>
              <w:right w:val="single" w:sz="4" w:space="0" w:color="auto"/>
            </w:tcBorders>
          </w:tcPr>
          <w:p w14:paraId="652DD819" w14:textId="77777777" w:rsidR="003E741D" w:rsidRPr="00C90A71" w:rsidRDefault="003E741D" w:rsidP="001959C9"/>
        </w:tc>
        <w:tc>
          <w:tcPr>
            <w:tcW w:w="2643" w:type="dxa"/>
            <w:vMerge/>
            <w:tcBorders>
              <w:left w:val="single" w:sz="4" w:space="0" w:color="auto"/>
              <w:right w:val="single" w:sz="4" w:space="0" w:color="auto"/>
            </w:tcBorders>
            <w:vAlign w:val="center"/>
          </w:tcPr>
          <w:p w14:paraId="2AC81E8F" w14:textId="77777777" w:rsidR="003E741D" w:rsidRPr="00C90A71" w:rsidRDefault="003E741D" w:rsidP="001959C9">
            <w:pPr>
              <w:jc w:val="center"/>
            </w:pPr>
          </w:p>
        </w:tc>
        <w:tc>
          <w:tcPr>
            <w:tcW w:w="3641" w:type="dxa"/>
            <w:tcBorders>
              <w:left w:val="single" w:sz="4" w:space="0" w:color="auto"/>
              <w:right w:val="nil"/>
            </w:tcBorders>
          </w:tcPr>
          <w:p w14:paraId="5A4927DE" w14:textId="13CC2536" w:rsidR="003E741D" w:rsidRPr="00B922CC" w:rsidRDefault="003E741D" w:rsidP="001959C9">
            <w:pPr>
              <w:spacing w:before="40" w:after="40"/>
              <w:rPr>
                <w:rFonts w:ascii="Arial" w:hAnsi="Arial"/>
                <w:sz w:val="16"/>
              </w:rPr>
            </w:pPr>
            <w:r w:rsidRPr="00B922CC">
              <w:rPr>
                <w:rFonts w:ascii="Arial" w:hAnsi="Arial"/>
                <w:sz w:val="16"/>
              </w:rPr>
              <w:t>24. Pedagogical approaches are expanded</w:t>
            </w:r>
            <w:r w:rsidR="00020298">
              <w:rPr>
                <w:rFonts w:ascii="Arial" w:hAnsi="Arial"/>
                <w:sz w:val="16"/>
              </w:rPr>
              <w:t>.</w:t>
            </w:r>
          </w:p>
        </w:tc>
      </w:tr>
      <w:tr w:rsidR="003E741D" w:rsidRPr="00C90A71" w14:paraId="42790B67" w14:textId="77777777" w:rsidTr="001959C9">
        <w:tc>
          <w:tcPr>
            <w:tcW w:w="2642" w:type="dxa"/>
            <w:vMerge/>
            <w:tcBorders>
              <w:left w:val="nil"/>
              <w:right w:val="single" w:sz="4" w:space="0" w:color="auto"/>
            </w:tcBorders>
          </w:tcPr>
          <w:p w14:paraId="5412F51D" w14:textId="77777777" w:rsidR="003E741D" w:rsidRPr="00C90A71" w:rsidRDefault="003E741D" w:rsidP="001959C9"/>
        </w:tc>
        <w:tc>
          <w:tcPr>
            <w:tcW w:w="2643" w:type="dxa"/>
            <w:vMerge/>
            <w:tcBorders>
              <w:left w:val="single" w:sz="4" w:space="0" w:color="auto"/>
              <w:right w:val="single" w:sz="4" w:space="0" w:color="auto"/>
            </w:tcBorders>
            <w:vAlign w:val="center"/>
          </w:tcPr>
          <w:p w14:paraId="76523086" w14:textId="77777777" w:rsidR="003E741D" w:rsidRPr="00C90A71" w:rsidRDefault="003E741D" w:rsidP="001959C9">
            <w:pPr>
              <w:jc w:val="center"/>
            </w:pPr>
          </w:p>
        </w:tc>
        <w:tc>
          <w:tcPr>
            <w:tcW w:w="3641" w:type="dxa"/>
            <w:tcBorders>
              <w:left w:val="single" w:sz="4" w:space="0" w:color="auto"/>
              <w:right w:val="nil"/>
            </w:tcBorders>
          </w:tcPr>
          <w:p w14:paraId="4A1C8076" w14:textId="19BC38B0" w:rsidR="003E741D" w:rsidRPr="00B922CC" w:rsidRDefault="003E741D" w:rsidP="001959C9">
            <w:pPr>
              <w:spacing w:before="40" w:after="40"/>
              <w:rPr>
                <w:rFonts w:ascii="Arial" w:hAnsi="Arial"/>
                <w:sz w:val="16"/>
              </w:rPr>
            </w:pPr>
            <w:r w:rsidRPr="00B922CC">
              <w:rPr>
                <w:rFonts w:ascii="Arial" w:hAnsi="Arial"/>
                <w:sz w:val="16"/>
              </w:rPr>
              <w:t>25. Personalised learning is developed</w:t>
            </w:r>
            <w:r w:rsidR="00020298">
              <w:rPr>
                <w:rFonts w:ascii="Arial" w:hAnsi="Arial"/>
                <w:sz w:val="16"/>
              </w:rPr>
              <w:t>.</w:t>
            </w:r>
          </w:p>
        </w:tc>
      </w:tr>
      <w:tr w:rsidR="003E741D" w:rsidRPr="00C90A71" w14:paraId="6F6386C0" w14:textId="77777777" w:rsidTr="001959C9">
        <w:tc>
          <w:tcPr>
            <w:tcW w:w="2642" w:type="dxa"/>
            <w:vMerge/>
            <w:tcBorders>
              <w:left w:val="nil"/>
              <w:right w:val="single" w:sz="4" w:space="0" w:color="auto"/>
            </w:tcBorders>
          </w:tcPr>
          <w:p w14:paraId="38B754C5" w14:textId="77777777" w:rsidR="003E741D" w:rsidRPr="00C90A71" w:rsidRDefault="003E741D" w:rsidP="001959C9"/>
        </w:tc>
        <w:tc>
          <w:tcPr>
            <w:tcW w:w="2643" w:type="dxa"/>
            <w:vMerge/>
            <w:tcBorders>
              <w:left w:val="single" w:sz="4" w:space="0" w:color="auto"/>
              <w:right w:val="single" w:sz="4" w:space="0" w:color="auto"/>
            </w:tcBorders>
            <w:vAlign w:val="center"/>
          </w:tcPr>
          <w:p w14:paraId="6C3BE80C" w14:textId="77777777" w:rsidR="003E741D" w:rsidRPr="00C90A71" w:rsidRDefault="003E741D" w:rsidP="001959C9">
            <w:pPr>
              <w:jc w:val="center"/>
            </w:pPr>
          </w:p>
        </w:tc>
        <w:tc>
          <w:tcPr>
            <w:tcW w:w="3641" w:type="dxa"/>
            <w:tcBorders>
              <w:left w:val="single" w:sz="4" w:space="0" w:color="auto"/>
              <w:right w:val="nil"/>
            </w:tcBorders>
          </w:tcPr>
          <w:p w14:paraId="5142166F" w14:textId="64D76C46" w:rsidR="003E741D" w:rsidRPr="00B922CC" w:rsidRDefault="003E741D" w:rsidP="001959C9">
            <w:pPr>
              <w:spacing w:before="40" w:after="40"/>
              <w:rPr>
                <w:rFonts w:ascii="Arial" w:hAnsi="Arial"/>
                <w:sz w:val="16"/>
              </w:rPr>
            </w:pPr>
            <w:r w:rsidRPr="00B922CC">
              <w:rPr>
                <w:rFonts w:ascii="Arial" w:hAnsi="Arial"/>
                <w:sz w:val="16"/>
              </w:rPr>
              <w:t>26. Creativity is promoted</w:t>
            </w:r>
            <w:r w:rsidR="00020298">
              <w:rPr>
                <w:rFonts w:ascii="Arial" w:hAnsi="Arial"/>
                <w:sz w:val="16"/>
              </w:rPr>
              <w:t>.</w:t>
            </w:r>
          </w:p>
        </w:tc>
      </w:tr>
      <w:tr w:rsidR="003E741D" w:rsidRPr="00C90A71" w14:paraId="170C1AC3" w14:textId="77777777" w:rsidTr="001959C9">
        <w:tc>
          <w:tcPr>
            <w:tcW w:w="2642" w:type="dxa"/>
            <w:vMerge/>
            <w:tcBorders>
              <w:left w:val="nil"/>
              <w:right w:val="single" w:sz="4" w:space="0" w:color="auto"/>
            </w:tcBorders>
          </w:tcPr>
          <w:p w14:paraId="58355934" w14:textId="77777777" w:rsidR="003E741D" w:rsidRPr="00C90A71" w:rsidRDefault="003E741D" w:rsidP="001959C9"/>
        </w:tc>
        <w:tc>
          <w:tcPr>
            <w:tcW w:w="2643" w:type="dxa"/>
            <w:vMerge/>
            <w:tcBorders>
              <w:left w:val="single" w:sz="4" w:space="0" w:color="auto"/>
              <w:bottom w:val="single" w:sz="4" w:space="0" w:color="BFBFBF"/>
              <w:right w:val="single" w:sz="4" w:space="0" w:color="auto"/>
            </w:tcBorders>
            <w:vAlign w:val="center"/>
          </w:tcPr>
          <w:p w14:paraId="11ABF7A3" w14:textId="77777777" w:rsidR="003E741D" w:rsidRPr="00C90A71" w:rsidRDefault="003E741D" w:rsidP="001959C9">
            <w:pPr>
              <w:jc w:val="center"/>
            </w:pPr>
          </w:p>
        </w:tc>
        <w:tc>
          <w:tcPr>
            <w:tcW w:w="3641" w:type="dxa"/>
            <w:tcBorders>
              <w:left w:val="single" w:sz="4" w:space="0" w:color="auto"/>
              <w:bottom w:val="single" w:sz="4" w:space="0" w:color="BFBFBF"/>
              <w:right w:val="nil"/>
            </w:tcBorders>
          </w:tcPr>
          <w:p w14:paraId="0D47D03B" w14:textId="3761A1B1" w:rsidR="003E741D" w:rsidRPr="00B922CC" w:rsidRDefault="003E741D" w:rsidP="001959C9">
            <w:pPr>
              <w:spacing w:before="40" w:after="40"/>
              <w:rPr>
                <w:rFonts w:ascii="Arial" w:hAnsi="Arial"/>
                <w:sz w:val="16"/>
              </w:rPr>
            </w:pPr>
            <w:r w:rsidRPr="00B922CC">
              <w:rPr>
                <w:rFonts w:ascii="Arial" w:hAnsi="Arial"/>
                <w:sz w:val="16"/>
              </w:rPr>
              <w:t>27. Collaboration and group work is expected</w:t>
            </w:r>
            <w:r w:rsidR="00020298">
              <w:rPr>
                <w:rFonts w:ascii="Arial" w:hAnsi="Arial"/>
                <w:sz w:val="16"/>
              </w:rPr>
              <w:t>.</w:t>
            </w:r>
          </w:p>
        </w:tc>
      </w:tr>
      <w:tr w:rsidR="003E741D" w:rsidRPr="00C90A71" w14:paraId="6C68572E" w14:textId="77777777" w:rsidTr="001959C9">
        <w:tc>
          <w:tcPr>
            <w:tcW w:w="2642" w:type="dxa"/>
            <w:vMerge/>
            <w:tcBorders>
              <w:left w:val="nil"/>
              <w:bottom w:val="single" w:sz="4" w:space="0" w:color="auto"/>
              <w:right w:val="single" w:sz="4" w:space="0" w:color="auto"/>
            </w:tcBorders>
          </w:tcPr>
          <w:p w14:paraId="466B6E93"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vAlign w:val="center"/>
          </w:tcPr>
          <w:p w14:paraId="227DDF09" w14:textId="77777777" w:rsidR="003E741D" w:rsidRPr="00C90A71" w:rsidRDefault="003E741D" w:rsidP="001959C9">
            <w:pPr>
              <w:jc w:val="center"/>
            </w:pPr>
          </w:p>
        </w:tc>
        <w:tc>
          <w:tcPr>
            <w:tcW w:w="3641" w:type="dxa"/>
            <w:tcBorders>
              <w:left w:val="single" w:sz="4" w:space="0" w:color="auto"/>
              <w:bottom w:val="single" w:sz="4" w:space="0" w:color="auto"/>
              <w:right w:val="nil"/>
            </w:tcBorders>
          </w:tcPr>
          <w:p w14:paraId="51E229BF" w14:textId="3784E6CE" w:rsidR="003E741D" w:rsidRPr="00C90A71" w:rsidRDefault="003E741D" w:rsidP="001959C9">
            <w:pPr>
              <w:spacing w:before="40" w:after="40"/>
            </w:pPr>
            <w:r w:rsidRPr="00B922CC">
              <w:rPr>
                <w:rFonts w:ascii="Arial" w:hAnsi="Arial"/>
                <w:sz w:val="16"/>
              </w:rPr>
              <w:t>28. Social and emotional skills are developed</w:t>
            </w:r>
            <w:r w:rsidR="00020298">
              <w:rPr>
                <w:rFonts w:ascii="Arial" w:hAnsi="Arial"/>
                <w:sz w:val="16"/>
              </w:rPr>
              <w:t>.</w:t>
            </w:r>
          </w:p>
        </w:tc>
      </w:tr>
      <w:tr w:rsidR="003E741D" w:rsidRPr="00C90A71" w14:paraId="04A65D50" w14:textId="77777777" w:rsidTr="001959C9">
        <w:tc>
          <w:tcPr>
            <w:tcW w:w="2642" w:type="dxa"/>
            <w:vMerge w:val="restart"/>
            <w:tcBorders>
              <w:top w:val="single" w:sz="4" w:space="0" w:color="auto"/>
              <w:left w:val="nil"/>
              <w:right w:val="single" w:sz="4" w:space="0" w:color="auto"/>
            </w:tcBorders>
            <w:vAlign w:val="center"/>
          </w:tcPr>
          <w:p w14:paraId="79E574E5" w14:textId="322AA4E1" w:rsidR="003E741D" w:rsidRPr="00C90A71" w:rsidRDefault="003E741D" w:rsidP="001959C9">
            <w:pPr>
              <w:spacing w:before="80" w:after="80"/>
            </w:pPr>
            <w:r w:rsidRPr="00887F36">
              <w:rPr>
                <w:rFonts w:ascii="Arial" w:hAnsi="Arial"/>
                <w:b/>
                <w:sz w:val="17"/>
              </w:rPr>
              <w:t xml:space="preserve">Professional </w:t>
            </w:r>
            <w:r w:rsidR="00805B82">
              <w:rPr>
                <w:rFonts w:ascii="Arial" w:hAnsi="Arial"/>
                <w:b/>
                <w:sz w:val="17"/>
              </w:rPr>
              <w:t>d</w:t>
            </w:r>
            <w:r w:rsidRPr="00887F36">
              <w:rPr>
                <w:rFonts w:ascii="Arial" w:hAnsi="Arial"/>
                <w:b/>
                <w:sz w:val="17"/>
              </w:rPr>
              <w:t>evelopment</w:t>
            </w:r>
          </w:p>
        </w:tc>
        <w:tc>
          <w:tcPr>
            <w:tcW w:w="2643" w:type="dxa"/>
            <w:vMerge w:val="restart"/>
            <w:tcBorders>
              <w:top w:val="single" w:sz="4" w:space="0" w:color="auto"/>
              <w:left w:val="single" w:sz="4" w:space="0" w:color="auto"/>
              <w:right w:val="single" w:sz="4" w:space="0" w:color="auto"/>
            </w:tcBorders>
            <w:vAlign w:val="center"/>
          </w:tcPr>
          <w:p w14:paraId="72C278B0" w14:textId="77777777" w:rsidR="003E741D" w:rsidRPr="00C33089" w:rsidRDefault="003E741D" w:rsidP="001959C9">
            <w:pPr>
              <w:tabs>
                <w:tab w:val="left" w:pos="992"/>
              </w:tabs>
              <w:spacing w:before="20" w:after="20"/>
              <w:rPr>
                <w:rFonts w:ascii="Arial" w:hAnsi="Arial"/>
                <w:sz w:val="17"/>
              </w:rPr>
            </w:pPr>
            <w:r w:rsidRPr="00C33089">
              <w:rPr>
                <w:rFonts w:ascii="Arial" w:hAnsi="Arial"/>
                <w:sz w:val="17"/>
              </w:rPr>
              <w:t>—</w:t>
            </w:r>
          </w:p>
        </w:tc>
        <w:tc>
          <w:tcPr>
            <w:tcW w:w="3641" w:type="dxa"/>
            <w:tcBorders>
              <w:top w:val="single" w:sz="4" w:space="0" w:color="auto"/>
              <w:left w:val="single" w:sz="4" w:space="0" w:color="auto"/>
              <w:right w:val="nil"/>
            </w:tcBorders>
          </w:tcPr>
          <w:p w14:paraId="299CEFC0" w14:textId="56AA1776" w:rsidR="003E741D" w:rsidRPr="00887F36" w:rsidRDefault="003E741D" w:rsidP="001959C9">
            <w:pPr>
              <w:spacing w:before="40" w:after="40"/>
              <w:rPr>
                <w:rFonts w:ascii="Arial" w:hAnsi="Arial"/>
                <w:sz w:val="16"/>
              </w:rPr>
            </w:pPr>
            <w:r w:rsidRPr="00887F36">
              <w:rPr>
                <w:rFonts w:ascii="Arial" w:hAnsi="Arial"/>
                <w:sz w:val="16"/>
              </w:rPr>
              <w:t xml:space="preserve">29. A commitment to </w:t>
            </w:r>
            <w:r w:rsidR="00020298" w:rsidRPr="00887F36">
              <w:rPr>
                <w:rFonts w:ascii="Arial" w:hAnsi="Arial"/>
                <w:sz w:val="16"/>
              </w:rPr>
              <w:t>continuous professional development (</w:t>
            </w:r>
            <w:r w:rsidRPr="00887F36">
              <w:rPr>
                <w:rFonts w:ascii="Arial" w:hAnsi="Arial"/>
                <w:sz w:val="16"/>
              </w:rPr>
              <w:t>CPD) is evident</w:t>
            </w:r>
            <w:r w:rsidR="00020298">
              <w:rPr>
                <w:rFonts w:ascii="Arial" w:hAnsi="Arial"/>
                <w:sz w:val="16"/>
              </w:rPr>
              <w:t>.</w:t>
            </w:r>
          </w:p>
        </w:tc>
      </w:tr>
      <w:tr w:rsidR="003E741D" w:rsidRPr="00887F36" w14:paraId="50469020" w14:textId="77777777" w:rsidTr="001959C9">
        <w:tc>
          <w:tcPr>
            <w:tcW w:w="2642" w:type="dxa"/>
            <w:vMerge/>
            <w:tcBorders>
              <w:left w:val="nil"/>
              <w:right w:val="single" w:sz="4" w:space="0" w:color="auto"/>
            </w:tcBorders>
          </w:tcPr>
          <w:p w14:paraId="7D568141" w14:textId="77777777" w:rsidR="003E741D" w:rsidRPr="00887F36" w:rsidRDefault="003E741D" w:rsidP="001959C9">
            <w:pPr>
              <w:spacing w:before="80" w:after="80"/>
              <w:jc w:val="center"/>
              <w:rPr>
                <w:rFonts w:ascii="Arial" w:hAnsi="Arial"/>
                <w:b/>
                <w:sz w:val="17"/>
              </w:rPr>
            </w:pPr>
          </w:p>
        </w:tc>
        <w:tc>
          <w:tcPr>
            <w:tcW w:w="2643" w:type="dxa"/>
            <w:vMerge/>
            <w:tcBorders>
              <w:left w:val="single" w:sz="4" w:space="0" w:color="auto"/>
              <w:right w:val="single" w:sz="4" w:space="0" w:color="auto"/>
            </w:tcBorders>
          </w:tcPr>
          <w:p w14:paraId="7AA9877B" w14:textId="77777777" w:rsidR="003E741D" w:rsidRPr="00887F36" w:rsidRDefault="003E741D" w:rsidP="001959C9">
            <w:pPr>
              <w:spacing w:before="80" w:after="80"/>
              <w:jc w:val="center"/>
              <w:rPr>
                <w:rFonts w:ascii="Arial" w:hAnsi="Arial"/>
                <w:b/>
                <w:sz w:val="17"/>
              </w:rPr>
            </w:pPr>
          </w:p>
        </w:tc>
        <w:tc>
          <w:tcPr>
            <w:tcW w:w="3641" w:type="dxa"/>
            <w:tcBorders>
              <w:left w:val="single" w:sz="4" w:space="0" w:color="auto"/>
              <w:right w:val="nil"/>
            </w:tcBorders>
          </w:tcPr>
          <w:p w14:paraId="54BF770A" w14:textId="5652E727" w:rsidR="003E741D" w:rsidRPr="00887F36" w:rsidRDefault="003E741D" w:rsidP="001959C9">
            <w:pPr>
              <w:spacing w:before="40" w:after="40"/>
              <w:rPr>
                <w:rFonts w:ascii="Arial" w:hAnsi="Arial"/>
                <w:sz w:val="16"/>
              </w:rPr>
            </w:pPr>
            <w:r w:rsidRPr="00887F36">
              <w:rPr>
                <w:rFonts w:ascii="Arial" w:hAnsi="Arial"/>
                <w:sz w:val="16"/>
              </w:rPr>
              <w:t>30. CPD is provided for staff at all levels</w:t>
            </w:r>
            <w:r w:rsidR="00020298">
              <w:rPr>
                <w:rFonts w:ascii="Arial" w:hAnsi="Arial"/>
                <w:sz w:val="16"/>
              </w:rPr>
              <w:t>.</w:t>
            </w:r>
          </w:p>
        </w:tc>
      </w:tr>
      <w:tr w:rsidR="003E741D" w:rsidRPr="00C90A71" w14:paraId="32DF6915" w14:textId="77777777" w:rsidTr="001959C9">
        <w:tc>
          <w:tcPr>
            <w:tcW w:w="2642" w:type="dxa"/>
            <w:vMerge/>
            <w:tcBorders>
              <w:left w:val="nil"/>
              <w:right w:val="single" w:sz="4" w:space="0" w:color="auto"/>
            </w:tcBorders>
          </w:tcPr>
          <w:p w14:paraId="3E13FF21" w14:textId="77777777" w:rsidR="003E741D" w:rsidRPr="00C90A71" w:rsidRDefault="003E741D" w:rsidP="001959C9"/>
        </w:tc>
        <w:tc>
          <w:tcPr>
            <w:tcW w:w="2643" w:type="dxa"/>
            <w:vMerge/>
            <w:tcBorders>
              <w:left w:val="single" w:sz="4" w:space="0" w:color="auto"/>
              <w:right w:val="single" w:sz="4" w:space="0" w:color="auto"/>
            </w:tcBorders>
          </w:tcPr>
          <w:p w14:paraId="202F7739" w14:textId="77777777" w:rsidR="003E741D" w:rsidRPr="00C90A71" w:rsidRDefault="003E741D" w:rsidP="001959C9"/>
        </w:tc>
        <w:tc>
          <w:tcPr>
            <w:tcW w:w="3641" w:type="dxa"/>
            <w:tcBorders>
              <w:left w:val="single" w:sz="4" w:space="0" w:color="auto"/>
              <w:right w:val="nil"/>
            </w:tcBorders>
          </w:tcPr>
          <w:p w14:paraId="57FD7E34" w14:textId="457AA27A" w:rsidR="003E741D" w:rsidRPr="00887F36" w:rsidRDefault="003E741D" w:rsidP="001959C9">
            <w:pPr>
              <w:spacing w:before="40" w:after="40"/>
              <w:rPr>
                <w:rFonts w:ascii="Arial" w:hAnsi="Arial"/>
                <w:sz w:val="16"/>
              </w:rPr>
            </w:pPr>
            <w:r w:rsidRPr="00887F36">
              <w:rPr>
                <w:rFonts w:ascii="Arial" w:hAnsi="Arial"/>
                <w:sz w:val="16"/>
              </w:rPr>
              <w:t>31. CPD is aligned with individual and organisational needs</w:t>
            </w:r>
            <w:r w:rsidR="00020298">
              <w:rPr>
                <w:rFonts w:ascii="Arial" w:hAnsi="Arial"/>
                <w:sz w:val="16"/>
              </w:rPr>
              <w:t>.</w:t>
            </w:r>
          </w:p>
        </w:tc>
      </w:tr>
      <w:tr w:rsidR="003E741D" w:rsidRPr="00C90A71" w14:paraId="37B92C40" w14:textId="77777777" w:rsidTr="001959C9">
        <w:tc>
          <w:tcPr>
            <w:tcW w:w="2642" w:type="dxa"/>
            <w:vMerge/>
            <w:tcBorders>
              <w:left w:val="nil"/>
              <w:right w:val="single" w:sz="4" w:space="0" w:color="auto"/>
            </w:tcBorders>
          </w:tcPr>
          <w:p w14:paraId="3FCF1C73" w14:textId="77777777" w:rsidR="003E741D" w:rsidRPr="00C90A71" w:rsidRDefault="003E741D" w:rsidP="001959C9"/>
        </w:tc>
        <w:tc>
          <w:tcPr>
            <w:tcW w:w="2643" w:type="dxa"/>
            <w:vMerge/>
            <w:tcBorders>
              <w:left w:val="single" w:sz="4" w:space="0" w:color="auto"/>
              <w:right w:val="single" w:sz="4" w:space="0" w:color="auto"/>
            </w:tcBorders>
          </w:tcPr>
          <w:p w14:paraId="07834F1B" w14:textId="77777777" w:rsidR="003E741D" w:rsidRPr="00C90A71" w:rsidRDefault="003E741D" w:rsidP="001959C9"/>
        </w:tc>
        <w:tc>
          <w:tcPr>
            <w:tcW w:w="3641" w:type="dxa"/>
            <w:tcBorders>
              <w:left w:val="single" w:sz="4" w:space="0" w:color="auto"/>
              <w:bottom w:val="single" w:sz="4" w:space="0" w:color="BFBFBF"/>
              <w:right w:val="nil"/>
            </w:tcBorders>
          </w:tcPr>
          <w:p w14:paraId="537E84CA" w14:textId="0CB7FDF6" w:rsidR="003E741D" w:rsidRPr="00887F36" w:rsidRDefault="003E741D" w:rsidP="001959C9">
            <w:pPr>
              <w:spacing w:before="40" w:after="40"/>
              <w:rPr>
                <w:rFonts w:ascii="Arial" w:hAnsi="Arial"/>
                <w:sz w:val="16"/>
              </w:rPr>
            </w:pPr>
            <w:r w:rsidRPr="00887F36">
              <w:rPr>
                <w:rFonts w:ascii="Arial" w:hAnsi="Arial"/>
                <w:sz w:val="16"/>
              </w:rPr>
              <w:t>32. A wide range of CPD approaches is evident</w:t>
            </w:r>
            <w:r w:rsidR="00020298">
              <w:rPr>
                <w:rFonts w:ascii="Arial" w:hAnsi="Arial"/>
                <w:sz w:val="16"/>
              </w:rPr>
              <w:t>.</w:t>
            </w:r>
          </w:p>
        </w:tc>
      </w:tr>
      <w:tr w:rsidR="003E741D" w:rsidRPr="00C90A71" w14:paraId="16A1EC7B" w14:textId="77777777" w:rsidTr="003E741D">
        <w:tc>
          <w:tcPr>
            <w:tcW w:w="2642" w:type="dxa"/>
            <w:vMerge/>
            <w:tcBorders>
              <w:left w:val="nil"/>
              <w:bottom w:val="single" w:sz="4" w:space="0" w:color="auto"/>
              <w:right w:val="single" w:sz="4" w:space="0" w:color="auto"/>
            </w:tcBorders>
          </w:tcPr>
          <w:p w14:paraId="55E3582F"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0DBAE11D" w14:textId="77777777" w:rsidR="003E741D" w:rsidRPr="00C90A71" w:rsidRDefault="003E741D" w:rsidP="001959C9"/>
        </w:tc>
        <w:tc>
          <w:tcPr>
            <w:tcW w:w="3641" w:type="dxa"/>
            <w:tcBorders>
              <w:left w:val="single" w:sz="4" w:space="0" w:color="auto"/>
              <w:bottom w:val="single" w:sz="4" w:space="0" w:color="auto"/>
              <w:right w:val="nil"/>
            </w:tcBorders>
          </w:tcPr>
          <w:p w14:paraId="555AC770" w14:textId="09967F77" w:rsidR="003E741D" w:rsidRPr="00887F36" w:rsidRDefault="003E741D" w:rsidP="001959C9">
            <w:pPr>
              <w:spacing w:before="40" w:after="40"/>
              <w:rPr>
                <w:rFonts w:ascii="Arial" w:hAnsi="Arial"/>
                <w:sz w:val="16"/>
              </w:rPr>
            </w:pPr>
            <w:r w:rsidRPr="00887F36">
              <w:rPr>
                <w:rFonts w:ascii="Arial" w:hAnsi="Arial"/>
                <w:sz w:val="16"/>
              </w:rPr>
              <w:t>33. Accredited/certified CPD opportunities are promoted</w:t>
            </w:r>
            <w:r w:rsidR="00020298">
              <w:rPr>
                <w:rFonts w:ascii="Arial" w:hAnsi="Arial"/>
                <w:sz w:val="16"/>
              </w:rPr>
              <w:t>.</w:t>
            </w:r>
            <w:r w:rsidRPr="00887F36">
              <w:rPr>
                <w:rFonts w:ascii="Arial" w:hAnsi="Arial"/>
                <w:sz w:val="16"/>
              </w:rPr>
              <w:t xml:space="preserve"> </w:t>
            </w:r>
          </w:p>
        </w:tc>
      </w:tr>
      <w:tr w:rsidR="003E741D" w:rsidRPr="00887F36" w14:paraId="00ACC3E7" w14:textId="77777777" w:rsidTr="001959C9">
        <w:tc>
          <w:tcPr>
            <w:tcW w:w="2642" w:type="dxa"/>
            <w:vMerge w:val="restart"/>
            <w:tcBorders>
              <w:top w:val="single" w:sz="4" w:space="0" w:color="auto"/>
              <w:left w:val="nil"/>
              <w:right w:val="single" w:sz="4" w:space="0" w:color="auto"/>
            </w:tcBorders>
            <w:vAlign w:val="center"/>
          </w:tcPr>
          <w:p w14:paraId="5CF9E786" w14:textId="77777777" w:rsidR="003E741D" w:rsidRPr="00887F36" w:rsidRDefault="003E741D" w:rsidP="001959C9">
            <w:pPr>
              <w:spacing w:before="80" w:after="80"/>
              <w:rPr>
                <w:rFonts w:ascii="Arial" w:hAnsi="Arial"/>
                <w:b/>
                <w:sz w:val="17"/>
              </w:rPr>
            </w:pPr>
            <w:r w:rsidRPr="00C33089">
              <w:rPr>
                <w:rFonts w:ascii="Arial" w:hAnsi="Arial"/>
                <w:b/>
                <w:sz w:val="17"/>
              </w:rPr>
              <w:t>Assessment practices</w:t>
            </w:r>
          </w:p>
        </w:tc>
        <w:tc>
          <w:tcPr>
            <w:tcW w:w="2643" w:type="dxa"/>
            <w:vMerge w:val="restart"/>
            <w:tcBorders>
              <w:top w:val="single" w:sz="4" w:space="0" w:color="auto"/>
              <w:left w:val="single" w:sz="4" w:space="0" w:color="auto"/>
              <w:right w:val="single" w:sz="4" w:space="0" w:color="auto"/>
            </w:tcBorders>
            <w:vAlign w:val="center"/>
          </w:tcPr>
          <w:p w14:paraId="7A33EC66" w14:textId="2F314C73" w:rsidR="003E741D" w:rsidRPr="00C33089" w:rsidRDefault="003E741D" w:rsidP="001959C9">
            <w:pPr>
              <w:tabs>
                <w:tab w:val="left" w:pos="992"/>
              </w:tabs>
              <w:spacing w:before="20" w:after="20"/>
              <w:rPr>
                <w:rFonts w:ascii="Arial" w:hAnsi="Arial"/>
                <w:sz w:val="17"/>
              </w:rPr>
            </w:pPr>
            <w:r w:rsidRPr="00C33089">
              <w:rPr>
                <w:rFonts w:ascii="Arial" w:hAnsi="Arial"/>
                <w:sz w:val="17"/>
              </w:rPr>
              <w:t xml:space="preserve">Assessment </w:t>
            </w:r>
            <w:r w:rsidR="008850FD">
              <w:rPr>
                <w:rFonts w:ascii="Arial" w:hAnsi="Arial"/>
                <w:sz w:val="17"/>
              </w:rPr>
              <w:t>f</w:t>
            </w:r>
            <w:r w:rsidRPr="00C33089">
              <w:rPr>
                <w:rFonts w:ascii="Arial" w:hAnsi="Arial"/>
                <w:sz w:val="17"/>
              </w:rPr>
              <w:t>ormats are engaging and motivating</w:t>
            </w:r>
            <w:r w:rsidR="008850FD">
              <w:rPr>
                <w:rFonts w:ascii="Arial" w:hAnsi="Arial"/>
                <w:sz w:val="17"/>
              </w:rPr>
              <w:t>.</w:t>
            </w:r>
          </w:p>
        </w:tc>
        <w:tc>
          <w:tcPr>
            <w:tcW w:w="3641" w:type="dxa"/>
            <w:tcBorders>
              <w:top w:val="single" w:sz="4" w:space="0" w:color="auto"/>
              <w:left w:val="single" w:sz="4" w:space="0" w:color="auto"/>
              <w:right w:val="nil"/>
            </w:tcBorders>
          </w:tcPr>
          <w:p w14:paraId="3500F466" w14:textId="6DA4BB70" w:rsidR="003E741D" w:rsidRPr="00C33089" w:rsidRDefault="003E741D" w:rsidP="001959C9">
            <w:pPr>
              <w:spacing w:before="40" w:after="40"/>
              <w:rPr>
                <w:rFonts w:ascii="Arial" w:hAnsi="Arial"/>
                <w:sz w:val="16"/>
              </w:rPr>
            </w:pPr>
            <w:r w:rsidRPr="00C33089">
              <w:rPr>
                <w:rFonts w:ascii="Arial" w:hAnsi="Arial"/>
                <w:sz w:val="16"/>
              </w:rPr>
              <w:t>34. The scope of formative assessment is extended</w:t>
            </w:r>
            <w:r w:rsidR="00020298">
              <w:rPr>
                <w:rFonts w:ascii="Arial" w:hAnsi="Arial"/>
                <w:sz w:val="16"/>
              </w:rPr>
              <w:t>.</w:t>
            </w:r>
          </w:p>
        </w:tc>
      </w:tr>
      <w:tr w:rsidR="003E741D" w:rsidRPr="00C90A71" w14:paraId="7124B7D9" w14:textId="77777777" w:rsidTr="001959C9">
        <w:tc>
          <w:tcPr>
            <w:tcW w:w="2642" w:type="dxa"/>
            <w:vMerge/>
            <w:tcBorders>
              <w:left w:val="nil"/>
              <w:right w:val="single" w:sz="4" w:space="0" w:color="auto"/>
            </w:tcBorders>
          </w:tcPr>
          <w:p w14:paraId="7EE41608" w14:textId="77777777" w:rsidR="003E741D" w:rsidRPr="00C90A71" w:rsidRDefault="003E741D" w:rsidP="001959C9"/>
        </w:tc>
        <w:tc>
          <w:tcPr>
            <w:tcW w:w="2643" w:type="dxa"/>
            <w:vMerge/>
            <w:tcBorders>
              <w:left w:val="single" w:sz="4" w:space="0" w:color="auto"/>
              <w:right w:val="single" w:sz="4" w:space="0" w:color="auto"/>
            </w:tcBorders>
          </w:tcPr>
          <w:p w14:paraId="0F2E3C0D" w14:textId="77777777" w:rsidR="003E741D" w:rsidRPr="00C90A71" w:rsidRDefault="003E741D" w:rsidP="001959C9"/>
        </w:tc>
        <w:tc>
          <w:tcPr>
            <w:tcW w:w="3641" w:type="dxa"/>
            <w:tcBorders>
              <w:left w:val="single" w:sz="4" w:space="0" w:color="auto"/>
              <w:right w:val="nil"/>
            </w:tcBorders>
          </w:tcPr>
          <w:p w14:paraId="7BC28993" w14:textId="63B7B544" w:rsidR="003E741D" w:rsidRPr="00887F36" w:rsidRDefault="003E741D" w:rsidP="001959C9">
            <w:pPr>
              <w:spacing w:before="40" w:after="40"/>
              <w:rPr>
                <w:rFonts w:ascii="Arial" w:hAnsi="Arial"/>
                <w:sz w:val="16"/>
              </w:rPr>
            </w:pPr>
            <w:r w:rsidRPr="00887F36">
              <w:rPr>
                <w:rFonts w:ascii="Arial" w:hAnsi="Arial"/>
                <w:sz w:val="16"/>
              </w:rPr>
              <w:t>35. Summative assessment is diversified</w:t>
            </w:r>
            <w:r w:rsidR="00020298">
              <w:rPr>
                <w:rFonts w:ascii="Arial" w:hAnsi="Arial"/>
                <w:sz w:val="16"/>
              </w:rPr>
              <w:t>.</w:t>
            </w:r>
          </w:p>
        </w:tc>
      </w:tr>
      <w:tr w:rsidR="003E741D" w:rsidRPr="00C90A71" w14:paraId="7F67B752" w14:textId="77777777" w:rsidTr="001959C9">
        <w:tc>
          <w:tcPr>
            <w:tcW w:w="2642" w:type="dxa"/>
            <w:vMerge/>
            <w:tcBorders>
              <w:left w:val="nil"/>
              <w:right w:val="single" w:sz="4" w:space="0" w:color="auto"/>
            </w:tcBorders>
          </w:tcPr>
          <w:p w14:paraId="28ADEBF5" w14:textId="77777777" w:rsidR="003E741D" w:rsidRPr="00C90A71" w:rsidRDefault="003E741D" w:rsidP="001959C9"/>
        </w:tc>
        <w:tc>
          <w:tcPr>
            <w:tcW w:w="2643" w:type="dxa"/>
            <w:vMerge/>
            <w:tcBorders>
              <w:left w:val="single" w:sz="4" w:space="0" w:color="auto"/>
              <w:right w:val="single" w:sz="4" w:space="0" w:color="auto"/>
            </w:tcBorders>
          </w:tcPr>
          <w:p w14:paraId="3341CDAD" w14:textId="77777777" w:rsidR="003E741D" w:rsidRPr="00C90A71" w:rsidRDefault="003E741D" w:rsidP="001959C9"/>
        </w:tc>
        <w:tc>
          <w:tcPr>
            <w:tcW w:w="3641" w:type="dxa"/>
            <w:tcBorders>
              <w:left w:val="single" w:sz="4" w:space="0" w:color="auto"/>
              <w:bottom w:val="single" w:sz="4" w:space="0" w:color="BFBFBF"/>
              <w:right w:val="nil"/>
            </w:tcBorders>
          </w:tcPr>
          <w:p w14:paraId="7E7C3E1C" w14:textId="19B1DC07" w:rsidR="003E741D" w:rsidRPr="00887F36" w:rsidRDefault="003E741D" w:rsidP="001959C9">
            <w:pPr>
              <w:spacing w:before="40" w:after="40"/>
              <w:rPr>
                <w:rFonts w:ascii="Arial" w:hAnsi="Arial"/>
                <w:sz w:val="16"/>
              </w:rPr>
            </w:pPr>
            <w:r w:rsidRPr="00C33089">
              <w:rPr>
                <w:rFonts w:ascii="Arial" w:hAnsi="Arial"/>
                <w:sz w:val="16"/>
              </w:rPr>
              <w:t>36. Self- and peer-assessment are promoted</w:t>
            </w:r>
            <w:r w:rsidR="00020298">
              <w:rPr>
                <w:rFonts w:ascii="Arial" w:hAnsi="Arial"/>
                <w:sz w:val="16"/>
              </w:rPr>
              <w:t>.</w:t>
            </w:r>
          </w:p>
        </w:tc>
      </w:tr>
      <w:tr w:rsidR="003E741D" w:rsidRPr="00C90A71" w14:paraId="2FF76800" w14:textId="77777777" w:rsidTr="001959C9">
        <w:tc>
          <w:tcPr>
            <w:tcW w:w="2642" w:type="dxa"/>
            <w:vMerge/>
            <w:tcBorders>
              <w:left w:val="nil"/>
              <w:right w:val="single" w:sz="4" w:space="0" w:color="auto"/>
            </w:tcBorders>
          </w:tcPr>
          <w:p w14:paraId="48F0CE6F"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592C45B9" w14:textId="77777777" w:rsidR="003E741D" w:rsidRPr="00C90A71" w:rsidRDefault="003E741D" w:rsidP="001959C9"/>
        </w:tc>
        <w:tc>
          <w:tcPr>
            <w:tcW w:w="3641" w:type="dxa"/>
            <w:tcBorders>
              <w:left w:val="single" w:sz="4" w:space="0" w:color="auto"/>
              <w:bottom w:val="single" w:sz="4" w:space="0" w:color="auto"/>
              <w:right w:val="nil"/>
            </w:tcBorders>
          </w:tcPr>
          <w:p w14:paraId="127BBC67" w14:textId="5752C8B7" w:rsidR="003E741D" w:rsidRPr="00887F36" w:rsidRDefault="003E741D" w:rsidP="001959C9">
            <w:pPr>
              <w:spacing w:before="40" w:after="40"/>
              <w:rPr>
                <w:rFonts w:ascii="Arial" w:hAnsi="Arial"/>
                <w:sz w:val="16"/>
              </w:rPr>
            </w:pPr>
            <w:r w:rsidRPr="00C33089">
              <w:rPr>
                <w:rFonts w:ascii="Arial" w:hAnsi="Arial"/>
                <w:sz w:val="16"/>
              </w:rPr>
              <w:t>37. Rich, personalised and meaningful feedback is encouraged and expected</w:t>
            </w:r>
            <w:r w:rsidR="00020298">
              <w:rPr>
                <w:rFonts w:ascii="Arial" w:hAnsi="Arial"/>
                <w:sz w:val="16"/>
              </w:rPr>
              <w:t>.</w:t>
            </w:r>
            <w:r w:rsidRPr="00C33089">
              <w:rPr>
                <w:rFonts w:ascii="Arial" w:hAnsi="Arial"/>
                <w:sz w:val="16"/>
              </w:rPr>
              <w:t xml:space="preserve"> </w:t>
            </w:r>
          </w:p>
        </w:tc>
      </w:tr>
      <w:tr w:rsidR="003E741D" w:rsidRPr="00C90A71" w14:paraId="3C4694B5" w14:textId="77777777" w:rsidTr="001959C9">
        <w:tc>
          <w:tcPr>
            <w:tcW w:w="2642" w:type="dxa"/>
            <w:vMerge/>
            <w:tcBorders>
              <w:left w:val="nil"/>
              <w:right w:val="single" w:sz="4" w:space="0" w:color="auto"/>
            </w:tcBorders>
          </w:tcPr>
          <w:p w14:paraId="415DA4C3" w14:textId="77777777" w:rsidR="003E741D" w:rsidRPr="00C90A71" w:rsidRDefault="003E741D" w:rsidP="001959C9"/>
        </w:tc>
        <w:tc>
          <w:tcPr>
            <w:tcW w:w="2643" w:type="dxa"/>
            <w:tcBorders>
              <w:top w:val="single" w:sz="4" w:space="0" w:color="auto"/>
              <w:left w:val="single" w:sz="4" w:space="0" w:color="auto"/>
              <w:bottom w:val="single" w:sz="4" w:space="0" w:color="auto"/>
              <w:right w:val="single" w:sz="4" w:space="0" w:color="auto"/>
            </w:tcBorders>
          </w:tcPr>
          <w:p w14:paraId="4086A1BC" w14:textId="1919B3B4" w:rsidR="003E741D" w:rsidRPr="00C33089" w:rsidRDefault="003E741D" w:rsidP="001959C9">
            <w:pPr>
              <w:tabs>
                <w:tab w:val="left" w:pos="992"/>
              </w:tabs>
              <w:spacing w:before="20" w:after="20"/>
              <w:rPr>
                <w:rFonts w:ascii="Arial" w:hAnsi="Arial"/>
                <w:sz w:val="17"/>
              </w:rPr>
            </w:pPr>
            <w:r w:rsidRPr="00C33089">
              <w:rPr>
                <w:rFonts w:ascii="Arial" w:hAnsi="Arial"/>
                <w:sz w:val="17"/>
              </w:rPr>
              <w:t xml:space="preserve">Informal and </w:t>
            </w:r>
            <w:r w:rsidR="008850FD" w:rsidRPr="00C33089">
              <w:rPr>
                <w:rFonts w:ascii="Arial" w:hAnsi="Arial"/>
                <w:sz w:val="17"/>
              </w:rPr>
              <w:t>non</w:t>
            </w:r>
            <w:r w:rsidR="008850FD">
              <w:rPr>
                <w:rFonts w:ascii="Arial" w:hAnsi="Arial"/>
                <w:sz w:val="17"/>
              </w:rPr>
              <w:t>-</w:t>
            </w:r>
            <w:r w:rsidR="008850FD" w:rsidRPr="00C33089">
              <w:rPr>
                <w:rFonts w:ascii="Arial" w:hAnsi="Arial"/>
                <w:sz w:val="17"/>
              </w:rPr>
              <w:t>formal learning a</w:t>
            </w:r>
            <w:r w:rsidRPr="00C33089">
              <w:rPr>
                <w:rFonts w:ascii="Arial" w:hAnsi="Arial"/>
                <w:sz w:val="17"/>
              </w:rPr>
              <w:t>re recognised</w:t>
            </w:r>
            <w:r w:rsidR="008850FD">
              <w:rPr>
                <w:rFonts w:ascii="Arial" w:hAnsi="Arial"/>
                <w:sz w:val="17"/>
              </w:rPr>
              <w:t>.</w:t>
            </w:r>
          </w:p>
        </w:tc>
        <w:tc>
          <w:tcPr>
            <w:tcW w:w="3641" w:type="dxa"/>
            <w:tcBorders>
              <w:top w:val="single" w:sz="4" w:space="0" w:color="auto"/>
              <w:left w:val="single" w:sz="4" w:space="0" w:color="auto"/>
              <w:bottom w:val="single" w:sz="4" w:space="0" w:color="auto"/>
              <w:right w:val="nil"/>
            </w:tcBorders>
          </w:tcPr>
          <w:p w14:paraId="07F77B6C" w14:textId="13CAF81C" w:rsidR="003E741D" w:rsidRPr="00887F36" w:rsidRDefault="003E741D" w:rsidP="001959C9">
            <w:pPr>
              <w:spacing w:before="40" w:after="40"/>
              <w:rPr>
                <w:rFonts w:ascii="Arial" w:hAnsi="Arial"/>
                <w:sz w:val="16"/>
              </w:rPr>
            </w:pPr>
            <w:r w:rsidRPr="00C33089">
              <w:rPr>
                <w:rFonts w:ascii="Arial" w:hAnsi="Arial"/>
                <w:sz w:val="16"/>
              </w:rPr>
              <w:t>38. Prior, experiential and open learning are recognised and accredited</w:t>
            </w:r>
            <w:r w:rsidR="00020298">
              <w:rPr>
                <w:rFonts w:ascii="Arial" w:hAnsi="Arial"/>
                <w:sz w:val="16"/>
              </w:rPr>
              <w:t>.</w:t>
            </w:r>
          </w:p>
        </w:tc>
      </w:tr>
      <w:tr w:rsidR="003E741D" w:rsidRPr="00C90A71" w14:paraId="657604EA" w14:textId="77777777" w:rsidTr="001959C9">
        <w:tc>
          <w:tcPr>
            <w:tcW w:w="2642" w:type="dxa"/>
            <w:vMerge/>
            <w:tcBorders>
              <w:left w:val="nil"/>
              <w:right w:val="single" w:sz="4" w:space="0" w:color="auto"/>
            </w:tcBorders>
          </w:tcPr>
          <w:p w14:paraId="7AC3BF9D"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429ADE66" w14:textId="1D2BC6E4" w:rsidR="003E741D" w:rsidRPr="008850FD" w:rsidRDefault="003E741D" w:rsidP="001959C9">
            <w:pPr>
              <w:tabs>
                <w:tab w:val="left" w:pos="992"/>
              </w:tabs>
              <w:spacing w:before="20" w:after="20"/>
              <w:rPr>
                <w:rFonts w:ascii="Arial" w:hAnsi="Arial"/>
                <w:sz w:val="17"/>
                <w:szCs w:val="17"/>
              </w:rPr>
            </w:pPr>
            <w:r w:rsidRPr="008850FD">
              <w:rPr>
                <w:rFonts w:ascii="Arial" w:hAnsi="Arial"/>
                <w:sz w:val="17"/>
                <w:szCs w:val="17"/>
              </w:rPr>
              <w:t xml:space="preserve">Learning </w:t>
            </w:r>
            <w:r w:rsidR="008850FD" w:rsidRPr="008850FD">
              <w:rPr>
                <w:rFonts w:ascii="Arial" w:hAnsi="Arial"/>
                <w:sz w:val="17"/>
                <w:szCs w:val="17"/>
              </w:rPr>
              <w:t>design is informed by analytics</w:t>
            </w:r>
            <w:r w:rsidR="008850FD">
              <w:rPr>
                <w:rFonts w:ascii="Arial" w:hAnsi="Arial"/>
                <w:sz w:val="17"/>
                <w:szCs w:val="17"/>
              </w:rPr>
              <w:t>.</w:t>
            </w:r>
          </w:p>
        </w:tc>
        <w:tc>
          <w:tcPr>
            <w:tcW w:w="3641" w:type="dxa"/>
            <w:tcBorders>
              <w:top w:val="single" w:sz="4" w:space="0" w:color="auto"/>
              <w:left w:val="single" w:sz="4" w:space="0" w:color="auto"/>
              <w:right w:val="nil"/>
            </w:tcBorders>
          </w:tcPr>
          <w:p w14:paraId="4A52CC57" w14:textId="6C9CFACC" w:rsidR="003E741D" w:rsidRPr="00887F36" w:rsidRDefault="003E741D" w:rsidP="001959C9">
            <w:pPr>
              <w:spacing w:before="40" w:after="40"/>
              <w:rPr>
                <w:rFonts w:ascii="Arial" w:hAnsi="Arial"/>
                <w:sz w:val="16"/>
              </w:rPr>
            </w:pPr>
            <w:r w:rsidRPr="00C33089">
              <w:rPr>
                <w:rFonts w:ascii="Arial" w:hAnsi="Arial"/>
                <w:sz w:val="16"/>
              </w:rPr>
              <w:t>39. Learning analytics is given strategic consideration</w:t>
            </w:r>
            <w:r w:rsidR="00020298">
              <w:rPr>
                <w:rFonts w:ascii="Arial" w:hAnsi="Arial"/>
                <w:sz w:val="16"/>
              </w:rPr>
              <w:t>.</w:t>
            </w:r>
          </w:p>
        </w:tc>
      </w:tr>
      <w:tr w:rsidR="003E741D" w:rsidRPr="00C90A71" w14:paraId="2A93E273" w14:textId="77777777" w:rsidTr="001959C9">
        <w:tc>
          <w:tcPr>
            <w:tcW w:w="2642" w:type="dxa"/>
            <w:vMerge/>
            <w:tcBorders>
              <w:left w:val="nil"/>
              <w:right w:val="single" w:sz="4" w:space="0" w:color="auto"/>
            </w:tcBorders>
          </w:tcPr>
          <w:p w14:paraId="7BA760A4" w14:textId="77777777" w:rsidR="003E741D" w:rsidRPr="00C90A71" w:rsidRDefault="003E741D" w:rsidP="001959C9"/>
        </w:tc>
        <w:tc>
          <w:tcPr>
            <w:tcW w:w="2643" w:type="dxa"/>
            <w:vMerge/>
            <w:tcBorders>
              <w:left w:val="single" w:sz="4" w:space="0" w:color="auto"/>
              <w:right w:val="single" w:sz="4" w:space="0" w:color="auto"/>
            </w:tcBorders>
          </w:tcPr>
          <w:p w14:paraId="5F337966" w14:textId="77777777" w:rsidR="003E741D" w:rsidRPr="00C33089" w:rsidRDefault="003E741D" w:rsidP="001959C9">
            <w:pPr>
              <w:tabs>
                <w:tab w:val="left" w:pos="992"/>
              </w:tabs>
              <w:spacing w:before="20" w:after="20"/>
              <w:jc w:val="center"/>
              <w:rPr>
                <w:rFonts w:ascii="Arial" w:hAnsi="Arial"/>
                <w:sz w:val="17"/>
              </w:rPr>
            </w:pPr>
          </w:p>
        </w:tc>
        <w:tc>
          <w:tcPr>
            <w:tcW w:w="3641" w:type="dxa"/>
            <w:tcBorders>
              <w:left w:val="single" w:sz="4" w:space="0" w:color="auto"/>
              <w:right w:val="nil"/>
            </w:tcBorders>
          </w:tcPr>
          <w:p w14:paraId="54C527C7" w14:textId="5D4E5FE4" w:rsidR="003E741D" w:rsidRPr="00887F36" w:rsidRDefault="003E741D" w:rsidP="001959C9">
            <w:pPr>
              <w:spacing w:before="40" w:after="40"/>
              <w:rPr>
                <w:rFonts w:ascii="Arial" w:hAnsi="Arial"/>
                <w:sz w:val="16"/>
              </w:rPr>
            </w:pPr>
            <w:r w:rsidRPr="00C33089">
              <w:rPr>
                <w:rFonts w:ascii="Arial" w:hAnsi="Arial"/>
                <w:sz w:val="16"/>
              </w:rPr>
              <w:t>40. A code of practice for learning analytics is in place</w:t>
            </w:r>
            <w:r w:rsidR="00020298">
              <w:rPr>
                <w:rFonts w:ascii="Arial" w:hAnsi="Arial"/>
                <w:sz w:val="16"/>
              </w:rPr>
              <w:t>.</w:t>
            </w:r>
          </w:p>
        </w:tc>
      </w:tr>
      <w:tr w:rsidR="003E741D" w:rsidRPr="00C90A71" w14:paraId="6CB4A82C" w14:textId="77777777" w:rsidTr="001959C9">
        <w:tc>
          <w:tcPr>
            <w:tcW w:w="2642" w:type="dxa"/>
            <w:vMerge/>
            <w:tcBorders>
              <w:left w:val="nil"/>
              <w:right w:val="single" w:sz="4" w:space="0" w:color="auto"/>
            </w:tcBorders>
          </w:tcPr>
          <w:p w14:paraId="06631180" w14:textId="77777777" w:rsidR="003E741D" w:rsidRPr="00C90A71" w:rsidRDefault="003E741D" w:rsidP="001959C9"/>
        </w:tc>
        <w:tc>
          <w:tcPr>
            <w:tcW w:w="2643" w:type="dxa"/>
            <w:vMerge/>
            <w:tcBorders>
              <w:left w:val="single" w:sz="4" w:space="0" w:color="auto"/>
              <w:right w:val="single" w:sz="4" w:space="0" w:color="auto"/>
            </w:tcBorders>
          </w:tcPr>
          <w:p w14:paraId="21A30610" w14:textId="77777777" w:rsidR="003E741D" w:rsidRPr="00C33089" w:rsidRDefault="003E741D" w:rsidP="001959C9">
            <w:pPr>
              <w:tabs>
                <w:tab w:val="left" w:pos="992"/>
              </w:tabs>
              <w:spacing w:before="20" w:after="20"/>
              <w:jc w:val="center"/>
              <w:rPr>
                <w:rFonts w:ascii="Arial" w:hAnsi="Arial"/>
                <w:sz w:val="17"/>
              </w:rPr>
            </w:pPr>
          </w:p>
        </w:tc>
        <w:tc>
          <w:tcPr>
            <w:tcW w:w="3641" w:type="dxa"/>
            <w:tcBorders>
              <w:left w:val="single" w:sz="4" w:space="0" w:color="auto"/>
              <w:bottom w:val="single" w:sz="4" w:space="0" w:color="BFBFBF"/>
              <w:right w:val="nil"/>
            </w:tcBorders>
          </w:tcPr>
          <w:p w14:paraId="062C4DE3" w14:textId="22C18A5E" w:rsidR="003E741D" w:rsidRPr="00887F36" w:rsidRDefault="003E741D" w:rsidP="001959C9">
            <w:pPr>
              <w:spacing w:before="40" w:after="40"/>
              <w:rPr>
                <w:rFonts w:ascii="Arial" w:hAnsi="Arial"/>
                <w:sz w:val="16"/>
              </w:rPr>
            </w:pPr>
            <w:r w:rsidRPr="00C33089">
              <w:rPr>
                <w:rFonts w:ascii="Arial" w:hAnsi="Arial"/>
                <w:sz w:val="16"/>
              </w:rPr>
              <w:t>41. Learning is supported through learning analytics</w:t>
            </w:r>
            <w:r w:rsidR="00020298">
              <w:rPr>
                <w:rFonts w:ascii="Arial" w:hAnsi="Arial"/>
                <w:sz w:val="16"/>
              </w:rPr>
              <w:t>.</w:t>
            </w:r>
          </w:p>
        </w:tc>
      </w:tr>
      <w:tr w:rsidR="003E741D" w:rsidRPr="00C90A71" w14:paraId="286DB62C" w14:textId="77777777" w:rsidTr="003E741D">
        <w:tc>
          <w:tcPr>
            <w:tcW w:w="2642" w:type="dxa"/>
            <w:vMerge/>
            <w:tcBorders>
              <w:left w:val="nil"/>
              <w:bottom w:val="single" w:sz="4" w:space="0" w:color="auto"/>
              <w:right w:val="single" w:sz="4" w:space="0" w:color="auto"/>
            </w:tcBorders>
          </w:tcPr>
          <w:p w14:paraId="69A48E5A"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68F601F6" w14:textId="77777777" w:rsidR="003E741D" w:rsidRPr="00C33089" w:rsidRDefault="003E741D" w:rsidP="001959C9">
            <w:pPr>
              <w:tabs>
                <w:tab w:val="left" w:pos="992"/>
              </w:tabs>
              <w:spacing w:before="20" w:after="20"/>
              <w:jc w:val="center"/>
              <w:rPr>
                <w:rFonts w:ascii="Arial" w:hAnsi="Arial"/>
                <w:sz w:val="17"/>
              </w:rPr>
            </w:pPr>
          </w:p>
        </w:tc>
        <w:tc>
          <w:tcPr>
            <w:tcW w:w="3641" w:type="dxa"/>
            <w:tcBorders>
              <w:left w:val="single" w:sz="4" w:space="0" w:color="auto"/>
              <w:bottom w:val="single" w:sz="4" w:space="0" w:color="auto"/>
              <w:right w:val="nil"/>
            </w:tcBorders>
          </w:tcPr>
          <w:p w14:paraId="40B63074" w14:textId="6717AA89" w:rsidR="003E741D" w:rsidRPr="00887F36" w:rsidRDefault="003E741D" w:rsidP="001959C9">
            <w:pPr>
              <w:spacing w:before="40" w:after="40"/>
              <w:rPr>
                <w:rFonts w:ascii="Arial" w:hAnsi="Arial"/>
                <w:sz w:val="16"/>
              </w:rPr>
            </w:pPr>
            <w:r w:rsidRPr="00C33089">
              <w:rPr>
                <w:rFonts w:ascii="Arial" w:hAnsi="Arial"/>
                <w:sz w:val="16"/>
              </w:rPr>
              <w:t>42. Quality management and curriculum/program design are supported through learning analytics</w:t>
            </w:r>
            <w:r w:rsidR="00020298">
              <w:rPr>
                <w:rFonts w:ascii="Arial" w:hAnsi="Arial"/>
                <w:sz w:val="16"/>
              </w:rPr>
              <w:t>.</w:t>
            </w:r>
          </w:p>
        </w:tc>
      </w:tr>
      <w:tr w:rsidR="003E741D" w:rsidRPr="00C90A71" w14:paraId="4C621DCC" w14:textId="77777777" w:rsidTr="003E741D">
        <w:tc>
          <w:tcPr>
            <w:tcW w:w="2642" w:type="dxa"/>
            <w:tcBorders>
              <w:top w:val="single" w:sz="4" w:space="0" w:color="auto"/>
              <w:left w:val="nil"/>
              <w:bottom w:val="nil"/>
              <w:right w:val="nil"/>
            </w:tcBorders>
          </w:tcPr>
          <w:p w14:paraId="13F27C45" w14:textId="77777777" w:rsidR="003E741D" w:rsidRPr="00C90A71" w:rsidRDefault="003E741D" w:rsidP="001959C9"/>
        </w:tc>
        <w:tc>
          <w:tcPr>
            <w:tcW w:w="2643" w:type="dxa"/>
            <w:tcBorders>
              <w:top w:val="single" w:sz="4" w:space="0" w:color="auto"/>
              <w:left w:val="nil"/>
              <w:bottom w:val="nil"/>
              <w:right w:val="nil"/>
            </w:tcBorders>
          </w:tcPr>
          <w:p w14:paraId="58962514" w14:textId="77777777" w:rsidR="003E741D" w:rsidRPr="00C33089" w:rsidRDefault="003E741D" w:rsidP="001959C9">
            <w:pPr>
              <w:tabs>
                <w:tab w:val="left" w:pos="992"/>
              </w:tabs>
              <w:spacing w:before="20" w:after="20"/>
              <w:jc w:val="center"/>
              <w:rPr>
                <w:rFonts w:ascii="Arial" w:hAnsi="Arial"/>
                <w:sz w:val="17"/>
              </w:rPr>
            </w:pPr>
          </w:p>
        </w:tc>
        <w:tc>
          <w:tcPr>
            <w:tcW w:w="3641" w:type="dxa"/>
            <w:tcBorders>
              <w:top w:val="single" w:sz="4" w:space="0" w:color="auto"/>
              <w:left w:val="nil"/>
              <w:bottom w:val="nil"/>
              <w:right w:val="nil"/>
            </w:tcBorders>
          </w:tcPr>
          <w:p w14:paraId="13194B15" w14:textId="77777777" w:rsidR="003E741D" w:rsidRPr="00C33089" w:rsidRDefault="003E741D" w:rsidP="001959C9">
            <w:pPr>
              <w:spacing w:before="40" w:after="40"/>
              <w:rPr>
                <w:rFonts w:ascii="Arial" w:hAnsi="Arial"/>
                <w:sz w:val="16"/>
              </w:rPr>
            </w:pPr>
          </w:p>
        </w:tc>
      </w:tr>
      <w:tr w:rsidR="003E741D" w:rsidRPr="00C90A71" w14:paraId="04BFA9BC" w14:textId="77777777" w:rsidTr="003E741D">
        <w:tc>
          <w:tcPr>
            <w:tcW w:w="2642" w:type="dxa"/>
            <w:tcBorders>
              <w:top w:val="nil"/>
              <w:left w:val="nil"/>
              <w:bottom w:val="nil"/>
              <w:right w:val="nil"/>
            </w:tcBorders>
          </w:tcPr>
          <w:p w14:paraId="6B1E0BA6" w14:textId="77777777" w:rsidR="003E741D" w:rsidRPr="00C90A71" w:rsidRDefault="003E741D" w:rsidP="001959C9"/>
        </w:tc>
        <w:tc>
          <w:tcPr>
            <w:tcW w:w="2643" w:type="dxa"/>
            <w:tcBorders>
              <w:top w:val="nil"/>
              <w:left w:val="nil"/>
              <w:bottom w:val="nil"/>
              <w:right w:val="nil"/>
            </w:tcBorders>
          </w:tcPr>
          <w:p w14:paraId="7AB1D8C3" w14:textId="77777777" w:rsidR="003E741D" w:rsidRPr="00C33089" w:rsidRDefault="003E741D" w:rsidP="001959C9">
            <w:pPr>
              <w:tabs>
                <w:tab w:val="left" w:pos="992"/>
              </w:tabs>
              <w:spacing w:before="20" w:after="20"/>
              <w:jc w:val="center"/>
              <w:rPr>
                <w:rFonts w:ascii="Arial" w:hAnsi="Arial"/>
                <w:sz w:val="17"/>
              </w:rPr>
            </w:pPr>
          </w:p>
        </w:tc>
        <w:tc>
          <w:tcPr>
            <w:tcW w:w="3641" w:type="dxa"/>
            <w:tcBorders>
              <w:top w:val="nil"/>
              <w:left w:val="nil"/>
              <w:bottom w:val="nil"/>
              <w:right w:val="nil"/>
            </w:tcBorders>
          </w:tcPr>
          <w:p w14:paraId="13D59B9E" w14:textId="77777777" w:rsidR="003E741D" w:rsidRPr="00C33089" w:rsidRDefault="003E741D" w:rsidP="001959C9">
            <w:pPr>
              <w:spacing w:before="40" w:after="40"/>
              <w:rPr>
                <w:rFonts w:ascii="Arial" w:hAnsi="Arial"/>
                <w:sz w:val="16"/>
              </w:rPr>
            </w:pPr>
          </w:p>
        </w:tc>
      </w:tr>
      <w:tr w:rsidR="003E741D" w:rsidRPr="00C90A71" w14:paraId="6D110850" w14:textId="77777777" w:rsidTr="003E741D">
        <w:tc>
          <w:tcPr>
            <w:tcW w:w="2642" w:type="dxa"/>
            <w:tcBorders>
              <w:top w:val="nil"/>
              <w:left w:val="nil"/>
              <w:bottom w:val="single" w:sz="4" w:space="0" w:color="auto"/>
              <w:right w:val="nil"/>
            </w:tcBorders>
          </w:tcPr>
          <w:p w14:paraId="47DF40A7" w14:textId="77777777" w:rsidR="003E741D" w:rsidRPr="00C90A71" w:rsidRDefault="003E741D" w:rsidP="001959C9"/>
        </w:tc>
        <w:tc>
          <w:tcPr>
            <w:tcW w:w="2643" w:type="dxa"/>
            <w:tcBorders>
              <w:top w:val="nil"/>
              <w:left w:val="nil"/>
              <w:bottom w:val="single" w:sz="4" w:space="0" w:color="auto"/>
              <w:right w:val="nil"/>
            </w:tcBorders>
          </w:tcPr>
          <w:p w14:paraId="5AC018B7" w14:textId="77777777" w:rsidR="003E741D" w:rsidRPr="00C33089" w:rsidRDefault="003E741D" w:rsidP="001959C9">
            <w:pPr>
              <w:tabs>
                <w:tab w:val="left" w:pos="992"/>
              </w:tabs>
              <w:spacing w:before="20" w:after="20"/>
              <w:jc w:val="center"/>
              <w:rPr>
                <w:rFonts w:ascii="Arial" w:hAnsi="Arial"/>
                <w:sz w:val="17"/>
              </w:rPr>
            </w:pPr>
          </w:p>
        </w:tc>
        <w:tc>
          <w:tcPr>
            <w:tcW w:w="3641" w:type="dxa"/>
            <w:tcBorders>
              <w:top w:val="nil"/>
              <w:left w:val="nil"/>
              <w:bottom w:val="single" w:sz="4" w:space="0" w:color="auto"/>
              <w:right w:val="nil"/>
            </w:tcBorders>
          </w:tcPr>
          <w:p w14:paraId="1680FA5A" w14:textId="77777777" w:rsidR="003E741D" w:rsidRPr="00C33089" w:rsidRDefault="003E741D" w:rsidP="001959C9">
            <w:pPr>
              <w:spacing w:before="40" w:after="40"/>
              <w:rPr>
                <w:rFonts w:ascii="Arial" w:hAnsi="Arial"/>
                <w:sz w:val="16"/>
              </w:rPr>
            </w:pPr>
          </w:p>
        </w:tc>
      </w:tr>
      <w:tr w:rsidR="003E741D" w:rsidRPr="00C33089" w14:paraId="1E1BC4E1" w14:textId="77777777" w:rsidTr="003E741D">
        <w:tc>
          <w:tcPr>
            <w:tcW w:w="2642" w:type="dxa"/>
            <w:vMerge w:val="restart"/>
            <w:tcBorders>
              <w:top w:val="single" w:sz="4" w:space="0" w:color="auto"/>
              <w:left w:val="nil"/>
              <w:right w:val="single" w:sz="4" w:space="0" w:color="auto"/>
            </w:tcBorders>
            <w:vAlign w:val="center"/>
          </w:tcPr>
          <w:p w14:paraId="4178D90D" w14:textId="6809F4D6" w:rsidR="003E741D" w:rsidRPr="00C33089" w:rsidRDefault="003E741D" w:rsidP="001959C9">
            <w:pPr>
              <w:spacing w:before="80" w:after="80"/>
              <w:rPr>
                <w:rFonts w:ascii="Arial" w:hAnsi="Arial"/>
                <w:b/>
                <w:sz w:val="17"/>
              </w:rPr>
            </w:pPr>
            <w:r w:rsidRPr="00C33089">
              <w:rPr>
                <w:rFonts w:ascii="Arial" w:hAnsi="Arial"/>
                <w:b/>
                <w:sz w:val="17"/>
              </w:rPr>
              <w:t xml:space="preserve">Content and </w:t>
            </w:r>
            <w:r w:rsidR="00020298">
              <w:rPr>
                <w:rFonts w:ascii="Arial" w:hAnsi="Arial"/>
                <w:b/>
                <w:sz w:val="17"/>
              </w:rPr>
              <w:t>c</w:t>
            </w:r>
            <w:r w:rsidRPr="00C33089">
              <w:rPr>
                <w:rFonts w:ascii="Arial" w:hAnsi="Arial"/>
                <w:b/>
                <w:sz w:val="17"/>
              </w:rPr>
              <w:t>urricula</w:t>
            </w:r>
          </w:p>
        </w:tc>
        <w:tc>
          <w:tcPr>
            <w:tcW w:w="2643" w:type="dxa"/>
            <w:tcBorders>
              <w:top w:val="single" w:sz="4" w:space="0" w:color="auto"/>
              <w:left w:val="single" w:sz="4" w:space="0" w:color="auto"/>
              <w:bottom w:val="nil"/>
              <w:right w:val="single" w:sz="4" w:space="0" w:color="auto"/>
            </w:tcBorders>
          </w:tcPr>
          <w:p w14:paraId="542BA874" w14:textId="727DD397" w:rsidR="003E741D" w:rsidRPr="00C33089" w:rsidRDefault="003E741D" w:rsidP="001959C9">
            <w:pPr>
              <w:tabs>
                <w:tab w:val="left" w:pos="992"/>
              </w:tabs>
              <w:spacing w:before="20" w:after="20"/>
              <w:rPr>
                <w:rFonts w:ascii="Arial" w:hAnsi="Arial"/>
                <w:sz w:val="16"/>
              </w:rPr>
            </w:pPr>
            <w:r w:rsidRPr="00C33089">
              <w:rPr>
                <w:rFonts w:ascii="Arial" w:hAnsi="Arial"/>
                <w:sz w:val="16"/>
              </w:rPr>
              <w:t xml:space="preserve">Digital </w:t>
            </w:r>
            <w:r w:rsidR="00020298">
              <w:rPr>
                <w:rFonts w:ascii="Arial" w:hAnsi="Arial"/>
                <w:sz w:val="16"/>
              </w:rPr>
              <w:t>c</w:t>
            </w:r>
            <w:r w:rsidRPr="00C33089">
              <w:rPr>
                <w:rFonts w:ascii="Arial" w:hAnsi="Arial"/>
                <w:sz w:val="16"/>
              </w:rPr>
              <w:t xml:space="preserve">ontent and </w:t>
            </w:r>
            <w:r w:rsidR="003D408D">
              <w:rPr>
                <w:rFonts w:ascii="Arial" w:hAnsi="Arial"/>
                <w:sz w:val="16"/>
              </w:rPr>
              <w:t>open ed</w:t>
            </w:r>
            <w:r w:rsidR="00EE602C">
              <w:rPr>
                <w:rFonts w:ascii="Arial" w:hAnsi="Arial"/>
                <w:sz w:val="16"/>
              </w:rPr>
              <w:t>uca</w:t>
            </w:r>
            <w:r w:rsidR="003D408D">
              <w:rPr>
                <w:rFonts w:ascii="Arial" w:hAnsi="Arial"/>
                <w:sz w:val="16"/>
              </w:rPr>
              <w:t>tion</w:t>
            </w:r>
            <w:r w:rsidR="00EE602C">
              <w:rPr>
                <w:rFonts w:ascii="Arial" w:hAnsi="Arial"/>
                <w:sz w:val="16"/>
              </w:rPr>
              <w:t>al</w:t>
            </w:r>
            <w:r w:rsidR="003D408D">
              <w:rPr>
                <w:rFonts w:ascii="Arial" w:hAnsi="Arial"/>
                <w:sz w:val="16"/>
              </w:rPr>
              <w:t xml:space="preserve"> resources</w:t>
            </w:r>
            <w:r w:rsidRPr="00C33089">
              <w:rPr>
                <w:rFonts w:ascii="Arial" w:hAnsi="Arial"/>
                <w:sz w:val="16"/>
              </w:rPr>
              <w:t xml:space="preserve"> are widely promoted and used</w:t>
            </w:r>
            <w:r w:rsidR="002B2904">
              <w:rPr>
                <w:rFonts w:ascii="Arial" w:hAnsi="Arial"/>
                <w:sz w:val="16"/>
              </w:rPr>
              <w:t>.</w:t>
            </w:r>
          </w:p>
        </w:tc>
        <w:tc>
          <w:tcPr>
            <w:tcW w:w="3641" w:type="dxa"/>
            <w:tcBorders>
              <w:top w:val="single" w:sz="4" w:space="0" w:color="auto"/>
              <w:left w:val="single" w:sz="4" w:space="0" w:color="auto"/>
              <w:bottom w:val="single" w:sz="4" w:space="0" w:color="BFBFBF" w:themeColor="background1" w:themeShade="BF"/>
              <w:right w:val="nil"/>
            </w:tcBorders>
          </w:tcPr>
          <w:p w14:paraId="29EA5717" w14:textId="6102A4B6" w:rsidR="003E741D" w:rsidRPr="00C33089" w:rsidRDefault="003E741D" w:rsidP="001959C9">
            <w:pPr>
              <w:spacing w:before="40" w:after="40"/>
              <w:rPr>
                <w:rFonts w:ascii="Arial" w:hAnsi="Arial"/>
                <w:sz w:val="16"/>
              </w:rPr>
            </w:pPr>
            <w:r w:rsidRPr="00C33089">
              <w:rPr>
                <w:rFonts w:ascii="Arial" w:hAnsi="Arial"/>
                <w:sz w:val="16"/>
              </w:rPr>
              <w:t>43. Staff and students are the creators of contents</w:t>
            </w:r>
            <w:r w:rsidR="00020298">
              <w:rPr>
                <w:rFonts w:ascii="Arial" w:hAnsi="Arial"/>
                <w:sz w:val="16"/>
              </w:rPr>
              <w:t>.</w:t>
            </w:r>
          </w:p>
        </w:tc>
      </w:tr>
      <w:tr w:rsidR="003E741D" w:rsidRPr="00C90A71" w14:paraId="429FDD85" w14:textId="77777777" w:rsidTr="001959C9">
        <w:tc>
          <w:tcPr>
            <w:tcW w:w="2642" w:type="dxa"/>
            <w:vMerge/>
            <w:tcBorders>
              <w:left w:val="nil"/>
              <w:right w:val="single" w:sz="4" w:space="0" w:color="auto"/>
            </w:tcBorders>
          </w:tcPr>
          <w:p w14:paraId="2A5CB612" w14:textId="77777777" w:rsidR="003E741D" w:rsidRPr="00C90A71" w:rsidRDefault="003E741D" w:rsidP="001959C9"/>
        </w:tc>
        <w:tc>
          <w:tcPr>
            <w:tcW w:w="2643" w:type="dxa"/>
            <w:tcBorders>
              <w:top w:val="nil"/>
              <w:left w:val="single" w:sz="4" w:space="0" w:color="auto"/>
              <w:bottom w:val="nil"/>
              <w:right w:val="single" w:sz="4" w:space="0" w:color="auto"/>
            </w:tcBorders>
          </w:tcPr>
          <w:p w14:paraId="41C18B35" w14:textId="77777777" w:rsidR="003E741D" w:rsidRPr="00C33089" w:rsidRDefault="003E741D" w:rsidP="001959C9">
            <w:pPr>
              <w:tabs>
                <w:tab w:val="left" w:pos="992"/>
              </w:tabs>
              <w:spacing w:before="20" w:after="20"/>
              <w:rPr>
                <w:rFonts w:ascii="Arial" w:hAnsi="Arial"/>
                <w:sz w:val="17"/>
              </w:rPr>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390652B6" w14:textId="3D75B455" w:rsidR="003E741D" w:rsidRPr="00887F36" w:rsidRDefault="003E741D" w:rsidP="001959C9">
            <w:pPr>
              <w:spacing w:before="40" w:after="40"/>
              <w:rPr>
                <w:rFonts w:ascii="Arial" w:hAnsi="Arial"/>
                <w:sz w:val="16"/>
              </w:rPr>
            </w:pPr>
            <w:r w:rsidRPr="00C33089">
              <w:rPr>
                <w:rFonts w:ascii="Arial" w:hAnsi="Arial"/>
                <w:sz w:val="16"/>
              </w:rPr>
              <w:t>44. Content repositories are widely and effectively used</w:t>
            </w:r>
            <w:r w:rsidR="00020298">
              <w:rPr>
                <w:rFonts w:ascii="Arial" w:hAnsi="Arial"/>
                <w:sz w:val="16"/>
              </w:rPr>
              <w:t>.</w:t>
            </w:r>
          </w:p>
        </w:tc>
      </w:tr>
      <w:tr w:rsidR="003E741D" w:rsidRPr="00C90A71" w14:paraId="40D83B77" w14:textId="77777777" w:rsidTr="001959C9">
        <w:tc>
          <w:tcPr>
            <w:tcW w:w="2642" w:type="dxa"/>
            <w:vMerge/>
            <w:tcBorders>
              <w:left w:val="nil"/>
              <w:right w:val="single" w:sz="4" w:space="0" w:color="auto"/>
            </w:tcBorders>
          </w:tcPr>
          <w:p w14:paraId="0A020326" w14:textId="77777777" w:rsidR="003E741D" w:rsidRPr="00C90A71" w:rsidRDefault="003E741D" w:rsidP="001959C9"/>
        </w:tc>
        <w:tc>
          <w:tcPr>
            <w:tcW w:w="2643" w:type="dxa"/>
            <w:tcBorders>
              <w:top w:val="nil"/>
              <w:left w:val="single" w:sz="4" w:space="0" w:color="auto"/>
              <w:bottom w:val="nil"/>
              <w:right w:val="single" w:sz="4" w:space="0" w:color="auto"/>
            </w:tcBorders>
          </w:tcPr>
          <w:p w14:paraId="0A3F7564" w14:textId="77777777" w:rsidR="003E741D" w:rsidRPr="00C33089" w:rsidRDefault="003E741D" w:rsidP="001959C9">
            <w:pPr>
              <w:tabs>
                <w:tab w:val="left" w:pos="992"/>
              </w:tabs>
              <w:spacing w:before="20" w:after="20"/>
              <w:rPr>
                <w:rFonts w:ascii="Arial" w:hAnsi="Arial"/>
                <w:sz w:val="17"/>
              </w:rPr>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3F8733BA" w14:textId="6793EF07" w:rsidR="003E741D" w:rsidRPr="00887F36" w:rsidRDefault="003E741D" w:rsidP="001959C9">
            <w:pPr>
              <w:spacing w:before="40" w:after="40"/>
              <w:rPr>
                <w:rFonts w:ascii="Arial" w:hAnsi="Arial"/>
                <w:sz w:val="16"/>
              </w:rPr>
            </w:pPr>
            <w:r w:rsidRPr="00C33089">
              <w:rPr>
                <w:rFonts w:ascii="Arial" w:hAnsi="Arial"/>
                <w:sz w:val="16"/>
              </w:rPr>
              <w:t>45. Intellectual property and copyright are respected</w:t>
            </w:r>
            <w:r w:rsidR="00020298">
              <w:rPr>
                <w:rFonts w:ascii="Arial" w:hAnsi="Arial"/>
                <w:sz w:val="16"/>
              </w:rPr>
              <w:t>.</w:t>
            </w:r>
          </w:p>
        </w:tc>
      </w:tr>
      <w:tr w:rsidR="003E741D" w:rsidRPr="00C90A71" w14:paraId="76F39D10" w14:textId="77777777" w:rsidTr="001959C9">
        <w:tc>
          <w:tcPr>
            <w:tcW w:w="2642" w:type="dxa"/>
            <w:vMerge/>
            <w:tcBorders>
              <w:left w:val="nil"/>
              <w:right w:val="single" w:sz="4" w:space="0" w:color="auto"/>
            </w:tcBorders>
          </w:tcPr>
          <w:p w14:paraId="426E165A" w14:textId="77777777" w:rsidR="003E741D" w:rsidRPr="00C90A71" w:rsidRDefault="003E741D" w:rsidP="001959C9"/>
        </w:tc>
        <w:tc>
          <w:tcPr>
            <w:tcW w:w="2643" w:type="dxa"/>
            <w:tcBorders>
              <w:top w:val="nil"/>
              <w:left w:val="single" w:sz="4" w:space="0" w:color="auto"/>
              <w:bottom w:val="nil"/>
              <w:right w:val="single" w:sz="4" w:space="0" w:color="auto"/>
            </w:tcBorders>
          </w:tcPr>
          <w:p w14:paraId="145C5789" w14:textId="77777777" w:rsidR="003E741D" w:rsidRPr="00C33089" w:rsidRDefault="003E741D" w:rsidP="001959C9">
            <w:pPr>
              <w:tabs>
                <w:tab w:val="left" w:pos="992"/>
              </w:tabs>
              <w:spacing w:before="20" w:after="20"/>
              <w:rPr>
                <w:rFonts w:ascii="Arial" w:hAnsi="Arial"/>
                <w:sz w:val="17"/>
              </w:rPr>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3596D845" w14:textId="3145CAB1" w:rsidR="003E741D" w:rsidRPr="00887F36" w:rsidRDefault="003E741D" w:rsidP="001959C9">
            <w:pPr>
              <w:spacing w:before="40" w:after="40"/>
              <w:rPr>
                <w:rFonts w:ascii="Arial" w:hAnsi="Arial"/>
                <w:sz w:val="16"/>
              </w:rPr>
            </w:pPr>
            <w:r w:rsidRPr="00C33089">
              <w:rPr>
                <w:rFonts w:ascii="Arial" w:hAnsi="Arial"/>
                <w:sz w:val="16"/>
              </w:rPr>
              <w:t>46. Digital tools and contents are licensed as required</w:t>
            </w:r>
            <w:r w:rsidR="00020298">
              <w:rPr>
                <w:rFonts w:ascii="Arial" w:hAnsi="Arial"/>
                <w:sz w:val="16"/>
              </w:rPr>
              <w:t>.</w:t>
            </w:r>
          </w:p>
        </w:tc>
      </w:tr>
      <w:tr w:rsidR="003E741D" w:rsidRPr="00C90A71" w14:paraId="7FF47FAB" w14:textId="77777777" w:rsidTr="001959C9">
        <w:tc>
          <w:tcPr>
            <w:tcW w:w="2642" w:type="dxa"/>
            <w:vMerge/>
            <w:tcBorders>
              <w:left w:val="nil"/>
              <w:right w:val="single" w:sz="4" w:space="0" w:color="auto"/>
            </w:tcBorders>
          </w:tcPr>
          <w:p w14:paraId="7ADD7262" w14:textId="77777777" w:rsidR="003E741D" w:rsidRPr="00C90A71" w:rsidRDefault="003E741D" w:rsidP="001959C9"/>
        </w:tc>
        <w:tc>
          <w:tcPr>
            <w:tcW w:w="2643" w:type="dxa"/>
            <w:tcBorders>
              <w:top w:val="nil"/>
              <w:left w:val="single" w:sz="4" w:space="0" w:color="auto"/>
              <w:bottom w:val="single" w:sz="4" w:space="0" w:color="auto"/>
              <w:right w:val="single" w:sz="4" w:space="0" w:color="auto"/>
            </w:tcBorders>
          </w:tcPr>
          <w:p w14:paraId="1C7A184F" w14:textId="77777777" w:rsidR="003E741D" w:rsidRPr="00C33089" w:rsidRDefault="003E741D" w:rsidP="001959C9">
            <w:pPr>
              <w:tabs>
                <w:tab w:val="left" w:pos="992"/>
              </w:tabs>
              <w:spacing w:before="20" w:after="20"/>
              <w:rPr>
                <w:rFonts w:ascii="Arial" w:hAnsi="Arial"/>
                <w:sz w:val="17"/>
              </w:rPr>
            </w:pPr>
          </w:p>
        </w:tc>
        <w:tc>
          <w:tcPr>
            <w:tcW w:w="3641" w:type="dxa"/>
            <w:tcBorders>
              <w:top w:val="single" w:sz="4" w:space="0" w:color="BFBFBF" w:themeColor="background1" w:themeShade="BF"/>
              <w:left w:val="single" w:sz="4" w:space="0" w:color="auto"/>
              <w:bottom w:val="single" w:sz="4" w:space="0" w:color="auto"/>
              <w:right w:val="nil"/>
            </w:tcBorders>
          </w:tcPr>
          <w:p w14:paraId="1303482C" w14:textId="2300C95B" w:rsidR="003E741D" w:rsidRPr="00887F36" w:rsidRDefault="003E741D" w:rsidP="001959C9">
            <w:pPr>
              <w:spacing w:before="40" w:after="40"/>
              <w:rPr>
                <w:rFonts w:ascii="Arial" w:hAnsi="Arial"/>
                <w:sz w:val="16"/>
              </w:rPr>
            </w:pPr>
            <w:r w:rsidRPr="00C33089">
              <w:rPr>
                <w:rFonts w:ascii="Arial" w:hAnsi="Arial"/>
                <w:sz w:val="16"/>
              </w:rPr>
              <w:t xml:space="preserve">47. Open </w:t>
            </w:r>
            <w:r w:rsidR="00020298" w:rsidRPr="00C33089">
              <w:rPr>
                <w:rFonts w:ascii="Arial" w:hAnsi="Arial"/>
                <w:sz w:val="16"/>
              </w:rPr>
              <w:t xml:space="preserve">educational resources </w:t>
            </w:r>
            <w:r w:rsidRPr="00C33089">
              <w:rPr>
                <w:rFonts w:ascii="Arial" w:hAnsi="Arial"/>
                <w:sz w:val="16"/>
              </w:rPr>
              <w:t>are promoted and used</w:t>
            </w:r>
            <w:r w:rsidR="00020298">
              <w:rPr>
                <w:rFonts w:ascii="Arial" w:hAnsi="Arial"/>
                <w:sz w:val="16"/>
              </w:rPr>
              <w:t>.</w:t>
            </w:r>
          </w:p>
        </w:tc>
      </w:tr>
      <w:tr w:rsidR="003E741D" w:rsidRPr="00C90A71" w14:paraId="51CA9712" w14:textId="77777777" w:rsidTr="001959C9">
        <w:tc>
          <w:tcPr>
            <w:tcW w:w="2642" w:type="dxa"/>
            <w:vMerge/>
            <w:tcBorders>
              <w:left w:val="nil"/>
              <w:right w:val="single" w:sz="4" w:space="0" w:color="auto"/>
            </w:tcBorders>
          </w:tcPr>
          <w:p w14:paraId="61D2D275"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6FE0BEC6" w14:textId="77F6F261" w:rsidR="003E741D" w:rsidRPr="00CF72A0" w:rsidRDefault="003E741D" w:rsidP="001959C9">
            <w:pPr>
              <w:tabs>
                <w:tab w:val="left" w:pos="992"/>
              </w:tabs>
              <w:spacing w:before="20" w:after="20"/>
              <w:rPr>
                <w:rFonts w:ascii="Arial" w:hAnsi="Arial"/>
                <w:sz w:val="16"/>
              </w:rPr>
            </w:pPr>
            <w:r w:rsidRPr="00CF72A0">
              <w:rPr>
                <w:rFonts w:ascii="Arial" w:hAnsi="Arial"/>
                <w:sz w:val="16"/>
              </w:rPr>
              <w:t>Curricula are redesigned or reinterpreted to reflect the pedagogical possibilities afforded by digital technologies</w:t>
            </w:r>
            <w:r w:rsidR="00C2520D">
              <w:rPr>
                <w:rFonts w:ascii="Arial" w:hAnsi="Arial"/>
                <w:sz w:val="16"/>
              </w:rPr>
              <w:t>.</w:t>
            </w:r>
          </w:p>
        </w:tc>
        <w:tc>
          <w:tcPr>
            <w:tcW w:w="3641" w:type="dxa"/>
            <w:tcBorders>
              <w:top w:val="single" w:sz="4" w:space="0" w:color="auto"/>
              <w:left w:val="single" w:sz="4" w:space="0" w:color="auto"/>
              <w:bottom w:val="single" w:sz="4" w:space="0" w:color="BFBFBF" w:themeColor="background1" w:themeShade="BF"/>
              <w:right w:val="nil"/>
            </w:tcBorders>
          </w:tcPr>
          <w:p w14:paraId="1C039DD4" w14:textId="2D6C4F88" w:rsidR="003E741D" w:rsidRPr="00887F36" w:rsidRDefault="003E741D" w:rsidP="001959C9">
            <w:pPr>
              <w:spacing w:before="40" w:after="40"/>
              <w:rPr>
                <w:rFonts w:ascii="Arial" w:hAnsi="Arial"/>
                <w:sz w:val="16"/>
              </w:rPr>
            </w:pPr>
            <w:r w:rsidRPr="00950F5A">
              <w:rPr>
                <w:rFonts w:ascii="Arial" w:hAnsi="Arial"/>
                <w:sz w:val="16"/>
              </w:rPr>
              <w:t>48. Subject-based learning is reimagined to create more integrated approaches</w:t>
            </w:r>
            <w:r w:rsidR="00020298">
              <w:rPr>
                <w:rFonts w:ascii="Arial" w:hAnsi="Arial"/>
                <w:sz w:val="16"/>
              </w:rPr>
              <w:t>.</w:t>
            </w:r>
          </w:p>
        </w:tc>
      </w:tr>
      <w:tr w:rsidR="003E741D" w:rsidRPr="00C90A71" w14:paraId="147402D7" w14:textId="77777777" w:rsidTr="001959C9">
        <w:tc>
          <w:tcPr>
            <w:tcW w:w="2642" w:type="dxa"/>
            <w:vMerge/>
            <w:tcBorders>
              <w:left w:val="nil"/>
              <w:right w:val="single" w:sz="4" w:space="0" w:color="auto"/>
            </w:tcBorders>
          </w:tcPr>
          <w:p w14:paraId="64126B33" w14:textId="77777777" w:rsidR="003E741D" w:rsidRPr="00C90A71" w:rsidRDefault="003E741D" w:rsidP="001959C9"/>
        </w:tc>
        <w:tc>
          <w:tcPr>
            <w:tcW w:w="2643" w:type="dxa"/>
            <w:vMerge/>
            <w:tcBorders>
              <w:left w:val="single" w:sz="4" w:space="0" w:color="auto"/>
              <w:right w:val="single" w:sz="4" w:space="0" w:color="auto"/>
            </w:tcBorders>
          </w:tcPr>
          <w:p w14:paraId="31A75F51" w14:textId="77777777" w:rsidR="003E741D" w:rsidRPr="00CF72A0" w:rsidRDefault="003E741D" w:rsidP="001959C9">
            <w:pPr>
              <w:tabs>
                <w:tab w:val="left" w:pos="992"/>
              </w:tabs>
              <w:spacing w:before="20" w:after="20"/>
              <w:jc w:val="center"/>
              <w:rPr>
                <w:rFonts w:ascii="Arial" w:hAnsi="Arial"/>
                <w:sz w:val="16"/>
              </w:rPr>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7D006D74" w14:textId="19E52693" w:rsidR="003E741D" w:rsidRPr="00950F5A" w:rsidRDefault="003E741D" w:rsidP="001959C9">
            <w:pPr>
              <w:spacing w:before="40" w:after="40"/>
              <w:rPr>
                <w:rFonts w:ascii="Arial" w:hAnsi="Arial"/>
                <w:sz w:val="16"/>
              </w:rPr>
            </w:pPr>
            <w:r w:rsidRPr="00950F5A">
              <w:rPr>
                <w:rFonts w:ascii="Arial" w:hAnsi="Arial"/>
                <w:sz w:val="16"/>
              </w:rPr>
              <w:t>49. The time and place of learning is rescheduled</w:t>
            </w:r>
            <w:r w:rsidR="00020298">
              <w:rPr>
                <w:rFonts w:ascii="Arial" w:hAnsi="Arial"/>
                <w:sz w:val="16"/>
              </w:rPr>
              <w:t>.</w:t>
            </w:r>
          </w:p>
        </w:tc>
      </w:tr>
      <w:tr w:rsidR="003E741D" w:rsidRPr="00C90A71" w14:paraId="6E455AA4" w14:textId="77777777" w:rsidTr="001959C9">
        <w:tc>
          <w:tcPr>
            <w:tcW w:w="2642" w:type="dxa"/>
            <w:vMerge/>
            <w:tcBorders>
              <w:left w:val="nil"/>
              <w:right w:val="single" w:sz="4" w:space="0" w:color="auto"/>
            </w:tcBorders>
          </w:tcPr>
          <w:p w14:paraId="419DA3C8" w14:textId="77777777" w:rsidR="003E741D" w:rsidRPr="00C90A71" w:rsidRDefault="003E741D" w:rsidP="001959C9"/>
        </w:tc>
        <w:tc>
          <w:tcPr>
            <w:tcW w:w="2643" w:type="dxa"/>
            <w:vMerge/>
            <w:tcBorders>
              <w:left w:val="single" w:sz="4" w:space="0" w:color="auto"/>
              <w:right w:val="single" w:sz="4" w:space="0" w:color="auto"/>
            </w:tcBorders>
          </w:tcPr>
          <w:p w14:paraId="57A119E7" w14:textId="77777777" w:rsidR="003E741D" w:rsidRPr="00CF72A0" w:rsidRDefault="003E741D" w:rsidP="001959C9">
            <w:pPr>
              <w:tabs>
                <w:tab w:val="left" w:pos="992"/>
              </w:tabs>
              <w:spacing w:before="20" w:after="20"/>
              <w:jc w:val="center"/>
              <w:rPr>
                <w:rFonts w:ascii="Arial" w:hAnsi="Arial"/>
                <w:sz w:val="16"/>
              </w:rPr>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5A6BA27C" w14:textId="0705898E" w:rsidR="003E741D" w:rsidRPr="00950F5A" w:rsidRDefault="003E741D" w:rsidP="001959C9">
            <w:pPr>
              <w:spacing w:before="40" w:after="40"/>
              <w:rPr>
                <w:rFonts w:ascii="Arial" w:hAnsi="Arial"/>
                <w:sz w:val="16"/>
              </w:rPr>
            </w:pPr>
            <w:r w:rsidRPr="00950F5A">
              <w:rPr>
                <w:rFonts w:ascii="Arial" w:hAnsi="Arial"/>
                <w:sz w:val="16"/>
              </w:rPr>
              <w:t>50. Online provision is a reality</w:t>
            </w:r>
            <w:r w:rsidR="00020298">
              <w:rPr>
                <w:rFonts w:ascii="Arial" w:hAnsi="Arial"/>
                <w:sz w:val="16"/>
              </w:rPr>
              <w:t>.</w:t>
            </w:r>
          </w:p>
        </w:tc>
      </w:tr>
      <w:tr w:rsidR="003E741D" w:rsidRPr="00C90A71" w14:paraId="6E48D14F" w14:textId="77777777" w:rsidTr="001959C9">
        <w:tc>
          <w:tcPr>
            <w:tcW w:w="2642" w:type="dxa"/>
            <w:vMerge/>
            <w:tcBorders>
              <w:left w:val="nil"/>
              <w:right w:val="single" w:sz="4" w:space="0" w:color="auto"/>
            </w:tcBorders>
          </w:tcPr>
          <w:p w14:paraId="75B33F7C" w14:textId="77777777" w:rsidR="003E741D" w:rsidRPr="00C90A71" w:rsidRDefault="003E741D" w:rsidP="001959C9"/>
        </w:tc>
        <w:tc>
          <w:tcPr>
            <w:tcW w:w="2643" w:type="dxa"/>
            <w:vMerge/>
            <w:tcBorders>
              <w:left w:val="single" w:sz="4" w:space="0" w:color="auto"/>
              <w:right w:val="single" w:sz="4" w:space="0" w:color="auto"/>
            </w:tcBorders>
          </w:tcPr>
          <w:p w14:paraId="78976643" w14:textId="77777777" w:rsidR="003E741D" w:rsidRPr="00CF72A0" w:rsidRDefault="003E741D" w:rsidP="001959C9">
            <w:pPr>
              <w:tabs>
                <w:tab w:val="left" w:pos="992"/>
              </w:tabs>
              <w:spacing w:before="20" w:after="20"/>
              <w:jc w:val="center"/>
              <w:rPr>
                <w:rFonts w:ascii="Arial" w:hAnsi="Arial"/>
                <w:sz w:val="16"/>
              </w:rPr>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633B2008" w14:textId="7A7AD03E" w:rsidR="003E741D" w:rsidRPr="00950F5A" w:rsidRDefault="003E741D" w:rsidP="001959C9">
            <w:pPr>
              <w:spacing w:before="40" w:after="40"/>
              <w:rPr>
                <w:rFonts w:ascii="Arial" w:hAnsi="Arial"/>
                <w:sz w:val="16"/>
              </w:rPr>
            </w:pPr>
            <w:r w:rsidRPr="00950F5A">
              <w:rPr>
                <w:rFonts w:ascii="Arial" w:hAnsi="Arial"/>
                <w:sz w:val="16"/>
              </w:rPr>
              <w:t>51. Learning in authentic contexts is promoted</w:t>
            </w:r>
            <w:r w:rsidR="00020298">
              <w:rPr>
                <w:rFonts w:ascii="Arial" w:hAnsi="Arial"/>
                <w:sz w:val="16"/>
              </w:rPr>
              <w:t>.</w:t>
            </w:r>
          </w:p>
        </w:tc>
      </w:tr>
      <w:tr w:rsidR="003E741D" w:rsidRPr="00C90A71" w14:paraId="45B46F5A" w14:textId="77777777" w:rsidTr="001959C9">
        <w:tc>
          <w:tcPr>
            <w:tcW w:w="2642" w:type="dxa"/>
            <w:vMerge/>
            <w:tcBorders>
              <w:left w:val="nil"/>
              <w:right w:val="single" w:sz="4" w:space="0" w:color="auto"/>
            </w:tcBorders>
          </w:tcPr>
          <w:p w14:paraId="7A92ADF2" w14:textId="77777777" w:rsidR="003E741D" w:rsidRPr="00C90A71" w:rsidRDefault="003E741D" w:rsidP="001959C9"/>
        </w:tc>
        <w:tc>
          <w:tcPr>
            <w:tcW w:w="2643" w:type="dxa"/>
            <w:vMerge/>
            <w:tcBorders>
              <w:left w:val="single" w:sz="4" w:space="0" w:color="auto"/>
              <w:right w:val="single" w:sz="4" w:space="0" w:color="auto"/>
            </w:tcBorders>
          </w:tcPr>
          <w:p w14:paraId="68280CA1" w14:textId="77777777" w:rsidR="003E741D" w:rsidRPr="00CF72A0" w:rsidRDefault="003E741D" w:rsidP="001959C9">
            <w:pPr>
              <w:tabs>
                <w:tab w:val="left" w:pos="992"/>
              </w:tabs>
              <w:spacing w:before="20" w:after="20"/>
              <w:jc w:val="center"/>
              <w:rPr>
                <w:rFonts w:ascii="Arial" w:hAnsi="Arial"/>
                <w:sz w:val="16"/>
              </w:rPr>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63797618" w14:textId="7638E773" w:rsidR="003E741D" w:rsidRPr="00950F5A" w:rsidRDefault="003E741D" w:rsidP="001959C9">
            <w:pPr>
              <w:spacing w:before="40" w:after="40"/>
              <w:rPr>
                <w:rFonts w:ascii="Arial" w:hAnsi="Arial"/>
                <w:sz w:val="16"/>
              </w:rPr>
            </w:pPr>
            <w:r w:rsidRPr="00950F5A">
              <w:rPr>
                <w:rFonts w:ascii="Arial" w:hAnsi="Arial"/>
                <w:sz w:val="16"/>
              </w:rPr>
              <w:t>52. Digital learning provision is evident across curriculum areas</w:t>
            </w:r>
            <w:r w:rsidR="00020298">
              <w:rPr>
                <w:rFonts w:ascii="Arial" w:hAnsi="Arial"/>
                <w:sz w:val="16"/>
              </w:rPr>
              <w:t>.</w:t>
            </w:r>
          </w:p>
        </w:tc>
      </w:tr>
      <w:tr w:rsidR="003E741D" w:rsidRPr="00C90A71" w14:paraId="7A8D6119" w14:textId="77777777" w:rsidTr="003E741D">
        <w:tc>
          <w:tcPr>
            <w:tcW w:w="2642" w:type="dxa"/>
            <w:vMerge/>
            <w:tcBorders>
              <w:left w:val="nil"/>
              <w:bottom w:val="single" w:sz="4" w:space="0" w:color="auto"/>
              <w:right w:val="single" w:sz="4" w:space="0" w:color="auto"/>
            </w:tcBorders>
          </w:tcPr>
          <w:p w14:paraId="3620BA78"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209E6137" w14:textId="77777777" w:rsidR="003E741D" w:rsidRPr="00CF72A0" w:rsidRDefault="003E741D" w:rsidP="001959C9">
            <w:pPr>
              <w:tabs>
                <w:tab w:val="left" w:pos="992"/>
              </w:tabs>
              <w:spacing w:before="20" w:after="20"/>
              <w:jc w:val="center"/>
              <w:rPr>
                <w:rFonts w:ascii="Arial" w:hAnsi="Arial"/>
                <w:sz w:val="16"/>
              </w:rPr>
            </w:pPr>
          </w:p>
        </w:tc>
        <w:tc>
          <w:tcPr>
            <w:tcW w:w="3641" w:type="dxa"/>
            <w:tcBorders>
              <w:top w:val="single" w:sz="4" w:space="0" w:color="BFBFBF" w:themeColor="background1" w:themeShade="BF"/>
              <w:left w:val="single" w:sz="4" w:space="0" w:color="auto"/>
              <w:bottom w:val="single" w:sz="4" w:space="0" w:color="auto"/>
              <w:right w:val="nil"/>
            </w:tcBorders>
          </w:tcPr>
          <w:p w14:paraId="770449BA" w14:textId="00141740" w:rsidR="003E741D" w:rsidRPr="00950F5A" w:rsidRDefault="003E741D" w:rsidP="001959C9">
            <w:pPr>
              <w:spacing w:before="40" w:after="40"/>
              <w:rPr>
                <w:rFonts w:ascii="Arial" w:hAnsi="Arial"/>
                <w:sz w:val="16"/>
              </w:rPr>
            </w:pPr>
            <w:r w:rsidRPr="00950F5A">
              <w:rPr>
                <w:rFonts w:ascii="Arial" w:hAnsi="Arial"/>
                <w:sz w:val="16"/>
              </w:rPr>
              <w:t>53. Students’ digital competence is developed across the curriculum</w:t>
            </w:r>
            <w:r w:rsidR="00020298">
              <w:rPr>
                <w:rFonts w:ascii="Arial" w:hAnsi="Arial"/>
                <w:sz w:val="16"/>
              </w:rPr>
              <w:t>.</w:t>
            </w:r>
          </w:p>
        </w:tc>
      </w:tr>
      <w:tr w:rsidR="003E741D" w:rsidRPr="00C90A71" w14:paraId="4D250F90" w14:textId="77777777" w:rsidTr="003E741D">
        <w:tc>
          <w:tcPr>
            <w:tcW w:w="2642" w:type="dxa"/>
            <w:vMerge w:val="restart"/>
            <w:tcBorders>
              <w:top w:val="single" w:sz="4" w:space="0" w:color="auto"/>
              <w:left w:val="nil"/>
              <w:right w:val="single" w:sz="4" w:space="0" w:color="auto"/>
            </w:tcBorders>
            <w:vAlign w:val="center"/>
          </w:tcPr>
          <w:p w14:paraId="1CD2F817" w14:textId="7F3DEB2D" w:rsidR="003E741D" w:rsidRPr="00C90A71" w:rsidRDefault="003E741D" w:rsidP="001959C9">
            <w:pPr>
              <w:spacing w:before="80" w:after="80"/>
            </w:pPr>
            <w:r w:rsidRPr="00950F5A">
              <w:rPr>
                <w:rFonts w:ascii="Arial" w:hAnsi="Arial"/>
                <w:b/>
                <w:sz w:val="17"/>
              </w:rPr>
              <w:t xml:space="preserve">Collaboration and </w:t>
            </w:r>
            <w:r w:rsidR="00D149D9">
              <w:rPr>
                <w:rFonts w:ascii="Arial" w:hAnsi="Arial"/>
                <w:b/>
                <w:sz w:val="17"/>
              </w:rPr>
              <w:t>n</w:t>
            </w:r>
            <w:r w:rsidRPr="00950F5A">
              <w:rPr>
                <w:rFonts w:ascii="Arial" w:hAnsi="Arial"/>
                <w:b/>
                <w:sz w:val="17"/>
              </w:rPr>
              <w:t>etworking</w:t>
            </w:r>
          </w:p>
        </w:tc>
        <w:tc>
          <w:tcPr>
            <w:tcW w:w="2643" w:type="dxa"/>
            <w:vMerge w:val="restart"/>
            <w:tcBorders>
              <w:top w:val="single" w:sz="4" w:space="0" w:color="auto"/>
              <w:left w:val="single" w:sz="4" w:space="0" w:color="auto"/>
              <w:right w:val="single" w:sz="4" w:space="0" w:color="auto"/>
            </w:tcBorders>
            <w:vAlign w:val="center"/>
          </w:tcPr>
          <w:p w14:paraId="64845582" w14:textId="4D8CE61D" w:rsidR="003E741D" w:rsidRPr="00CF72A0" w:rsidRDefault="003E741D" w:rsidP="001959C9">
            <w:pPr>
              <w:tabs>
                <w:tab w:val="left" w:pos="992"/>
              </w:tabs>
              <w:spacing w:before="20" w:after="20"/>
              <w:rPr>
                <w:rFonts w:ascii="Arial" w:hAnsi="Arial"/>
                <w:sz w:val="16"/>
              </w:rPr>
            </w:pPr>
            <w:r w:rsidRPr="00950F5A">
              <w:rPr>
                <w:rFonts w:ascii="Arial" w:hAnsi="Arial"/>
                <w:sz w:val="16"/>
              </w:rPr>
              <w:t>Networking, sharing &amp; collaboration is promoted</w:t>
            </w:r>
            <w:r w:rsidR="00D149D9">
              <w:rPr>
                <w:rFonts w:ascii="Arial" w:hAnsi="Arial"/>
                <w:sz w:val="16"/>
              </w:rPr>
              <w:t>.</w:t>
            </w:r>
          </w:p>
        </w:tc>
        <w:tc>
          <w:tcPr>
            <w:tcW w:w="3641" w:type="dxa"/>
            <w:tcBorders>
              <w:top w:val="single" w:sz="4" w:space="0" w:color="auto"/>
              <w:left w:val="single" w:sz="4" w:space="0" w:color="auto"/>
              <w:bottom w:val="single" w:sz="4" w:space="0" w:color="BFBFBF" w:themeColor="background1" w:themeShade="BF"/>
              <w:right w:val="nil"/>
            </w:tcBorders>
          </w:tcPr>
          <w:p w14:paraId="43D13D2F" w14:textId="1DCC9817" w:rsidR="003E741D" w:rsidRPr="00950F5A" w:rsidRDefault="003E741D" w:rsidP="001959C9">
            <w:pPr>
              <w:spacing w:before="40" w:after="40"/>
              <w:rPr>
                <w:rFonts w:ascii="Arial" w:hAnsi="Arial"/>
                <w:sz w:val="16"/>
              </w:rPr>
            </w:pPr>
            <w:r w:rsidRPr="00950F5A">
              <w:rPr>
                <w:rFonts w:ascii="Arial" w:hAnsi="Arial"/>
                <w:sz w:val="16"/>
              </w:rPr>
              <w:t>54. Networked collaboration for staff to pool expertise and share contents is the norm</w:t>
            </w:r>
            <w:r w:rsidR="00020298">
              <w:rPr>
                <w:rFonts w:ascii="Arial" w:hAnsi="Arial"/>
                <w:sz w:val="16"/>
              </w:rPr>
              <w:t>.</w:t>
            </w:r>
          </w:p>
        </w:tc>
      </w:tr>
      <w:tr w:rsidR="003E741D" w:rsidRPr="00C90A71" w14:paraId="384052DB" w14:textId="77777777" w:rsidTr="001959C9">
        <w:tc>
          <w:tcPr>
            <w:tcW w:w="2642" w:type="dxa"/>
            <w:vMerge/>
            <w:tcBorders>
              <w:left w:val="nil"/>
              <w:right w:val="single" w:sz="4" w:space="0" w:color="auto"/>
            </w:tcBorders>
          </w:tcPr>
          <w:p w14:paraId="21D2D8D6" w14:textId="77777777" w:rsidR="003E741D" w:rsidRPr="00C90A71" w:rsidRDefault="003E741D" w:rsidP="001959C9"/>
        </w:tc>
        <w:tc>
          <w:tcPr>
            <w:tcW w:w="2643" w:type="dxa"/>
            <w:vMerge/>
            <w:tcBorders>
              <w:left w:val="single" w:sz="4" w:space="0" w:color="auto"/>
              <w:right w:val="single" w:sz="4" w:space="0" w:color="auto"/>
            </w:tcBorders>
          </w:tcPr>
          <w:p w14:paraId="30D55532"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033235A3" w14:textId="4CF379C8" w:rsidR="003E741D" w:rsidRPr="00950F5A" w:rsidRDefault="003E741D" w:rsidP="001959C9">
            <w:pPr>
              <w:spacing w:before="40" w:after="40"/>
              <w:rPr>
                <w:rFonts w:ascii="Arial" w:hAnsi="Arial"/>
                <w:sz w:val="16"/>
              </w:rPr>
            </w:pPr>
            <w:r w:rsidRPr="00D47D45">
              <w:rPr>
                <w:rFonts w:ascii="Arial" w:hAnsi="Arial"/>
                <w:sz w:val="16"/>
              </w:rPr>
              <w:t>55. Knowledge exchange efforts are recognised</w:t>
            </w:r>
            <w:r w:rsidR="00020298">
              <w:rPr>
                <w:rFonts w:ascii="Arial" w:hAnsi="Arial"/>
                <w:sz w:val="16"/>
              </w:rPr>
              <w:t>.</w:t>
            </w:r>
          </w:p>
        </w:tc>
      </w:tr>
      <w:tr w:rsidR="003E741D" w:rsidRPr="00C90A71" w14:paraId="38DCB093" w14:textId="77777777" w:rsidTr="001959C9">
        <w:tc>
          <w:tcPr>
            <w:tcW w:w="2642" w:type="dxa"/>
            <w:vMerge/>
            <w:tcBorders>
              <w:left w:val="nil"/>
              <w:right w:val="single" w:sz="4" w:space="0" w:color="auto"/>
            </w:tcBorders>
          </w:tcPr>
          <w:p w14:paraId="16B76E96" w14:textId="77777777" w:rsidR="003E741D" w:rsidRPr="00C90A71" w:rsidRDefault="003E741D" w:rsidP="001959C9"/>
        </w:tc>
        <w:tc>
          <w:tcPr>
            <w:tcW w:w="2643" w:type="dxa"/>
            <w:vMerge/>
            <w:tcBorders>
              <w:left w:val="single" w:sz="4" w:space="0" w:color="auto"/>
              <w:right w:val="single" w:sz="4" w:space="0" w:color="auto"/>
            </w:tcBorders>
          </w:tcPr>
          <w:p w14:paraId="161A1E80"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0310DC36" w14:textId="46BDEBCB" w:rsidR="003E741D" w:rsidRPr="00950F5A" w:rsidRDefault="003E741D" w:rsidP="001959C9">
            <w:pPr>
              <w:spacing w:before="40" w:after="40"/>
              <w:rPr>
                <w:rFonts w:ascii="Arial" w:hAnsi="Arial"/>
                <w:sz w:val="16"/>
              </w:rPr>
            </w:pPr>
            <w:r w:rsidRPr="00D47D45">
              <w:rPr>
                <w:rFonts w:ascii="Arial" w:hAnsi="Arial"/>
                <w:sz w:val="16"/>
              </w:rPr>
              <w:t>56. Students engage in effective networking</w:t>
            </w:r>
            <w:r w:rsidR="00020298">
              <w:rPr>
                <w:rFonts w:ascii="Arial" w:hAnsi="Arial"/>
                <w:sz w:val="16"/>
              </w:rPr>
              <w:t>..</w:t>
            </w:r>
          </w:p>
        </w:tc>
      </w:tr>
      <w:tr w:rsidR="003E741D" w:rsidRPr="00C90A71" w14:paraId="06F83CA0" w14:textId="77777777" w:rsidTr="001959C9">
        <w:tc>
          <w:tcPr>
            <w:tcW w:w="2642" w:type="dxa"/>
            <w:vMerge/>
            <w:tcBorders>
              <w:left w:val="nil"/>
              <w:right w:val="single" w:sz="4" w:space="0" w:color="auto"/>
            </w:tcBorders>
          </w:tcPr>
          <w:p w14:paraId="056ED0A6" w14:textId="77777777" w:rsidR="003E741D" w:rsidRPr="00C90A71" w:rsidRDefault="003E741D" w:rsidP="001959C9"/>
        </w:tc>
        <w:tc>
          <w:tcPr>
            <w:tcW w:w="2643" w:type="dxa"/>
            <w:vMerge/>
            <w:tcBorders>
              <w:left w:val="single" w:sz="4" w:space="0" w:color="auto"/>
              <w:right w:val="single" w:sz="4" w:space="0" w:color="auto"/>
            </w:tcBorders>
          </w:tcPr>
          <w:p w14:paraId="0747213D"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4ED2C5B9" w14:textId="7F0B9C7D" w:rsidR="003E741D" w:rsidRPr="00950F5A" w:rsidRDefault="003E741D" w:rsidP="001959C9">
            <w:pPr>
              <w:spacing w:before="40" w:after="40"/>
              <w:rPr>
                <w:rFonts w:ascii="Arial" w:hAnsi="Arial"/>
                <w:sz w:val="16"/>
              </w:rPr>
            </w:pPr>
            <w:r w:rsidRPr="00D47D45">
              <w:rPr>
                <w:rFonts w:ascii="Arial" w:hAnsi="Arial"/>
                <w:sz w:val="16"/>
              </w:rPr>
              <w:t>57. Participation in knowledge-exchange activities and events is promoted</w:t>
            </w:r>
            <w:r w:rsidR="00020298">
              <w:rPr>
                <w:rFonts w:ascii="Arial" w:hAnsi="Arial"/>
                <w:sz w:val="16"/>
              </w:rPr>
              <w:t>.</w:t>
            </w:r>
          </w:p>
        </w:tc>
      </w:tr>
      <w:tr w:rsidR="003E741D" w:rsidRPr="00C90A71" w14:paraId="4D016178" w14:textId="77777777" w:rsidTr="001959C9">
        <w:tc>
          <w:tcPr>
            <w:tcW w:w="2642" w:type="dxa"/>
            <w:vMerge/>
            <w:tcBorders>
              <w:left w:val="nil"/>
              <w:right w:val="single" w:sz="4" w:space="0" w:color="auto"/>
            </w:tcBorders>
          </w:tcPr>
          <w:p w14:paraId="7C3A879C"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6C71626E"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auto"/>
              <w:right w:val="nil"/>
            </w:tcBorders>
          </w:tcPr>
          <w:p w14:paraId="54DA126A" w14:textId="3A3737B9" w:rsidR="003E741D" w:rsidRPr="00D47D45" w:rsidRDefault="003E741D" w:rsidP="001959C9">
            <w:pPr>
              <w:spacing w:before="40" w:after="40"/>
              <w:rPr>
                <w:rFonts w:ascii="Arial" w:hAnsi="Arial"/>
                <w:sz w:val="16"/>
              </w:rPr>
            </w:pPr>
            <w:r w:rsidRPr="00D47D45">
              <w:rPr>
                <w:rFonts w:ascii="Arial" w:hAnsi="Arial"/>
                <w:sz w:val="16"/>
              </w:rPr>
              <w:t xml:space="preserve">58. Internal collaboration and knowledge exchange </w:t>
            </w:r>
            <w:r w:rsidR="00020593">
              <w:rPr>
                <w:rFonts w:ascii="Arial" w:hAnsi="Arial"/>
                <w:sz w:val="16"/>
              </w:rPr>
              <w:t>are</w:t>
            </w:r>
            <w:r w:rsidRPr="00D47D45">
              <w:rPr>
                <w:rFonts w:ascii="Arial" w:hAnsi="Arial"/>
                <w:sz w:val="16"/>
              </w:rPr>
              <w:t xml:space="preserve"> expected</w:t>
            </w:r>
            <w:r w:rsidR="00020298">
              <w:rPr>
                <w:rFonts w:ascii="Arial" w:hAnsi="Arial"/>
                <w:sz w:val="16"/>
              </w:rPr>
              <w:t>.</w:t>
            </w:r>
          </w:p>
        </w:tc>
      </w:tr>
      <w:tr w:rsidR="003E741D" w:rsidRPr="00C90A71" w14:paraId="30BD17F0" w14:textId="77777777" w:rsidTr="001959C9">
        <w:tc>
          <w:tcPr>
            <w:tcW w:w="2642" w:type="dxa"/>
            <w:vMerge/>
            <w:tcBorders>
              <w:left w:val="nil"/>
              <w:right w:val="single" w:sz="4" w:space="0" w:color="auto"/>
            </w:tcBorders>
          </w:tcPr>
          <w:p w14:paraId="49052730"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65BD3A2C" w14:textId="3B1AF857" w:rsidR="003E741D" w:rsidRPr="00D47D45" w:rsidRDefault="003E741D" w:rsidP="001959C9">
            <w:pPr>
              <w:tabs>
                <w:tab w:val="left" w:pos="992"/>
              </w:tabs>
              <w:spacing w:before="20" w:after="20"/>
              <w:rPr>
                <w:rFonts w:ascii="Arial" w:hAnsi="Arial"/>
                <w:sz w:val="16"/>
              </w:rPr>
            </w:pPr>
            <w:r w:rsidRPr="00D47D45">
              <w:rPr>
                <w:rFonts w:ascii="Arial" w:hAnsi="Arial"/>
                <w:sz w:val="16"/>
              </w:rPr>
              <w:t>A strategic approach is taken to communication</w:t>
            </w:r>
            <w:r w:rsidR="00EF7405">
              <w:rPr>
                <w:rFonts w:ascii="Arial" w:hAnsi="Arial"/>
                <w:sz w:val="16"/>
              </w:rPr>
              <w:t>.</w:t>
            </w:r>
          </w:p>
        </w:tc>
        <w:tc>
          <w:tcPr>
            <w:tcW w:w="3641" w:type="dxa"/>
            <w:tcBorders>
              <w:top w:val="single" w:sz="4" w:space="0" w:color="auto"/>
              <w:left w:val="single" w:sz="4" w:space="0" w:color="auto"/>
              <w:bottom w:val="single" w:sz="4" w:space="0" w:color="BFBFBF" w:themeColor="background1" w:themeShade="BF"/>
              <w:right w:val="nil"/>
            </w:tcBorders>
          </w:tcPr>
          <w:p w14:paraId="276D8CBE" w14:textId="62B0D89B" w:rsidR="003E741D" w:rsidRPr="00D47D45" w:rsidRDefault="003E741D" w:rsidP="001959C9">
            <w:pPr>
              <w:spacing w:before="40" w:after="40"/>
              <w:rPr>
                <w:rFonts w:ascii="Arial" w:hAnsi="Arial"/>
                <w:sz w:val="16"/>
              </w:rPr>
            </w:pPr>
            <w:r w:rsidRPr="00D47D45">
              <w:rPr>
                <w:rFonts w:ascii="Arial" w:hAnsi="Arial"/>
                <w:sz w:val="16"/>
              </w:rPr>
              <w:t>59. An explicit communication strategy is in place</w:t>
            </w:r>
            <w:r w:rsidR="00020298">
              <w:rPr>
                <w:rFonts w:ascii="Arial" w:hAnsi="Arial"/>
                <w:sz w:val="16"/>
              </w:rPr>
              <w:t>.</w:t>
            </w:r>
          </w:p>
        </w:tc>
      </w:tr>
      <w:tr w:rsidR="003E741D" w:rsidRPr="00C90A71" w14:paraId="1E810D37" w14:textId="77777777" w:rsidTr="001959C9">
        <w:tc>
          <w:tcPr>
            <w:tcW w:w="2642" w:type="dxa"/>
            <w:vMerge/>
            <w:tcBorders>
              <w:left w:val="nil"/>
              <w:right w:val="single" w:sz="4" w:space="0" w:color="auto"/>
            </w:tcBorders>
          </w:tcPr>
          <w:p w14:paraId="614C0D87"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3DAFEEDA"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auto"/>
              <w:right w:val="nil"/>
            </w:tcBorders>
          </w:tcPr>
          <w:p w14:paraId="216AEFDF" w14:textId="35728C73" w:rsidR="003E741D" w:rsidRPr="00D47D45" w:rsidRDefault="003E741D" w:rsidP="001959C9">
            <w:pPr>
              <w:spacing w:before="40" w:after="40"/>
              <w:rPr>
                <w:rFonts w:ascii="Arial" w:hAnsi="Arial"/>
                <w:sz w:val="16"/>
              </w:rPr>
            </w:pPr>
            <w:r w:rsidRPr="00D47D45">
              <w:rPr>
                <w:rFonts w:ascii="Arial" w:hAnsi="Arial"/>
                <w:sz w:val="16"/>
              </w:rPr>
              <w:t>60. A dynamic online presence is evident</w:t>
            </w:r>
            <w:r w:rsidR="00020298">
              <w:rPr>
                <w:rFonts w:ascii="Arial" w:hAnsi="Arial"/>
                <w:sz w:val="16"/>
              </w:rPr>
              <w:t>.</w:t>
            </w:r>
          </w:p>
        </w:tc>
      </w:tr>
      <w:tr w:rsidR="003E741D" w:rsidRPr="00C90A71" w14:paraId="235A076E" w14:textId="77777777" w:rsidTr="001959C9">
        <w:tc>
          <w:tcPr>
            <w:tcW w:w="2642" w:type="dxa"/>
            <w:vMerge/>
            <w:tcBorders>
              <w:left w:val="nil"/>
              <w:right w:val="single" w:sz="4" w:space="0" w:color="auto"/>
            </w:tcBorders>
          </w:tcPr>
          <w:p w14:paraId="57E4AA3B"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7A637C8F" w14:textId="14B5F740" w:rsidR="003E741D" w:rsidRPr="00C90A71" w:rsidRDefault="003E741D" w:rsidP="001959C9">
            <w:pPr>
              <w:tabs>
                <w:tab w:val="left" w:pos="992"/>
              </w:tabs>
              <w:spacing w:before="20" w:after="20"/>
            </w:pPr>
            <w:r w:rsidRPr="00D47D45">
              <w:rPr>
                <w:rFonts w:ascii="Arial" w:hAnsi="Arial"/>
                <w:sz w:val="16"/>
              </w:rPr>
              <w:t>Partnerships are developed</w:t>
            </w:r>
            <w:r w:rsidR="00EF7405">
              <w:rPr>
                <w:rFonts w:ascii="Arial" w:hAnsi="Arial"/>
                <w:sz w:val="16"/>
              </w:rPr>
              <w:t>.</w:t>
            </w:r>
          </w:p>
        </w:tc>
        <w:tc>
          <w:tcPr>
            <w:tcW w:w="3641" w:type="dxa"/>
            <w:tcBorders>
              <w:top w:val="single" w:sz="4" w:space="0" w:color="auto"/>
              <w:left w:val="single" w:sz="4" w:space="0" w:color="auto"/>
              <w:bottom w:val="single" w:sz="4" w:space="0" w:color="BFBFBF" w:themeColor="background1" w:themeShade="BF"/>
              <w:right w:val="nil"/>
            </w:tcBorders>
          </w:tcPr>
          <w:p w14:paraId="55AE8610" w14:textId="0682DEF7" w:rsidR="003E741D" w:rsidRPr="00D47D45" w:rsidRDefault="003E741D" w:rsidP="001959C9">
            <w:pPr>
              <w:spacing w:before="40" w:after="40"/>
              <w:rPr>
                <w:rFonts w:ascii="Arial" w:hAnsi="Arial"/>
                <w:sz w:val="16"/>
              </w:rPr>
            </w:pPr>
            <w:r w:rsidRPr="00D47D45">
              <w:rPr>
                <w:rFonts w:ascii="Arial" w:hAnsi="Arial"/>
                <w:sz w:val="16"/>
              </w:rPr>
              <w:t>61. A commitment to knowledge exchange through partnerships is evident</w:t>
            </w:r>
            <w:r w:rsidR="00020298">
              <w:rPr>
                <w:rFonts w:ascii="Arial" w:hAnsi="Arial"/>
                <w:sz w:val="16"/>
              </w:rPr>
              <w:t>.</w:t>
            </w:r>
          </w:p>
        </w:tc>
      </w:tr>
      <w:tr w:rsidR="003E741D" w:rsidRPr="00C90A71" w14:paraId="43DEEBF9" w14:textId="77777777" w:rsidTr="001959C9">
        <w:tc>
          <w:tcPr>
            <w:tcW w:w="2642" w:type="dxa"/>
            <w:vMerge/>
            <w:tcBorders>
              <w:left w:val="nil"/>
              <w:right w:val="single" w:sz="4" w:space="0" w:color="auto"/>
            </w:tcBorders>
          </w:tcPr>
          <w:p w14:paraId="4FDBC4DA" w14:textId="77777777" w:rsidR="003E741D" w:rsidRPr="00C90A71" w:rsidRDefault="003E741D" w:rsidP="001959C9"/>
        </w:tc>
        <w:tc>
          <w:tcPr>
            <w:tcW w:w="2643" w:type="dxa"/>
            <w:vMerge/>
            <w:tcBorders>
              <w:left w:val="single" w:sz="4" w:space="0" w:color="auto"/>
              <w:right w:val="single" w:sz="4" w:space="0" w:color="auto"/>
            </w:tcBorders>
          </w:tcPr>
          <w:p w14:paraId="3D1BBA62"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right w:val="nil"/>
            </w:tcBorders>
          </w:tcPr>
          <w:p w14:paraId="6BCA1D9C" w14:textId="65B04C45" w:rsidR="003E741D" w:rsidRPr="00C90A71" w:rsidRDefault="003E741D" w:rsidP="001959C9">
            <w:pPr>
              <w:spacing w:before="40" w:after="40"/>
            </w:pPr>
            <w:r w:rsidRPr="00D47D45">
              <w:rPr>
                <w:rFonts w:ascii="Arial" w:hAnsi="Arial"/>
                <w:sz w:val="16"/>
              </w:rPr>
              <w:t>62. Staff and students are incentivised to be actively involved in partnerships</w:t>
            </w:r>
            <w:r w:rsidR="00020298">
              <w:rPr>
                <w:rFonts w:ascii="Arial" w:hAnsi="Arial"/>
                <w:sz w:val="16"/>
              </w:rPr>
              <w:t>.</w:t>
            </w:r>
          </w:p>
        </w:tc>
      </w:tr>
      <w:tr w:rsidR="003E741D" w:rsidRPr="00C90A71" w14:paraId="224E3D1C" w14:textId="77777777" w:rsidTr="001959C9">
        <w:tc>
          <w:tcPr>
            <w:tcW w:w="2642" w:type="dxa"/>
            <w:vMerge w:val="restart"/>
            <w:tcBorders>
              <w:top w:val="single" w:sz="4" w:space="0" w:color="auto"/>
              <w:left w:val="nil"/>
              <w:right w:val="single" w:sz="4" w:space="0" w:color="auto"/>
            </w:tcBorders>
            <w:vAlign w:val="center"/>
          </w:tcPr>
          <w:p w14:paraId="5A0F8480" w14:textId="77777777" w:rsidR="003E741D" w:rsidRPr="00C90A71" w:rsidRDefault="003E741D" w:rsidP="001959C9">
            <w:pPr>
              <w:spacing w:before="80" w:after="80"/>
            </w:pPr>
            <w:r w:rsidRPr="00772A0F">
              <w:rPr>
                <w:rFonts w:ascii="Arial" w:hAnsi="Arial"/>
                <w:b/>
                <w:sz w:val="17"/>
              </w:rPr>
              <w:t>Infrastructure</w:t>
            </w:r>
          </w:p>
        </w:tc>
        <w:tc>
          <w:tcPr>
            <w:tcW w:w="2643" w:type="dxa"/>
            <w:vMerge w:val="restart"/>
            <w:tcBorders>
              <w:top w:val="single" w:sz="4" w:space="0" w:color="auto"/>
              <w:left w:val="single" w:sz="4" w:space="0" w:color="auto"/>
              <w:right w:val="single" w:sz="4" w:space="0" w:color="auto"/>
            </w:tcBorders>
            <w:vAlign w:val="center"/>
          </w:tcPr>
          <w:p w14:paraId="205B028F" w14:textId="4870A979" w:rsidR="003E741D" w:rsidRPr="00771FEE" w:rsidRDefault="003E741D" w:rsidP="001959C9">
            <w:pPr>
              <w:tabs>
                <w:tab w:val="left" w:pos="992"/>
              </w:tabs>
              <w:spacing w:before="20" w:after="20"/>
              <w:rPr>
                <w:rFonts w:ascii="Arial" w:hAnsi="Arial"/>
                <w:sz w:val="16"/>
              </w:rPr>
            </w:pPr>
            <w:r w:rsidRPr="00771FEE">
              <w:rPr>
                <w:rFonts w:ascii="Arial" w:hAnsi="Arial"/>
                <w:sz w:val="16"/>
              </w:rPr>
              <w:t xml:space="preserve">Physical and </w:t>
            </w:r>
            <w:r w:rsidR="00EF7405" w:rsidRPr="00771FEE">
              <w:rPr>
                <w:rFonts w:ascii="Arial" w:hAnsi="Arial"/>
                <w:sz w:val="16"/>
              </w:rPr>
              <w:t xml:space="preserve">virtual learning spaces </w:t>
            </w:r>
            <w:r w:rsidRPr="00771FEE">
              <w:rPr>
                <w:rFonts w:ascii="Arial" w:hAnsi="Arial"/>
                <w:sz w:val="16"/>
              </w:rPr>
              <w:t>are designed for digital-age learning</w:t>
            </w:r>
            <w:r w:rsidR="00EF7405">
              <w:rPr>
                <w:rFonts w:ascii="Arial" w:hAnsi="Arial"/>
                <w:sz w:val="16"/>
              </w:rPr>
              <w:t>.</w:t>
            </w:r>
          </w:p>
        </w:tc>
        <w:tc>
          <w:tcPr>
            <w:tcW w:w="3641" w:type="dxa"/>
            <w:tcBorders>
              <w:top w:val="single" w:sz="4" w:space="0" w:color="auto"/>
              <w:left w:val="single" w:sz="4" w:space="0" w:color="auto"/>
              <w:bottom w:val="single" w:sz="4" w:space="0" w:color="auto"/>
              <w:right w:val="nil"/>
            </w:tcBorders>
          </w:tcPr>
          <w:p w14:paraId="5E7DFC8B" w14:textId="376AE927" w:rsidR="003E741D" w:rsidRPr="00771FEE" w:rsidRDefault="003E741D" w:rsidP="001959C9">
            <w:pPr>
              <w:spacing w:before="40" w:after="40"/>
              <w:rPr>
                <w:rFonts w:ascii="Arial" w:hAnsi="Arial"/>
                <w:sz w:val="16"/>
              </w:rPr>
            </w:pPr>
            <w:r w:rsidRPr="00771FEE">
              <w:rPr>
                <w:rFonts w:ascii="Arial" w:hAnsi="Arial"/>
                <w:sz w:val="16"/>
              </w:rPr>
              <w:t>63. Physical learning spaces optimise the affordances of digital-age learning</w:t>
            </w:r>
            <w:r w:rsidR="00020298">
              <w:rPr>
                <w:rFonts w:ascii="Arial" w:hAnsi="Arial"/>
                <w:sz w:val="16"/>
              </w:rPr>
              <w:t>.</w:t>
            </w:r>
          </w:p>
        </w:tc>
      </w:tr>
      <w:tr w:rsidR="003E741D" w:rsidRPr="00C90A71" w14:paraId="16A9A990" w14:textId="77777777" w:rsidTr="001959C9">
        <w:tc>
          <w:tcPr>
            <w:tcW w:w="2642" w:type="dxa"/>
            <w:vMerge/>
            <w:tcBorders>
              <w:left w:val="nil"/>
              <w:right w:val="single" w:sz="4" w:space="0" w:color="auto"/>
            </w:tcBorders>
          </w:tcPr>
          <w:p w14:paraId="2E8B2221" w14:textId="77777777" w:rsidR="003E741D" w:rsidRPr="00772A0F" w:rsidRDefault="003E741D" w:rsidP="001959C9">
            <w:pPr>
              <w:spacing w:before="80" w:after="80"/>
              <w:jc w:val="center"/>
              <w:rPr>
                <w:rFonts w:ascii="Arial" w:hAnsi="Arial"/>
                <w:b/>
                <w:sz w:val="17"/>
              </w:rPr>
            </w:pPr>
          </w:p>
        </w:tc>
        <w:tc>
          <w:tcPr>
            <w:tcW w:w="2643" w:type="dxa"/>
            <w:vMerge/>
            <w:tcBorders>
              <w:left w:val="single" w:sz="4" w:space="0" w:color="auto"/>
              <w:right w:val="single" w:sz="4" w:space="0" w:color="auto"/>
            </w:tcBorders>
          </w:tcPr>
          <w:p w14:paraId="2AA9265A" w14:textId="77777777" w:rsidR="003E741D" w:rsidRPr="00C90A71" w:rsidRDefault="003E741D" w:rsidP="001959C9">
            <w:pPr>
              <w:tabs>
                <w:tab w:val="left" w:pos="992"/>
              </w:tabs>
              <w:spacing w:before="20" w:after="20"/>
              <w:jc w:val="center"/>
            </w:pPr>
          </w:p>
        </w:tc>
        <w:tc>
          <w:tcPr>
            <w:tcW w:w="3641" w:type="dxa"/>
            <w:tcBorders>
              <w:top w:val="single" w:sz="4" w:space="0" w:color="auto"/>
              <w:left w:val="single" w:sz="4" w:space="0" w:color="auto"/>
              <w:bottom w:val="single" w:sz="4" w:space="0" w:color="BFBFBF" w:themeColor="background1" w:themeShade="BF"/>
              <w:right w:val="nil"/>
            </w:tcBorders>
          </w:tcPr>
          <w:p w14:paraId="363126C8" w14:textId="65FE9B0D" w:rsidR="003E741D" w:rsidRPr="00771FEE" w:rsidRDefault="003E741D" w:rsidP="001959C9">
            <w:pPr>
              <w:spacing w:before="40" w:after="40"/>
              <w:rPr>
                <w:rFonts w:ascii="Arial" w:hAnsi="Arial"/>
                <w:sz w:val="16"/>
              </w:rPr>
            </w:pPr>
            <w:r w:rsidRPr="00771FEE">
              <w:rPr>
                <w:rFonts w:ascii="Arial" w:hAnsi="Arial"/>
                <w:sz w:val="16"/>
              </w:rPr>
              <w:t xml:space="preserve">64. Virtual </w:t>
            </w:r>
            <w:r w:rsidR="00020298" w:rsidRPr="00771FEE">
              <w:rPr>
                <w:rFonts w:ascii="Arial" w:hAnsi="Arial"/>
                <w:sz w:val="16"/>
              </w:rPr>
              <w:t xml:space="preserve">learning spaces </w:t>
            </w:r>
            <w:r w:rsidRPr="00771FEE">
              <w:rPr>
                <w:rFonts w:ascii="Arial" w:hAnsi="Arial"/>
                <w:sz w:val="16"/>
              </w:rPr>
              <w:t>are optimised</w:t>
            </w:r>
            <w:r w:rsidR="00020298">
              <w:rPr>
                <w:rFonts w:ascii="Arial" w:hAnsi="Arial"/>
                <w:sz w:val="16"/>
              </w:rPr>
              <w:t>.</w:t>
            </w:r>
          </w:p>
        </w:tc>
      </w:tr>
      <w:tr w:rsidR="003E741D" w:rsidRPr="00C90A71" w14:paraId="39C93B08" w14:textId="77777777" w:rsidTr="001959C9">
        <w:tc>
          <w:tcPr>
            <w:tcW w:w="2642" w:type="dxa"/>
            <w:vMerge/>
            <w:tcBorders>
              <w:left w:val="nil"/>
              <w:right w:val="single" w:sz="4" w:space="0" w:color="auto"/>
            </w:tcBorders>
          </w:tcPr>
          <w:p w14:paraId="05DACA2A" w14:textId="77777777" w:rsidR="003E741D" w:rsidRPr="00C90A71" w:rsidRDefault="003E741D" w:rsidP="001959C9"/>
        </w:tc>
        <w:tc>
          <w:tcPr>
            <w:tcW w:w="2643" w:type="dxa"/>
            <w:vMerge/>
            <w:tcBorders>
              <w:left w:val="single" w:sz="4" w:space="0" w:color="auto"/>
              <w:right w:val="single" w:sz="4" w:space="0" w:color="auto"/>
            </w:tcBorders>
          </w:tcPr>
          <w:p w14:paraId="358A605C" w14:textId="77777777" w:rsidR="003E741D" w:rsidRPr="00C90A71" w:rsidRDefault="003E741D" w:rsidP="001959C9">
            <w:pPr>
              <w:tabs>
                <w:tab w:val="left" w:pos="992"/>
              </w:tabs>
              <w:spacing w:before="20" w:after="20"/>
              <w:jc w:val="center"/>
            </w:pPr>
          </w:p>
        </w:tc>
        <w:tc>
          <w:tcPr>
            <w:tcW w:w="3641" w:type="dxa"/>
            <w:tcBorders>
              <w:top w:val="single" w:sz="4" w:space="0" w:color="BFBFBF" w:themeColor="background1" w:themeShade="BF"/>
              <w:left w:val="single" w:sz="4" w:space="0" w:color="auto"/>
              <w:right w:val="nil"/>
            </w:tcBorders>
          </w:tcPr>
          <w:p w14:paraId="189F7E9E" w14:textId="28AD2D3B" w:rsidR="003E741D" w:rsidRPr="00771FEE" w:rsidRDefault="003E741D" w:rsidP="001959C9">
            <w:pPr>
              <w:spacing w:before="40" w:after="40"/>
              <w:rPr>
                <w:rFonts w:ascii="Arial" w:hAnsi="Arial"/>
                <w:sz w:val="16"/>
              </w:rPr>
            </w:pPr>
            <w:r w:rsidRPr="00771FEE">
              <w:rPr>
                <w:rFonts w:ascii="Arial" w:hAnsi="Arial"/>
                <w:sz w:val="16"/>
              </w:rPr>
              <w:t xml:space="preserve">65. An </w:t>
            </w:r>
            <w:r w:rsidR="00020298" w:rsidRPr="00771FEE">
              <w:rPr>
                <w:rFonts w:ascii="Arial" w:hAnsi="Arial"/>
                <w:sz w:val="16"/>
              </w:rPr>
              <w:t xml:space="preserve">acceptable usage policy </w:t>
            </w:r>
            <w:r w:rsidRPr="00771FEE">
              <w:rPr>
                <w:rFonts w:ascii="Arial" w:hAnsi="Arial"/>
                <w:sz w:val="16"/>
              </w:rPr>
              <w:t>is in place</w:t>
            </w:r>
            <w:r w:rsidR="00020298">
              <w:rPr>
                <w:rFonts w:ascii="Arial" w:hAnsi="Arial"/>
                <w:sz w:val="16"/>
              </w:rPr>
              <w:t>.</w:t>
            </w:r>
          </w:p>
        </w:tc>
      </w:tr>
      <w:tr w:rsidR="003E741D" w:rsidRPr="00C90A71" w14:paraId="7F3939A5" w14:textId="77777777" w:rsidTr="001959C9">
        <w:tc>
          <w:tcPr>
            <w:tcW w:w="2642" w:type="dxa"/>
            <w:vMerge/>
            <w:tcBorders>
              <w:left w:val="nil"/>
              <w:right w:val="single" w:sz="4" w:space="0" w:color="auto"/>
            </w:tcBorders>
          </w:tcPr>
          <w:p w14:paraId="77EA6E41" w14:textId="77777777" w:rsidR="003E741D" w:rsidRPr="00C90A71" w:rsidRDefault="003E741D" w:rsidP="001959C9"/>
        </w:tc>
        <w:tc>
          <w:tcPr>
            <w:tcW w:w="2643" w:type="dxa"/>
            <w:vMerge w:val="restart"/>
            <w:tcBorders>
              <w:top w:val="single" w:sz="4" w:space="0" w:color="auto"/>
              <w:left w:val="single" w:sz="4" w:space="0" w:color="auto"/>
              <w:right w:val="single" w:sz="4" w:space="0" w:color="auto"/>
            </w:tcBorders>
            <w:vAlign w:val="center"/>
          </w:tcPr>
          <w:p w14:paraId="7794B756" w14:textId="2522581B" w:rsidR="003E741D" w:rsidRPr="00C90A71" w:rsidRDefault="003E741D" w:rsidP="001959C9">
            <w:pPr>
              <w:tabs>
                <w:tab w:val="left" w:pos="992"/>
              </w:tabs>
              <w:spacing w:before="20" w:after="20"/>
            </w:pPr>
            <w:r w:rsidRPr="00772A0F">
              <w:rPr>
                <w:rFonts w:ascii="Arial" w:hAnsi="Arial"/>
                <w:sz w:val="16"/>
              </w:rPr>
              <w:t>The digital infrastructure is planned and managed</w:t>
            </w:r>
            <w:r w:rsidR="00EF7405">
              <w:rPr>
                <w:rFonts w:ascii="Arial" w:hAnsi="Arial"/>
                <w:sz w:val="16"/>
              </w:rPr>
              <w:t>.</w:t>
            </w:r>
          </w:p>
        </w:tc>
        <w:tc>
          <w:tcPr>
            <w:tcW w:w="3641" w:type="dxa"/>
            <w:tcBorders>
              <w:top w:val="single" w:sz="4" w:space="0" w:color="auto"/>
              <w:left w:val="single" w:sz="4" w:space="0" w:color="auto"/>
              <w:bottom w:val="single" w:sz="4" w:space="0" w:color="BFBFBF" w:themeColor="background1" w:themeShade="BF"/>
              <w:right w:val="nil"/>
            </w:tcBorders>
          </w:tcPr>
          <w:p w14:paraId="1F4A44AC" w14:textId="04BE753C" w:rsidR="003E741D" w:rsidRPr="00771FEE" w:rsidRDefault="003E741D" w:rsidP="001959C9">
            <w:pPr>
              <w:spacing w:before="40" w:after="40"/>
              <w:rPr>
                <w:rFonts w:ascii="Arial" w:hAnsi="Arial"/>
                <w:sz w:val="16"/>
              </w:rPr>
            </w:pPr>
            <w:r w:rsidRPr="00771FEE">
              <w:rPr>
                <w:rFonts w:ascii="Arial" w:hAnsi="Arial"/>
                <w:sz w:val="16"/>
              </w:rPr>
              <w:t>66. Pedagogical and technical expertise direct investments in digital technologies</w:t>
            </w:r>
            <w:r w:rsidR="00020298">
              <w:rPr>
                <w:rFonts w:ascii="Arial" w:hAnsi="Arial"/>
                <w:sz w:val="16"/>
              </w:rPr>
              <w:t>.</w:t>
            </w:r>
          </w:p>
        </w:tc>
      </w:tr>
      <w:tr w:rsidR="003E741D" w:rsidRPr="00C90A71" w14:paraId="2FD0DFE1" w14:textId="77777777" w:rsidTr="001959C9">
        <w:tc>
          <w:tcPr>
            <w:tcW w:w="2642" w:type="dxa"/>
            <w:vMerge/>
            <w:tcBorders>
              <w:left w:val="nil"/>
              <w:right w:val="single" w:sz="4" w:space="0" w:color="auto"/>
            </w:tcBorders>
          </w:tcPr>
          <w:p w14:paraId="516573DD" w14:textId="77777777" w:rsidR="003E741D" w:rsidRPr="00C90A71" w:rsidRDefault="003E741D" w:rsidP="001959C9"/>
        </w:tc>
        <w:tc>
          <w:tcPr>
            <w:tcW w:w="2643" w:type="dxa"/>
            <w:vMerge/>
            <w:tcBorders>
              <w:left w:val="single" w:sz="4" w:space="0" w:color="auto"/>
              <w:right w:val="single" w:sz="4" w:space="0" w:color="auto"/>
            </w:tcBorders>
          </w:tcPr>
          <w:p w14:paraId="3C1AC81E"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6A7BF0C7" w14:textId="19A42038" w:rsidR="003E741D" w:rsidRPr="00771FEE" w:rsidRDefault="003E741D" w:rsidP="001959C9">
            <w:pPr>
              <w:spacing w:before="40" w:after="40"/>
              <w:rPr>
                <w:rFonts w:ascii="Arial" w:hAnsi="Arial"/>
                <w:sz w:val="16"/>
              </w:rPr>
            </w:pPr>
            <w:r w:rsidRPr="00771FEE">
              <w:rPr>
                <w:rFonts w:ascii="Arial" w:hAnsi="Arial"/>
                <w:sz w:val="16"/>
              </w:rPr>
              <w:t>67. A range of digital learning technologies supports anytime/anyplace learning</w:t>
            </w:r>
            <w:r w:rsidR="00020298">
              <w:rPr>
                <w:rFonts w:ascii="Arial" w:hAnsi="Arial"/>
                <w:sz w:val="16"/>
              </w:rPr>
              <w:t>.</w:t>
            </w:r>
          </w:p>
        </w:tc>
      </w:tr>
      <w:tr w:rsidR="003E741D" w:rsidRPr="00C90A71" w14:paraId="4316A4C7" w14:textId="77777777" w:rsidTr="001959C9">
        <w:tc>
          <w:tcPr>
            <w:tcW w:w="2642" w:type="dxa"/>
            <w:vMerge/>
            <w:tcBorders>
              <w:left w:val="nil"/>
              <w:right w:val="single" w:sz="4" w:space="0" w:color="auto"/>
            </w:tcBorders>
          </w:tcPr>
          <w:p w14:paraId="7B298F8E" w14:textId="77777777" w:rsidR="003E741D" w:rsidRPr="00C90A71" w:rsidRDefault="003E741D" w:rsidP="001959C9"/>
        </w:tc>
        <w:tc>
          <w:tcPr>
            <w:tcW w:w="2643" w:type="dxa"/>
            <w:vMerge/>
            <w:tcBorders>
              <w:left w:val="single" w:sz="4" w:space="0" w:color="auto"/>
              <w:right w:val="single" w:sz="4" w:space="0" w:color="auto"/>
            </w:tcBorders>
          </w:tcPr>
          <w:p w14:paraId="04752C1B"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1E29C27B" w14:textId="3A83661A" w:rsidR="003E741D" w:rsidRPr="00771FEE" w:rsidRDefault="003E741D" w:rsidP="001959C9">
            <w:pPr>
              <w:spacing w:before="40" w:after="40"/>
              <w:rPr>
                <w:rFonts w:ascii="Arial" w:hAnsi="Arial"/>
                <w:sz w:val="16"/>
              </w:rPr>
            </w:pPr>
            <w:r w:rsidRPr="00771FEE">
              <w:rPr>
                <w:rFonts w:ascii="Arial" w:hAnsi="Arial"/>
                <w:sz w:val="16"/>
              </w:rPr>
              <w:t xml:space="preserve">68. Bring </w:t>
            </w:r>
            <w:r w:rsidR="00020298" w:rsidRPr="00771FEE">
              <w:rPr>
                <w:rFonts w:ascii="Arial" w:hAnsi="Arial"/>
                <w:sz w:val="16"/>
              </w:rPr>
              <w:t xml:space="preserve">your own device </w:t>
            </w:r>
            <w:r w:rsidRPr="00771FEE">
              <w:rPr>
                <w:rFonts w:ascii="Arial" w:hAnsi="Arial"/>
                <w:sz w:val="16"/>
              </w:rPr>
              <w:t>(BYOD) approaches are supported</w:t>
            </w:r>
            <w:r w:rsidR="00020298">
              <w:rPr>
                <w:rFonts w:ascii="Arial" w:hAnsi="Arial"/>
                <w:sz w:val="16"/>
              </w:rPr>
              <w:t>.</w:t>
            </w:r>
          </w:p>
        </w:tc>
      </w:tr>
      <w:tr w:rsidR="003E741D" w:rsidRPr="00C90A71" w14:paraId="6A7F0A9A" w14:textId="77777777" w:rsidTr="001959C9">
        <w:tc>
          <w:tcPr>
            <w:tcW w:w="2642" w:type="dxa"/>
            <w:vMerge/>
            <w:tcBorders>
              <w:left w:val="nil"/>
              <w:right w:val="single" w:sz="4" w:space="0" w:color="auto"/>
            </w:tcBorders>
          </w:tcPr>
          <w:p w14:paraId="56BC33B1" w14:textId="77777777" w:rsidR="003E741D" w:rsidRPr="00C90A71" w:rsidRDefault="003E741D" w:rsidP="001959C9"/>
        </w:tc>
        <w:tc>
          <w:tcPr>
            <w:tcW w:w="2643" w:type="dxa"/>
            <w:vMerge/>
            <w:tcBorders>
              <w:left w:val="single" w:sz="4" w:space="0" w:color="auto"/>
              <w:right w:val="single" w:sz="4" w:space="0" w:color="auto"/>
            </w:tcBorders>
          </w:tcPr>
          <w:p w14:paraId="0D17FF7F"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6CB157B7" w14:textId="5DF0C3EB" w:rsidR="003E741D" w:rsidRPr="00771FEE" w:rsidRDefault="003E741D" w:rsidP="001959C9">
            <w:pPr>
              <w:spacing w:before="40" w:after="40"/>
              <w:rPr>
                <w:rFonts w:ascii="Arial" w:hAnsi="Arial"/>
                <w:sz w:val="16"/>
              </w:rPr>
            </w:pPr>
            <w:r w:rsidRPr="00771FEE">
              <w:rPr>
                <w:rFonts w:ascii="Arial" w:hAnsi="Arial"/>
                <w:sz w:val="16"/>
              </w:rPr>
              <w:t>69. Risks relating to inequality and digital inclusion are addressed</w:t>
            </w:r>
            <w:r w:rsidR="00020298">
              <w:rPr>
                <w:rFonts w:ascii="Arial" w:hAnsi="Arial"/>
                <w:sz w:val="16"/>
              </w:rPr>
              <w:t>.</w:t>
            </w:r>
          </w:p>
        </w:tc>
      </w:tr>
      <w:tr w:rsidR="003E741D" w:rsidRPr="00C90A71" w14:paraId="6C9A6D5D" w14:textId="77777777" w:rsidTr="001959C9">
        <w:tc>
          <w:tcPr>
            <w:tcW w:w="2642" w:type="dxa"/>
            <w:vMerge/>
            <w:tcBorders>
              <w:left w:val="nil"/>
              <w:right w:val="single" w:sz="4" w:space="0" w:color="auto"/>
            </w:tcBorders>
          </w:tcPr>
          <w:p w14:paraId="26C6B15B" w14:textId="77777777" w:rsidR="003E741D" w:rsidRPr="00C90A71" w:rsidRDefault="003E741D" w:rsidP="001959C9"/>
        </w:tc>
        <w:tc>
          <w:tcPr>
            <w:tcW w:w="2643" w:type="dxa"/>
            <w:vMerge/>
            <w:tcBorders>
              <w:left w:val="single" w:sz="4" w:space="0" w:color="auto"/>
              <w:right w:val="single" w:sz="4" w:space="0" w:color="auto"/>
            </w:tcBorders>
          </w:tcPr>
          <w:p w14:paraId="2F8EA9C1"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0F1325B6" w14:textId="7898EB5B" w:rsidR="003E741D" w:rsidRPr="00771FEE" w:rsidRDefault="003E741D" w:rsidP="001959C9">
            <w:pPr>
              <w:spacing w:before="40" w:after="40"/>
              <w:rPr>
                <w:rFonts w:ascii="Arial" w:hAnsi="Arial"/>
                <w:sz w:val="16"/>
              </w:rPr>
            </w:pPr>
            <w:r w:rsidRPr="00771FEE">
              <w:rPr>
                <w:rFonts w:ascii="Arial" w:hAnsi="Arial"/>
                <w:sz w:val="16"/>
              </w:rPr>
              <w:t>70. Technical and user support is evident</w:t>
            </w:r>
            <w:r w:rsidR="00020298">
              <w:rPr>
                <w:rFonts w:ascii="Arial" w:hAnsi="Arial"/>
                <w:sz w:val="16"/>
              </w:rPr>
              <w:t>.</w:t>
            </w:r>
          </w:p>
        </w:tc>
      </w:tr>
      <w:tr w:rsidR="003E741D" w:rsidRPr="00C90A71" w14:paraId="2DD0E735" w14:textId="77777777" w:rsidTr="001959C9">
        <w:tc>
          <w:tcPr>
            <w:tcW w:w="2642" w:type="dxa"/>
            <w:vMerge/>
            <w:tcBorders>
              <w:left w:val="nil"/>
              <w:right w:val="single" w:sz="4" w:space="0" w:color="auto"/>
            </w:tcBorders>
          </w:tcPr>
          <w:p w14:paraId="7B62761A" w14:textId="77777777" w:rsidR="003E741D" w:rsidRPr="00C90A71" w:rsidRDefault="003E741D" w:rsidP="001959C9"/>
        </w:tc>
        <w:tc>
          <w:tcPr>
            <w:tcW w:w="2643" w:type="dxa"/>
            <w:vMerge/>
            <w:tcBorders>
              <w:left w:val="single" w:sz="4" w:space="0" w:color="auto"/>
              <w:right w:val="single" w:sz="4" w:space="0" w:color="auto"/>
            </w:tcBorders>
          </w:tcPr>
          <w:p w14:paraId="0B59C440"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0DCA8805" w14:textId="1D89EBDC" w:rsidR="003E741D" w:rsidRPr="00771FEE" w:rsidRDefault="003E741D" w:rsidP="001959C9">
            <w:pPr>
              <w:spacing w:before="40" w:after="40"/>
              <w:rPr>
                <w:rFonts w:ascii="Arial" w:hAnsi="Arial"/>
                <w:sz w:val="16"/>
              </w:rPr>
            </w:pPr>
            <w:r w:rsidRPr="00771FEE">
              <w:rPr>
                <w:rFonts w:ascii="Arial" w:hAnsi="Arial"/>
                <w:sz w:val="16"/>
              </w:rPr>
              <w:t>71. Assistive technologies address special needs</w:t>
            </w:r>
            <w:r w:rsidR="00020298">
              <w:rPr>
                <w:rFonts w:ascii="Arial" w:hAnsi="Arial"/>
                <w:sz w:val="16"/>
              </w:rPr>
              <w:t>.</w:t>
            </w:r>
          </w:p>
        </w:tc>
      </w:tr>
      <w:tr w:rsidR="003E741D" w:rsidRPr="00C90A71" w14:paraId="44D84799" w14:textId="77777777" w:rsidTr="001959C9">
        <w:tc>
          <w:tcPr>
            <w:tcW w:w="2642" w:type="dxa"/>
            <w:vMerge/>
            <w:tcBorders>
              <w:left w:val="nil"/>
              <w:right w:val="single" w:sz="4" w:space="0" w:color="auto"/>
            </w:tcBorders>
          </w:tcPr>
          <w:p w14:paraId="4242A95B" w14:textId="77777777" w:rsidR="003E741D" w:rsidRPr="00C90A71" w:rsidRDefault="003E741D" w:rsidP="001959C9"/>
        </w:tc>
        <w:tc>
          <w:tcPr>
            <w:tcW w:w="2643" w:type="dxa"/>
            <w:vMerge/>
            <w:tcBorders>
              <w:left w:val="single" w:sz="4" w:space="0" w:color="auto"/>
              <w:right w:val="single" w:sz="4" w:space="0" w:color="auto"/>
            </w:tcBorders>
          </w:tcPr>
          <w:p w14:paraId="1267DE61"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35CAEC4E" w14:textId="4F2A1CAE" w:rsidR="003E741D" w:rsidRPr="00771FEE" w:rsidRDefault="003E741D" w:rsidP="001959C9">
            <w:pPr>
              <w:spacing w:before="40" w:after="40"/>
              <w:rPr>
                <w:rFonts w:ascii="Arial" w:hAnsi="Arial"/>
                <w:sz w:val="16"/>
              </w:rPr>
            </w:pPr>
            <w:r w:rsidRPr="00772A0F">
              <w:rPr>
                <w:rFonts w:ascii="Arial" w:hAnsi="Arial"/>
                <w:sz w:val="16"/>
              </w:rPr>
              <w:t>72. Measures to protect privacy, confidentiality and safety are well established</w:t>
            </w:r>
            <w:r w:rsidR="00020298">
              <w:rPr>
                <w:rFonts w:ascii="Arial" w:hAnsi="Arial"/>
                <w:sz w:val="16"/>
              </w:rPr>
              <w:t>.</w:t>
            </w:r>
          </w:p>
        </w:tc>
      </w:tr>
      <w:tr w:rsidR="003E741D" w:rsidRPr="00C90A71" w14:paraId="6B31B085" w14:textId="77777777" w:rsidTr="001959C9">
        <w:tc>
          <w:tcPr>
            <w:tcW w:w="2642" w:type="dxa"/>
            <w:vMerge/>
            <w:tcBorders>
              <w:left w:val="nil"/>
              <w:right w:val="single" w:sz="4" w:space="0" w:color="auto"/>
            </w:tcBorders>
          </w:tcPr>
          <w:p w14:paraId="383F9B90" w14:textId="77777777" w:rsidR="003E741D" w:rsidRPr="00C90A71" w:rsidRDefault="003E741D" w:rsidP="001959C9"/>
        </w:tc>
        <w:tc>
          <w:tcPr>
            <w:tcW w:w="2643" w:type="dxa"/>
            <w:vMerge/>
            <w:tcBorders>
              <w:left w:val="single" w:sz="4" w:space="0" w:color="auto"/>
              <w:right w:val="single" w:sz="4" w:space="0" w:color="auto"/>
            </w:tcBorders>
          </w:tcPr>
          <w:p w14:paraId="7B3FBB20"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BFBFBF" w:themeColor="background1" w:themeShade="BF"/>
              <w:right w:val="nil"/>
            </w:tcBorders>
          </w:tcPr>
          <w:p w14:paraId="56FAB655" w14:textId="1D9B1D2C" w:rsidR="003E741D" w:rsidRPr="00771FEE" w:rsidRDefault="003E741D" w:rsidP="001959C9">
            <w:pPr>
              <w:spacing w:before="40" w:after="40"/>
              <w:rPr>
                <w:rFonts w:ascii="Arial" w:hAnsi="Arial"/>
                <w:sz w:val="16"/>
              </w:rPr>
            </w:pPr>
            <w:r w:rsidRPr="00772A0F">
              <w:rPr>
                <w:rFonts w:ascii="Arial" w:hAnsi="Arial"/>
                <w:sz w:val="16"/>
              </w:rPr>
              <w:t>73. Effective procurement planning is evident</w:t>
            </w:r>
            <w:r w:rsidR="00020298">
              <w:rPr>
                <w:rFonts w:ascii="Arial" w:hAnsi="Arial"/>
                <w:sz w:val="16"/>
              </w:rPr>
              <w:t>.</w:t>
            </w:r>
          </w:p>
        </w:tc>
      </w:tr>
      <w:tr w:rsidR="003E741D" w:rsidRPr="00C90A71" w14:paraId="3FFF77E8" w14:textId="77777777" w:rsidTr="001959C9">
        <w:tc>
          <w:tcPr>
            <w:tcW w:w="2642" w:type="dxa"/>
            <w:vMerge/>
            <w:tcBorders>
              <w:left w:val="nil"/>
              <w:bottom w:val="single" w:sz="4" w:space="0" w:color="auto"/>
              <w:right w:val="single" w:sz="4" w:space="0" w:color="auto"/>
            </w:tcBorders>
          </w:tcPr>
          <w:p w14:paraId="6C4DCFC1" w14:textId="77777777" w:rsidR="003E741D" w:rsidRPr="00C90A71" w:rsidRDefault="003E741D" w:rsidP="001959C9"/>
        </w:tc>
        <w:tc>
          <w:tcPr>
            <w:tcW w:w="2643" w:type="dxa"/>
            <w:vMerge/>
            <w:tcBorders>
              <w:left w:val="single" w:sz="4" w:space="0" w:color="auto"/>
              <w:bottom w:val="single" w:sz="4" w:space="0" w:color="auto"/>
              <w:right w:val="single" w:sz="4" w:space="0" w:color="auto"/>
            </w:tcBorders>
          </w:tcPr>
          <w:p w14:paraId="00281F9F" w14:textId="77777777" w:rsidR="003E741D" w:rsidRPr="00C90A71" w:rsidRDefault="003E741D" w:rsidP="001959C9">
            <w:pPr>
              <w:tabs>
                <w:tab w:val="left" w:pos="992"/>
              </w:tabs>
              <w:spacing w:before="20" w:after="20"/>
            </w:pPr>
          </w:p>
        </w:tc>
        <w:tc>
          <w:tcPr>
            <w:tcW w:w="3641" w:type="dxa"/>
            <w:tcBorders>
              <w:top w:val="single" w:sz="4" w:space="0" w:color="BFBFBF" w:themeColor="background1" w:themeShade="BF"/>
              <w:left w:val="single" w:sz="4" w:space="0" w:color="auto"/>
              <w:bottom w:val="single" w:sz="4" w:space="0" w:color="auto"/>
              <w:right w:val="nil"/>
            </w:tcBorders>
          </w:tcPr>
          <w:p w14:paraId="1E51B7A8" w14:textId="62BAF248" w:rsidR="003E741D" w:rsidRPr="00771FEE" w:rsidRDefault="003E741D" w:rsidP="001959C9">
            <w:pPr>
              <w:spacing w:before="40" w:after="40"/>
              <w:rPr>
                <w:rFonts w:ascii="Arial" w:hAnsi="Arial"/>
                <w:sz w:val="16"/>
              </w:rPr>
            </w:pPr>
            <w:r w:rsidRPr="00772A0F">
              <w:rPr>
                <w:rFonts w:ascii="Arial" w:hAnsi="Arial"/>
                <w:sz w:val="16"/>
              </w:rPr>
              <w:t>74. An operational plan for core ICT backbone and services is in place</w:t>
            </w:r>
            <w:r w:rsidR="00020298">
              <w:rPr>
                <w:rFonts w:ascii="Arial" w:hAnsi="Arial"/>
                <w:sz w:val="16"/>
              </w:rPr>
              <w:t>.</w:t>
            </w:r>
          </w:p>
        </w:tc>
      </w:tr>
      <w:tr w:rsidR="003E741D" w:rsidRPr="00C90A71" w14:paraId="483A519C" w14:textId="77777777" w:rsidTr="001959C9">
        <w:tc>
          <w:tcPr>
            <w:tcW w:w="2642" w:type="dxa"/>
            <w:tcBorders>
              <w:top w:val="single" w:sz="4" w:space="0" w:color="auto"/>
              <w:left w:val="nil"/>
              <w:bottom w:val="single" w:sz="4" w:space="0" w:color="auto"/>
              <w:right w:val="single" w:sz="4" w:space="0" w:color="auto"/>
            </w:tcBorders>
          </w:tcPr>
          <w:p w14:paraId="46A7D945" w14:textId="77777777" w:rsidR="003E741D" w:rsidRPr="00C90A71" w:rsidRDefault="003E741D" w:rsidP="001959C9">
            <w:pPr>
              <w:spacing w:before="80" w:after="80"/>
            </w:pPr>
            <w:r w:rsidRPr="00772A0F">
              <w:rPr>
                <w:rFonts w:ascii="Arial" w:hAnsi="Arial"/>
                <w:b/>
                <w:sz w:val="17"/>
              </w:rPr>
              <w:t>Sector-specific element(s)</w:t>
            </w:r>
          </w:p>
        </w:tc>
        <w:tc>
          <w:tcPr>
            <w:tcW w:w="2643" w:type="dxa"/>
            <w:tcBorders>
              <w:top w:val="single" w:sz="4" w:space="0" w:color="auto"/>
              <w:left w:val="single" w:sz="4" w:space="0" w:color="auto"/>
              <w:bottom w:val="single" w:sz="4" w:space="0" w:color="auto"/>
              <w:right w:val="single" w:sz="4" w:space="0" w:color="auto"/>
            </w:tcBorders>
          </w:tcPr>
          <w:p w14:paraId="30470BAD" w14:textId="77777777" w:rsidR="003E741D" w:rsidRPr="00772A0F" w:rsidRDefault="003E741D" w:rsidP="001959C9">
            <w:pPr>
              <w:tabs>
                <w:tab w:val="left" w:pos="992"/>
              </w:tabs>
              <w:spacing w:before="20" w:after="20"/>
              <w:rPr>
                <w:rFonts w:ascii="Arial" w:hAnsi="Arial"/>
                <w:sz w:val="16"/>
              </w:rPr>
            </w:pPr>
            <w:r w:rsidRPr="00772A0F">
              <w:rPr>
                <w:rFonts w:ascii="Arial" w:hAnsi="Arial"/>
                <w:sz w:val="16"/>
              </w:rPr>
              <w:t>Sector-specific sub</w:t>
            </w:r>
            <w:r>
              <w:rPr>
                <w:rFonts w:ascii="Arial" w:hAnsi="Arial"/>
                <w:sz w:val="16"/>
              </w:rPr>
              <w:t>-</w:t>
            </w:r>
            <w:r w:rsidRPr="00772A0F">
              <w:rPr>
                <w:rFonts w:ascii="Arial" w:hAnsi="Arial"/>
                <w:sz w:val="16"/>
              </w:rPr>
              <w:t>element(s)</w:t>
            </w:r>
          </w:p>
        </w:tc>
        <w:tc>
          <w:tcPr>
            <w:tcW w:w="3641" w:type="dxa"/>
            <w:tcBorders>
              <w:top w:val="single" w:sz="4" w:space="0" w:color="auto"/>
              <w:left w:val="single" w:sz="4" w:space="0" w:color="auto"/>
              <w:bottom w:val="single" w:sz="4" w:space="0" w:color="auto"/>
              <w:right w:val="nil"/>
            </w:tcBorders>
          </w:tcPr>
          <w:p w14:paraId="3097BCFF" w14:textId="77777777" w:rsidR="003E741D" w:rsidRPr="00772A0F" w:rsidRDefault="003E741D" w:rsidP="001959C9">
            <w:pPr>
              <w:spacing w:before="40" w:after="40"/>
              <w:rPr>
                <w:rFonts w:ascii="Arial" w:hAnsi="Arial"/>
                <w:sz w:val="16"/>
              </w:rPr>
            </w:pPr>
            <w:r w:rsidRPr="00772A0F">
              <w:rPr>
                <w:rFonts w:ascii="Arial" w:hAnsi="Arial"/>
                <w:sz w:val="16"/>
              </w:rPr>
              <w:t>Sector-specific descriptor(s)</w:t>
            </w:r>
          </w:p>
        </w:tc>
      </w:tr>
    </w:tbl>
    <w:p w14:paraId="0059B8C0" w14:textId="3F1877E0" w:rsidR="003E741D" w:rsidRPr="00A65FE8" w:rsidRDefault="003E741D" w:rsidP="003E741D">
      <w:pPr>
        <w:pStyle w:val="Source"/>
        <w:rPr>
          <w:noProof/>
        </w:rPr>
      </w:pPr>
      <w:r w:rsidRPr="00A65FE8">
        <w:rPr>
          <w:noProof/>
        </w:rPr>
        <w:t xml:space="preserve">Source: Kampylis, Punie &amp; Devine </w:t>
      </w:r>
      <w:r w:rsidR="00020298">
        <w:rPr>
          <w:noProof/>
        </w:rPr>
        <w:t>(</w:t>
      </w:r>
      <w:r w:rsidRPr="00A65FE8">
        <w:rPr>
          <w:noProof/>
        </w:rPr>
        <w:t>2015</w:t>
      </w:r>
      <w:r>
        <w:rPr>
          <w:noProof/>
        </w:rPr>
        <w:t>, pp.18</w:t>
      </w:r>
      <w:r w:rsidR="00E86829">
        <w:rPr>
          <w:noProof/>
        </w:rPr>
        <w:t>–</w:t>
      </w:r>
      <w:r>
        <w:rPr>
          <w:noProof/>
        </w:rPr>
        <w:t>20</w:t>
      </w:r>
      <w:r w:rsidR="00020298">
        <w:rPr>
          <w:noProof/>
        </w:rPr>
        <w:t>)</w:t>
      </w:r>
      <w:r w:rsidRPr="00A65FE8">
        <w:rPr>
          <w:noProof/>
        </w:rPr>
        <w:t>.</w:t>
      </w:r>
    </w:p>
    <w:p w14:paraId="0D114085" w14:textId="77777777" w:rsidR="003E741D" w:rsidRPr="00C90A71" w:rsidRDefault="003E741D" w:rsidP="003E741D">
      <w:pPr>
        <w:spacing w:line="240" w:lineRule="auto"/>
      </w:pPr>
    </w:p>
    <w:p w14:paraId="69E4EC95" w14:textId="77777777" w:rsidR="003E741D" w:rsidRPr="00C90A71" w:rsidRDefault="003E741D" w:rsidP="003E741D">
      <w:pPr>
        <w:spacing w:line="240" w:lineRule="auto"/>
      </w:pPr>
    </w:p>
    <w:p w14:paraId="0E54F62D" w14:textId="77777777" w:rsidR="001C3746" w:rsidRDefault="001C3746" w:rsidP="001C3746">
      <w:pPr>
        <w:spacing w:before="0" w:line="240" w:lineRule="auto"/>
        <w:rPr>
          <w:rFonts w:eastAsiaTheme="minorHAnsi"/>
          <w:b/>
          <w:noProof/>
          <w:color w:val="000000"/>
          <w:lang w:eastAsia="en-AU"/>
        </w:rPr>
      </w:pPr>
    </w:p>
    <w:p w14:paraId="6C74CFAC" w14:textId="77777777" w:rsidR="00AD2774" w:rsidRPr="003A0ABD" w:rsidRDefault="00AD2774" w:rsidP="001C3746">
      <w:pPr>
        <w:pStyle w:val="Dotpoint1"/>
        <w:numPr>
          <w:ilvl w:val="0"/>
          <w:numId w:val="0"/>
        </w:numPr>
        <w:ind w:left="284" w:hanging="284"/>
        <w:rPr>
          <w:rFonts w:eastAsiaTheme="minorHAnsi"/>
          <w:b/>
          <w:noProof/>
          <w:lang w:eastAsia="en-AU"/>
        </w:rPr>
      </w:pPr>
    </w:p>
    <w:sectPr w:rsidR="00AD2774" w:rsidRPr="003A0ABD" w:rsidSect="003E741D">
      <w:pgSz w:w="11907" w:h="16840" w:code="9"/>
      <w:pgMar w:top="1276" w:right="1701" w:bottom="1276" w:left="1134" w:header="709" w:footer="556" w:gutter="0"/>
      <w:cols w:space="708" w:equalWidth="0">
        <w:col w:w="8788"/>
      </w:cols>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E0755" w16cex:dateUtc="2020-03-31T07:15:00Z"/>
  <w16cex:commentExtensible w16cex:durableId="222EE195" w16cex:dateUtc="2020-03-31T22:47:00Z"/>
  <w16cex:commentExtensible w16cex:durableId="222EE27E" w16cex:dateUtc="2020-03-31T22:50:00Z"/>
  <w16cex:commentExtensible w16cex:durableId="222EE454" w16cex:dateUtc="2020-03-31T22:58:00Z"/>
  <w16cex:commentExtensible w16cex:durableId="222EE4B4" w16cex:dateUtc="2020-03-31T23:00:00Z"/>
  <w16cex:commentExtensible w16cex:durableId="222EE644" w16cex:dateUtc="2020-03-31T23:07:00Z"/>
  <w16cex:commentExtensible w16cex:durableId="222EE6DE" w16cex:dateUtc="2020-03-31T23:09:00Z"/>
  <w16cex:commentExtensible w16cex:durableId="22305569" w16cex:dateUtc="2020-04-02T01:13:00Z"/>
  <w16cex:commentExtensible w16cex:durableId="22305920" w16cex:dateUtc="2020-04-02T01:29:00Z"/>
  <w16cex:commentExtensible w16cex:durableId="223059CC" w16cex:dateUtc="2020-04-02T01:32:00Z"/>
  <w16cex:commentExtensible w16cex:durableId="22305A41" w16cex:dateUtc="2020-04-02T01:34:00Z"/>
  <w16cex:commentExtensible w16cex:durableId="22305C86" w16cex:dateUtc="2020-04-02T01:43:00Z"/>
  <w16cex:commentExtensible w16cex:durableId="22305CAC" w16cex:dateUtc="2020-04-02T01:44:00Z"/>
  <w16cex:commentExtensible w16cex:durableId="22305E40" w16cex:dateUtc="2020-04-02T01:51:00Z"/>
  <w16cex:commentExtensible w16cex:durableId="22305F70" w16cex:dateUtc="2020-04-02T01:56:00Z"/>
  <w16cex:commentExtensible w16cex:durableId="22305FF2" w16cex:dateUtc="2020-04-02T01:58:00Z"/>
  <w16cex:commentExtensible w16cex:durableId="222F28DE" w16cex:dateUtc="2020-04-01T03:51:00Z"/>
  <w16cex:commentExtensible w16cex:durableId="2230618E" w16cex:dateUtc="2020-04-02T02:05:00Z"/>
  <w16cex:commentExtensible w16cex:durableId="2230692C" w16cex:dateUtc="2020-04-02T02:37:00Z"/>
  <w16cex:commentExtensible w16cex:durableId="22306A4A" w16cex:dateUtc="2020-04-02T02:42:00Z"/>
  <w16cex:commentExtensible w16cex:durableId="22306B1F" w16cex:dateUtc="2020-04-02T02:46:00Z"/>
  <w16cex:commentExtensible w16cex:durableId="22307BB3" w16cex:dateUtc="2020-04-02T0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4C103" w14:textId="77777777" w:rsidR="00AB0F13" w:rsidRDefault="00AB0F13">
      <w:r>
        <w:separator/>
      </w:r>
    </w:p>
  </w:endnote>
  <w:endnote w:type="continuationSeparator" w:id="0">
    <w:p w14:paraId="7D32C142" w14:textId="77777777" w:rsidR="00AB0F13" w:rsidRDefault="00AB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Std">
    <w:altName w:val="Arial"/>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1326C" w14:textId="77777777" w:rsidR="00AB0F13" w:rsidRDefault="00AB0F13">
    <w:pPr>
      <w:pStyle w:val="Footer"/>
    </w:pPr>
    <w:r>
      <w:rPr>
        <w:noProof/>
        <w:lang w:eastAsia="en-AU"/>
      </w:rPr>
      <mc:AlternateContent>
        <mc:Choice Requires="wps">
          <w:drawing>
            <wp:anchor distT="0" distB="0" distL="114300" distR="114300" simplePos="0" relativeHeight="251664384" behindDoc="0" locked="0" layoutInCell="1" allowOverlap="1" wp14:anchorId="08D1417B" wp14:editId="5EC9C3E1">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C0B0F" w14:textId="77777777" w:rsidR="00AB0F13" w:rsidRPr="00A9334E" w:rsidRDefault="00AB0F13"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0F813D02" w14:textId="77777777" w:rsidR="00AB0F13" w:rsidRDefault="00AB0F13"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1417B" id="_x0000_t202" coordsize="21600,21600" o:spt="202" path="m,l,21600r21600,l21600,xe">
              <v:stroke joinstyle="miter"/>
              <v:path gradientshapeok="t" o:connecttype="rect"/>
            </v:shapetype>
            <v:shape id="Text Box 5" o:spid="_x0000_s1033"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" filled="f" stroked="f">
              <v:textbox style="layout-flow:vertical;mso-layout-flow-alt:bottom-to-top">
                <w:txbxContent>
                  <w:p w14:paraId="793C0B0F" w14:textId="77777777" w:rsidR="00AB0F13" w:rsidRPr="00A9334E" w:rsidRDefault="00AB0F13"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0F813D02" w14:textId="77777777" w:rsidR="00AB0F13" w:rsidRDefault="00AB0F13"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8DFBA" w14:textId="77777777" w:rsidR="00AB0F13" w:rsidRPr="008E6C3A" w:rsidRDefault="00AB0F13" w:rsidP="008E6C3A">
    <w:pPr>
      <w:pStyle w:val="Footer"/>
      <w:tabs>
        <w:tab w:val="clear" w:pos="8505"/>
        <w:tab w:val="right" w:pos="8789"/>
      </w:tabs>
      <w:ind w:left="-1134"/>
      <w:rPr>
        <w:b/>
      </w:rPr>
    </w:pPr>
    <w:r w:rsidRPr="008E6C3A">
      <w:rPr>
        <w:rStyle w:val="PageNumber"/>
        <w:color w:val="000000" w:themeColor="text1"/>
      </w:rPr>
      <w:fldChar w:fldCharType="begin"/>
    </w:r>
    <w:r w:rsidRPr="008E6C3A">
      <w:rPr>
        <w:rStyle w:val="PageNumber"/>
        <w:color w:val="000000" w:themeColor="text1"/>
      </w:rPr>
      <w:instrText xml:space="preserve"> PAGE </w:instrText>
    </w:r>
    <w:r w:rsidRPr="008E6C3A">
      <w:rPr>
        <w:rStyle w:val="PageNumber"/>
        <w:color w:val="000000" w:themeColor="text1"/>
      </w:rPr>
      <w:fldChar w:fldCharType="separate"/>
    </w:r>
    <w:r>
      <w:rPr>
        <w:rStyle w:val="PageNumber"/>
        <w:noProof/>
        <w:color w:val="000000" w:themeColor="text1"/>
      </w:rPr>
      <w:t>6</w:t>
    </w:r>
    <w:r w:rsidRPr="008E6C3A">
      <w:rPr>
        <w:rStyle w:val="PageNumber"/>
        <w:color w:val="000000" w:themeColor="text1"/>
      </w:rPr>
      <w:fldChar w:fldCharType="end"/>
    </w:r>
    <w:r>
      <w:rPr>
        <w:rStyle w:val="PageNumber"/>
        <w:color w:val="000000" w:themeColor="text1"/>
      </w:rPr>
      <w:tab/>
    </w:r>
    <w:r>
      <w:rPr>
        <w:b/>
      </w:rPr>
      <w:t>VET’s response to Industry 4.0 and the digital economy: what works – support document</w:t>
    </w:r>
  </w:p>
  <w:p w14:paraId="307BC2B4" w14:textId="77777777" w:rsidR="00AB0F13" w:rsidRDefault="00AB0F13"/>
  <w:p w14:paraId="16E94EF5" w14:textId="77777777" w:rsidR="00AB0F13" w:rsidRDefault="00AB0F1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42AF" w14:textId="77777777" w:rsidR="00AB0F13" w:rsidRPr="009775C7" w:rsidRDefault="00AB0F13" w:rsidP="008E6C3A">
    <w:pPr>
      <w:pStyle w:val="Footer"/>
      <w:tabs>
        <w:tab w:val="clear" w:pos="8505"/>
        <w:tab w:val="right" w:pos="10206"/>
      </w:tabs>
      <w:jc w:val="right"/>
      <w:rPr>
        <w:color w:val="FFFFFF" w:themeColor="background1"/>
      </w:rPr>
    </w:pPr>
    <w:r>
      <w:rPr>
        <w:b/>
      </w:rPr>
      <w:t>NCVER</w:t>
    </w:r>
    <w:r w:rsidRPr="009775C7">
      <w:tab/>
    </w:r>
    <w:r w:rsidRPr="00513938">
      <w:rPr>
        <w:rStyle w:val="PageNumber"/>
        <w:b/>
        <w:color w:val="000000" w:themeColor="text1"/>
      </w:rPr>
      <w:fldChar w:fldCharType="begin"/>
    </w:r>
    <w:r w:rsidRPr="00513938">
      <w:rPr>
        <w:rStyle w:val="PageNumber"/>
        <w:color w:val="000000" w:themeColor="text1"/>
      </w:rPr>
      <w:instrText xml:space="preserve"> PAGE </w:instrText>
    </w:r>
    <w:r w:rsidRPr="00513938">
      <w:rPr>
        <w:rStyle w:val="PageNumber"/>
        <w:b/>
        <w:color w:val="000000" w:themeColor="text1"/>
      </w:rPr>
      <w:fldChar w:fldCharType="separate"/>
    </w:r>
    <w:r>
      <w:rPr>
        <w:rStyle w:val="PageNumber"/>
        <w:noProof/>
        <w:color w:val="000000" w:themeColor="text1"/>
      </w:rPr>
      <w:t>7</w:t>
    </w:r>
    <w:r w:rsidRPr="00513938">
      <w:rPr>
        <w:rStyle w:val="PageNumber"/>
        <w:b/>
        <w:color w:val="000000" w:themeColor="text1"/>
      </w:rPr>
      <w:fldChar w:fldCharType="end"/>
    </w:r>
  </w:p>
  <w:p w14:paraId="448E0A6B" w14:textId="77777777" w:rsidR="00AB0F13" w:rsidRDefault="00AB0F13"/>
  <w:p w14:paraId="1832725B" w14:textId="77777777" w:rsidR="00AB0F13" w:rsidRDefault="00AB0F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E627E" w14:textId="77777777" w:rsidR="00AB0F13" w:rsidRDefault="00AB0F13">
      <w:r>
        <w:separator/>
      </w:r>
    </w:p>
  </w:footnote>
  <w:footnote w:type="continuationSeparator" w:id="0">
    <w:p w14:paraId="3DFA01AB" w14:textId="77777777" w:rsidR="00AB0F13" w:rsidRDefault="00AB0F13">
      <w:r>
        <w:continuationSeparator/>
      </w:r>
    </w:p>
  </w:footnote>
  <w:footnote w:id="1">
    <w:p w14:paraId="7D6C716A" w14:textId="7C036D91" w:rsidR="00AB0F13" w:rsidRDefault="00AB0F13" w:rsidP="00AD2774">
      <w:pPr>
        <w:pStyle w:val="FootnoteText"/>
      </w:pPr>
      <w:r w:rsidRPr="008936F7">
        <w:rPr>
          <w:rStyle w:val="FootnoteReference"/>
          <w:vertAlign w:val="baseline"/>
        </w:rPr>
        <w:footnoteRef/>
      </w:r>
      <w:r>
        <w:t xml:space="preserve"> </w:t>
      </w:r>
      <w:r>
        <w:tab/>
        <w:t>&lt;</w:t>
      </w:r>
      <w:hyperlink r:id="rId1" w:history="1">
        <w:r w:rsidRPr="0056711F">
          <w:t>https://www.australianindustrystandards.org.au/aisc-</w:t>
        </w:r>
        <w:r w:rsidRPr="00AD2774">
          <w:t>establishes</w:t>
        </w:r>
        <w:r w:rsidRPr="0056711F">
          <w:t>-digital-transformation-irc/</w:t>
        </w:r>
      </w:hyperlink>
      <w:r>
        <w:t>&gt;.</w:t>
      </w:r>
    </w:p>
    <w:p w14:paraId="4447F82D" w14:textId="77777777" w:rsidR="00AB0F13" w:rsidRPr="005C535B" w:rsidRDefault="00AB0F13" w:rsidP="00AD2774">
      <w:pPr>
        <w:pStyle w:val="FootnoteText"/>
        <w:rPr>
          <w:lang w:val="en-US"/>
        </w:rPr>
      </w:pPr>
    </w:p>
  </w:footnote>
  <w:footnote w:id="2">
    <w:p w14:paraId="0D0DA75F" w14:textId="06CFD386" w:rsidR="00AB0F13" w:rsidRPr="007465C1" w:rsidRDefault="00AB0F13">
      <w:pPr>
        <w:pStyle w:val="FootnoteText"/>
        <w:rPr>
          <w:lang w:val="en-US"/>
        </w:rPr>
      </w:pPr>
      <w:r w:rsidRPr="008936F7">
        <w:rPr>
          <w:rStyle w:val="FootnoteReference"/>
          <w:vertAlign w:val="baseline"/>
        </w:rPr>
        <w:footnoteRef/>
      </w:r>
      <w:r>
        <w:t xml:space="preserve"> S</w:t>
      </w:r>
      <w:r w:rsidRPr="00AD2774">
        <w:t>ee</w:t>
      </w:r>
      <w:r>
        <w:t>,</w:t>
      </w:r>
      <w:r w:rsidRPr="00AD2774">
        <w:t xml:space="preserve"> for example</w:t>
      </w:r>
      <w:r>
        <w:t>,</w:t>
      </w:r>
      <w:r w:rsidRPr="00AD2774">
        <w:t xml:space="preserve"> </w:t>
      </w:r>
      <w:r w:rsidRPr="00AD2774">
        <w:rPr>
          <w:i/>
        </w:rPr>
        <w:t>Preparing for Australia’s digital future: a strategic plan for information and communications science, engineering and technology</w:t>
      </w:r>
      <w:r w:rsidRPr="00AD2774">
        <w:t xml:space="preserve"> developed by the National Committee for Information and Communication Sciences</w:t>
      </w:r>
      <w:r>
        <w:t>,</w:t>
      </w:r>
      <w:r w:rsidRPr="00AD2774">
        <w:t xml:space="preserve"> 2019</w:t>
      </w:r>
      <w:r>
        <w:t>.</w:t>
      </w:r>
    </w:p>
  </w:footnote>
  <w:footnote w:id="3">
    <w:p w14:paraId="1808BC2E" w14:textId="4F79ECD2" w:rsidR="00AB0F13" w:rsidRDefault="00AB0F13" w:rsidP="00AD2774">
      <w:pPr>
        <w:pStyle w:val="FootnoteText"/>
      </w:pPr>
      <w:r w:rsidRPr="008936F7">
        <w:rPr>
          <w:rStyle w:val="FootnoteReference"/>
          <w:vertAlign w:val="baseline"/>
        </w:rPr>
        <w:footnoteRef/>
      </w:r>
      <w:r>
        <w:t xml:space="preserve"> </w:t>
      </w:r>
      <w:r>
        <w:tab/>
        <w:t>&lt;</w:t>
      </w:r>
      <w:r w:rsidRPr="008C1447">
        <w:t>https://www.southmetrotafe.wa.edu.au/content/acept</w:t>
      </w:r>
      <w:r>
        <w:t>&gt;.</w:t>
      </w:r>
    </w:p>
    <w:p w14:paraId="2227DE6B" w14:textId="77777777" w:rsidR="00AB0F13" w:rsidRPr="006B17A9" w:rsidRDefault="00AB0F13" w:rsidP="00AD277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72C079B"/>
    <w:multiLevelType w:val="hybridMultilevel"/>
    <w:tmpl w:val="EAC07694"/>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5"/>
  </w:num>
  <w:num w:numId="8">
    <w:abstractNumId w:val="24"/>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3C"/>
    <w:rsid w:val="00001677"/>
    <w:rsid w:val="00001695"/>
    <w:rsid w:val="0000202A"/>
    <w:rsid w:val="00003DAE"/>
    <w:rsid w:val="000108B2"/>
    <w:rsid w:val="00011A0E"/>
    <w:rsid w:val="00013265"/>
    <w:rsid w:val="00014809"/>
    <w:rsid w:val="000157C5"/>
    <w:rsid w:val="00016406"/>
    <w:rsid w:val="000171DA"/>
    <w:rsid w:val="00020298"/>
    <w:rsid w:val="00020593"/>
    <w:rsid w:val="00022290"/>
    <w:rsid w:val="000315D7"/>
    <w:rsid w:val="00033D04"/>
    <w:rsid w:val="000358D5"/>
    <w:rsid w:val="000366E4"/>
    <w:rsid w:val="0004046F"/>
    <w:rsid w:val="000426D4"/>
    <w:rsid w:val="00042B12"/>
    <w:rsid w:val="000461DD"/>
    <w:rsid w:val="000601D5"/>
    <w:rsid w:val="0006125F"/>
    <w:rsid w:val="00062114"/>
    <w:rsid w:val="000646B6"/>
    <w:rsid w:val="000649CC"/>
    <w:rsid w:val="00070B32"/>
    <w:rsid w:val="00074BD4"/>
    <w:rsid w:val="00074FCF"/>
    <w:rsid w:val="00075010"/>
    <w:rsid w:val="00082251"/>
    <w:rsid w:val="000829A8"/>
    <w:rsid w:val="000848A2"/>
    <w:rsid w:val="00094715"/>
    <w:rsid w:val="00097D1E"/>
    <w:rsid w:val="000A0F69"/>
    <w:rsid w:val="000A2C48"/>
    <w:rsid w:val="000B05AE"/>
    <w:rsid w:val="000B46EF"/>
    <w:rsid w:val="000B4ACF"/>
    <w:rsid w:val="000B5EFF"/>
    <w:rsid w:val="000C1642"/>
    <w:rsid w:val="000C2249"/>
    <w:rsid w:val="000C4FA1"/>
    <w:rsid w:val="000C7DEC"/>
    <w:rsid w:val="000D17A6"/>
    <w:rsid w:val="000D222A"/>
    <w:rsid w:val="000D3269"/>
    <w:rsid w:val="000D48E7"/>
    <w:rsid w:val="000D6DF4"/>
    <w:rsid w:val="000E4BED"/>
    <w:rsid w:val="000E4F3D"/>
    <w:rsid w:val="000F20C2"/>
    <w:rsid w:val="000F4BE5"/>
    <w:rsid w:val="000F641C"/>
    <w:rsid w:val="0010761A"/>
    <w:rsid w:val="001139E4"/>
    <w:rsid w:val="001156ED"/>
    <w:rsid w:val="00116D1E"/>
    <w:rsid w:val="00123B5C"/>
    <w:rsid w:val="001303FC"/>
    <w:rsid w:val="00133BC4"/>
    <w:rsid w:val="00135C75"/>
    <w:rsid w:val="00150874"/>
    <w:rsid w:val="001509F3"/>
    <w:rsid w:val="001511AA"/>
    <w:rsid w:val="00154CC0"/>
    <w:rsid w:val="00155839"/>
    <w:rsid w:val="00155FDE"/>
    <w:rsid w:val="0015786E"/>
    <w:rsid w:val="00166281"/>
    <w:rsid w:val="00176EFB"/>
    <w:rsid w:val="00176FA1"/>
    <w:rsid w:val="00177827"/>
    <w:rsid w:val="001809E5"/>
    <w:rsid w:val="00184504"/>
    <w:rsid w:val="00184C7D"/>
    <w:rsid w:val="001871BF"/>
    <w:rsid w:val="001959C9"/>
    <w:rsid w:val="001B2A8F"/>
    <w:rsid w:val="001B43CF"/>
    <w:rsid w:val="001B6FD9"/>
    <w:rsid w:val="001C3746"/>
    <w:rsid w:val="001C3C8B"/>
    <w:rsid w:val="001D0C13"/>
    <w:rsid w:val="001D334E"/>
    <w:rsid w:val="001D67CF"/>
    <w:rsid w:val="001E2C79"/>
    <w:rsid w:val="001F4556"/>
    <w:rsid w:val="001F7D84"/>
    <w:rsid w:val="00201B96"/>
    <w:rsid w:val="00205460"/>
    <w:rsid w:val="00206B2A"/>
    <w:rsid w:val="00210AF6"/>
    <w:rsid w:val="002142E2"/>
    <w:rsid w:val="002277A9"/>
    <w:rsid w:val="002334B8"/>
    <w:rsid w:val="00233BFA"/>
    <w:rsid w:val="00233C8D"/>
    <w:rsid w:val="0023687D"/>
    <w:rsid w:val="002552AB"/>
    <w:rsid w:val="00256ABA"/>
    <w:rsid w:val="00263572"/>
    <w:rsid w:val="00265397"/>
    <w:rsid w:val="002737E5"/>
    <w:rsid w:val="00276B89"/>
    <w:rsid w:val="0028008E"/>
    <w:rsid w:val="00280150"/>
    <w:rsid w:val="00282D4F"/>
    <w:rsid w:val="00284FCB"/>
    <w:rsid w:val="0028663A"/>
    <w:rsid w:val="00292892"/>
    <w:rsid w:val="00292A9C"/>
    <w:rsid w:val="00293F00"/>
    <w:rsid w:val="00294E98"/>
    <w:rsid w:val="00297C1D"/>
    <w:rsid w:val="002A2BB1"/>
    <w:rsid w:val="002A62EB"/>
    <w:rsid w:val="002A7A08"/>
    <w:rsid w:val="002B2904"/>
    <w:rsid w:val="002B5048"/>
    <w:rsid w:val="002B65B0"/>
    <w:rsid w:val="002B6D90"/>
    <w:rsid w:val="002C0E4F"/>
    <w:rsid w:val="002C3CD8"/>
    <w:rsid w:val="002C641F"/>
    <w:rsid w:val="002C76E2"/>
    <w:rsid w:val="002D1CEE"/>
    <w:rsid w:val="002D2E3B"/>
    <w:rsid w:val="002D2FA7"/>
    <w:rsid w:val="002D49CF"/>
    <w:rsid w:val="002D7387"/>
    <w:rsid w:val="002E196B"/>
    <w:rsid w:val="002E31C8"/>
    <w:rsid w:val="002E73ED"/>
    <w:rsid w:val="002F2F9C"/>
    <w:rsid w:val="002F7789"/>
    <w:rsid w:val="003028FE"/>
    <w:rsid w:val="003105DB"/>
    <w:rsid w:val="003138AA"/>
    <w:rsid w:val="0032397B"/>
    <w:rsid w:val="00323C70"/>
    <w:rsid w:val="00325FED"/>
    <w:rsid w:val="003349BC"/>
    <w:rsid w:val="00334CE3"/>
    <w:rsid w:val="00337BCB"/>
    <w:rsid w:val="00337FF2"/>
    <w:rsid w:val="00340B4D"/>
    <w:rsid w:val="003413F8"/>
    <w:rsid w:val="00361FCE"/>
    <w:rsid w:val="003632AE"/>
    <w:rsid w:val="00364E5D"/>
    <w:rsid w:val="00365398"/>
    <w:rsid w:val="003946B7"/>
    <w:rsid w:val="00397759"/>
    <w:rsid w:val="003A04A6"/>
    <w:rsid w:val="003A0ABD"/>
    <w:rsid w:val="003B16DA"/>
    <w:rsid w:val="003B31DB"/>
    <w:rsid w:val="003B483E"/>
    <w:rsid w:val="003B50E0"/>
    <w:rsid w:val="003C6598"/>
    <w:rsid w:val="003D073C"/>
    <w:rsid w:val="003D0AF5"/>
    <w:rsid w:val="003D11A7"/>
    <w:rsid w:val="003D408D"/>
    <w:rsid w:val="003D5CFD"/>
    <w:rsid w:val="003D7BA5"/>
    <w:rsid w:val="003E1869"/>
    <w:rsid w:val="003E556D"/>
    <w:rsid w:val="003E67CB"/>
    <w:rsid w:val="003E741D"/>
    <w:rsid w:val="003F6066"/>
    <w:rsid w:val="004004F5"/>
    <w:rsid w:val="00402721"/>
    <w:rsid w:val="00402D6D"/>
    <w:rsid w:val="0040379F"/>
    <w:rsid w:val="00404192"/>
    <w:rsid w:val="0040521A"/>
    <w:rsid w:val="00405E3C"/>
    <w:rsid w:val="004118B0"/>
    <w:rsid w:val="004146A9"/>
    <w:rsid w:val="00424A46"/>
    <w:rsid w:val="0043101E"/>
    <w:rsid w:val="004341FB"/>
    <w:rsid w:val="00437F07"/>
    <w:rsid w:val="00447016"/>
    <w:rsid w:val="0044794A"/>
    <w:rsid w:val="00453BCD"/>
    <w:rsid w:val="00457C3A"/>
    <w:rsid w:val="0046257F"/>
    <w:rsid w:val="00475CC0"/>
    <w:rsid w:val="00481881"/>
    <w:rsid w:val="004823B5"/>
    <w:rsid w:val="004839CB"/>
    <w:rsid w:val="0048643A"/>
    <w:rsid w:val="00491CD3"/>
    <w:rsid w:val="0049453B"/>
    <w:rsid w:val="00494E7C"/>
    <w:rsid w:val="004970AF"/>
    <w:rsid w:val="004A08FD"/>
    <w:rsid w:val="004A357E"/>
    <w:rsid w:val="004A6E91"/>
    <w:rsid w:val="004B2CB0"/>
    <w:rsid w:val="004B3225"/>
    <w:rsid w:val="004B42CA"/>
    <w:rsid w:val="004B5D1A"/>
    <w:rsid w:val="004C15ED"/>
    <w:rsid w:val="004C4063"/>
    <w:rsid w:val="004C538D"/>
    <w:rsid w:val="004C7B6E"/>
    <w:rsid w:val="004D1C69"/>
    <w:rsid w:val="004D46EF"/>
    <w:rsid w:val="004D4802"/>
    <w:rsid w:val="004E41C5"/>
    <w:rsid w:val="004E7227"/>
    <w:rsid w:val="00502BA7"/>
    <w:rsid w:val="00506759"/>
    <w:rsid w:val="005101DC"/>
    <w:rsid w:val="00510A73"/>
    <w:rsid w:val="005134A5"/>
    <w:rsid w:val="00513D36"/>
    <w:rsid w:val="005174C8"/>
    <w:rsid w:val="00520315"/>
    <w:rsid w:val="00520F3D"/>
    <w:rsid w:val="00520F51"/>
    <w:rsid w:val="0052276C"/>
    <w:rsid w:val="0052300A"/>
    <w:rsid w:val="00524CB8"/>
    <w:rsid w:val="00526653"/>
    <w:rsid w:val="0052732E"/>
    <w:rsid w:val="005275E5"/>
    <w:rsid w:val="0053136C"/>
    <w:rsid w:val="00535E39"/>
    <w:rsid w:val="00537611"/>
    <w:rsid w:val="005459D0"/>
    <w:rsid w:val="00553029"/>
    <w:rsid w:val="00560091"/>
    <w:rsid w:val="00560C71"/>
    <w:rsid w:val="00562DBE"/>
    <w:rsid w:val="00570758"/>
    <w:rsid w:val="00571CB5"/>
    <w:rsid w:val="00575D71"/>
    <w:rsid w:val="00575EA1"/>
    <w:rsid w:val="00577C57"/>
    <w:rsid w:val="00581546"/>
    <w:rsid w:val="005835B9"/>
    <w:rsid w:val="005927AA"/>
    <w:rsid w:val="005935D2"/>
    <w:rsid w:val="005A6134"/>
    <w:rsid w:val="005B512A"/>
    <w:rsid w:val="005C13C7"/>
    <w:rsid w:val="005C1AFC"/>
    <w:rsid w:val="005C277E"/>
    <w:rsid w:val="005C61F8"/>
    <w:rsid w:val="005D74AF"/>
    <w:rsid w:val="005E4764"/>
    <w:rsid w:val="005E78E7"/>
    <w:rsid w:val="005E7C2A"/>
    <w:rsid w:val="005F444A"/>
    <w:rsid w:val="005F7B95"/>
    <w:rsid w:val="00602796"/>
    <w:rsid w:val="00607FC5"/>
    <w:rsid w:val="00617814"/>
    <w:rsid w:val="00624F0E"/>
    <w:rsid w:val="006300A8"/>
    <w:rsid w:val="00634931"/>
    <w:rsid w:val="00646118"/>
    <w:rsid w:val="00647810"/>
    <w:rsid w:val="00652973"/>
    <w:rsid w:val="00656679"/>
    <w:rsid w:val="0067045E"/>
    <w:rsid w:val="00671300"/>
    <w:rsid w:val="006755FE"/>
    <w:rsid w:val="0067712D"/>
    <w:rsid w:val="00682432"/>
    <w:rsid w:val="00686105"/>
    <w:rsid w:val="006868D1"/>
    <w:rsid w:val="00686992"/>
    <w:rsid w:val="00687138"/>
    <w:rsid w:val="00696A48"/>
    <w:rsid w:val="00696B93"/>
    <w:rsid w:val="006A670E"/>
    <w:rsid w:val="006A7003"/>
    <w:rsid w:val="006A702B"/>
    <w:rsid w:val="006B2721"/>
    <w:rsid w:val="006C0159"/>
    <w:rsid w:val="006C3ACD"/>
    <w:rsid w:val="006C404D"/>
    <w:rsid w:val="006C5DA9"/>
    <w:rsid w:val="006D0E3C"/>
    <w:rsid w:val="006D2236"/>
    <w:rsid w:val="006D53B9"/>
    <w:rsid w:val="006D5839"/>
    <w:rsid w:val="006E38ED"/>
    <w:rsid w:val="006E79C9"/>
    <w:rsid w:val="006F4C2B"/>
    <w:rsid w:val="007037A4"/>
    <w:rsid w:val="00711054"/>
    <w:rsid w:val="00714E2C"/>
    <w:rsid w:val="00715D49"/>
    <w:rsid w:val="00717048"/>
    <w:rsid w:val="00720482"/>
    <w:rsid w:val="007207BD"/>
    <w:rsid w:val="00721170"/>
    <w:rsid w:val="007224CE"/>
    <w:rsid w:val="00722F98"/>
    <w:rsid w:val="0072487C"/>
    <w:rsid w:val="00727382"/>
    <w:rsid w:val="00731EC8"/>
    <w:rsid w:val="007324A3"/>
    <w:rsid w:val="00737340"/>
    <w:rsid w:val="00737EA1"/>
    <w:rsid w:val="00741362"/>
    <w:rsid w:val="00741FFC"/>
    <w:rsid w:val="00742545"/>
    <w:rsid w:val="007447CB"/>
    <w:rsid w:val="007465C1"/>
    <w:rsid w:val="00751387"/>
    <w:rsid w:val="00751711"/>
    <w:rsid w:val="00755D36"/>
    <w:rsid w:val="0076097C"/>
    <w:rsid w:val="007714DD"/>
    <w:rsid w:val="00780B33"/>
    <w:rsid w:val="00783078"/>
    <w:rsid w:val="00783F44"/>
    <w:rsid w:val="007942FC"/>
    <w:rsid w:val="007A0254"/>
    <w:rsid w:val="007A2079"/>
    <w:rsid w:val="007A2280"/>
    <w:rsid w:val="007B11EE"/>
    <w:rsid w:val="007B17D2"/>
    <w:rsid w:val="007B7063"/>
    <w:rsid w:val="007C0923"/>
    <w:rsid w:val="007C3281"/>
    <w:rsid w:val="007C36EE"/>
    <w:rsid w:val="007C50A7"/>
    <w:rsid w:val="007D00E0"/>
    <w:rsid w:val="007D0A4F"/>
    <w:rsid w:val="007D79E4"/>
    <w:rsid w:val="007E2D8C"/>
    <w:rsid w:val="007E3A94"/>
    <w:rsid w:val="007E52E6"/>
    <w:rsid w:val="00800A2B"/>
    <w:rsid w:val="00805B76"/>
    <w:rsid w:val="00805B82"/>
    <w:rsid w:val="00806C1C"/>
    <w:rsid w:val="00814F2E"/>
    <w:rsid w:val="0082206A"/>
    <w:rsid w:val="00822D95"/>
    <w:rsid w:val="00826757"/>
    <w:rsid w:val="00827D98"/>
    <w:rsid w:val="00831009"/>
    <w:rsid w:val="00832CF7"/>
    <w:rsid w:val="00834958"/>
    <w:rsid w:val="0084105A"/>
    <w:rsid w:val="008447C8"/>
    <w:rsid w:val="00853EEF"/>
    <w:rsid w:val="00856B98"/>
    <w:rsid w:val="00870577"/>
    <w:rsid w:val="00871A1D"/>
    <w:rsid w:val="00874DA5"/>
    <w:rsid w:val="008761CA"/>
    <w:rsid w:val="008771A7"/>
    <w:rsid w:val="008839EC"/>
    <w:rsid w:val="00883EA9"/>
    <w:rsid w:val="00884457"/>
    <w:rsid w:val="008850FD"/>
    <w:rsid w:val="008851CC"/>
    <w:rsid w:val="0089041B"/>
    <w:rsid w:val="008923B6"/>
    <w:rsid w:val="008936F7"/>
    <w:rsid w:val="00894271"/>
    <w:rsid w:val="008B16D7"/>
    <w:rsid w:val="008B1ED5"/>
    <w:rsid w:val="008B5465"/>
    <w:rsid w:val="008B63C9"/>
    <w:rsid w:val="008B6748"/>
    <w:rsid w:val="008C0A74"/>
    <w:rsid w:val="008C0C81"/>
    <w:rsid w:val="008C641D"/>
    <w:rsid w:val="008D5863"/>
    <w:rsid w:val="008E0C60"/>
    <w:rsid w:val="008E2362"/>
    <w:rsid w:val="008E3110"/>
    <w:rsid w:val="008E3561"/>
    <w:rsid w:val="008E6C3A"/>
    <w:rsid w:val="008F16FF"/>
    <w:rsid w:val="008F20BA"/>
    <w:rsid w:val="00902740"/>
    <w:rsid w:val="009058B5"/>
    <w:rsid w:val="00910A0A"/>
    <w:rsid w:val="009162C8"/>
    <w:rsid w:val="00917795"/>
    <w:rsid w:val="00920CB0"/>
    <w:rsid w:val="0092259C"/>
    <w:rsid w:val="00933317"/>
    <w:rsid w:val="00940830"/>
    <w:rsid w:val="00941893"/>
    <w:rsid w:val="009461ED"/>
    <w:rsid w:val="00950A23"/>
    <w:rsid w:val="009538E6"/>
    <w:rsid w:val="00954E71"/>
    <w:rsid w:val="00960230"/>
    <w:rsid w:val="009666B5"/>
    <w:rsid w:val="0096699A"/>
    <w:rsid w:val="009704E4"/>
    <w:rsid w:val="009714CD"/>
    <w:rsid w:val="0097461B"/>
    <w:rsid w:val="0097604E"/>
    <w:rsid w:val="009761E4"/>
    <w:rsid w:val="009775C7"/>
    <w:rsid w:val="00980434"/>
    <w:rsid w:val="00981BEE"/>
    <w:rsid w:val="00986FC6"/>
    <w:rsid w:val="009903DD"/>
    <w:rsid w:val="009A4196"/>
    <w:rsid w:val="009A4B49"/>
    <w:rsid w:val="009A6603"/>
    <w:rsid w:val="009A781C"/>
    <w:rsid w:val="009B1618"/>
    <w:rsid w:val="009B712E"/>
    <w:rsid w:val="009C1385"/>
    <w:rsid w:val="009C22BE"/>
    <w:rsid w:val="009C68BA"/>
    <w:rsid w:val="009D19C8"/>
    <w:rsid w:val="009E0736"/>
    <w:rsid w:val="009E17EF"/>
    <w:rsid w:val="009E231A"/>
    <w:rsid w:val="009E2C5B"/>
    <w:rsid w:val="009E2F64"/>
    <w:rsid w:val="009E402E"/>
    <w:rsid w:val="009E5BD9"/>
    <w:rsid w:val="009F6D39"/>
    <w:rsid w:val="00A01E00"/>
    <w:rsid w:val="00A04A39"/>
    <w:rsid w:val="00A10A6B"/>
    <w:rsid w:val="00A10E2B"/>
    <w:rsid w:val="00A110B6"/>
    <w:rsid w:val="00A12ED9"/>
    <w:rsid w:val="00A16AC9"/>
    <w:rsid w:val="00A2156C"/>
    <w:rsid w:val="00A30084"/>
    <w:rsid w:val="00A34BB4"/>
    <w:rsid w:val="00A37820"/>
    <w:rsid w:val="00A475DF"/>
    <w:rsid w:val="00A50895"/>
    <w:rsid w:val="00A53133"/>
    <w:rsid w:val="00A566CC"/>
    <w:rsid w:val="00A56763"/>
    <w:rsid w:val="00A61AC2"/>
    <w:rsid w:val="00A62495"/>
    <w:rsid w:val="00A70187"/>
    <w:rsid w:val="00A715E7"/>
    <w:rsid w:val="00A73318"/>
    <w:rsid w:val="00A73EA6"/>
    <w:rsid w:val="00A744D6"/>
    <w:rsid w:val="00A75622"/>
    <w:rsid w:val="00A7653A"/>
    <w:rsid w:val="00A902D9"/>
    <w:rsid w:val="00A9334E"/>
    <w:rsid w:val="00A93867"/>
    <w:rsid w:val="00A941FE"/>
    <w:rsid w:val="00A97DD2"/>
    <w:rsid w:val="00AA3D66"/>
    <w:rsid w:val="00AA44D4"/>
    <w:rsid w:val="00AA6689"/>
    <w:rsid w:val="00AB0F13"/>
    <w:rsid w:val="00AB1494"/>
    <w:rsid w:val="00AB43C8"/>
    <w:rsid w:val="00AB7B2C"/>
    <w:rsid w:val="00AB7E26"/>
    <w:rsid w:val="00AB7FCC"/>
    <w:rsid w:val="00AD2774"/>
    <w:rsid w:val="00AD640A"/>
    <w:rsid w:val="00AD68B8"/>
    <w:rsid w:val="00AE5D00"/>
    <w:rsid w:val="00AF0335"/>
    <w:rsid w:val="00AF1005"/>
    <w:rsid w:val="00AF18FD"/>
    <w:rsid w:val="00AF4C98"/>
    <w:rsid w:val="00AF4CDE"/>
    <w:rsid w:val="00B03286"/>
    <w:rsid w:val="00B04597"/>
    <w:rsid w:val="00B04CB0"/>
    <w:rsid w:val="00B05F5C"/>
    <w:rsid w:val="00B07283"/>
    <w:rsid w:val="00B1632F"/>
    <w:rsid w:val="00B164BE"/>
    <w:rsid w:val="00B16539"/>
    <w:rsid w:val="00B20D98"/>
    <w:rsid w:val="00B2616A"/>
    <w:rsid w:val="00B304EE"/>
    <w:rsid w:val="00B326D4"/>
    <w:rsid w:val="00B409A1"/>
    <w:rsid w:val="00B41272"/>
    <w:rsid w:val="00B426FE"/>
    <w:rsid w:val="00B43813"/>
    <w:rsid w:val="00B44BF7"/>
    <w:rsid w:val="00B53972"/>
    <w:rsid w:val="00B53E6A"/>
    <w:rsid w:val="00B5628F"/>
    <w:rsid w:val="00B57CC9"/>
    <w:rsid w:val="00B626E4"/>
    <w:rsid w:val="00B708CC"/>
    <w:rsid w:val="00B70DB9"/>
    <w:rsid w:val="00B77043"/>
    <w:rsid w:val="00B83E81"/>
    <w:rsid w:val="00B86D06"/>
    <w:rsid w:val="00B86D96"/>
    <w:rsid w:val="00B87584"/>
    <w:rsid w:val="00B92016"/>
    <w:rsid w:val="00BA4DB0"/>
    <w:rsid w:val="00BA68B2"/>
    <w:rsid w:val="00BB113D"/>
    <w:rsid w:val="00BB18FC"/>
    <w:rsid w:val="00BB6C11"/>
    <w:rsid w:val="00BC265D"/>
    <w:rsid w:val="00BC3A12"/>
    <w:rsid w:val="00BC63CB"/>
    <w:rsid w:val="00BC770A"/>
    <w:rsid w:val="00BC7C47"/>
    <w:rsid w:val="00BD00B7"/>
    <w:rsid w:val="00BD56CA"/>
    <w:rsid w:val="00BD5EE0"/>
    <w:rsid w:val="00BE290F"/>
    <w:rsid w:val="00BE449B"/>
    <w:rsid w:val="00BF690E"/>
    <w:rsid w:val="00C053D5"/>
    <w:rsid w:val="00C107FC"/>
    <w:rsid w:val="00C15C5C"/>
    <w:rsid w:val="00C167CB"/>
    <w:rsid w:val="00C22BA5"/>
    <w:rsid w:val="00C244F0"/>
    <w:rsid w:val="00C2520D"/>
    <w:rsid w:val="00C302E4"/>
    <w:rsid w:val="00C36A1F"/>
    <w:rsid w:val="00C4118D"/>
    <w:rsid w:val="00C43EAD"/>
    <w:rsid w:val="00C45E37"/>
    <w:rsid w:val="00C54125"/>
    <w:rsid w:val="00C54925"/>
    <w:rsid w:val="00C63294"/>
    <w:rsid w:val="00C66E0C"/>
    <w:rsid w:val="00C73278"/>
    <w:rsid w:val="00C77DC6"/>
    <w:rsid w:val="00C801DA"/>
    <w:rsid w:val="00C848DE"/>
    <w:rsid w:val="00C90EBA"/>
    <w:rsid w:val="00C926F0"/>
    <w:rsid w:val="00C92E06"/>
    <w:rsid w:val="00C9656D"/>
    <w:rsid w:val="00CA1436"/>
    <w:rsid w:val="00CA1BFF"/>
    <w:rsid w:val="00CA2248"/>
    <w:rsid w:val="00CA4AFC"/>
    <w:rsid w:val="00CA7119"/>
    <w:rsid w:val="00CB0752"/>
    <w:rsid w:val="00CB5C7C"/>
    <w:rsid w:val="00CC4543"/>
    <w:rsid w:val="00CC643F"/>
    <w:rsid w:val="00CD07C0"/>
    <w:rsid w:val="00CD0BFB"/>
    <w:rsid w:val="00CD3366"/>
    <w:rsid w:val="00CD4C40"/>
    <w:rsid w:val="00CD4EB8"/>
    <w:rsid w:val="00CD5F32"/>
    <w:rsid w:val="00CE3201"/>
    <w:rsid w:val="00CE3963"/>
    <w:rsid w:val="00CE5CEA"/>
    <w:rsid w:val="00CE63D2"/>
    <w:rsid w:val="00CE6571"/>
    <w:rsid w:val="00CF02DC"/>
    <w:rsid w:val="00D04744"/>
    <w:rsid w:val="00D0679A"/>
    <w:rsid w:val="00D0726D"/>
    <w:rsid w:val="00D076F0"/>
    <w:rsid w:val="00D1017A"/>
    <w:rsid w:val="00D13142"/>
    <w:rsid w:val="00D149D9"/>
    <w:rsid w:val="00D239B8"/>
    <w:rsid w:val="00D24C3E"/>
    <w:rsid w:val="00D3485B"/>
    <w:rsid w:val="00D40AD1"/>
    <w:rsid w:val="00D41F76"/>
    <w:rsid w:val="00D42A24"/>
    <w:rsid w:val="00D42A61"/>
    <w:rsid w:val="00D43B5F"/>
    <w:rsid w:val="00D50B81"/>
    <w:rsid w:val="00D51677"/>
    <w:rsid w:val="00D53453"/>
    <w:rsid w:val="00D72378"/>
    <w:rsid w:val="00D8076B"/>
    <w:rsid w:val="00D9078C"/>
    <w:rsid w:val="00D95CE4"/>
    <w:rsid w:val="00D973AB"/>
    <w:rsid w:val="00DA3886"/>
    <w:rsid w:val="00DB1430"/>
    <w:rsid w:val="00DB1602"/>
    <w:rsid w:val="00DB1B50"/>
    <w:rsid w:val="00DB599C"/>
    <w:rsid w:val="00DC5F5C"/>
    <w:rsid w:val="00DD227F"/>
    <w:rsid w:val="00DD44A9"/>
    <w:rsid w:val="00DD5BB0"/>
    <w:rsid w:val="00DE0DBA"/>
    <w:rsid w:val="00DE17A1"/>
    <w:rsid w:val="00DF1E35"/>
    <w:rsid w:val="00E064E3"/>
    <w:rsid w:val="00E06B95"/>
    <w:rsid w:val="00E110EA"/>
    <w:rsid w:val="00E11C63"/>
    <w:rsid w:val="00E123CB"/>
    <w:rsid w:val="00E14FA9"/>
    <w:rsid w:val="00E1587B"/>
    <w:rsid w:val="00E17459"/>
    <w:rsid w:val="00E20CA0"/>
    <w:rsid w:val="00E22D82"/>
    <w:rsid w:val="00E236D0"/>
    <w:rsid w:val="00E23D9A"/>
    <w:rsid w:val="00E30095"/>
    <w:rsid w:val="00E365F8"/>
    <w:rsid w:val="00E47216"/>
    <w:rsid w:val="00E47302"/>
    <w:rsid w:val="00E47484"/>
    <w:rsid w:val="00E52313"/>
    <w:rsid w:val="00E56EC1"/>
    <w:rsid w:val="00E60466"/>
    <w:rsid w:val="00E66285"/>
    <w:rsid w:val="00E66BC9"/>
    <w:rsid w:val="00E72FB7"/>
    <w:rsid w:val="00E7535B"/>
    <w:rsid w:val="00E81A91"/>
    <w:rsid w:val="00E81C0C"/>
    <w:rsid w:val="00E83F49"/>
    <w:rsid w:val="00E86829"/>
    <w:rsid w:val="00E9268E"/>
    <w:rsid w:val="00E92B8B"/>
    <w:rsid w:val="00E950F5"/>
    <w:rsid w:val="00E95812"/>
    <w:rsid w:val="00E95948"/>
    <w:rsid w:val="00E96E10"/>
    <w:rsid w:val="00EA02D5"/>
    <w:rsid w:val="00EA4FB3"/>
    <w:rsid w:val="00EA5366"/>
    <w:rsid w:val="00EB2589"/>
    <w:rsid w:val="00EB33C2"/>
    <w:rsid w:val="00EC2C2D"/>
    <w:rsid w:val="00ED2B06"/>
    <w:rsid w:val="00ED3FFF"/>
    <w:rsid w:val="00ED4D6D"/>
    <w:rsid w:val="00EE42D9"/>
    <w:rsid w:val="00EE5706"/>
    <w:rsid w:val="00EE602C"/>
    <w:rsid w:val="00EE67B3"/>
    <w:rsid w:val="00EF264E"/>
    <w:rsid w:val="00EF6D91"/>
    <w:rsid w:val="00EF7405"/>
    <w:rsid w:val="00F02966"/>
    <w:rsid w:val="00F06FAA"/>
    <w:rsid w:val="00F117AF"/>
    <w:rsid w:val="00F1370B"/>
    <w:rsid w:val="00F14609"/>
    <w:rsid w:val="00F161B9"/>
    <w:rsid w:val="00F25939"/>
    <w:rsid w:val="00F313F5"/>
    <w:rsid w:val="00F3179D"/>
    <w:rsid w:val="00F36FB6"/>
    <w:rsid w:val="00F47646"/>
    <w:rsid w:val="00F47F8B"/>
    <w:rsid w:val="00F52111"/>
    <w:rsid w:val="00F62074"/>
    <w:rsid w:val="00F6448E"/>
    <w:rsid w:val="00F74BED"/>
    <w:rsid w:val="00F75CBC"/>
    <w:rsid w:val="00F77478"/>
    <w:rsid w:val="00F90FAA"/>
    <w:rsid w:val="00F93048"/>
    <w:rsid w:val="00F97482"/>
    <w:rsid w:val="00F976C0"/>
    <w:rsid w:val="00FA12F5"/>
    <w:rsid w:val="00FA4379"/>
    <w:rsid w:val="00FA44FE"/>
    <w:rsid w:val="00FA79F7"/>
    <w:rsid w:val="00FB015F"/>
    <w:rsid w:val="00FB03CC"/>
    <w:rsid w:val="00FB29E5"/>
    <w:rsid w:val="00FB35D5"/>
    <w:rsid w:val="00FC44D5"/>
    <w:rsid w:val="00FC7F95"/>
    <w:rsid w:val="00FD27CE"/>
    <w:rsid w:val="00FE035B"/>
    <w:rsid w:val="00FE2370"/>
    <w:rsid w:val="00FE3F74"/>
    <w:rsid w:val="00FE4A2D"/>
    <w:rsid w:val="00FE5A8F"/>
    <w:rsid w:val="00FE746D"/>
    <w:rsid w:val="00FF21AD"/>
    <w:rsid w:val="00FF3249"/>
    <w:rsid w:val="00FF5931"/>
    <w:rsid w:val="00FF62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69D449"/>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link w:val="TabletextChar"/>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Heading">
    <w:name w:val="Heading"/>
    <w:basedOn w:val="Text"/>
    <w:qFormat/>
    <w:rsid w:val="00402D6D"/>
    <w:pPr>
      <w:spacing w:before="240" w:after="160" w:line="240" w:lineRule="exact"/>
      <w:ind w:right="0"/>
    </w:pPr>
    <w:rPr>
      <w:rFonts w:ascii="Arial MT Std" w:eastAsiaTheme="minorHAnsi" w:hAnsi="Arial MT Std" w:cstheme="minorBidi"/>
      <w:caps/>
      <w:noProof/>
      <w:color w:val="78278B"/>
      <w:spacing w:val="-9"/>
      <w:sz w:val="20"/>
      <w:szCs w:val="18"/>
      <w:lang w:eastAsia="en-AU"/>
    </w:rPr>
  </w:style>
  <w:style w:type="character" w:customStyle="1" w:styleId="QuoteChar">
    <w:name w:val="Quote Char"/>
    <w:basedOn w:val="DefaultParagraphFont"/>
    <w:link w:val="Quote"/>
    <w:rsid w:val="00AD2774"/>
    <w:rPr>
      <w:rFonts w:ascii="Trebuchet MS" w:hAnsi="Trebuchet MS"/>
      <w:sz w:val="17"/>
      <w:lang w:val="en-AU"/>
    </w:rPr>
  </w:style>
  <w:style w:type="character" w:customStyle="1" w:styleId="FootnoteTextChar">
    <w:name w:val="Footnote Text Char"/>
    <w:basedOn w:val="DefaultParagraphFont"/>
    <w:link w:val="FootnoteText"/>
    <w:rsid w:val="00AD2774"/>
    <w:rPr>
      <w:rFonts w:ascii="Trebuchet MS" w:hAnsi="Trebuchet MS"/>
      <w:sz w:val="16"/>
      <w:lang w:val="en-AU"/>
    </w:rPr>
  </w:style>
  <w:style w:type="character" w:styleId="FootnoteReference">
    <w:name w:val="footnote reference"/>
    <w:basedOn w:val="DefaultParagraphFont"/>
    <w:rsid w:val="00AD2774"/>
    <w:rPr>
      <w:vertAlign w:val="superscript"/>
    </w:rPr>
  </w:style>
  <w:style w:type="character" w:customStyle="1" w:styleId="TabletextChar">
    <w:name w:val="Table text Char"/>
    <w:link w:val="Tabletext"/>
    <w:locked/>
    <w:rsid w:val="003A0ABD"/>
    <w:rPr>
      <w:rFonts w:ascii="Arial" w:hAnsi="Arial"/>
      <w:sz w:val="16"/>
      <w:lang w:val="en-AU"/>
    </w:rPr>
  </w:style>
  <w:style w:type="paragraph" w:customStyle="1" w:styleId="Tabletitle0">
    <w:name w:val="Tabletitle"/>
    <w:next w:val="Text"/>
    <w:rsid w:val="003A0ABD"/>
    <w:pPr>
      <w:spacing w:before="360" w:after="80"/>
      <w:ind w:left="851" w:hanging="851"/>
    </w:pPr>
    <w:rPr>
      <w:rFonts w:ascii="Arial" w:hAnsi="Arial"/>
      <w:b/>
      <w:sz w:val="17"/>
      <w:lang w:val="en-AU"/>
    </w:rPr>
  </w:style>
  <w:style w:type="table" w:customStyle="1" w:styleId="NCVERTable">
    <w:name w:val="NCVER Table"/>
    <w:basedOn w:val="TableNormal"/>
    <w:uiPriority w:val="99"/>
    <w:rsid w:val="003A0ABD"/>
    <w:rPr>
      <w:rFonts w:ascii="Arial" w:eastAsiaTheme="minorHAnsi" w:hAnsi="Arial" w:cstheme="minorBidi"/>
      <w:sz w:val="17"/>
      <w:szCs w:val="19"/>
    </w:rPr>
    <w:tblPr>
      <w:tblStyleRowBandSize w:val="1"/>
      <w:tblBorders>
        <w:top w:val="single" w:sz="4" w:space="0" w:color="auto"/>
        <w:bottom w:val="single" w:sz="4" w:space="0" w:color="auto"/>
      </w:tblBorders>
      <w:tblCellMar>
        <w:top w:w="57" w:type="dxa"/>
        <w:bottom w:w="57"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nil"/>
          <w:tl2br w:val="nil"/>
          <w:tr2bl w:val="nil"/>
        </w:tcBorders>
      </w:tcPr>
    </w:tblStylePr>
  </w:style>
  <w:style w:type="table" w:customStyle="1" w:styleId="TableGridLight1">
    <w:name w:val="Table Grid Light1"/>
    <w:basedOn w:val="TableNormal"/>
    <w:next w:val="TableGridLight"/>
    <w:uiPriority w:val="40"/>
    <w:rsid w:val="001C374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1C37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3E741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uiPriority w:val="99"/>
    <w:semiHidden/>
    <w:unhideWhenUsed/>
    <w:rsid w:val="00EB2589"/>
    <w:rPr>
      <w:sz w:val="16"/>
      <w:szCs w:val="16"/>
    </w:rPr>
  </w:style>
  <w:style w:type="paragraph" w:styleId="CommentText">
    <w:name w:val="annotation text"/>
    <w:basedOn w:val="Normal"/>
    <w:link w:val="CommentTextChar"/>
    <w:uiPriority w:val="99"/>
    <w:semiHidden/>
    <w:unhideWhenUsed/>
    <w:rsid w:val="00EB2589"/>
    <w:pPr>
      <w:spacing w:line="240" w:lineRule="auto"/>
    </w:pPr>
    <w:rPr>
      <w:sz w:val="20"/>
    </w:rPr>
  </w:style>
  <w:style w:type="character" w:customStyle="1" w:styleId="CommentTextChar">
    <w:name w:val="Comment Text Char"/>
    <w:basedOn w:val="DefaultParagraphFont"/>
    <w:link w:val="CommentText"/>
    <w:uiPriority w:val="99"/>
    <w:semiHidden/>
    <w:rsid w:val="00EB2589"/>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EB2589"/>
    <w:rPr>
      <w:b/>
      <w:bCs/>
    </w:rPr>
  </w:style>
  <w:style w:type="character" w:customStyle="1" w:styleId="CommentSubjectChar">
    <w:name w:val="Comment Subject Char"/>
    <w:basedOn w:val="CommentTextChar"/>
    <w:link w:val="CommentSubject"/>
    <w:uiPriority w:val="99"/>
    <w:semiHidden/>
    <w:rsid w:val="00EB2589"/>
    <w:rPr>
      <w:rFonts w:ascii="Trebuchet MS" w:hAnsi="Trebuchet MS"/>
      <w:b/>
      <w:bCs/>
      <w:lang w:val="en-AU"/>
    </w:rPr>
  </w:style>
  <w:style w:type="paragraph" w:styleId="Revision">
    <w:name w:val="Revision"/>
    <w:hidden/>
    <w:uiPriority w:val="99"/>
    <w:semiHidden/>
    <w:rsid w:val="008936F7"/>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lsay.edu.au" TargetMode="External"/><Relationship Id="rId18" Type="http://schemas.openxmlformats.org/officeDocument/2006/relationships/footer" Target="footer1.xml"/><Relationship Id="rId26" Type="http://schemas.openxmlformats.org/officeDocument/2006/relationships/hyperlink" Target="https://www.nesta.org.uk/report/delivering-digital-skills/" TargetMode="External"/><Relationship Id="rId3" Type="http://schemas.openxmlformats.org/officeDocument/2006/relationships/styles" Target="styles.xml"/><Relationship Id="rId21" Type="http://schemas.openxmlformats.org/officeDocument/2006/relationships/hyperlink" Target="https://nationalindustryinsights.aisc.net.au/national/digital-skills" TargetMode="Externa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hyperlink" Target="http://www.lsay.edu.au" TargetMode="External"/><Relationship Id="rId25" Type="http://schemas.openxmlformats.org/officeDocument/2006/relationships/hyperlink" Target="https://www.rand.org/content/dam/rand/pubs/conf_proceedings/CF300/CF369/RAND_CF369.pdf" TargetMode="External"/><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image" Target="media/image6.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s://www.rand.org/about/people/g/grand-clement_sarah.html"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ec.europa.eu/digital-single-market/en/news/digital-skills-training-blueprints-upskilling-sme-employees-and-unemployed-persons" TargetMode="External"/><Relationship Id="rId28" Type="http://schemas.openxmlformats.org/officeDocument/2006/relationships/footer" Target="footer2.xml"/><Relationship Id="rId36" Type="http://schemas.microsoft.com/office/2018/08/relationships/commentsExtensible" Target="commentsExtensible.xml"/><Relationship Id="rId10" Type="http://schemas.openxmlformats.org/officeDocument/2006/relationships/hyperlink" Target="https://www.ncver.edu.au"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hyperlink" Target="https://www.gov.uk/government/publications/review-of-publicly-funded-digital-skills-qualifications" TargetMode="External"/><Relationship Id="rId27" Type="http://schemas.openxmlformats.org/officeDocument/2006/relationships/hyperlink" Target="https://www.pwc.com.au/education/industry-proposal-13may2019.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ustralianindustrystandards.org.au/aisc-establishes-digital-transformation-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07DA6-F2B8-42B3-802C-BE9E3272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35</Pages>
  <Words>10977</Words>
  <Characters>62574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73405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Ashok</dc:creator>
  <cp:lastModifiedBy>Rocky Barbaro</cp:lastModifiedBy>
  <cp:revision>2</cp:revision>
  <cp:lastPrinted>2020-04-27T02:06:00Z</cp:lastPrinted>
  <dcterms:created xsi:type="dcterms:W3CDTF">2020-05-13T05:46:00Z</dcterms:created>
  <dcterms:modified xsi:type="dcterms:W3CDTF">2020-05-13T05:46:00Z</dcterms:modified>
</cp:coreProperties>
</file>