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578FE" w14:textId="5ABD03C1" w:rsidR="00AB7E26" w:rsidRDefault="00116D1E" w:rsidP="00940830">
      <w:pPr>
        <w:pStyle w:val="PublicationTitle"/>
      </w:pPr>
      <w:bookmarkStart w:id="0" w:name="_Toc296423677"/>
      <w:bookmarkStart w:id="1" w:name="_Toc296497508"/>
      <w:r>
        <w:rPr>
          <w:noProof/>
          <w:lang w:eastAsia="en-AU"/>
        </w:rPr>
        <w:drawing>
          <wp:anchor distT="0" distB="0" distL="114300" distR="114300" simplePos="0" relativeHeight="251661312" behindDoc="0" locked="0" layoutInCell="1" allowOverlap="1" wp14:anchorId="14272432" wp14:editId="3CA44FFB">
            <wp:simplePos x="0" y="0"/>
            <wp:positionH relativeFrom="column">
              <wp:posOffset>1709420</wp:posOffset>
            </wp:positionH>
            <wp:positionV relativeFrom="paragraph">
              <wp:posOffset>626745</wp:posOffset>
            </wp:positionV>
            <wp:extent cx="2408555" cy="513080"/>
            <wp:effectExtent l="0" t="0" r="0" b="1270"/>
            <wp:wrapSquare wrapText="bothSides"/>
            <wp:docPr id="23" name="Picture 23" descr="NCVER_Floating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_Floating_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8555" cy="513080"/>
                    </a:xfrm>
                    <a:prstGeom prst="rect">
                      <a:avLst/>
                    </a:prstGeom>
                    <a:noFill/>
                  </pic:spPr>
                </pic:pic>
              </a:graphicData>
            </a:graphic>
            <wp14:sizeRelH relativeFrom="page">
              <wp14:pctWidth>0</wp14:pctWidth>
            </wp14:sizeRelH>
            <wp14:sizeRelV relativeFrom="page">
              <wp14:pctHeight>0</wp14:pctHeight>
            </wp14:sizeRelV>
          </wp:anchor>
        </w:drawing>
      </w:r>
    </w:p>
    <w:bookmarkEnd w:id="0"/>
    <w:bookmarkEnd w:id="1"/>
    <w:p w14:paraId="2FE149F9" w14:textId="67C212BF" w:rsidR="00FC4AE5" w:rsidRPr="00EA133E" w:rsidRDefault="00B70A54" w:rsidP="00FC4AE5">
      <w:pPr>
        <w:pStyle w:val="PublicationTitle"/>
        <w:spacing w:before="1440" w:after="720"/>
        <w:rPr>
          <w:sz w:val="52"/>
          <w:szCs w:val="52"/>
        </w:rPr>
      </w:pPr>
      <w:r>
        <w:rPr>
          <w:sz w:val="52"/>
          <w:szCs w:val="52"/>
        </w:rPr>
        <w:t xml:space="preserve">Estimating the stock of skills in Australia: </w:t>
      </w:r>
      <w:r w:rsidR="00EC3185">
        <w:rPr>
          <w:sz w:val="52"/>
          <w:szCs w:val="52"/>
        </w:rPr>
        <w:t>w</w:t>
      </w:r>
      <w:r>
        <w:rPr>
          <w:sz w:val="52"/>
          <w:szCs w:val="52"/>
        </w:rPr>
        <w:t xml:space="preserve">hat data </w:t>
      </w:r>
      <w:r w:rsidR="008B67B8">
        <w:rPr>
          <w:sz w:val="52"/>
          <w:szCs w:val="52"/>
        </w:rPr>
        <w:t xml:space="preserve">are </w:t>
      </w:r>
      <w:r>
        <w:rPr>
          <w:sz w:val="52"/>
          <w:szCs w:val="52"/>
        </w:rPr>
        <w:t>needed?</w:t>
      </w:r>
    </w:p>
    <w:p w14:paraId="326F67E4" w14:textId="666AA222" w:rsidR="009E231A" w:rsidRPr="00FC4AE5" w:rsidRDefault="00FC4AE5" w:rsidP="00FC4AE5">
      <w:pPr>
        <w:pStyle w:val="PublicationTitle"/>
        <w:spacing w:after="600"/>
        <w:rPr>
          <w:sz w:val="36"/>
          <w:szCs w:val="36"/>
        </w:rPr>
      </w:pPr>
      <w:r>
        <w:rPr>
          <w:sz w:val="36"/>
          <w:szCs w:val="36"/>
        </w:rPr>
        <w:t>Support document: literature review</w:t>
      </w:r>
    </w:p>
    <w:p w14:paraId="4F188C12" w14:textId="77777777" w:rsidR="00FC4AE5" w:rsidRDefault="00FC4AE5" w:rsidP="00940830">
      <w:pPr>
        <w:pStyle w:val="Authors"/>
      </w:pPr>
      <w:bookmarkStart w:id="2" w:name="_Toc98394874"/>
      <w:bookmarkStart w:id="3" w:name="_Toc296423678"/>
      <w:bookmarkStart w:id="4" w:name="_Toc296497509"/>
    </w:p>
    <w:p w14:paraId="369FE8F2" w14:textId="2BD6160C" w:rsidR="00B40AED" w:rsidRDefault="00B40AED" w:rsidP="00940830">
      <w:pPr>
        <w:pStyle w:val="Authors"/>
      </w:pPr>
      <w:r>
        <w:t>John Stanwick</w:t>
      </w:r>
    </w:p>
    <w:p w14:paraId="76F15178" w14:textId="10019CDF" w:rsidR="00177827" w:rsidRDefault="00B40AED" w:rsidP="00940830">
      <w:pPr>
        <w:pStyle w:val="Authors"/>
      </w:pPr>
      <w:r>
        <w:t>Michelle Hall</w:t>
      </w:r>
      <w:bookmarkEnd w:id="2"/>
    </w:p>
    <w:p w14:paraId="22CF58EA" w14:textId="674EED99" w:rsidR="009E231A" w:rsidRDefault="00B40AED" w:rsidP="00940830">
      <w:pPr>
        <w:pStyle w:val="Organisation"/>
      </w:pPr>
      <w:r>
        <w:t>NCVER</w:t>
      </w:r>
      <w:bookmarkEnd w:id="3"/>
      <w:bookmarkEnd w:id="4"/>
    </w:p>
    <w:p w14:paraId="0792C747" w14:textId="77777777" w:rsidR="00166281" w:rsidRDefault="00166281" w:rsidP="00940830">
      <w:pPr>
        <w:pStyle w:val="Organisation"/>
      </w:pPr>
    </w:p>
    <w:p w14:paraId="24F3A019" w14:textId="77777777" w:rsidR="000315D7" w:rsidRDefault="000315D7" w:rsidP="00940830">
      <w:pPr>
        <w:pStyle w:val="Organisation"/>
      </w:pPr>
    </w:p>
    <w:p w14:paraId="3151A67D" w14:textId="77777777" w:rsidR="006C5DA9" w:rsidRPr="006C5DA9" w:rsidRDefault="00116D1E" w:rsidP="00A9334E">
      <w:pPr>
        <w:pStyle w:val="Text"/>
        <w:ind w:left="2552"/>
      </w:pPr>
      <w:r>
        <w:rPr>
          <w:noProof/>
          <w:lang w:eastAsia="en-AU"/>
        </w:rPr>
        <mc:AlternateContent>
          <mc:Choice Requires="wps">
            <w:drawing>
              <wp:anchor distT="0" distB="0" distL="114300" distR="114300" simplePos="0" relativeHeight="251658240" behindDoc="0" locked="0" layoutInCell="1" allowOverlap="1" wp14:anchorId="069D2468" wp14:editId="558A638D">
                <wp:simplePos x="0" y="0"/>
                <wp:positionH relativeFrom="column">
                  <wp:posOffset>1563370</wp:posOffset>
                </wp:positionH>
                <wp:positionV relativeFrom="margin">
                  <wp:posOffset>5907405</wp:posOffset>
                </wp:positionV>
                <wp:extent cx="3825875" cy="2360930"/>
                <wp:effectExtent l="1270" t="1905" r="1905" b="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5875" cy="2360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23407B" w14:textId="77777777" w:rsidR="008D04E9" w:rsidRDefault="008D04E9" w:rsidP="000C1642">
                            <w:pPr>
                              <w:pStyle w:val="Imprint"/>
                            </w:pPr>
                          </w:p>
                          <w:p w14:paraId="0C6D8501" w14:textId="5B601CB1" w:rsidR="008D04E9" w:rsidRPr="00B57CC9" w:rsidRDefault="008D04E9" w:rsidP="00B57CC9">
                            <w:pPr>
                              <w:pStyle w:val="Text"/>
                              <w:shd w:val="clear" w:color="auto" w:fill="000000" w:themeFill="text1"/>
                            </w:pPr>
                            <w:r w:rsidRPr="000C1642">
                              <w:t xml:space="preserve">This document was produced by the author(s) based on their research for the report </w:t>
                            </w:r>
                            <w:proofErr w:type="gramStart"/>
                            <w:r w:rsidR="007633B2">
                              <w:rPr>
                                <w:i/>
                              </w:rPr>
                              <w:t>The</w:t>
                            </w:r>
                            <w:proofErr w:type="gramEnd"/>
                            <w:r w:rsidR="007633B2">
                              <w:rPr>
                                <w:i/>
                              </w:rPr>
                              <w:t xml:space="preserve"> stock of qualifications in Australia</w:t>
                            </w:r>
                            <w:r w:rsidRPr="000C1642">
                              <w:t xml:space="preserve">, and is an added resource for further information. The report is available on NCVER’s </w:t>
                            </w:r>
                            <w:r>
                              <w:t>Portal: &lt;</w:t>
                            </w:r>
                            <w:hyperlink r:id="rId9" w:history="1">
                              <w:r w:rsidRPr="00451F9C">
                                <w:rPr>
                                  <w:rStyle w:val="Hyperlink"/>
                                </w:rPr>
                                <w:t>https://www.ncver.edu.au</w:t>
                              </w:r>
                            </w:hyperlink>
                            <w:r>
                              <w:t xml:space="preserve">&gt;.  </w:t>
                            </w:r>
                          </w:p>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D2468" id="_x0000_t202" coordsize="21600,21600" o:spt="202" path="m,l,21600r21600,l21600,xe">
                <v:stroke joinstyle="miter"/>
                <v:path gradientshapeok="t" o:connecttype="rect"/>
              </v:shapetype>
              <v:shape id="Text Box 10" o:spid="_x0000_s1026" type="#_x0000_t202" style="position:absolute;left:0;text-align:left;margin-left:123.1pt;margin-top:465.15pt;width:301.25pt;height:18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" filled="f" stroked="f">
                <v:textbox>
                  <w:txbxContent>
                    <w:p w14:paraId="3D23407B" w14:textId="77777777" w:rsidR="008D04E9" w:rsidRDefault="008D04E9" w:rsidP="000C1642">
                      <w:pPr>
                        <w:pStyle w:val="Imprint"/>
                      </w:pPr>
                    </w:p>
                    <w:p w14:paraId="0C6D8501" w14:textId="5B601CB1" w:rsidR="008D04E9" w:rsidRPr="00B57CC9" w:rsidRDefault="008D04E9" w:rsidP="00B57CC9">
                      <w:pPr>
                        <w:pStyle w:val="Text"/>
                        <w:shd w:val="clear" w:color="auto" w:fill="000000" w:themeFill="text1"/>
                      </w:pPr>
                      <w:r w:rsidRPr="000C1642">
                        <w:t xml:space="preserve">This document was produced by the author(s) based on their research for the report </w:t>
                      </w:r>
                      <w:proofErr w:type="gramStart"/>
                      <w:r w:rsidR="007633B2">
                        <w:rPr>
                          <w:i/>
                        </w:rPr>
                        <w:t>The</w:t>
                      </w:r>
                      <w:proofErr w:type="gramEnd"/>
                      <w:r w:rsidR="007633B2">
                        <w:rPr>
                          <w:i/>
                        </w:rPr>
                        <w:t xml:space="preserve"> stock of qualifications in Australia</w:t>
                      </w:r>
                      <w:r w:rsidRPr="000C1642">
                        <w:t xml:space="preserve">, and is an added resource for further information. The report is available on NCVER’s </w:t>
                      </w:r>
                      <w:r>
                        <w:t>Portal: &lt;</w:t>
                      </w:r>
                      <w:hyperlink r:id="rId10" w:history="1">
                        <w:r w:rsidRPr="00451F9C">
                          <w:rPr>
                            <w:rStyle w:val="Hyperlink"/>
                          </w:rPr>
                          <w:t>https://www.ncver.edu.au</w:t>
                        </w:r>
                      </w:hyperlink>
                      <w:r>
                        <w:t xml:space="preserve">&gt;.  </w:t>
                      </w:r>
                    </w:p>
                  </w:txbxContent>
                </v:textbox>
                <w10:wrap anchory="margin"/>
              </v:shape>
            </w:pict>
          </mc:Fallback>
        </mc:AlternateContent>
      </w:r>
    </w:p>
    <w:p w14:paraId="246CE739" w14:textId="77777777" w:rsidR="001B43CF" w:rsidRDefault="001B43CF" w:rsidP="00A9334E">
      <w:pPr>
        <w:pStyle w:val="Text"/>
        <w:ind w:left="2552"/>
      </w:pPr>
    </w:p>
    <w:p w14:paraId="00EF3912" w14:textId="77777777" w:rsidR="001B43CF" w:rsidRDefault="001B43CF" w:rsidP="00A9334E">
      <w:pPr>
        <w:pStyle w:val="Text"/>
        <w:ind w:left="2552"/>
      </w:pPr>
    </w:p>
    <w:p w14:paraId="746D2653" w14:textId="77777777" w:rsidR="001B43CF" w:rsidRDefault="001B43CF" w:rsidP="00A9334E">
      <w:pPr>
        <w:pStyle w:val="Text"/>
        <w:ind w:left="2552"/>
      </w:pPr>
    </w:p>
    <w:p w14:paraId="1A64469A" w14:textId="77777777" w:rsidR="001B43CF" w:rsidRDefault="001B43CF" w:rsidP="00A9334E">
      <w:pPr>
        <w:pStyle w:val="Text"/>
        <w:ind w:left="2552"/>
      </w:pPr>
    </w:p>
    <w:p w14:paraId="13F5381F" w14:textId="77777777" w:rsidR="001B43CF" w:rsidRDefault="001B43CF" w:rsidP="00A9334E">
      <w:pPr>
        <w:pStyle w:val="Text"/>
        <w:ind w:left="2552"/>
      </w:pPr>
    </w:p>
    <w:p w14:paraId="4176BD40" w14:textId="77777777" w:rsidR="00DB599C" w:rsidRDefault="00DB599C" w:rsidP="00A9334E">
      <w:pPr>
        <w:pStyle w:val="Text"/>
        <w:ind w:left="2552"/>
      </w:pPr>
    </w:p>
    <w:p w14:paraId="03471EBD" w14:textId="77777777" w:rsidR="00DB599C" w:rsidRDefault="00DB599C" w:rsidP="00A9334E">
      <w:pPr>
        <w:pStyle w:val="Text"/>
        <w:ind w:left="2552"/>
      </w:pPr>
    </w:p>
    <w:p w14:paraId="5A72EE02" w14:textId="77777777" w:rsidR="00DB599C" w:rsidRDefault="00DB599C" w:rsidP="00A9334E">
      <w:pPr>
        <w:pStyle w:val="Heading3"/>
        <w:ind w:left="2552" w:right="-1"/>
      </w:pPr>
      <w:r>
        <w:softHyphen/>
      </w:r>
    </w:p>
    <w:p w14:paraId="0621A929" w14:textId="77777777" w:rsidR="00177827" w:rsidRDefault="00FE4A2D" w:rsidP="00A9334E">
      <w:pPr>
        <w:pStyle w:val="Heading3"/>
        <w:ind w:left="2552" w:right="-1"/>
      </w:pPr>
      <w:r w:rsidRPr="005C2FCF">
        <w:br w:type="page"/>
      </w:r>
      <w:bookmarkStart w:id="5" w:name="_Toc495748330"/>
      <w:bookmarkStart w:id="6" w:name="_Toc495810630"/>
      <w:bookmarkStart w:id="7" w:name="_Toc6031787"/>
      <w:bookmarkStart w:id="8" w:name="_Toc6031844"/>
    </w:p>
    <w:p w14:paraId="5463399F" w14:textId="77777777" w:rsidR="008E6C3A" w:rsidRPr="005C2FCF" w:rsidRDefault="008E6C3A" w:rsidP="008E6C3A">
      <w:pPr>
        <w:pStyle w:val="Heading3"/>
        <w:ind w:right="-1"/>
      </w:pPr>
      <w:r w:rsidRPr="005C2FCF">
        <w:lastRenderedPageBreak/>
        <w:t>Publisher’s note</w:t>
      </w:r>
    </w:p>
    <w:p w14:paraId="6874FC64" w14:textId="77777777" w:rsidR="00297C1D" w:rsidRDefault="00297C1D" w:rsidP="00297C1D">
      <w:pPr>
        <w:pStyle w:val="Imprint"/>
      </w:pPr>
      <w:r w:rsidRPr="007C667B">
        <w:t>The views and opinions expressed in this document are thos</w:t>
      </w:r>
      <w:r w:rsidRPr="00FE792E">
        <w:t xml:space="preserve">e of </w:t>
      </w:r>
      <w:r>
        <w:t>NCVER</w:t>
      </w:r>
      <w:r w:rsidRPr="00FE792E">
        <w:t xml:space="preserve"> and do not necessarily reflect the view</w:t>
      </w:r>
      <w:r>
        <w:t>s of the Australian Government and s</w:t>
      </w:r>
      <w:r w:rsidRPr="00FE792E">
        <w:t>tate an</w:t>
      </w:r>
      <w:r>
        <w:t>d territory governments</w:t>
      </w:r>
      <w:r w:rsidRPr="00FE792E">
        <w:t xml:space="preserve">. </w:t>
      </w:r>
      <w:r w:rsidRPr="008E6C3A">
        <w:t>Any errors and omissions are the responsibility of the author(s).</w:t>
      </w:r>
    </w:p>
    <w:p w14:paraId="6B0371C0" w14:textId="77777777" w:rsidR="006A702B" w:rsidRDefault="006A702B" w:rsidP="008E6C3A">
      <w:pPr>
        <w:pStyle w:val="Imprint"/>
      </w:pPr>
    </w:p>
    <w:p w14:paraId="7E2FC264" w14:textId="77777777" w:rsidR="006A702B" w:rsidRDefault="006A702B" w:rsidP="008E6C3A">
      <w:pPr>
        <w:pStyle w:val="Imprint"/>
      </w:pPr>
    </w:p>
    <w:p w14:paraId="0941690C" w14:textId="77777777" w:rsidR="006A702B" w:rsidRDefault="006A702B" w:rsidP="008E6C3A">
      <w:pPr>
        <w:pStyle w:val="Imprint"/>
      </w:pPr>
    </w:p>
    <w:p w14:paraId="2D67A86F" w14:textId="77777777" w:rsidR="006A702B" w:rsidRDefault="006A702B" w:rsidP="008E6C3A">
      <w:pPr>
        <w:pStyle w:val="Imprint"/>
      </w:pPr>
    </w:p>
    <w:p w14:paraId="7CB57134" w14:textId="77777777" w:rsidR="006A702B" w:rsidRDefault="006A702B" w:rsidP="008E6C3A">
      <w:pPr>
        <w:pStyle w:val="Imprint"/>
      </w:pPr>
    </w:p>
    <w:p w14:paraId="57C4D1A6" w14:textId="77777777" w:rsidR="006A702B" w:rsidRDefault="006A702B" w:rsidP="008E6C3A">
      <w:pPr>
        <w:pStyle w:val="Imprint"/>
      </w:pPr>
    </w:p>
    <w:p w14:paraId="34ABAD97" w14:textId="77777777" w:rsidR="006A702B" w:rsidRDefault="006A702B" w:rsidP="008E6C3A">
      <w:pPr>
        <w:pStyle w:val="Imprint"/>
      </w:pPr>
    </w:p>
    <w:p w14:paraId="392F3CFE" w14:textId="69367B86" w:rsidR="006A702B" w:rsidRDefault="006A702B" w:rsidP="008E6C3A">
      <w:pPr>
        <w:pStyle w:val="Imprint"/>
      </w:pPr>
    </w:p>
    <w:p w14:paraId="6443AC85" w14:textId="77777777" w:rsidR="006A702B" w:rsidRDefault="006A702B" w:rsidP="006A702B">
      <w:pPr>
        <w:pStyle w:val="Text"/>
      </w:pPr>
    </w:p>
    <w:p w14:paraId="133E58C4" w14:textId="77777777" w:rsidR="006A702B" w:rsidRDefault="006A702B" w:rsidP="006A702B">
      <w:pPr>
        <w:pStyle w:val="Text"/>
      </w:pPr>
    </w:p>
    <w:p w14:paraId="59E000A3" w14:textId="77777777" w:rsidR="006A702B" w:rsidRDefault="006A702B" w:rsidP="006A702B">
      <w:pPr>
        <w:pStyle w:val="Text"/>
      </w:pPr>
    </w:p>
    <w:p w14:paraId="01855837" w14:textId="39C2E673" w:rsidR="006A702B" w:rsidRDefault="006A702B" w:rsidP="006A702B">
      <w:pPr>
        <w:pStyle w:val="Text"/>
      </w:pPr>
    </w:p>
    <w:p w14:paraId="7395F824" w14:textId="050F9981" w:rsidR="006A702B" w:rsidRDefault="007633B2" w:rsidP="006A702B">
      <w:pPr>
        <w:pStyle w:val="Text"/>
      </w:pPr>
      <w:r>
        <w:rPr>
          <w:noProof/>
          <w:kern w:val="28"/>
          <w:lang w:eastAsia="en-AU"/>
        </w:rPr>
        <mc:AlternateContent>
          <mc:Choice Requires="wps">
            <w:drawing>
              <wp:anchor distT="0" distB="0" distL="114300" distR="114300" simplePos="0" relativeHeight="251660288" behindDoc="0" locked="0" layoutInCell="1" allowOverlap="1" wp14:anchorId="252CEEEC" wp14:editId="71323945">
                <wp:simplePos x="0" y="0"/>
                <wp:positionH relativeFrom="column">
                  <wp:posOffset>-5080</wp:posOffset>
                </wp:positionH>
                <wp:positionV relativeFrom="margin">
                  <wp:posOffset>4218939</wp:posOffset>
                </wp:positionV>
                <wp:extent cx="5682615" cy="5153025"/>
                <wp:effectExtent l="0" t="0" r="0"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2615" cy="515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537875" w14:textId="33821B17" w:rsidR="008D04E9" w:rsidRPr="00A021FC" w:rsidRDefault="008D04E9" w:rsidP="00297C1D">
                            <w:pPr>
                              <w:pStyle w:val="Imprint"/>
                              <w:rPr>
                                <w:b/>
                              </w:rPr>
                            </w:pPr>
                            <w:r w:rsidRPr="007633B2">
                              <w:rPr>
                                <w:b/>
                              </w:rPr>
                              <w:t xml:space="preserve">© Commonwealth of Australia, </w:t>
                            </w:r>
                            <w:r w:rsidR="007633B2">
                              <w:rPr>
                                <w:b/>
                              </w:rPr>
                              <w:t>2021</w:t>
                            </w:r>
                          </w:p>
                          <w:p w14:paraId="7E40F612" w14:textId="77777777" w:rsidR="008D04E9" w:rsidRDefault="008D04E9"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1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8D04E9" w:rsidRDefault="008D04E9"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8D04E9" w:rsidRPr="001D321A" w:rsidRDefault="008D04E9"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8D04E9" w:rsidRDefault="008D04E9"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37FEA84F" w:rsidR="008D04E9" w:rsidRPr="00A021FC" w:rsidRDefault="008D04E9" w:rsidP="00297C1D">
                            <w:pPr>
                              <w:pStyle w:val="Imprint"/>
                            </w:pPr>
                            <w:r w:rsidRPr="007633B2">
                              <w:t xml:space="preserve">This document should be attributed as </w:t>
                            </w:r>
                            <w:r w:rsidR="007633B2" w:rsidRPr="007633B2">
                              <w:t xml:space="preserve">Stanwick, J </w:t>
                            </w:r>
                            <w:r w:rsidR="00D62E0F">
                              <w:t xml:space="preserve">&amp; </w:t>
                            </w:r>
                            <w:r w:rsidR="00D62E0F" w:rsidRPr="007633B2">
                              <w:t xml:space="preserve">Hall, M </w:t>
                            </w:r>
                            <w:r w:rsidR="007633B2" w:rsidRPr="007633B2">
                              <w:t xml:space="preserve">2021, </w:t>
                            </w:r>
                            <w:r w:rsidR="007633B2">
                              <w:rPr>
                                <w:i/>
                              </w:rPr>
                              <w:t xml:space="preserve">Estimating the stock of skills in Australia: what data are </w:t>
                            </w:r>
                            <w:proofErr w:type="gramStart"/>
                            <w:r w:rsidR="007633B2">
                              <w:rPr>
                                <w:i/>
                              </w:rPr>
                              <w:t>needed?</w:t>
                            </w:r>
                            <w:r w:rsidR="007633B2" w:rsidRPr="007633B2">
                              <w:rPr>
                                <w:i/>
                              </w:rPr>
                              <w:t>,</w:t>
                            </w:r>
                            <w:proofErr w:type="gramEnd"/>
                            <w:r w:rsidRPr="007633B2">
                              <w:t xml:space="preserve"> NCVER, Adelaide.</w:t>
                            </w:r>
                            <w:r>
                              <w:t xml:space="preserve"> </w:t>
                            </w:r>
                          </w:p>
                          <w:p w14:paraId="5BB3C302" w14:textId="468E3AEB" w:rsidR="008D04E9" w:rsidRPr="001D321A" w:rsidRDefault="008D04E9"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A4D0968" w14:textId="77777777" w:rsidR="008D04E9" w:rsidRPr="00D42A61" w:rsidRDefault="008D04E9" w:rsidP="00D42A61">
                            <w:pPr>
                              <w:pStyle w:val="Imprint"/>
                              <w:rPr>
                                <w:color w:val="000000"/>
                              </w:rPr>
                            </w:pPr>
                            <w:r w:rsidRPr="00D42A61">
                              <w:rPr>
                                <w:color w:val="000000"/>
                              </w:rPr>
                              <w:t>Published by NCVER, ABN 87 007 967 311</w:t>
                            </w:r>
                          </w:p>
                          <w:p w14:paraId="186EA0EB" w14:textId="77777777" w:rsidR="008D04E9" w:rsidRPr="00D42A61" w:rsidRDefault="008D04E9"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8D04E9" w:rsidRDefault="008D04E9"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2" w:history="1">
                              <w:r w:rsidRPr="00D42A61">
                                <w:rPr>
                                  <w:rStyle w:val="Hyperlink"/>
                                  <w:sz w:val="16"/>
                                </w:rPr>
                                <w:t>ncver@ncver.edu.au</w:t>
                              </w:r>
                            </w:hyperlink>
                            <w:r w:rsidRPr="00D42A61">
                              <w:rPr>
                                <w:color w:val="000000"/>
                              </w:rPr>
                              <w:t xml:space="preserve">     </w:t>
                            </w:r>
                          </w:p>
                          <w:p w14:paraId="5363F778" w14:textId="77777777" w:rsidR="008D04E9" w:rsidRPr="00D42A61" w:rsidRDefault="008D04E9"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r w:rsidRPr="007633B2">
                              <w:rPr>
                                <w:color w:val="000000"/>
                              </w:rPr>
                              <w:t>&lt;</w:t>
                            </w:r>
                            <w:hyperlink r:id="rId13" w:history="1">
                              <w:r w:rsidRPr="007633B2">
                                <w:rPr>
                                  <w:rStyle w:val="Hyperlink"/>
                                  <w:sz w:val="16"/>
                                </w:rPr>
                                <w:t>https://www.lsay.edu.au</w:t>
                              </w:r>
                            </w:hyperlink>
                            <w:r w:rsidRPr="007633B2">
                              <w:rPr>
                                <w:color w:val="000000"/>
                              </w:rPr>
                              <w:t>&gt;</w:t>
                            </w:r>
                          </w:p>
                          <w:p w14:paraId="3D199561" w14:textId="77777777" w:rsidR="008D04E9" w:rsidRPr="00D42A61" w:rsidRDefault="008D04E9"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9847B77" w14:textId="77777777" w:rsidR="008D04E9" w:rsidRPr="00D42A61" w:rsidRDefault="008D04E9" w:rsidP="00D42A61">
                            <w:pPr>
                              <w:pStyle w:val="Imprint"/>
                            </w:pPr>
                          </w:p>
                          <w:p w14:paraId="0A8133D0" w14:textId="77777777" w:rsidR="008D04E9" w:rsidRPr="006A702B" w:rsidRDefault="008D04E9" w:rsidP="00233C8D"/>
                        </w:txbxContent>
                      </wps:txbx>
                      <wps:bodyPr rot="0" vert="horz" wrap="square" lIns="91440" tIns="45720" rIns="91440" bIns="4572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252CEEEC" id="Text Box 22" o:spid="_x0000_s1027" type="#_x0000_t202" style="position:absolute;margin-left:-.4pt;margin-top:332.2pt;width:447.45pt;height:40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" filled="f" stroked="f">
                <v:textbox>
                  <w:txbxContent>
                    <w:p w14:paraId="55537875" w14:textId="33821B17" w:rsidR="008D04E9" w:rsidRPr="00A021FC" w:rsidRDefault="008D04E9" w:rsidP="00297C1D">
                      <w:pPr>
                        <w:pStyle w:val="Imprint"/>
                        <w:rPr>
                          <w:b/>
                        </w:rPr>
                      </w:pPr>
                      <w:r w:rsidRPr="007633B2">
                        <w:rPr>
                          <w:b/>
                        </w:rPr>
                        <w:t xml:space="preserve">© Commonwealth of Australia, </w:t>
                      </w:r>
                      <w:r w:rsidR="007633B2">
                        <w:rPr>
                          <w:b/>
                        </w:rPr>
                        <w:t>2021</w:t>
                      </w:r>
                    </w:p>
                    <w:p w14:paraId="7E40F612" w14:textId="77777777" w:rsidR="008D04E9" w:rsidRDefault="008D04E9" w:rsidP="00297C1D">
                      <w:pPr>
                        <w:pStyle w:val="Imprint"/>
                        <w:rPr>
                          <w:sz w:val="20"/>
                        </w:rPr>
                      </w:pPr>
                      <w:r w:rsidRPr="00E80270">
                        <w:rPr>
                          <w:noProof/>
                          <w:sz w:val="20"/>
                          <w:lang w:eastAsia="en-AU"/>
                        </w:rPr>
                        <w:drawing>
                          <wp:inline distT="0" distB="0" distL="0" distR="0" wp14:anchorId="38E76F98" wp14:editId="21B0DD48">
                            <wp:extent cx="850265" cy="302895"/>
                            <wp:effectExtent l="19050" t="0" r="6985" b="0"/>
                            <wp:docPr id="12"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1" cstate="print"/>
                                    <a:srcRect/>
                                    <a:stretch>
                                      <a:fillRect/>
                                    </a:stretch>
                                  </pic:blipFill>
                                  <pic:spPr bwMode="auto">
                                    <a:xfrm>
                                      <a:off x="0" y="0"/>
                                      <a:ext cx="850265" cy="302895"/>
                                    </a:xfrm>
                                    <a:prstGeom prst="rect">
                                      <a:avLst/>
                                    </a:prstGeom>
                                    <a:noFill/>
                                    <a:ln w="9525">
                                      <a:noFill/>
                                      <a:miter lim="800000"/>
                                      <a:headEnd/>
                                      <a:tailEnd/>
                                    </a:ln>
                                  </pic:spPr>
                                </pic:pic>
                              </a:graphicData>
                            </a:graphic>
                          </wp:inline>
                        </w:drawing>
                      </w:r>
                    </w:p>
                    <w:p w14:paraId="1D2CFB04" w14:textId="77777777" w:rsidR="008D04E9" w:rsidRDefault="008D04E9" w:rsidP="00297C1D">
                      <w:pPr>
                        <w:pStyle w:val="Imprint"/>
                      </w:pPr>
                      <w:r w:rsidRPr="001D321A">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14:paraId="61A68046" w14:textId="77777777" w:rsidR="008D04E9" w:rsidRPr="001D321A" w:rsidRDefault="008D04E9" w:rsidP="00297C1D">
                      <w:pPr>
                        <w:pStyle w:val="Imprint"/>
                      </w:pPr>
                      <w:r w:rsidRPr="001D321A">
                        <w:t xml:space="preserve">The details of the relevant licence conditions are available on the Creative Commons website (accessible using the links </w:t>
                      </w:r>
                      <w:r w:rsidRPr="001D321A">
                        <w:rPr>
                          <w:spacing w:val="-1"/>
                        </w:rPr>
                        <w:t>provided) as is the full legal code for the CC BY 3.0 AU licence &lt;http://creativecommons.org/licenses/by/3.0/legalcode&gt;.</w:t>
                      </w:r>
                      <w:r w:rsidRPr="001D321A">
                        <w:rPr>
                          <w:spacing w:val="-2"/>
                        </w:rPr>
                        <w:t xml:space="preserve"> </w:t>
                      </w:r>
                    </w:p>
                    <w:p w14:paraId="4B93E3A2" w14:textId="77777777" w:rsidR="008D04E9" w:rsidRDefault="008D04E9" w:rsidP="00297C1D">
                      <w:pPr>
                        <w:pStyle w:val="Imprint"/>
                      </w:pPr>
                      <w:r w:rsidRPr="001D321A">
                        <w:t>The Creative Commons licence conditions do not apply to all logos, graphic design, artwork and photographs. Requests and enquiries concerning other reproduction and rights should be directed to the National Centre for Vocational Education Research (NCVER).</w:t>
                      </w:r>
                    </w:p>
                    <w:p w14:paraId="03908E67" w14:textId="37FEA84F" w:rsidR="008D04E9" w:rsidRPr="00A021FC" w:rsidRDefault="008D04E9" w:rsidP="00297C1D">
                      <w:pPr>
                        <w:pStyle w:val="Imprint"/>
                      </w:pPr>
                      <w:r w:rsidRPr="007633B2">
                        <w:t xml:space="preserve">This document should be attributed as </w:t>
                      </w:r>
                      <w:r w:rsidR="007633B2" w:rsidRPr="007633B2">
                        <w:t xml:space="preserve">Stanwick, J </w:t>
                      </w:r>
                      <w:r w:rsidR="00D62E0F">
                        <w:t xml:space="preserve">&amp; </w:t>
                      </w:r>
                      <w:r w:rsidR="00D62E0F" w:rsidRPr="007633B2">
                        <w:t xml:space="preserve">Hall, M </w:t>
                      </w:r>
                      <w:r w:rsidR="007633B2" w:rsidRPr="007633B2">
                        <w:t xml:space="preserve">2021, </w:t>
                      </w:r>
                      <w:r w:rsidR="007633B2">
                        <w:rPr>
                          <w:i/>
                        </w:rPr>
                        <w:t xml:space="preserve">Estimating the stock of skills in Australia: what data are </w:t>
                      </w:r>
                      <w:proofErr w:type="gramStart"/>
                      <w:r w:rsidR="007633B2">
                        <w:rPr>
                          <w:i/>
                        </w:rPr>
                        <w:t>needed?</w:t>
                      </w:r>
                      <w:r w:rsidR="007633B2" w:rsidRPr="007633B2">
                        <w:rPr>
                          <w:i/>
                        </w:rPr>
                        <w:t>,</w:t>
                      </w:r>
                      <w:proofErr w:type="gramEnd"/>
                      <w:r w:rsidRPr="007633B2">
                        <w:t xml:space="preserve"> NCVER, Adelaide.</w:t>
                      </w:r>
                      <w:r>
                        <w:t xml:space="preserve"> </w:t>
                      </w:r>
                    </w:p>
                    <w:p w14:paraId="5BB3C302" w14:textId="468E3AEB" w:rsidR="008D04E9" w:rsidRPr="001D321A" w:rsidRDefault="008D04E9" w:rsidP="00297C1D">
                      <w:pPr>
                        <w:pStyle w:val="Imprint"/>
                      </w:pPr>
                      <w:r w:rsidRPr="001D321A">
                        <w:t xml:space="preserve">This work has been produced by NCVER on behalf of the Australian Government and state and territory governments, with funding provided through the </w:t>
                      </w:r>
                      <w:r>
                        <w:t xml:space="preserve">Australian Government </w:t>
                      </w:r>
                      <w:r w:rsidRPr="001D321A">
                        <w:t>Department of Education</w:t>
                      </w:r>
                      <w:r>
                        <w:t>, Skills and Employment</w:t>
                      </w:r>
                      <w:r w:rsidRPr="001D321A">
                        <w:t xml:space="preserve">. </w:t>
                      </w:r>
                    </w:p>
                    <w:p w14:paraId="1A4D0968" w14:textId="77777777" w:rsidR="008D04E9" w:rsidRPr="00D42A61" w:rsidRDefault="008D04E9" w:rsidP="00D42A61">
                      <w:pPr>
                        <w:pStyle w:val="Imprint"/>
                        <w:rPr>
                          <w:color w:val="000000"/>
                        </w:rPr>
                      </w:pPr>
                      <w:r w:rsidRPr="00D42A61">
                        <w:rPr>
                          <w:color w:val="000000"/>
                        </w:rPr>
                        <w:t>Published by NCVER, ABN 87 007 967 311</w:t>
                      </w:r>
                    </w:p>
                    <w:p w14:paraId="186EA0EB" w14:textId="77777777" w:rsidR="008D04E9" w:rsidRPr="00D42A61" w:rsidRDefault="008D04E9" w:rsidP="00D42A61">
                      <w:pPr>
                        <w:pStyle w:val="Imprint"/>
                        <w:rPr>
                          <w:color w:val="000000"/>
                        </w:rPr>
                      </w:pPr>
                      <w:r w:rsidRPr="00D42A61">
                        <w:rPr>
                          <w:color w:val="000000"/>
                        </w:rPr>
                        <w:t xml:space="preserve">Level </w:t>
                      </w:r>
                      <w:r>
                        <w:rPr>
                          <w:color w:val="000000"/>
                        </w:rPr>
                        <w:t xml:space="preserve"> 5, 60 Light Square</w:t>
                      </w:r>
                      <w:r w:rsidRPr="00D42A61">
                        <w:rPr>
                          <w:color w:val="000000"/>
                        </w:rPr>
                        <w:t>, Adelaide, SA 5000</w:t>
                      </w:r>
                      <w:r w:rsidRPr="00D42A61">
                        <w:rPr>
                          <w:color w:val="000000"/>
                        </w:rPr>
                        <w:br/>
                        <w:t>PO Box 8288 Station Arcade, Adelaide SA 5000, Australia</w:t>
                      </w:r>
                    </w:p>
                    <w:p w14:paraId="67200B72" w14:textId="77777777" w:rsidR="008D04E9" w:rsidRDefault="008D04E9" w:rsidP="00D42A61">
                      <w:pPr>
                        <w:pStyle w:val="Imprint"/>
                        <w:rPr>
                          <w:color w:val="000000"/>
                        </w:rPr>
                      </w:pPr>
                      <w:r w:rsidRPr="00D42A61">
                        <w:rPr>
                          <w:b/>
                          <w:color w:val="000000"/>
                        </w:rPr>
                        <w:t>Phone</w:t>
                      </w:r>
                      <w:r w:rsidRPr="00D42A61">
                        <w:rPr>
                          <w:color w:val="000000"/>
                        </w:rPr>
                        <w:t xml:space="preserve"> +61 8 8230 8400     </w:t>
                      </w:r>
                      <w:r w:rsidRPr="00D42A61">
                        <w:rPr>
                          <w:b/>
                          <w:color w:val="000000"/>
                        </w:rPr>
                        <w:t>Email</w:t>
                      </w:r>
                      <w:r w:rsidRPr="00D42A61">
                        <w:rPr>
                          <w:color w:val="000000"/>
                        </w:rPr>
                        <w:t xml:space="preserve"> </w:t>
                      </w:r>
                      <w:hyperlink r:id="rId16" w:history="1">
                        <w:r w:rsidRPr="00D42A61">
                          <w:rPr>
                            <w:rStyle w:val="Hyperlink"/>
                            <w:sz w:val="16"/>
                          </w:rPr>
                          <w:t>ncver@ncver.edu.au</w:t>
                        </w:r>
                      </w:hyperlink>
                      <w:r w:rsidRPr="00D42A61">
                        <w:rPr>
                          <w:color w:val="000000"/>
                        </w:rPr>
                        <w:t xml:space="preserve">     </w:t>
                      </w:r>
                    </w:p>
                    <w:p w14:paraId="5363F778" w14:textId="77777777" w:rsidR="008D04E9" w:rsidRPr="00D42A61" w:rsidRDefault="008D04E9" w:rsidP="00D42A61">
                      <w:pPr>
                        <w:pStyle w:val="Imprint"/>
                        <w:rPr>
                          <w:color w:val="000000"/>
                        </w:rPr>
                      </w:pPr>
                      <w:r w:rsidRPr="00D42A61">
                        <w:rPr>
                          <w:b/>
                          <w:color w:val="000000"/>
                        </w:rPr>
                        <w:t>Web</w:t>
                      </w:r>
                      <w:r w:rsidRPr="00D42A61">
                        <w:rPr>
                          <w:color w:val="000000"/>
                        </w:rPr>
                        <w:t xml:space="preserve"> &lt;http</w:t>
                      </w:r>
                      <w:r>
                        <w:rPr>
                          <w:color w:val="000000"/>
                        </w:rPr>
                        <w:t>s</w:t>
                      </w:r>
                      <w:r w:rsidRPr="00D42A61">
                        <w:rPr>
                          <w:color w:val="000000"/>
                        </w:rPr>
                        <w:t xml:space="preserve">://www.ncver.edu.au&gt;  </w:t>
                      </w:r>
                      <w:r w:rsidRPr="007633B2">
                        <w:rPr>
                          <w:color w:val="000000"/>
                        </w:rPr>
                        <w:t>&lt;</w:t>
                      </w:r>
                      <w:hyperlink r:id="rId17" w:history="1">
                        <w:r w:rsidRPr="007633B2">
                          <w:rPr>
                            <w:rStyle w:val="Hyperlink"/>
                            <w:sz w:val="16"/>
                          </w:rPr>
                          <w:t>https://www.lsay.edu.au</w:t>
                        </w:r>
                      </w:hyperlink>
                      <w:r w:rsidRPr="007633B2">
                        <w:rPr>
                          <w:color w:val="000000"/>
                        </w:rPr>
                        <w:t>&gt;</w:t>
                      </w:r>
                    </w:p>
                    <w:p w14:paraId="3D199561" w14:textId="77777777" w:rsidR="008D04E9" w:rsidRPr="00D42A61" w:rsidRDefault="008D04E9" w:rsidP="00D42A61">
                      <w:pPr>
                        <w:pStyle w:val="Imprint"/>
                        <w:tabs>
                          <w:tab w:val="left" w:pos="851"/>
                        </w:tabs>
                        <w:rPr>
                          <w:color w:val="000000"/>
                        </w:rPr>
                      </w:pPr>
                      <w:r w:rsidRPr="00D42A61">
                        <w:rPr>
                          <w:b/>
                          <w:color w:val="000000"/>
                        </w:rPr>
                        <w:t>Follow us:</w:t>
                      </w:r>
                      <w:r w:rsidRPr="00D42A61">
                        <w:rPr>
                          <w:color w:val="000000"/>
                        </w:rPr>
                        <w:t xml:space="preserve"> </w:t>
                      </w:r>
                      <w:r w:rsidRPr="00D42A61">
                        <w:rPr>
                          <w:color w:val="000000"/>
                        </w:rPr>
                        <w:tab/>
                      </w:r>
                      <w:r>
                        <w:rPr>
                          <w:noProof/>
                          <w:color w:val="000000"/>
                          <w:lang w:eastAsia="en-AU"/>
                        </w:rPr>
                        <w:drawing>
                          <wp:inline distT="0" distB="0" distL="0" distR="0" wp14:anchorId="1925DC70" wp14:editId="5C8680E3">
                            <wp:extent cx="123825" cy="1428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42875"/>
                                    </a:xfrm>
                                    <a:prstGeom prst="rect">
                                      <a:avLst/>
                                    </a:prstGeom>
                                    <a:noFill/>
                                    <a:ln>
                                      <a:noFill/>
                                    </a:ln>
                                  </pic:spPr>
                                </pic:pic>
                              </a:graphicData>
                            </a:graphic>
                          </wp:inline>
                        </w:drawing>
                      </w:r>
                      <w:r w:rsidRPr="00D42A61">
                        <w:rPr>
                          <w:color w:val="000000"/>
                        </w:rPr>
                        <w:t xml:space="preserve"> &lt;http</w:t>
                      </w:r>
                      <w:r>
                        <w:rPr>
                          <w:color w:val="000000"/>
                        </w:rPr>
                        <w:t>s</w:t>
                      </w:r>
                      <w:r w:rsidRPr="00D42A61">
                        <w:rPr>
                          <w:color w:val="000000"/>
                        </w:rPr>
                        <w:t>://twitter.com/ncver&gt;</w:t>
                      </w:r>
                      <w:r w:rsidRPr="00D42A61">
                        <w:rPr>
                          <w:color w:val="000000"/>
                        </w:rPr>
                        <w:tab/>
                      </w:r>
                      <w:r>
                        <w:rPr>
                          <w:noProof/>
                          <w:color w:val="000000"/>
                          <w:lang w:eastAsia="en-AU"/>
                        </w:rPr>
                        <w:drawing>
                          <wp:inline distT="0" distB="0" distL="0" distR="0" wp14:anchorId="2F0B7A41" wp14:editId="665DD7C4">
                            <wp:extent cx="133350" cy="14287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3350" cy="142875"/>
                                    </a:xfrm>
                                    <a:prstGeom prst="rect">
                                      <a:avLst/>
                                    </a:prstGeom>
                                    <a:noFill/>
                                    <a:ln>
                                      <a:noFill/>
                                    </a:ln>
                                  </pic:spPr>
                                </pic:pic>
                              </a:graphicData>
                            </a:graphic>
                          </wp:inline>
                        </w:drawing>
                      </w:r>
                      <w:r>
                        <w:rPr>
                          <w:color w:val="000000"/>
                        </w:rPr>
                        <w:t xml:space="preserve"> </w:t>
                      </w:r>
                      <w:r w:rsidRPr="00D42A61">
                        <w:rPr>
                          <w:color w:val="000000"/>
                        </w:rPr>
                        <w:t>&lt;http</w:t>
                      </w:r>
                      <w:r>
                        <w:rPr>
                          <w:color w:val="000000"/>
                        </w:rPr>
                        <w:t>s</w:t>
                      </w:r>
                      <w:r w:rsidRPr="00D42A61">
                        <w:rPr>
                          <w:color w:val="000000"/>
                        </w:rPr>
                        <w:t>://www.linkedin.com/company/ncver&gt;</w:t>
                      </w:r>
                    </w:p>
                    <w:p w14:paraId="19847B77" w14:textId="77777777" w:rsidR="008D04E9" w:rsidRPr="00D42A61" w:rsidRDefault="008D04E9" w:rsidP="00D42A61">
                      <w:pPr>
                        <w:pStyle w:val="Imprint"/>
                      </w:pPr>
                    </w:p>
                    <w:p w14:paraId="0A8133D0" w14:textId="77777777" w:rsidR="008D04E9" w:rsidRPr="006A702B" w:rsidRDefault="008D04E9" w:rsidP="00233C8D"/>
                  </w:txbxContent>
                </v:textbox>
                <w10:wrap anchory="margin"/>
              </v:shape>
            </w:pict>
          </mc:Fallback>
        </mc:AlternateContent>
      </w:r>
    </w:p>
    <w:p w14:paraId="5B5D65D4" w14:textId="77777777" w:rsidR="006A702B" w:rsidRDefault="006A702B" w:rsidP="006A702B">
      <w:pPr>
        <w:pStyle w:val="Text"/>
      </w:pPr>
    </w:p>
    <w:p w14:paraId="291858D9" w14:textId="77777777" w:rsidR="00177827" w:rsidRDefault="00177827" w:rsidP="00874DA5">
      <w:pPr>
        <w:pStyle w:val="Contents"/>
      </w:pPr>
    </w:p>
    <w:p w14:paraId="261546B7" w14:textId="77777777" w:rsidR="00D42A61" w:rsidRDefault="00D42A61" w:rsidP="00874DA5">
      <w:pPr>
        <w:pStyle w:val="Contents"/>
      </w:pPr>
    </w:p>
    <w:p w14:paraId="194691B5" w14:textId="77777777" w:rsidR="00D42A61" w:rsidRDefault="00D42A61" w:rsidP="00874DA5">
      <w:pPr>
        <w:pStyle w:val="Contents"/>
        <w:sectPr w:rsidR="00D42A61" w:rsidSect="00357C16">
          <w:footerReference w:type="default" r:id="rId18"/>
          <w:type w:val="continuous"/>
          <w:pgSz w:w="11907" w:h="16840" w:code="9"/>
          <w:pgMar w:top="1276" w:right="1418" w:bottom="992" w:left="1418" w:header="709" w:footer="556" w:gutter="0"/>
          <w:cols w:space="708" w:equalWidth="0">
            <w:col w:w="9071"/>
          </w:cols>
          <w:docGrid w:linePitch="360"/>
        </w:sectPr>
      </w:pPr>
    </w:p>
    <w:p w14:paraId="43507B36" w14:textId="77777777" w:rsidR="009E231A" w:rsidRPr="00DC5F5C" w:rsidRDefault="00FE4A2D" w:rsidP="00874DA5">
      <w:pPr>
        <w:pStyle w:val="Contents"/>
      </w:pPr>
      <w:bookmarkStart w:id="9" w:name="_Toc98394880"/>
      <w:bookmarkStart w:id="10" w:name="_Toc296423683"/>
      <w:bookmarkStart w:id="11" w:name="_Toc296497514"/>
      <w:r w:rsidRPr="00DC5F5C">
        <w:lastRenderedPageBreak/>
        <w:t>Contents</w:t>
      </w:r>
      <w:bookmarkEnd w:id="9"/>
      <w:bookmarkEnd w:id="10"/>
      <w:bookmarkEnd w:id="11"/>
    </w:p>
    <w:p w14:paraId="55692CC4" w14:textId="74301D5A" w:rsidR="00170E74" w:rsidRDefault="00E110EA" w:rsidP="007633B2">
      <w:pPr>
        <w:pStyle w:val="TOC1"/>
        <w:tabs>
          <w:tab w:val="clear" w:pos="6804"/>
        </w:tabs>
        <w:ind w:right="-1"/>
        <w:rPr>
          <w:rFonts w:asciiTheme="minorHAnsi" w:eastAsiaTheme="minorEastAsia" w:hAnsiTheme="minorHAnsi" w:cstheme="minorBidi"/>
          <w:color w:val="auto"/>
          <w:sz w:val="22"/>
          <w:szCs w:val="22"/>
          <w:lang w:eastAsia="en-AU"/>
        </w:rPr>
      </w:pPr>
      <w:r w:rsidRPr="009775C7">
        <w:rPr>
          <w:rFonts w:ascii="Avant Garde" w:hAnsi="Avant Garde"/>
        </w:rPr>
        <w:fldChar w:fldCharType="begin"/>
      </w:r>
      <w:r w:rsidR="00FE4A2D" w:rsidRPr="009775C7">
        <w:rPr>
          <w:rFonts w:ascii="Avant Garde" w:hAnsi="Avant Garde"/>
        </w:rPr>
        <w:instrText xml:space="preserve"> TOC \o "1-2" </w:instrText>
      </w:r>
      <w:r w:rsidRPr="009775C7">
        <w:rPr>
          <w:rFonts w:ascii="Avant Garde" w:hAnsi="Avant Garde"/>
        </w:rPr>
        <w:fldChar w:fldCharType="separate"/>
      </w:r>
      <w:r w:rsidR="00170E74">
        <w:t>Tables and figures</w:t>
      </w:r>
      <w:r w:rsidR="00170E74">
        <w:tab/>
      </w:r>
      <w:r w:rsidR="007633B2">
        <w:tab/>
      </w:r>
      <w:r w:rsidR="007633B2">
        <w:tab/>
      </w:r>
      <w:r w:rsidR="007633B2">
        <w:tab/>
      </w:r>
      <w:r w:rsidR="007633B2">
        <w:tab/>
      </w:r>
      <w:r w:rsidR="007633B2">
        <w:tab/>
      </w:r>
      <w:r w:rsidR="007633B2">
        <w:tab/>
      </w:r>
      <w:r w:rsidR="007633B2">
        <w:tab/>
      </w:r>
      <w:r w:rsidR="007633B2">
        <w:tab/>
      </w:r>
      <w:r w:rsidR="007633B2">
        <w:tab/>
      </w:r>
      <w:r w:rsidR="00170E74">
        <w:fldChar w:fldCharType="begin"/>
      </w:r>
      <w:r w:rsidR="00170E74">
        <w:instrText xml:space="preserve"> PAGEREF _Toc66774401 \h </w:instrText>
      </w:r>
      <w:r w:rsidR="00170E74">
        <w:fldChar w:fldCharType="separate"/>
      </w:r>
      <w:r w:rsidR="00C13328">
        <w:t>4</w:t>
      </w:r>
      <w:r w:rsidR="00170E74">
        <w:fldChar w:fldCharType="end"/>
      </w:r>
    </w:p>
    <w:p w14:paraId="3319BECE" w14:textId="4215876F" w:rsidR="00170E74" w:rsidRDefault="00170E74" w:rsidP="007633B2">
      <w:pPr>
        <w:pStyle w:val="TOC1"/>
        <w:tabs>
          <w:tab w:val="clear" w:pos="6804"/>
        </w:tabs>
        <w:ind w:right="-1"/>
        <w:rPr>
          <w:rFonts w:asciiTheme="minorHAnsi" w:eastAsiaTheme="minorEastAsia" w:hAnsiTheme="minorHAnsi" w:cstheme="minorBidi"/>
          <w:color w:val="auto"/>
          <w:sz w:val="22"/>
          <w:szCs w:val="22"/>
          <w:lang w:eastAsia="en-AU"/>
        </w:rPr>
      </w:pPr>
      <w:r>
        <w:t>Literature overview</w:t>
      </w:r>
      <w:r w:rsidR="007633B2">
        <w:tab/>
      </w:r>
      <w:r w:rsidR="007633B2">
        <w:tab/>
      </w:r>
      <w:r w:rsidR="007633B2">
        <w:tab/>
      </w:r>
      <w:r w:rsidR="007633B2">
        <w:tab/>
      </w:r>
      <w:r w:rsidR="007633B2">
        <w:tab/>
      </w:r>
      <w:r w:rsidR="007633B2">
        <w:tab/>
      </w:r>
      <w:r w:rsidR="007633B2">
        <w:tab/>
      </w:r>
      <w:r w:rsidR="007633B2">
        <w:tab/>
      </w:r>
      <w:r w:rsidR="007633B2">
        <w:tab/>
      </w:r>
      <w:r>
        <w:tab/>
      </w:r>
      <w:r>
        <w:fldChar w:fldCharType="begin"/>
      </w:r>
      <w:r>
        <w:instrText xml:space="preserve"> PAGEREF _Toc66774404 \h </w:instrText>
      </w:r>
      <w:r>
        <w:fldChar w:fldCharType="separate"/>
      </w:r>
      <w:r w:rsidR="00C13328">
        <w:t>5</w:t>
      </w:r>
      <w:r>
        <w:fldChar w:fldCharType="end"/>
      </w:r>
    </w:p>
    <w:p w14:paraId="7DB9C497" w14:textId="3729F3F6" w:rsidR="00170E74" w:rsidRDefault="00170E74" w:rsidP="007633B2">
      <w:pPr>
        <w:pStyle w:val="TOC2"/>
        <w:tabs>
          <w:tab w:val="clear" w:pos="6804"/>
        </w:tabs>
        <w:rPr>
          <w:rFonts w:asciiTheme="minorHAnsi" w:eastAsiaTheme="minorEastAsia" w:hAnsiTheme="minorHAnsi" w:cstheme="minorBidi"/>
          <w:color w:val="auto"/>
          <w:sz w:val="22"/>
          <w:szCs w:val="22"/>
          <w:lang w:eastAsia="en-AU"/>
        </w:rPr>
      </w:pPr>
      <w:r>
        <w:t>Definitions and measurement of skills</w:t>
      </w:r>
      <w:r>
        <w:tab/>
      </w:r>
      <w:r w:rsidR="007633B2">
        <w:tab/>
      </w:r>
      <w:r w:rsidR="007633B2">
        <w:tab/>
      </w:r>
      <w:r w:rsidR="007633B2">
        <w:tab/>
      </w:r>
      <w:r w:rsidR="007633B2">
        <w:tab/>
      </w:r>
      <w:r w:rsidR="007633B2">
        <w:tab/>
      </w:r>
      <w:r w:rsidR="007633B2">
        <w:tab/>
      </w:r>
      <w:r w:rsidR="007633B2">
        <w:tab/>
      </w:r>
      <w:r>
        <w:fldChar w:fldCharType="begin"/>
      </w:r>
      <w:r>
        <w:instrText xml:space="preserve"> PAGEREF _Toc66774405 \h </w:instrText>
      </w:r>
      <w:r>
        <w:fldChar w:fldCharType="separate"/>
      </w:r>
      <w:r w:rsidR="00C13328">
        <w:t>5</w:t>
      </w:r>
      <w:r>
        <w:fldChar w:fldCharType="end"/>
      </w:r>
    </w:p>
    <w:p w14:paraId="5AB7DA4D" w14:textId="09C990A5" w:rsidR="00170E74" w:rsidRDefault="00170E74" w:rsidP="007633B2">
      <w:pPr>
        <w:pStyle w:val="TOC2"/>
        <w:tabs>
          <w:tab w:val="clear" w:pos="6804"/>
        </w:tabs>
        <w:rPr>
          <w:rFonts w:asciiTheme="minorHAnsi" w:eastAsiaTheme="minorEastAsia" w:hAnsiTheme="minorHAnsi" w:cstheme="minorBidi"/>
          <w:color w:val="auto"/>
          <w:sz w:val="22"/>
          <w:szCs w:val="22"/>
          <w:lang w:eastAsia="en-AU"/>
        </w:rPr>
      </w:pPr>
      <w:r>
        <w:t>What do we know about ways of measuring skills?</w:t>
      </w:r>
      <w:r>
        <w:tab/>
      </w:r>
      <w:r w:rsidR="007633B2">
        <w:tab/>
      </w:r>
      <w:r w:rsidR="007633B2">
        <w:tab/>
      </w:r>
      <w:r w:rsidR="007633B2">
        <w:tab/>
      </w:r>
      <w:r w:rsidR="007633B2">
        <w:tab/>
      </w:r>
      <w:r w:rsidR="007633B2">
        <w:tab/>
      </w:r>
      <w:r w:rsidR="007633B2">
        <w:tab/>
      </w:r>
      <w:r>
        <w:fldChar w:fldCharType="begin"/>
      </w:r>
      <w:r>
        <w:instrText xml:space="preserve"> PAGEREF _Toc66774406 \h </w:instrText>
      </w:r>
      <w:r>
        <w:fldChar w:fldCharType="separate"/>
      </w:r>
      <w:r w:rsidR="00C13328">
        <w:t>6</w:t>
      </w:r>
      <w:r>
        <w:fldChar w:fldCharType="end"/>
      </w:r>
    </w:p>
    <w:p w14:paraId="5A3EA924" w14:textId="503EC48F" w:rsidR="00170E74" w:rsidRDefault="00170E74" w:rsidP="007633B2">
      <w:pPr>
        <w:pStyle w:val="TOC2"/>
        <w:tabs>
          <w:tab w:val="clear" w:pos="6804"/>
        </w:tabs>
        <w:rPr>
          <w:rFonts w:asciiTheme="minorHAnsi" w:eastAsiaTheme="minorEastAsia" w:hAnsiTheme="minorHAnsi" w:cstheme="minorBidi"/>
          <w:color w:val="auto"/>
          <w:sz w:val="22"/>
          <w:szCs w:val="22"/>
          <w:lang w:eastAsia="en-AU"/>
        </w:rPr>
      </w:pPr>
      <w:r>
        <w:t>Measuring stocks of skills in Australia</w:t>
      </w:r>
      <w:r>
        <w:tab/>
      </w:r>
      <w:r w:rsidR="007633B2">
        <w:tab/>
      </w:r>
      <w:r w:rsidR="007633B2">
        <w:tab/>
      </w:r>
      <w:r w:rsidR="007633B2">
        <w:tab/>
      </w:r>
      <w:r w:rsidR="007633B2">
        <w:tab/>
      </w:r>
      <w:r w:rsidR="007633B2">
        <w:tab/>
      </w:r>
      <w:r w:rsidR="007633B2">
        <w:tab/>
      </w:r>
      <w:r w:rsidR="007633B2">
        <w:tab/>
      </w:r>
      <w:r>
        <w:fldChar w:fldCharType="begin"/>
      </w:r>
      <w:r>
        <w:instrText xml:space="preserve"> PAGEREF _Toc66774407 \h </w:instrText>
      </w:r>
      <w:r>
        <w:fldChar w:fldCharType="separate"/>
      </w:r>
      <w:r w:rsidR="00C13328">
        <w:t>17</w:t>
      </w:r>
      <w:r>
        <w:fldChar w:fldCharType="end"/>
      </w:r>
    </w:p>
    <w:p w14:paraId="30EBBCDF" w14:textId="2E72E77F" w:rsidR="00170E74" w:rsidRDefault="00170E74" w:rsidP="007633B2">
      <w:pPr>
        <w:pStyle w:val="TOC2"/>
        <w:tabs>
          <w:tab w:val="clear" w:pos="6804"/>
        </w:tabs>
        <w:rPr>
          <w:rFonts w:asciiTheme="minorHAnsi" w:eastAsiaTheme="minorEastAsia" w:hAnsiTheme="minorHAnsi" w:cstheme="minorBidi"/>
          <w:color w:val="auto"/>
          <w:sz w:val="22"/>
          <w:szCs w:val="22"/>
          <w:lang w:eastAsia="en-AU"/>
        </w:rPr>
      </w:pPr>
      <w:r>
        <w:t>Gaps in and challenges with the data</w:t>
      </w:r>
      <w:r>
        <w:tab/>
      </w:r>
      <w:r w:rsidR="007633B2">
        <w:tab/>
      </w:r>
      <w:r w:rsidR="007633B2">
        <w:tab/>
      </w:r>
      <w:r w:rsidR="007633B2">
        <w:tab/>
      </w:r>
      <w:r w:rsidR="007633B2">
        <w:tab/>
      </w:r>
      <w:r w:rsidR="007633B2">
        <w:tab/>
      </w:r>
      <w:r w:rsidR="007633B2">
        <w:tab/>
      </w:r>
      <w:r w:rsidR="007633B2">
        <w:tab/>
      </w:r>
      <w:r>
        <w:fldChar w:fldCharType="begin"/>
      </w:r>
      <w:r>
        <w:instrText xml:space="preserve"> PAGEREF _Toc66774408 \h </w:instrText>
      </w:r>
      <w:r>
        <w:fldChar w:fldCharType="separate"/>
      </w:r>
      <w:r w:rsidR="00C13328">
        <w:t>18</w:t>
      </w:r>
      <w:r>
        <w:fldChar w:fldCharType="end"/>
      </w:r>
    </w:p>
    <w:p w14:paraId="5EB974FA" w14:textId="2C72A6F0" w:rsidR="00170E74" w:rsidRDefault="00170E74" w:rsidP="007633B2">
      <w:pPr>
        <w:pStyle w:val="TOC1"/>
        <w:tabs>
          <w:tab w:val="clear" w:pos="6804"/>
        </w:tabs>
        <w:ind w:right="-1"/>
        <w:rPr>
          <w:rFonts w:asciiTheme="minorHAnsi" w:eastAsiaTheme="minorEastAsia" w:hAnsiTheme="minorHAnsi" w:cstheme="minorBidi"/>
          <w:color w:val="auto"/>
          <w:sz w:val="22"/>
          <w:szCs w:val="22"/>
          <w:lang w:eastAsia="en-AU"/>
        </w:rPr>
      </w:pPr>
      <w:r>
        <w:t>References</w:t>
      </w:r>
      <w:r>
        <w:tab/>
      </w:r>
      <w:r w:rsidR="007633B2">
        <w:tab/>
      </w:r>
      <w:r w:rsidR="007633B2">
        <w:tab/>
      </w:r>
      <w:r w:rsidR="007633B2">
        <w:tab/>
      </w:r>
      <w:r w:rsidR="007633B2">
        <w:tab/>
      </w:r>
      <w:r w:rsidR="007633B2">
        <w:tab/>
      </w:r>
      <w:r w:rsidR="007633B2">
        <w:tab/>
      </w:r>
      <w:r w:rsidR="007633B2">
        <w:tab/>
      </w:r>
      <w:r w:rsidR="007633B2">
        <w:tab/>
      </w:r>
      <w:r w:rsidR="007633B2">
        <w:tab/>
      </w:r>
      <w:r w:rsidR="007633B2">
        <w:tab/>
      </w:r>
      <w:r>
        <w:fldChar w:fldCharType="begin"/>
      </w:r>
      <w:r>
        <w:instrText xml:space="preserve"> PAGEREF _Toc66774409 \h </w:instrText>
      </w:r>
      <w:r>
        <w:fldChar w:fldCharType="separate"/>
      </w:r>
      <w:r w:rsidR="00C13328">
        <w:t>20</w:t>
      </w:r>
      <w:r>
        <w:fldChar w:fldCharType="end"/>
      </w:r>
    </w:p>
    <w:p w14:paraId="0BC97CFB" w14:textId="16DD00BB" w:rsidR="00170E74" w:rsidRDefault="00170E74" w:rsidP="007633B2">
      <w:pPr>
        <w:pStyle w:val="TOC1"/>
        <w:tabs>
          <w:tab w:val="clear" w:pos="6804"/>
        </w:tabs>
        <w:ind w:right="-1"/>
        <w:rPr>
          <w:rFonts w:asciiTheme="minorHAnsi" w:eastAsiaTheme="minorEastAsia" w:hAnsiTheme="minorHAnsi" w:cstheme="minorBidi"/>
          <w:color w:val="auto"/>
          <w:sz w:val="22"/>
          <w:szCs w:val="22"/>
          <w:lang w:eastAsia="en-AU"/>
        </w:rPr>
      </w:pPr>
      <w:r>
        <w:t xml:space="preserve">Appendix </w:t>
      </w:r>
      <w:r w:rsidR="004E182F">
        <w:t xml:space="preserve">A </w:t>
      </w:r>
      <w:r>
        <w:t>Australian data source references</w:t>
      </w:r>
      <w:r>
        <w:tab/>
      </w:r>
      <w:r w:rsidR="007633B2">
        <w:tab/>
      </w:r>
      <w:r w:rsidR="007633B2">
        <w:tab/>
      </w:r>
      <w:r w:rsidR="007633B2">
        <w:tab/>
      </w:r>
      <w:r w:rsidR="007633B2">
        <w:tab/>
      </w:r>
      <w:r w:rsidR="007633B2">
        <w:tab/>
      </w:r>
      <w:r w:rsidR="007633B2">
        <w:tab/>
      </w:r>
      <w:r>
        <w:fldChar w:fldCharType="begin"/>
      </w:r>
      <w:r>
        <w:instrText xml:space="preserve"> PAGEREF _Toc66774410 \h </w:instrText>
      </w:r>
      <w:r>
        <w:fldChar w:fldCharType="separate"/>
      </w:r>
      <w:r w:rsidR="00C13328">
        <w:t>22</w:t>
      </w:r>
      <w:r>
        <w:fldChar w:fldCharType="end"/>
      </w:r>
    </w:p>
    <w:p w14:paraId="7F1DB90A" w14:textId="407E4145" w:rsidR="004E7227" w:rsidRDefault="00E110EA" w:rsidP="0048643A">
      <w:pPr>
        <w:pStyle w:val="Text"/>
      </w:pPr>
      <w:r w:rsidRPr="009775C7">
        <w:fldChar w:fldCharType="end"/>
      </w:r>
    </w:p>
    <w:p w14:paraId="5CC62C75" w14:textId="77777777" w:rsidR="004E7227" w:rsidRDefault="004E7227" w:rsidP="0048643A">
      <w:pPr>
        <w:pStyle w:val="Text"/>
        <w:rPr>
          <w:rFonts w:ascii="Tahoma" w:hAnsi="Tahoma" w:cs="Tahoma"/>
          <w:color w:val="000000"/>
          <w:kern w:val="28"/>
          <w:sz w:val="56"/>
          <w:szCs w:val="56"/>
        </w:rPr>
      </w:pPr>
      <w:r>
        <w:br w:type="page"/>
      </w:r>
    </w:p>
    <w:p w14:paraId="39A4652A" w14:textId="77777777" w:rsidR="004E7227" w:rsidRDefault="004E7227" w:rsidP="004E7227">
      <w:pPr>
        <w:pStyle w:val="Heading1"/>
      </w:pPr>
      <w:bookmarkStart w:id="12" w:name="_Toc66774401"/>
      <w:r>
        <w:lastRenderedPageBreak/>
        <w:t>Tables and figures</w:t>
      </w:r>
      <w:bookmarkEnd w:id="12"/>
    </w:p>
    <w:p w14:paraId="72C9BBDF" w14:textId="77777777" w:rsidR="004E7227" w:rsidRDefault="004E7227" w:rsidP="004E7227">
      <w:pPr>
        <w:pStyle w:val="Heading2"/>
      </w:pPr>
      <w:bookmarkStart w:id="13" w:name="_Toc296497516"/>
      <w:bookmarkStart w:id="14" w:name="_Toc298162801"/>
      <w:bookmarkStart w:id="15" w:name="_Toc66774402"/>
      <w:r>
        <w:t>Tables</w:t>
      </w:r>
      <w:bookmarkEnd w:id="13"/>
      <w:bookmarkEnd w:id="14"/>
      <w:bookmarkEnd w:id="15"/>
    </w:p>
    <w:p w14:paraId="47D992E3" w14:textId="5B292F17" w:rsidR="00FB50A8" w:rsidRDefault="00E110EA" w:rsidP="007633B2">
      <w:pPr>
        <w:pStyle w:val="TableofFigures"/>
        <w:tabs>
          <w:tab w:val="clear" w:pos="6804"/>
          <w:tab w:val="left" w:pos="880"/>
        </w:tabs>
        <w:ind w:right="-1"/>
        <w:rPr>
          <w:rFonts w:asciiTheme="minorHAnsi" w:eastAsiaTheme="minorEastAsia" w:hAnsiTheme="minorHAnsi" w:cstheme="minorBidi"/>
          <w:color w:val="auto"/>
          <w:sz w:val="22"/>
          <w:szCs w:val="22"/>
          <w:lang w:eastAsia="en-AU"/>
        </w:rPr>
      </w:pPr>
      <w:r>
        <w:fldChar w:fldCharType="begin"/>
      </w:r>
      <w:r w:rsidR="004E7227">
        <w:instrText xml:space="preserve"> TOC \f F \t "tabletitle" \c </w:instrText>
      </w:r>
      <w:r>
        <w:fldChar w:fldCharType="separate"/>
      </w:r>
      <w:r w:rsidR="00FB50A8">
        <w:t>1</w:t>
      </w:r>
      <w:r w:rsidR="00FB50A8">
        <w:rPr>
          <w:rFonts w:asciiTheme="minorHAnsi" w:eastAsiaTheme="minorEastAsia" w:hAnsiTheme="minorHAnsi" w:cstheme="minorBidi"/>
          <w:color w:val="auto"/>
          <w:sz w:val="22"/>
          <w:szCs w:val="22"/>
          <w:lang w:eastAsia="en-AU"/>
        </w:rPr>
        <w:tab/>
      </w:r>
      <w:r w:rsidR="00FB50A8">
        <w:t>Indicator</w:t>
      </w:r>
      <w:r w:rsidR="00885380">
        <w:t>-</w:t>
      </w:r>
      <w:r w:rsidR="00FB50A8">
        <w:t>based approaches to skills measurement</w:t>
      </w:r>
      <w:r w:rsidR="00FB50A8">
        <w:tab/>
      </w:r>
      <w:r w:rsidR="007633B2">
        <w:tab/>
      </w:r>
      <w:r w:rsidR="007633B2">
        <w:tab/>
      </w:r>
      <w:r w:rsidR="007633B2">
        <w:tab/>
      </w:r>
      <w:r w:rsidR="007633B2">
        <w:tab/>
      </w:r>
      <w:r w:rsidR="007633B2">
        <w:tab/>
      </w:r>
      <w:r w:rsidR="00FB50A8">
        <w:fldChar w:fldCharType="begin"/>
      </w:r>
      <w:r w:rsidR="00FB50A8">
        <w:instrText xml:space="preserve"> PAGEREF _Toc66774488 \h </w:instrText>
      </w:r>
      <w:r w:rsidR="00FB50A8">
        <w:fldChar w:fldCharType="separate"/>
      </w:r>
      <w:r w:rsidR="00C13328">
        <w:t>12</w:t>
      </w:r>
      <w:r w:rsidR="00FB50A8">
        <w:fldChar w:fldCharType="end"/>
      </w:r>
    </w:p>
    <w:p w14:paraId="00E4EA8E" w14:textId="1AD2F54A" w:rsidR="00FB50A8" w:rsidRDefault="00FB50A8" w:rsidP="007633B2">
      <w:pPr>
        <w:pStyle w:val="TableofFigures"/>
        <w:tabs>
          <w:tab w:val="clear" w:pos="6804"/>
          <w:tab w:val="left" w:pos="880"/>
        </w:tabs>
        <w:ind w:right="-1"/>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Data sources available in Australia</w:t>
      </w:r>
      <w:r>
        <w:tab/>
      </w:r>
      <w:r w:rsidR="007633B2">
        <w:tab/>
      </w:r>
      <w:r w:rsidR="007633B2">
        <w:tab/>
      </w:r>
      <w:r w:rsidR="007633B2">
        <w:tab/>
      </w:r>
      <w:r w:rsidR="007633B2">
        <w:tab/>
      </w:r>
      <w:r w:rsidR="007633B2">
        <w:tab/>
      </w:r>
      <w:r w:rsidR="007633B2">
        <w:tab/>
      </w:r>
      <w:r w:rsidR="007633B2">
        <w:tab/>
      </w:r>
      <w:r>
        <w:fldChar w:fldCharType="begin"/>
      </w:r>
      <w:r>
        <w:instrText xml:space="preserve"> PAGEREF _Toc66774489 \h </w:instrText>
      </w:r>
      <w:r>
        <w:fldChar w:fldCharType="separate"/>
      </w:r>
      <w:r w:rsidR="00C13328">
        <w:t>18</w:t>
      </w:r>
      <w:r>
        <w:fldChar w:fldCharType="end"/>
      </w:r>
    </w:p>
    <w:p w14:paraId="232BBB79" w14:textId="77777777" w:rsidR="0092730A" w:rsidRDefault="00E110EA" w:rsidP="0092730A">
      <w:pPr>
        <w:pStyle w:val="Heading2"/>
      </w:pPr>
      <w:r>
        <w:fldChar w:fldCharType="end"/>
      </w:r>
      <w:bookmarkStart w:id="16" w:name="_Toc296497517"/>
      <w:bookmarkStart w:id="17" w:name="_Toc298162802"/>
      <w:bookmarkStart w:id="18" w:name="_Toc66774403"/>
      <w:r w:rsidR="004E7227">
        <w:t>Figures</w:t>
      </w:r>
      <w:bookmarkEnd w:id="16"/>
      <w:bookmarkEnd w:id="17"/>
      <w:bookmarkEnd w:id="18"/>
    </w:p>
    <w:p w14:paraId="57BFE4D6" w14:textId="1F813DC9" w:rsidR="0092730A" w:rsidRDefault="00E110EA" w:rsidP="007633B2">
      <w:pPr>
        <w:pStyle w:val="TableofFigures"/>
        <w:tabs>
          <w:tab w:val="clear" w:pos="6804"/>
          <w:tab w:val="left" w:pos="1100"/>
        </w:tabs>
        <w:ind w:right="-1"/>
        <w:rPr>
          <w:rFonts w:asciiTheme="minorHAnsi" w:eastAsiaTheme="minorEastAsia" w:hAnsiTheme="minorHAnsi" w:cstheme="minorBidi"/>
          <w:color w:val="auto"/>
          <w:sz w:val="22"/>
          <w:szCs w:val="22"/>
          <w:lang w:eastAsia="en-AU"/>
        </w:rPr>
      </w:pPr>
      <w:r>
        <w:rPr>
          <w:rFonts w:ascii="Garamond" w:hAnsi="Garamond"/>
          <w:sz w:val="22"/>
        </w:rPr>
        <w:fldChar w:fldCharType="begin"/>
      </w:r>
      <w:r w:rsidR="004E7227">
        <w:instrText xml:space="preserve"> TOC \t "Figuretitle" \c </w:instrText>
      </w:r>
      <w:r>
        <w:rPr>
          <w:rFonts w:ascii="Garamond" w:hAnsi="Garamond"/>
          <w:sz w:val="22"/>
        </w:rPr>
        <w:fldChar w:fldCharType="separate"/>
      </w:r>
      <w:r w:rsidR="0092730A">
        <w:t>1</w:t>
      </w:r>
      <w:r w:rsidR="0092730A">
        <w:rPr>
          <w:rFonts w:asciiTheme="minorHAnsi" w:eastAsiaTheme="minorEastAsia" w:hAnsiTheme="minorHAnsi" w:cstheme="minorBidi"/>
          <w:color w:val="auto"/>
          <w:sz w:val="22"/>
          <w:szCs w:val="22"/>
          <w:lang w:eastAsia="en-AU"/>
        </w:rPr>
        <w:tab/>
      </w:r>
      <w:r w:rsidR="0092730A">
        <w:t>Concept diagram</w:t>
      </w:r>
      <w:r w:rsidR="0092730A">
        <w:tab/>
      </w:r>
      <w:r w:rsidR="007633B2">
        <w:tab/>
      </w:r>
      <w:r w:rsidR="007633B2">
        <w:tab/>
      </w:r>
      <w:r w:rsidR="007633B2">
        <w:tab/>
      </w:r>
      <w:r w:rsidR="007633B2">
        <w:tab/>
      </w:r>
      <w:r w:rsidR="007633B2">
        <w:tab/>
      </w:r>
      <w:r w:rsidR="007633B2">
        <w:tab/>
      </w:r>
      <w:r w:rsidR="007633B2">
        <w:tab/>
      </w:r>
      <w:r w:rsidR="007633B2">
        <w:tab/>
      </w:r>
      <w:r w:rsidR="007633B2">
        <w:tab/>
      </w:r>
      <w:r w:rsidR="0092730A">
        <w:fldChar w:fldCharType="begin"/>
      </w:r>
      <w:r w:rsidR="0092730A">
        <w:instrText xml:space="preserve"> PAGEREF _Toc66363718 \h </w:instrText>
      </w:r>
      <w:r w:rsidR="0092730A">
        <w:fldChar w:fldCharType="separate"/>
      </w:r>
      <w:r w:rsidR="00C13328">
        <w:t>17</w:t>
      </w:r>
      <w:r w:rsidR="0092730A">
        <w:fldChar w:fldCharType="end"/>
      </w:r>
    </w:p>
    <w:p w14:paraId="77BAD3CF" w14:textId="721C57BA" w:rsidR="0092730A" w:rsidRDefault="0092730A">
      <w:pPr>
        <w:pStyle w:val="TableofFigures"/>
        <w:rPr>
          <w:rFonts w:asciiTheme="minorHAnsi" w:eastAsiaTheme="minorEastAsia" w:hAnsiTheme="minorHAnsi" w:cstheme="minorBidi"/>
          <w:color w:val="auto"/>
          <w:sz w:val="22"/>
          <w:szCs w:val="22"/>
          <w:lang w:eastAsia="en-AU"/>
        </w:rPr>
      </w:pPr>
      <w:r>
        <w:tab/>
      </w:r>
    </w:p>
    <w:p w14:paraId="23F9B51D" w14:textId="1D36854D" w:rsidR="004E7227" w:rsidRDefault="00E110EA" w:rsidP="004E7227">
      <w:pPr>
        <w:pStyle w:val="TableofFigures"/>
      </w:pPr>
      <w:r>
        <w:fldChar w:fldCharType="end"/>
      </w:r>
    </w:p>
    <w:p w14:paraId="37D1F96B" w14:textId="77777777" w:rsidR="00B43B9C" w:rsidRDefault="00B43B9C">
      <w:pPr>
        <w:spacing w:before="0" w:line="240" w:lineRule="auto"/>
        <w:rPr>
          <w:b/>
        </w:rPr>
      </w:pPr>
      <w:bookmarkStart w:id="19" w:name="_Toc298162803"/>
      <w:r>
        <w:rPr>
          <w:b/>
        </w:rPr>
        <w:br w:type="page"/>
      </w:r>
    </w:p>
    <w:p w14:paraId="2C3EDA58" w14:textId="4B3CD687" w:rsidR="00B43B9C" w:rsidRDefault="00B43B9C" w:rsidP="00B43B9C">
      <w:pPr>
        <w:pStyle w:val="Heading1"/>
      </w:pPr>
      <w:bookmarkStart w:id="20" w:name="_Toc66774404"/>
      <w:r w:rsidRPr="00B43B9C">
        <w:lastRenderedPageBreak/>
        <w:t>Literature overview</w:t>
      </w:r>
      <w:bookmarkEnd w:id="20"/>
    </w:p>
    <w:p w14:paraId="72117E2C" w14:textId="2BCA22F0" w:rsidR="00B43B9C" w:rsidRDefault="008F478D" w:rsidP="00B43B9C">
      <w:pPr>
        <w:pStyle w:val="Text"/>
      </w:pPr>
      <w:r>
        <w:t>Our interest in measuring the stock of skills and qualifications in the economy is prompted</w:t>
      </w:r>
      <w:r w:rsidR="00946B45">
        <w:t xml:space="preserve"> by</w:t>
      </w:r>
      <w:r w:rsidR="00C13328">
        <w:t xml:space="preserve"> a number of valid reasons</w:t>
      </w:r>
      <w:r w:rsidR="00C50343">
        <w:t>. Importantly,</w:t>
      </w:r>
      <w:r w:rsidR="00357001">
        <w:t xml:space="preserve"> t</w:t>
      </w:r>
      <w:r w:rsidR="00B43B9C">
        <w:t>his information can provide indications of where skill</w:t>
      </w:r>
      <w:r w:rsidR="00E554AF">
        <w:t>s</w:t>
      </w:r>
      <w:r w:rsidR="00B43B9C">
        <w:t xml:space="preserve"> gaps and skills mismatches</w:t>
      </w:r>
      <w:r w:rsidR="00EB445A">
        <w:t xml:space="preserve"> exist</w:t>
      </w:r>
      <w:r w:rsidR="00B43B9C">
        <w:t xml:space="preserve">, </w:t>
      </w:r>
      <w:r w:rsidR="00572A0D">
        <w:t>enabling action to</w:t>
      </w:r>
      <w:r w:rsidR="00B43B9C">
        <w:t xml:space="preserve"> maximis</w:t>
      </w:r>
      <w:r w:rsidR="000D45FC">
        <w:t>e the</w:t>
      </w:r>
      <w:r w:rsidR="00B43B9C">
        <w:t xml:space="preserve"> utility of skills and match skills to jobs. </w:t>
      </w:r>
      <w:r w:rsidR="000D45FC">
        <w:t>In addition, t</w:t>
      </w:r>
      <w:r w:rsidR="004915BD">
        <w:t>he stock of skills and qualifications is an indicator of potential competitiveness (Eurostat 2016) and prosperity and wellbeing (OECD 2013)</w:t>
      </w:r>
      <w:r w:rsidR="00963240">
        <w:t xml:space="preserve">. </w:t>
      </w:r>
      <w:r w:rsidR="00B43B9C">
        <w:t xml:space="preserve">From the perspective of </w:t>
      </w:r>
      <w:r w:rsidR="00466A6D">
        <w:t xml:space="preserve">vocational education and training </w:t>
      </w:r>
      <w:r w:rsidR="00B43B9C">
        <w:t>(VET)</w:t>
      </w:r>
      <w:r w:rsidR="00B43B9C">
        <w:rPr>
          <w:rStyle w:val="FootnoteReference"/>
        </w:rPr>
        <w:footnoteReference w:id="1"/>
      </w:r>
      <w:r w:rsidR="00B43B9C">
        <w:t xml:space="preserve"> the information can inform training needs to ultimately improve the match between supply and demand (Gasskov 2018). </w:t>
      </w:r>
    </w:p>
    <w:p w14:paraId="24224370" w14:textId="0A8EB038" w:rsidR="00B43B9C" w:rsidRDefault="00B43B9C" w:rsidP="00B43B9C">
      <w:pPr>
        <w:pStyle w:val="Text"/>
      </w:pPr>
      <w:r>
        <w:rPr>
          <w:noProof/>
          <w:lang w:eastAsia="en-AU"/>
        </w:rPr>
        <mc:AlternateContent>
          <mc:Choice Requires="wps">
            <w:drawing>
              <wp:anchor distT="0" distB="0" distL="288290" distR="114300" simplePos="0" relativeHeight="251667456" behindDoc="0" locked="1" layoutInCell="1" allowOverlap="1" wp14:anchorId="5181F76E" wp14:editId="01FE0557">
                <wp:simplePos x="0" y="0"/>
                <wp:positionH relativeFrom="margin">
                  <wp:posOffset>3068320</wp:posOffset>
                </wp:positionH>
                <wp:positionV relativeFrom="page">
                  <wp:posOffset>1128395</wp:posOffset>
                </wp:positionV>
                <wp:extent cx="2682875" cy="3939540"/>
                <wp:effectExtent l="0" t="0" r="0" b="3810"/>
                <wp:wrapSquare wrapText="bothSides"/>
                <wp:docPr id="10" name="Text Box 10"/>
                <wp:cNvGraphicFramePr/>
                <a:graphic xmlns:a="http://schemas.openxmlformats.org/drawingml/2006/main">
                  <a:graphicData uri="http://schemas.microsoft.com/office/word/2010/wordprocessingShape">
                    <wps:wsp>
                      <wps:cNvSpPr txBox="1"/>
                      <wps:spPr>
                        <a:xfrm>
                          <a:off x="0" y="0"/>
                          <a:ext cx="2682875" cy="3939540"/>
                        </a:xfrm>
                        <a:prstGeom prst="rect">
                          <a:avLst/>
                        </a:prstGeom>
                        <a:noFill/>
                        <a:ln w="6350">
                          <a:noFill/>
                        </a:ln>
                        <a:effectLst>
                          <a:outerShdw blurRad="152400" dist="317500" dir="5400000" sx="90000" sy="-19000" rotWithShape="0">
                            <a:prstClr val="black">
                              <a:alpha val="15000"/>
                            </a:prstClr>
                          </a:outerShdw>
                        </a:effectLst>
                      </wps:spPr>
                      <wps:style>
                        <a:lnRef idx="0">
                          <a:schemeClr val="accent1"/>
                        </a:lnRef>
                        <a:fillRef idx="0">
                          <a:schemeClr val="accent1"/>
                        </a:fillRef>
                        <a:effectRef idx="0">
                          <a:schemeClr val="accent1"/>
                        </a:effectRef>
                        <a:fontRef idx="minor">
                          <a:schemeClr val="dk1"/>
                        </a:fontRef>
                      </wps:style>
                      <wps:txbx>
                        <w:txbxContent>
                          <w:p w14:paraId="024B3C09" w14:textId="77777777" w:rsidR="008D04E9" w:rsidRPr="00D14687" w:rsidRDefault="008D04E9" w:rsidP="00B43B9C">
                            <w:pPr>
                              <w:pStyle w:val="KeyPoints"/>
                              <w:numPr>
                                <w:ilvl w:val="0"/>
                                <w:numId w:val="0"/>
                              </w:numPr>
                              <w:ind w:left="-502"/>
                              <w:rPr>
                                <w:rFonts w:ascii="Arial" w:hAnsi="Arial"/>
                                <w:sz w:val="28"/>
                                <w:szCs w:val="24"/>
                              </w:rPr>
                            </w:pPr>
                            <w:r w:rsidRPr="00D14687">
                              <w:rPr>
                                <w:rFonts w:ascii="Arial" w:hAnsi="Arial"/>
                                <w:sz w:val="28"/>
                                <w:szCs w:val="24"/>
                              </w:rPr>
                              <w:t xml:space="preserve">Key </w:t>
                            </w:r>
                            <w:r>
                              <w:rPr>
                                <w:rFonts w:ascii="Arial" w:hAnsi="Arial"/>
                                <w:sz w:val="28"/>
                                <w:szCs w:val="24"/>
                              </w:rPr>
                              <w:t>points</w:t>
                            </w:r>
                          </w:p>
                          <w:p w14:paraId="1B4AE57C" w14:textId="0FB46981" w:rsidR="008D04E9" w:rsidRPr="001A3613" w:rsidRDefault="008D04E9" w:rsidP="00B43B9C">
                            <w:pPr>
                              <w:pStyle w:val="KeyPoints"/>
                              <w:ind w:left="-142"/>
                            </w:pPr>
                            <w:r>
                              <w:t>Indicator-based approaches are more useful than accounting approaches in the context of measuring skills supply and demand.</w:t>
                            </w:r>
                          </w:p>
                          <w:p w14:paraId="23529314" w14:textId="1686CF7D" w:rsidR="008D04E9" w:rsidRDefault="008D04E9" w:rsidP="00B43B9C">
                            <w:pPr>
                              <w:pStyle w:val="KeyPoints"/>
                              <w:ind w:left="-142"/>
                            </w:pPr>
                            <w:r>
                              <w:t>Complementary measures of skills are more appropriate than single metrics for adequately describing human capital.</w:t>
                            </w:r>
                          </w:p>
                          <w:p w14:paraId="31E12641" w14:textId="4CD2B059" w:rsidR="008D04E9" w:rsidRDefault="008D04E9" w:rsidP="00B43B9C">
                            <w:pPr>
                              <w:pStyle w:val="KeyPoints"/>
                              <w:ind w:left="-142"/>
                            </w:pPr>
                            <w:r>
                              <w:t>Recent integrative frameworks provide promising avenues for sourcing information on skills supply and demand.</w:t>
                            </w:r>
                          </w:p>
                          <w:p w14:paraId="25856A1A" w14:textId="032D1402" w:rsidR="008D04E9" w:rsidRDefault="008D04E9" w:rsidP="00B43B9C">
                            <w:pPr>
                              <w:pStyle w:val="KeyPoints"/>
                              <w:ind w:left="-142"/>
                            </w:pPr>
                            <w:r>
                              <w:t>Key challenges to measuring skills supply and demand include measuring actual skills, including those acquired outside formal learning, and accounting for skills depreciation.</w:t>
                            </w:r>
                          </w:p>
                          <w:p w14:paraId="0A441CCC" w14:textId="0AE7D122" w:rsidR="008D04E9" w:rsidRPr="001A3613" w:rsidRDefault="008D04E9" w:rsidP="00B43B9C">
                            <w:pPr>
                              <w:pStyle w:val="KeyPoints"/>
                              <w:ind w:left="-142"/>
                            </w:pPr>
                            <w:r>
                              <w:t>Gaps still exist in data sources for addressing all aspects of the skills supply and demand picture.</w:t>
                            </w:r>
                          </w:p>
                        </w:txbxContent>
                      </wps:txbx>
                      <wps:bodyPr rot="0" spcFirstLastPara="0" vertOverflow="overflow" horzOverflow="overflow" vert="horz" wrap="square" lIns="36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1F76E" id="_x0000_s1028" type="#_x0000_t202" style="position:absolute;margin-left:241.6pt;margin-top:88.85pt;width:211.25pt;height:310.2pt;z-index:251667456;visibility:visible;mso-wrap-style:square;mso-width-percent:0;mso-height-percent:0;mso-wrap-distance-left:22.7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" filled="f" stroked="f" strokeweight=".5pt">
                <v:shadow on="t" type="perspective" color="black" opacity="9830f" origin=",.5" offset="0,25pt" matrix="58982f,,,-12452f"/>
                <v:textbox inset="10mm">
                  <w:txbxContent>
                    <w:p w14:paraId="024B3C09" w14:textId="77777777" w:rsidR="008D04E9" w:rsidRPr="00D14687" w:rsidRDefault="008D04E9" w:rsidP="00B43B9C">
                      <w:pPr>
                        <w:pStyle w:val="KeyPoints"/>
                        <w:numPr>
                          <w:ilvl w:val="0"/>
                          <w:numId w:val="0"/>
                        </w:numPr>
                        <w:ind w:left="-502"/>
                        <w:rPr>
                          <w:rFonts w:ascii="Arial" w:hAnsi="Arial"/>
                          <w:sz w:val="28"/>
                          <w:szCs w:val="24"/>
                        </w:rPr>
                      </w:pPr>
                      <w:r w:rsidRPr="00D14687">
                        <w:rPr>
                          <w:rFonts w:ascii="Arial" w:hAnsi="Arial"/>
                          <w:sz w:val="28"/>
                          <w:szCs w:val="24"/>
                        </w:rPr>
                        <w:t xml:space="preserve">Key </w:t>
                      </w:r>
                      <w:r>
                        <w:rPr>
                          <w:rFonts w:ascii="Arial" w:hAnsi="Arial"/>
                          <w:sz w:val="28"/>
                          <w:szCs w:val="24"/>
                        </w:rPr>
                        <w:t>points</w:t>
                      </w:r>
                    </w:p>
                    <w:p w14:paraId="1B4AE57C" w14:textId="0FB46981" w:rsidR="008D04E9" w:rsidRPr="001A3613" w:rsidRDefault="008D04E9" w:rsidP="00B43B9C">
                      <w:pPr>
                        <w:pStyle w:val="KeyPoints"/>
                        <w:ind w:left="-142"/>
                      </w:pPr>
                      <w:r>
                        <w:t>Indicator-based approaches are more useful than accounting approaches in the context of measuring skills supply and demand.</w:t>
                      </w:r>
                    </w:p>
                    <w:p w14:paraId="23529314" w14:textId="1686CF7D" w:rsidR="008D04E9" w:rsidRDefault="008D04E9" w:rsidP="00B43B9C">
                      <w:pPr>
                        <w:pStyle w:val="KeyPoints"/>
                        <w:ind w:left="-142"/>
                      </w:pPr>
                      <w:r>
                        <w:t>Complementary measures of skills are more appropriate than single metrics for adequately describing human capital.</w:t>
                      </w:r>
                    </w:p>
                    <w:p w14:paraId="31E12641" w14:textId="4CD2B059" w:rsidR="008D04E9" w:rsidRDefault="008D04E9" w:rsidP="00B43B9C">
                      <w:pPr>
                        <w:pStyle w:val="KeyPoints"/>
                        <w:ind w:left="-142"/>
                      </w:pPr>
                      <w:r>
                        <w:t>Recent integrative frameworks provide promising avenues for sourcing information on skills supply and demand.</w:t>
                      </w:r>
                    </w:p>
                    <w:p w14:paraId="25856A1A" w14:textId="032D1402" w:rsidR="008D04E9" w:rsidRDefault="008D04E9" w:rsidP="00B43B9C">
                      <w:pPr>
                        <w:pStyle w:val="KeyPoints"/>
                        <w:ind w:left="-142"/>
                      </w:pPr>
                      <w:r>
                        <w:t>Key challenges to measuring skills supply and demand include measuring actual skills, including those acquired outside formal learning, and accounting for skills depreciation.</w:t>
                      </w:r>
                    </w:p>
                    <w:p w14:paraId="0A441CCC" w14:textId="0AE7D122" w:rsidR="008D04E9" w:rsidRPr="001A3613" w:rsidRDefault="008D04E9" w:rsidP="00B43B9C">
                      <w:pPr>
                        <w:pStyle w:val="KeyPoints"/>
                        <w:ind w:left="-142"/>
                      </w:pPr>
                      <w:r>
                        <w:t>Gaps still exist in data sources for addressing all aspects of the skills supply and demand picture.</w:t>
                      </w:r>
                    </w:p>
                  </w:txbxContent>
                </v:textbox>
                <w10:wrap type="square" anchorx="margin" anchory="page"/>
                <w10:anchorlock/>
              </v:shape>
            </w:pict>
          </mc:Fallback>
        </mc:AlternateContent>
      </w:r>
      <w:r>
        <w:t xml:space="preserve">This overview focuses on issues that need to be considered </w:t>
      </w:r>
      <w:r w:rsidR="0034504A">
        <w:t>when</w:t>
      </w:r>
      <w:r>
        <w:t xml:space="preserve"> </w:t>
      </w:r>
      <w:r w:rsidR="00865FF2">
        <w:t>measuring</w:t>
      </w:r>
      <w:r>
        <w:t xml:space="preserve"> </w:t>
      </w:r>
      <w:r w:rsidR="009C0075">
        <w:t xml:space="preserve">the </w:t>
      </w:r>
      <w:r>
        <w:t xml:space="preserve">stocks of skills and qualifications in an economy, </w:t>
      </w:r>
      <w:r w:rsidR="00865FF2">
        <w:t xml:space="preserve">from the </w:t>
      </w:r>
      <w:r w:rsidR="00F45BA3">
        <w:t xml:space="preserve">twin </w:t>
      </w:r>
      <w:r w:rsidR="00865FF2">
        <w:t xml:space="preserve">perspectives of </w:t>
      </w:r>
      <w:r>
        <w:t xml:space="preserve">the supply of </w:t>
      </w:r>
      <w:r w:rsidR="00F45BA3">
        <w:t xml:space="preserve">and the </w:t>
      </w:r>
      <w:r>
        <w:t>demand for skills. While information and data on skills and qualifications supply and demand are used to inform issues a</w:t>
      </w:r>
      <w:r w:rsidR="00496C97">
        <w:t>ssociated with</w:t>
      </w:r>
      <w:r>
        <w:t xml:space="preserve"> skills mismatches and their measurement, this is not the focus of this review, </w:t>
      </w:r>
      <w:r w:rsidRPr="00E81228">
        <w:t xml:space="preserve">except as it </w:t>
      </w:r>
      <w:r w:rsidR="00E81228">
        <w:t>relates</w:t>
      </w:r>
      <w:r>
        <w:t xml:space="preserve"> to </w:t>
      </w:r>
      <w:r w:rsidR="003919C9">
        <w:t>the reasons for</w:t>
      </w:r>
      <w:r>
        <w:t xml:space="preserve"> measur</w:t>
      </w:r>
      <w:r w:rsidR="003919C9">
        <w:t>ing</w:t>
      </w:r>
      <w:r>
        <w:t xml:space="preserve"> skills supply and demand. The review also does not cover issues concerned with skills utilisation except incidentally. </w:t>
      </w:r>
    </w:p>
    <w:p w14:paraId="246F5445" w14:textId="73C03CBD" w:rsidR="00B43B9C" w:rsidRDefault="00B43B9C" w:rsidP="00B43B9C">
      <w:pPr>
        <w:pStyle w:val="Heading2"/>
      </w:pPr>
      <w:bookmarkStart w:id="21" w:name="_Toc66774405"/>
      <w:r w:rsidRPr="00B43B9C">
        <w:t>Definitions and measurement of skills</w:t>
      </w:r>
      <w:bookmarkEnd w:id="21"/>
    </w:p>
    <w:p w14:paraId="3E486D06" w14:textId="1C868405" w:rsidR="00B43B9C" w:rsidRDefault="00B43B9C" w:rsidP="00B43B9C">
      <w:pPr>
        <w:pStyle w:val="Text"/>
      </w:pPr>
      <w:r>
        <w:t>Braham and Tobin (2020) noted that recent developments such as technological change have created gaps in information in the area of skills and skills requirements for jobs</w:t>
      </w:r>
      <w:r w:rsidR="00D42D90">
        <w:t>,</w:t>
      </w:r>
      <w:r>
        <w:t xml:space="preserve"> advocat</w:t>
      </w:r>
      <w:r w:rsidR="00D42D90">
        <w:t>ing</w:t>
      </w:r>
      <w:r>
        <w:t xml:space="preserve"> for a stronger and more </w:t>
      </w:r>
      <w:r w:rsidR="007521C0">
        <w:t>ill</w:t>
      </w:r>
      <w:r w:rsidR="00F32B10">
        <w:t>umin</w:t>
      </w:r>
      <w:r w:rsidR="00810F28">
        <w:t>ating</w:t>
      </w:r>
      <w:r>
        <w:t xml:space="preserve"> informational architecture </w:t>
      </w:r>
      <w:r w:rsidR="00F32B10">
        <w:t>associated with</w:t>
      </w:r>
      <w:r>
        <w:t xml:space="preserve"> skills</w:t>
      </w:r>
      <w:r w:rsidR="00151559">
        <w:t>, one</w:t>
      </w:r>
      <w:r>
        <w:t xml:space="preserve"> involving greater clarity of definitions and better measurement of skills, as well as easily accessible data. They </w:t>
      </w:r>
      <w:r w:rsidR="00D42D90">
        <w:t>suggested</w:t>
      </w:r>
      <w:r>
        <w:t xml:space="preserve"> that </w:t>
      </w:r>
      <w:r w:rsidR="004522B4">
        <w:t>‘</w:t>
      </w:r>
      <w:r>
        <w:t>good labour market information lies at the heart of solving the skills puzzle</w:t>
      </w:r>
      <w:r w:rsidR="004522B4">
        <w:t>’</w:t>
      </w:r>
      <w:r>
        <w:t xml:space="preserve"> (p</w:t>
      </w:r>
      <w:r w:rsidR="00DD3606">
        <w:t>.</w:t>
      </w:r>
      <w:r>
        <w:t xml:space="preserve">vii). The need for timely and high-quality labour market information was reiterated by </w:t>
      </w:r>
      <w:r w:rsidR="00DA6E03">
        <w:t>the Organisation for Economic Co-operation and Development (</w:t>
      </w:r>
      <w:r>
        <w:t>OECD</w:t>
      </w:r>
      <w:r w:rsidR="00DA6E03">
        <w:t xml:space="preserve"> </w:t>
      </w:r>
      <w:r>
        <w:t xml:space="preserve">2017) in a discussion on developing skills for jobs indicators (see also OECD 2013). This issue </w:t>
      </w:r>
      <w:r w:rsidR="00241330">
        <w:t>is</w:t>
      </w:r>
      <w:r>
        <w:t xml:space="preserve"> discussed further in the section on recent approaches and new initiatives.</w:t>
      </w:r>
    </w:p>
    <w:p w14:paraId="7B8B42B0" w14:textId="66C7D596" w:rsidR="00B43B9C" w:rsidRDefault="00B43B9C" w:rsidP="00B43B9C">
      <w:pPr>
        <w:pStyle w:val="Text"/>
      </w:pPr>
      <w:r>
        <w:t xml:space="preserve">OECD (2017) also noted that employers place more emphasis on skills than </w:t>
      </w:r>
      <w:r w:rsidR="00E64B11">
        <w:t xml:space="preserve">on </w:t>
      </w:r>
      <w:r>
        <w:t>education and referred to a survey conducted by the Canadian Labour Market Information Council</w:t>
      </w:r>
      <w:r w:rsidR="00E64B11">
        <w:t>,</w:t>
      </w:r>
      <w:r>
        <w:t xml:space="preserve"> which found skill requirements to be </w:t>
      </w:r>
      <w:r w:rsidR="00E64B11">
        <w:t xml:space="preserve">the </w:t>
      </w:r>
      <w:r>
        <w:t>second most</w:t>
      </w:r>
      <w:r w:rsidR="00E64B11">
        <w:t>-</w:t>
      </w:r>
      <w:r>
        <w:t>wanted piece of information by Canadians</w:t>
      </w:r>
      <w:r w:rsidR="00F16257">
        <w:t>,</w:t>
      </w:r>
      <w:r>
        <w:t xml:space="preserve"> after wages. All this implies that there is a need for easily accessible information on skills and skill requirements. </w:t>
      </w:r>
    </w:p>
    <w:p w14:paraId="288A4D07" w14:textId="39D60546" w:rsidR="00B43B9C" w:rsidRDefault="00B43B9C" w:rsidP="00B43B9C">
      <w:pPr>
        <w:pStyle w:val="Text"/>
      </w:pPr>
      <w:r>
        <w:lastRenderedPageBreak/>
        <w:t xml:space="preserve">Among the challenges noted by Eurostat (2016) </w:t>
      </w:r>
      <w:r w:rsidR="008E59A3">
        <w:t>is</w:t>
      </w:r>
      <w:r>
        <w:t xml:space="preserve"> </w:t>
      </w:r>
      <w:r w:rsidR="00E5786C">
        <w:t>‘</w:t>
      </w:r>
      <w:r>
        <w:t>improving skills intelligence and information for better career choices</w:t>
      </w:r>
      <w:r w:rsidR="00E5786C">
        <w:t>’</w:t>
      </w:r>
      <w:r>
        <w:t xml:space="preserve"> (p. 7)</w:t>
      </w:r>
      <w:r w:rsidR="00E5786C">
        <w:t>,</w:t>
      </w:r>
      <w:r>
        <w:t xml:space="preserve"> meaning that good skills data are needed to inform policy on skills. In particular, Eurostat </w:t>
      </w:r>
      <w:r w:rsidR="00403A9F">
        <w:t xml:space="preserve">(2016, p.7) </w:t>
      </w:r>
      <w:r>
        <w:t xml:space="preserve">posed a fundamental policy question </w:t>
      </w:r>
      <w:r w:rsidR="00E8478D">
        <w:t xml:space="preserve">relating to the requirement for </w:t>
      </w:r>
      <w:r w:rsidRPr="00D50251">
        <w:t>good information on skills</w:t>
      </w:r>
      <w:r>
        <w:t>:</w:t>
      </w:r>
    </w:p>
    <w:p w14:paraId="5CB9DF61" w14:textId="6295269E" w:rsidR="00B43B9C" w:rsidRDefault="00B43B9C" w:rsidP="00B43B9C">
      <w:pPr>
        <w:pStyle w:val="Quote"/>
      </w:pPr>
      <w:r>
        <w:t>How well do systems responsible for skills development (i.e.</w:t>
      </w:r>
      <w:r w:rsidR="00F816E3">
        <w:t>,</w:t>
      </w:r>
      <w:r>
        <w:t xml:space="preserve"> education and training) function in providing required skills and addressing skills mismatches, thus ensuring good labour market and social outcomes? </w:t>
      </w:r>
    </w:p>
    <w:p w14:paraId="13E66707" w14:textId="54E219DB" w:rsidR="00167627" w:rsidRDefault="00B43B9C" w:rsidP="00B43B9C">
      <w:pPr>
        <w:pStyle w:val="Text"/>
      </w:pPr>
      <w:r>
        <w:t xml:space="preserve">Given this background, this review will examine the literature that considers ways of measuring skills and qualifications, from </w:t>
      </w:r>
      <w:r w:rsidR="001A487E">
        <w:t xml:space="preserve">both </w:t>
      </w:r>
      <w:r>
        <w:t>supply</w:t>
      </w:r>
      <w:r w:rsidR="0064763B">
        <w:t>-</w:t>
      </w:r>
      <w:r>
        <w:t xml:space="preserve"> and demand</w:t>
      </w:r>
      <w:r w:rsidR="0064763B">
        <w:t>-</w:t>
      </w:r>
      <w:r>
        <w:t>side perspective</w:t>
      </w:r>
      <w:r w:rsidR="001A487E">
        <w:t>s</w:t>
      </w:r>
      <w:r>
        <w:t>. The review focuses on measurement and data rather than findings of studies per se.</w:t>
      </w:r>
    </w:p>
    <w:p w14:paraId="61BB8446" w14:textId="3133524E" w:rsidR="00B43B9C" w:rsidRDefault="00B43B9C" w:rsidP="00B43B9C">
      <w:pPr>
        <w:pStyle w:val="Text"/>
      </w:pPr>
      <w:r>
        <w:t xml:space="preserve">We begin by looking at standard approaches, including standard accounting approaches </w:t>
      </w:r>
      <w:r w:rsidR="00195D82">
        <w:t>to</w:t>
      </w:r>
      <w:r>
        <w:t xml:space="preserve"> measuring human capital, but in particular indicator-based approaches. Newer initiatives</w:t>
      </w:r>
      <w:r w:rsidR="00167627">
        <w:t>, those</w:t>
      </w:r>
      <w:r>
        <w:t xml:space="preserve"> that make use of newer technology and ‘big data’</w:t>
      </w:r>
      <w:r w:rsidR="00C64971">
        <w:t>,</w:t>
      </w:r>
      <w:r>
        <w:t xml:space="preserve"> are then examined. The paper then considers what this means for the measurement of supply and demand for skills and qualifications in Australia, including </w:t>
      </w:r>
      <w:r w:rsidR="00C64971">
        <w:t>the available</w:t>
      </w:r>
      <w:r>
        <w:t xml:space="preserve"> data sources, and where the gaps are. </w:t>
      </w:r>
    </w:p>
    <w:p w14:paraId="71CE4AD1" w14:textId="356B3F11" w:rsidR="00B43B9C" w:rsidRDefault="00B43B9C" w:rsidP="00B43B9C">
      <w:pPr>
        <w:pStyle w:val="Text"/>
      </w:pPr>
      <w:r>
        <w:t xml:space="preserve">In the context of our research, and acknowledging there is no real consensus on how ‘skills’ are defined, we apply the </w:t>
      </w:r>
      <w:r w:rsidR="00386345">
        <w:t xml:space="preserve">2017 </w:t>
      </w:r>
      <w:r>
        <w:t xml:space="preserve">OECD definition (cited in Brunello &amp; </w:t>
      </w:r>
      <w:r w:rsidR="003A2EFB">
        <w:t>Wruuk</w:t>
      </w:r>
      <w:r>
        <w:t xml:space="preserve"> 2019, p.4)</w:t>
      </w:r>
      <w:r w:rsidR="00386345">
        <w:t>, which</w:t>
      </w:r>
      <w:r>
        <w:t xml:space="preserve"> defines skills as</w:t>
      </w:r>
      <w:r w:rsidR="00241330">
        <w:t xml:space="preserve"> referring to</w:t>
      </w:r>
      <w:r>
        <w:t>:</w:t>
      </w:r>
    </w:p>
    <w:p w14:paraId="30E71AF8" w14:textId="7CD26FF0" w:rsidR="00B43B9C" w:rsidRPr="00B43B9C" w:rsidRDefault="00B43B9C" w:rsidP="00B43B9C">
      <w:pPr>
        <w:pStyle w:val="Quote"/>
      </w:pPr>
      <w:r>
        <w:t xml:space="preserve">both cognitive and non-cognitive abilities and to abilities that are specific to a particular job, </w:t>
      </w:r>
      <w:proofErr w:type="gramStart"/>
      <w:r>
        <w:t>occupation</w:t>
      </w:r>
      <w:proofErr w:type="gramEnd"/>
      <w:r>
        <w:t xml:space="preserve"> or sector (technical skills).</w:t>
      </w:r>
      <w:r w:rsidR="00D6108C">
        <w:t xml:space="preserve"> </w:t>
      </w:r>
    </w:p>
    <w:p w14:paraId="513CC4B0" w14:textId="77777777" w:rsidR="00B43B9C" w:rsidRDefault="00B43B9C" w:rsidP="00B43B9C">
      <w:pPr>
        <w:pStyle w:val="Heading2"/>
      </w:pPr>
      <w:bookmarkStart w:id="22" w:name="_Toc66774406"/>
      <w:r>
        <w:t>What do we know about ways of measuring skills?</w:t>
      </w:r>
      <w:bookmarkEnd w:id="22"/>
    </w:p>
    <w:p w14:paraId="235280A9" w14:textId="77777777" w:rsidR="00B43B9C" w:rsidRDefault="00B43B9C" w:rsidP="00B43B9C">
      <w:pPr>
        <w:pStyle w:val="Heading3"/>
      </w:pPr>
      <w:r>
        <w:t xml:space="preserve">Standard approaches </w:t>
      </w:r>
    </w:p>
    <w:p w14:paraId="1D460C7C" w14:textId="77777777" w:rsidR="00B43B9C" w:rsidRDefault="00B43B9C" w:rsidP="00B43B9C">
      <w:pPr>
        <w:pStyle w:val="Heading4"/>
      </w:pPr>
      <w:r>
        <w:t>Human capital accounting approaches</w:t>
      </w:r>
    </w:p>
    <w:p w14:paraId="6B4B0FB9" w14:textId="5D4ED75C" w:rsidR="00903EEF" w:rsidRPr="00903EEF" w:rsidRDefault="00903EEF" w:rsidP="00903EEF">
      <w:pPr>
        <w:pStyle w:val="Text"/>
      </w:pPr>
      <w:r w:rsidRPr="00903EEF">
        <w:t xml:space="preserve">Much of the economic analysis literature talks about the stocks and flows of ‘human capital’ </w:t>
      </w:r>
      <w:r w:rsidR="009B7D57">
        <w:t>for</w:t>
      </w:r>
      <w:r w:rsidRPr="00903EEF">
        <w:t xml:space="preserve"> measur</w:t>
      </w:r>
      <w:r w:rsidR="009B7D57">
        <w:t>ing</w:t>
      </w:r>
      <w:r w:rsidRPr="00903EEF">
        <w:t xml:space="preserve"> human capital accumulation. While human capital approaches are not </w:t>
      </w:r>
      <w:r w:rsidR="008A09D5">
        <w:t>concerned with</w:t>
      </w:r>
      <w:r w:rsidRPr="00903EEF">
        <w:t xml:space="preserve"> specific skills as such, they are still instructive in </w:t>
      </w:r>
      <w:r w:rsidR="00BF4AFD">
        <w:t>the context</w:t>
      </w:r>
      <w:r w:rsidRPr="00903EEF">
        <w:t xml:space="preserve"> of what should be measured</w:t>
      </w:r>
      <w:r w:rsidR="00A876ED">
        <w:t>;</w:t>
      </w:r>
      <w:r w:rsidR="00345DF1">
        <w:t xml:space="preserve"> that is, the </w:t>
      </w:r>
      <w:r w:rsidRPr="00903EEF">
        <w:t xml:space="preserve">stocks of skills and </w:t>
      </w:r>
      <w:r w:rsidR="00345DF1">
        <w:t xml:space="preserve">the </w:t>
      </w:r>
      <w:r w:rsidRPr="00903EEF">
        <w:t xml:space="preserve">sources of information for these measures. </w:t>
      </w:r>
    </w:p>
    <w:p w14:paraId="42038F1A" w14:textId="6C5E1E75" w:rsidR="00B43B9C" w:rsidRPr="00B43B9C" w:rsidRDefault="00903EEF" w:rsidP="00903EEF">
      <w:pPr>
        <w:pStyle w:val="Text"/>
        <w:rPr>
          <w:i/>
        </w:rPr>
      </w:pPr>
      <w:r w:rsidRPr="00903EEF">
        <w:t xml:space="preserve">Human capital for the purposes of this discussion can be defined as </w:t>
      </w:r>
      <w:r w:rsidR="00073C91">
        <w:t>‘</w:t>
      </w:r>
      <w:r w:rsidRPr="00903EEF">
        <w:t>the knowledge, skills, competencies and attributes embodied in individuals that facilitate the creation of personal, social and economic well-being</w:t>
      </w:r>
      <w:r w:rsidR="00324373">
        <w:t>’</w:t>
      </w:r>
      <w:r w:rsidRPr="00903EEF">
        <w:t xml:space="preserve"> (OECD 2001, cited in Stroombergen, Rose &amp; Nana 2002). This definition itself, with its various components, provides challenges for measurement</w:t>
      </w:r>
      <w:r w:rsidR="00755F86">
        <w:t>,</w:t>
      </w:r>
      <w:r w:rsidRPr="00903EEF">
        <w:t xml:space="preserve"> as has been noted by Boarini, d’Ercole and Liu (2012), and in addition makes a ‘one</w:t>
      </w:r>
      <w:r w:rsidR="00066472">
        <w:t xml:space="preserve"> </w:t>
      </w:r>
      <w:r w:rsidRPr="00903EEF">
        <w:t>size</w:t>
      </w:r>
      <w:r w:rsidR="00066472">
        <w:t xml:space="preserve"> </w:t>
      </w:r>
      <w:r w:rsidRPr="00903EEF">
        <w:t>for</w:t>
      </w:r>
      <w:r w:rsidR="00066472">
        <w:t xml:space="preserve"> </w:t>
      </w:r>
      <w:r w:rsidRPr="00903EEF">
        <w:t>all’ measure impossible.</w:t>
      </w:r>
    </w:p>
    <w:p w14:paraId="0C80A2C4" w14:textId="77777777" w:rsidR="00903EEF" w:rsidRDefault="00903EEF" w:rsidP="00903EEF">
      <w:pPr>
        <w:pStyle w:val="Heading5"/>
      </w:pPr>
      <w:r w:rsidRPr="00903EEF">
        <w:t>Income-based accounting approaches</w:t>
      </w:r>
    </w:p>
    <w:p w14:paraId="2908E99B" w14:textId="66688278" w:rsidR="00AD6C1E" w:rsidRDefault="000C176A" w:rsidP="00903EEF">
      <w:pPr>
        <w:pStyle w:val="Text"/>
      </w:pPr>
      <w:r>
        <w:t xml:space="preserve">Wei (2004, 2008) </w:t>
      </w:r>
      <w:r w:rsidR="004815AE">
        <w:t>provides</w:t>
      </w:r>
      <w:r w:rsidR="00903EEF">
        <w:t xml:space="preserve"> example</w:t>
      </w:r>
      <w:r w:rsidR="00602E6A">
        <w:t>s</w:t>
      </w:r>
      <w:r w:rsidR="00903EEF">
        <w:t xml:space="preserve"> of studies </w:t>
      </w:r>
      <w:r w:rsidR="004815AE">
        <w:t xml:space="preserve">that </w:t>
      </w:r>
      <w:r w:rsidR="00E5208D">
        <w:t>adopt</w:t>
      </w:r>
      <w:r w:rsidR="00903EEF">
        <w:t xml:space="preserve"> the human capital approach</w:t>
      </w:r>
      <w:r w:rsidR="00EA339A">
        <w:t>,</w:t>
      </w:r>
      <w:r w:rsidR="00903EEF">
        <w:t xml:space="preserve"> measuring human capital flows for Australia using a variation of what is known as the Jorgensen-Fraumeni approach. </w:t>
      </w:r>
    </w:p>
    <w:p w14:paraId="62AA1696" w14:textId="6C182E64" w:rsidR="00903EEF" w:rsidRDefault="00903EEF" w:rsidP="00903EEF">
      <w:pPr>
        <w:pStyle w:val="Text"/>
      </w:pPr>
      <w:r>
        <w:t xml:space="preserve">This accounting approach measures human capital in terms of nominal lifetime earnings, discounted to present value, of all people in an economy (Fraumeni, Christian &amp; Samuels 2020). </w:t>
      </w:r>
      <w:r w:rsidR="00CF05BD">
        <w:t>Because it measures the change of stock over time, i</w:t>
      </w:r>
      <w:r>
        <w:t xml:space="preserve">t is </w:t>
      </w:r>
      <w:r w:rsidR="006600BB">
        <w:t xml:space="preserve">considered </w:t>
      </w:r>
      <w:r>
        <w:t xml:space="preserve">a flow approach. This type of approach is also referred to as the </w:t>
      </w:r>
      <w:r w:rsidR="009200CA">
        <w:t>‘</w:t>
      </w:r>
      <w:r>
        <w:t>income-based approach</w:t>
      </w:r>
      <w:r w:rsidR="009200CA">
        <w:t>’</w:t>
      </w:r>
      <w:r>
        <w:t xml:space="preserve"> to measuring human capital (as opposed to the cost-based approach).</w:t>
      </w:r>
      <w:r w:rsidR="00D6108C">
        <w:t xml:space="preserve"> </w:t>
      </w:r>
    </w:p>
    <w:p w14:paraId="323161B1" w14:textId="68D97AD1" w:rsidR="00903EEF" w:rsidRDefault="00903EEF" w:rsidP="00903EEF">
      <w:pPr>
        <w:pStyle w:val="Text"/>
      </w:pPr>
      <w:r>
        <w:lastRenderedPageBreak/>
        <w:t xml:space="preserve">Wei (2004, 2008) confined his </w:t>
      </w:r>
      <w:r w:rsidR="00D641AA">
        <w:t>calculations</w:t>
      </w:r>
      <w:r>
        <w:t xml:space="preserve"> to the working</w:t>
      </w:r>
      <w:r w:rsidR="006600BB">
        <w:t>-</w:t>
      </w:r>
      <w:r>
        <w:t xml:space="preserve">age population and separated out </w:t>
      </w:r>
      <w:r w:rsidR="00602E6A">
        <w:t xml:space="preserve">and reported </w:t>
      </w:r>
      <w:r>
        <w:t xml:space="preserve">on-the-job training as an investment component of human capital formation (both key modifications to the Jorgensen-Fraumeni approach). This approach measures human capital in monetary terms rather than </w:t>
      </w:r>
      <w:r w:rsidR="00F116AB">
        <w:t xml:space="preserve">according to </w:t>
      </w:r>
      <w:r w:rsidR="00EC4817">
        <w:t xml:space="preserve">the </w:t>
      </w:r>
      <w:r>
        <w:t xml:space="preserve">specific skills an individual has, but nevertheless provides pointers </w:t>
      </w:r>
      <w:r w:rsidR="00EC4817">
        <w:t>on</w:t>
      </w:r>
      <w:r>
        <w:t xml:space="preserve"> the sorts of considerations we should be thinking about when estimating the stock of skills. </w:t>
      </w:r>
    </w:p>
    <w:p w14:paraId="08B5A886" w14:textId="6B208A08" w:rsidR="00903EEF" w:rsidRDefault="00903EEF" w:rsidP="00903EEF">
      <w:pPr>
        <w:pStyle w:val="Text"/>
      </w:pPr>
      <w:r>
        <w:t>In summary, the main elements Wei (2004, 2008) estimated for his paper</w:t>
      </w:r>
      <w:r w:rsidR="002714BD">
        <w:t>s</w:t>
      </w:r>
      <w:r>
        <w:t xml:space="preserve"> are:</w:t>
      </w:r>
    </w:p>
    <w:p w14:paraId="5D5190D4" w14:textId="26569B9D" w:rsidR="00FA41C4" w:rsidRDefault="00FA41C4" w:rsidP="00FA41C4">
      <w:pPr>
        <w:pStyle w:val="Dotpoint1"/>
      </w:pPr>
      <w:r w:rsidRPr="006127D5">
        <w:rPr>
          <w:i/>
          <w:iCs/>
        </w:rPr>
        <w:t>Post-school education</w:t>
      </w:r>
      <w:r w:rsidR="00164359">
        <w:t>:</w:t>
      </w:r>
      <w:r>
        <w:t xml:space="preserve"> this </w:t>
      </w:r>
      <w:r w:rsidR="00164359">
        <w:t>covers</w:t>
      </w:r>
      <w:r>
        <w:t xml:space="preserve"> post-school formal qualifications</w:t>
      </w:r>
      <w:r w:rsidR="00164359">
        <w:t>.</w:t>
      </w:r>
    </w:p>
    <w:p w14:paraId="1D2DF287" w14:textId="73C07CAF" w:rsidR="00FA41C4" w:rsidRDefault="00FA41C4" w:rsidP="00FA41C4">
      <w:pPr>
        <w:pStyle w:val="Dotpoint1"/>
      </w:pPr>
      <w:r w:rsidRPr="006127D5">
        <w:rPr>
          <w:i/>
          <w:iCs/>
        </w:rPr>
        <w:t>Job experience</w:t>
      </w:r>
      <w:r w:rsidR="00164359" w:rsidRPr="006127D5">
        <w:rPr>
          <w:i/>
          <w:iCs/>
        </w:rPr>
        <w:t>,</w:t>
      </w:r>
      <w:r w:rsidRPr="006127D5">
        <w:rPr>
          <w:i/>
          <w:iCs/>
        </w:rPr>
        <w:t xml:space="preserve"> including on-the-job-learning</w:t>
      </w:r>
      <w:r w:rsidR="00164359">
        <w:t>: s</w:t>
      </w:r>
      <w:r>
        <w:t>ome accounting frameworks do not specifically separate out job-based learning</w:t>
      </w:r>
      <w:r w:rsidR="00A4242B">
        <w:t>,</w:t>
      </w:r>
      <w:r>
        <w:t xml:space="preserve"> but </w:t>
      </w:r>
      <w:r w:rsidR="00D85F62">
        <w:t xml:space="preserve">it </w:t>
      </w:r>
      <w:r>
        <w:t xml:space="preserve">is in fact an important source of human capital and should be considered in calculations (see also </w:t>
      </w:r>
      <w:r w:rsidR="00860A63">
        <w:t>Boarini</w:t>
      </w:r>
      <w:r>
        <w:t xml:space="preserve">, d’Ercole &amp; Liu 2012). Additionally, human capital can </w:t>
      </w:r>
      <w:r w:rsidR="001301B4">
        <w:t xml:space="preserve">be </w:t>
      </w:r>
      <w:r w:rsidR="00D85F62">
        <w:t>increase</w:t>
      </w:r>
      <w:r w:rsidR="001301B4">
        <w:t>d</w:t>
      </w:r>
      <w:r>
        <w:t xml:space="preserve"> through experience</w:t>
      </w:r>
      <w:r w:rsidR="00D85F62">
        <w:t>.</w:t>
      </w:r>
      <w:r>
        <w:t xml:space="preserve"> </w:t>
      </w:r>
    </w:p>
    <w:p w14:paraId="06BDF2E6" w14:textId="004B1BB9" w:rsidR="00FA41C4" w:rsidRDefault="00FA41C4" w:rsidP="00FA41C4">
      <w:pPr>
        <w:pStyle w:val="Dotpoint1"/>
      </w:pPr>
      <w:r w:rsidRPr="006127D5">
        <w:rPr>
          <w:i/>
          <w:iCs/>
        </w:rPr>
        <w:t>Depreciation of human capital formed by post</w:t>
      </w:r>
      <w:r w:rsidR="00E94974" w:rsidRPr="006127D5">
        <w:rPr>
          <w:i/>
          <w:iCs/>
        </w:rPr>
        <w:t>-</w:t>
      </w:r>
      <w:r w:rsidRPr="006127D5">
        <w:rPr>
          <w:i/>
          <w:iCs/>
        </w:rPr>
        <w:t>school qualifications and by on-the-job learning</w:t>
      </w:r>
      <w:r w:rsidR="00E94974">
        <w:t>: v</w:t>
      </w:r>
      <w:r>
        <w:t xml:space="preserve">ery simply, </w:t>
      </w:r>
      <w:r w:rsidR="00E94974">
        <w:t xml:space="preserve">this is </w:t>
      </w:r>
      <w:r w:rsidR="005820FC">
        <w:t xml:space="preserve">represents </w:t>
      </w:r>
      <w:r>
        <w:t>depreciation due to ageing of the education capital</w:t>
      </w:r>
      <w:r w:rsidR="00F0500F">
        <w:t>,</w:t>
      </w:r>
      <w:r>
        <w:t xml:space="preserve"> although this not a linear process (</w:t>
      </w:r>
      <w:r w:rsidR="00F0500F">
        <w:t>for example,</w:t>
      </w:r>
      <w:r>
        <w:t xml:space="preserve"> </w:t>
      </w:r>
      <w:r w:rsidR="00106B91">
        <w:t xml:space="preserve">the </w:t>
      </w:r>
      <w:r>
        <w:t>need to account for/balance this with regular use of the education capital and working experience)</w:t>
      </w:r>
      <w:r w:rsidR="009C452E">
        <w:t>.</w:t>
      </w:r>
    </w:p>
    <w:p w14:paraId="019DC4A9" w14:textId="1C159EEC" w:rsidR="00FA41C4" w:rsidRDefault="00FA41C4" w:rsidP="00FA41C4">
      <w:pPr>
        <w:pStyle w:val="Dotpoint1"/>
      </w:pPr>
      <w:r w:rsidRPr="006127D5">
        <w:rPr>
          <w:i/>
          <w:iCs/>
        </w:rPr>
        <w:t>Other</w:t>
      </w:r>
      <w:r w:rsidR="009C452E">
        <w:t>: this covers</w:t>
      </w:r>
      <w:r>
        <w:t xml:space="preserve"> new entrants to the labour market, migrants, emigrants and a re-valuation account</w:t>
      </w:r>
      <w:r w:rsidR="006127D5">
        <w:t>.</w:t>
      </w:r>
      <w:r w:rsidR="007F26D1">
        <w:rPr>
          <w:rStyle w:val="FootnoteReference"/>
        </w:rPr>
        <w:footnoteReference w:id="2"/>
      </w:r>
    </w:p>
    <w:p w14:paraId="7120F867" w14:textId="43D5BDAC" w:rsidR="00FA41C4" w:rsidRDefault="00FA41C4" w:rsidP="00FA41C4">
      <w:pPr>
        <w:pStyle w:val="Text"/>
      </w:pPr>
      <w:r>
        <w:t>To this list could be added, although not explicitly covered by Wei (2004, 2008), other post-school education</w:t>
      </w:r>
      <w:r w:rsidR="006127D5">
        <w:t>,</w:t>
      </w:r>
      <w:r>
        <w:t xml:space="preserve"> including non-completed qualifications and sub-qualification courses (</w:t>
      </w:r>
      <w:r w:rsidR="005F3FCD">
        <w:t>for example,</w:t>
      </w:r>
      <w:r>
        <w:t xml:space="preserve"> skill sets and micro-credentials). Note also that school education is not included for estimates relating to changes in human capital for the working</w:t>
      </w:r>
      <w:r w:rsidR="00DF4034">
        <w:t>-</w:t>
      </w:r>
      <w:r>
        <w:t xml:space="preserve">age population, as it is not produced during the current accounting period. </w:t>
      </w:r>
    </w:p>
    <w:p w14:paraId="18E6708C" w14:textId="32B631D6" w:rsidR="00FA41C4" w:rsidRDefault="00FA41C4" w:rsidP="00FA41C4">
      <w:pPr>
        <w:pStyle w:val="Text"/>
      </w:pPr>
      <w:r>
        <w:t>These accounting approaches typically use proxies</w:t>
      </w:r>
      <w:r w:rsidR="00DF4034">
        <w:t>,</w:t>
      </w:r>
      <w:r>
        <w:t xml:space="preserve"> such as highest level of educational attainment or years of education</w:t>
      </w:r>
      <w:r w:rsidR="00F64256">
        <w:t>,</w:t>
      </w:r>
      <w:r>
        <w:t xml:space="preserve"> to derive their estimates. As will be discussed later, </w:t>
      </w:r>
      <w:r w:rsidR="00F64256">
        <w:t>these approaches have</w:t>
      </w:r>
      <w:r>
        <w:t xml:space="preserve"> limitations</w:t>
      </w:r>
      <w:r w:rsidR="00E34167">
        <w:t xml:space="preserve">, with </w:t>
      </w:r>
      <w:r>
        <w:t>other approaches to measuring skills</w:t>
      </w:r>
      <w:r w:rsidR="00E34167">
        <w:t xml:space="preserve"> available</w:t>
      </w:r>
      <w:r>
        <w:t xml:space="preserve">. </w:t>
      </w:r>
    </w:p>
    <w:p w14:paraId="5B785857" w14:textId="47CC2035" w:rsidR="00FA41C4" w:rsidRDefault="00957A3C" w:rsidP="00FA41C4">
      <w:pPr>
        <w:pStyle w:val="Text"/>
      </w:pPr>
      <w:r>
        <w:t>I</w:t>
      </w:r>
      <w:r w:rsidR="00FA41C4">
        <w:t xml:space="preserve">n his two papers </w:t>
      </w:r>
      <w:r>
        <w:t xml:space="preserve">Wei (2004, 2008) </w:t>
      </w:r>
      <w:r w:rsidR="00FA41C4">
        <w:t xml:space="preserve">used Australian </w:t>
      </w:r>
      <w:r w:rsidR="00650EE1">
        <w:t>c</w:t>
      </w:r>
      <w:r w:rsidR="00FA41C4">
        <w:t>ensus data from the Australian Bureau of Statistics (ABS)</w:t>
      </w:r>
      <w:r>
        <w:t>,</w:t>
      </w:r>
      <w:r w:rsidR="00FA41C4">
        <w:t xml:space="preserve"> which </w:t>
      </w:r>
      <w:r>
        <w:t>contains</w:t>
      </w:r>
      <w:r w:rsidR="00FA41C4">
        <w:t xml:space="preserve"> information on, among other </w:t>
      </w:r>
      <w:r>
        <w:t>items</w:t>
      </w:r>
      <w:r w:rsidR="00FA41C4">
        <w:t xml:space="preserve">, </w:t>
      </w:r>
      <w:r w:rsidR="002E7BC7">
        <w:t xml:space="preserve">the </w:t>
      </w:r>
      <w:r w:rsidR="00FA41C4">
        <w:t>highest level of post-school education and income (from all sources). Using his income</w:t>
      </w:r>
      <w:r w:rsidR="00BE5D60">
        <w:t>-</w:t>
      </w:r>
      <w:r w:rsidR="00FA41C4">
        <w:t>accounting approach</w:t>
      </w:r>
      <w:r w:rsidR="00BE5D60">
        <w:t>,</w:t>
      </w:r>
      <w:r w:rsidR="00FA41C4">
        <w:t xml:space="preserve"> Wei (2008) found a growth in human capital over the twenty years of </w:t>
      </w:r>
      <w:r w:rsidR="00650EE1">
        <w:t>c</w:t>
      </w:r>
      <w:r w:rsidR="00FA41C4">
        <w:t>ensus data used. More particularly, he found that education is an increasingly important driver of human capital growth, more so for women. At the same time, depreciation of human capital has increased through the ageing of the population since the 1990s, which slows the growth in human capital. Wei (2004) also found that the stock of human capital was depreciating quickly</w:t>
      </w:r>
      <w:r w:rsidR="00BE5D60">
        <w:t xml:space="preserve"> —</w:t>
      </w:r>
      <w:r w:rsidR="00FA41C4">
        <w:t xml:space="preserve"> more quickly than population growth was increasing</w:t>
      </w:r>
      <w:r w:rsidR="00BE5D60">
        <w:t xml:space="preserve"> —</w:t>
      </w:r>
      <w:r w:rsidR="00FA41C4">
        <w:t xml:space="preserve"> and so investment in education and training becomes key for human capital growth.</w:t>
      </w:r>
    </w:p>
    <w:p w14:paraId="32E1E543" w14:textId="223C300E" w:rsidR="00FA41C4" w:rsidRDefault="00FA41C4" w:rsidP="00FA41C4">
      <w:pPr>
        <w:pStyle w:val="Text"/>
      </w:pPr>
      <w:r>
        <w:t>This sort of information is useful from a policy perspective, as it shows, for example, the importance of education in human capital growth. The ageing population also clearly has implications for policy.</w:t>
      </w:r>
      <w:r w:rsidR="00D6108C">
        <w:t xml:space="preserve"> </w:t>
      </w:r>
    </w:p>
    <w:p w14:paraId="3456E105" w14:textId="1F2C4530" w:rsidR="00FA41C4" w:rsidRDefault="00FA41C4" w:rsidP="00FA41C4">
      <w:pPr>
        <w:pStyle w:val="Text"/>
      </w:pPr>
      <w:r>
        <w:t>Wei (2008</w:t>
      </w:r>
      <w:r w:rsidR="00B34446">
        <w:t>, p.5</w:t>
      </w:r>
      <w:r>
        <w:t>) also mentioned challenges associated with measurement:</w:t>
      </w:r>
    </w:p>
    <w:p w14:paraId="39E27C2D" w14:textId="454B0D36" w:rsidR="00F11837" w:rsidRDefault="00F11837" w:rsidP="00F11837">
      <w:pPr>
        <w:pStyle w:val="Quote"/>
      </w:pPr>
      <w:r w:rsidRPr="00F11837">
        <w:t xml:space="preserve">To identify and measure these different forms of investment in human capital is surprisingly difficult </w:t>
      </w:r>
      <w:r w:rsidR="00B34446">
        <w:t xml:space="preserve">… </w:t>
      </w:r>
      <w:r w:rsidRPr="00F11837">
        <w:t>data on various aspects of human capital investment are fragmented and difficult to aggregate over time (p.5)</w:t>
      </w:r>
      <w:r w:rsidR="00C636A0">
        <w:t>.</w:t>
      </w:r>
      <w:r w:rsidRPr="00F11837">
        <w:t xml:space="preserve"> </w:t>
      </w:r>
    </w:p>
    <w:p w14:paraId="721C297E" w14:textId="77777777" w:rsidR="003A5B0A" w:rsidRDefault="003A5B0A" w:rsidP="003A5B0A">
      <w:pPr>
        <w:pStyle w:val="Heading5"/>
      </w:pPr>
      <w:r>
        <w:lastRenderedPageBreak/>
        <w:t>Cost-based accounting approaches</w:t>
      </w:r>
    </w:p>
    <w:p w14:paraId="7CCFCC27" w14:textId="1532846A" w:rsidR="00565129" w:rsidRDefault="00565129" w:rsidP="00565129">
      <w:pPr>
        <w:pStyle w:val="Text"/>
      </w:pPr>
      <w:r>
        <w:t xml:space="preserve">Another (direct) monetary approach to human capital measurement is the cost-based approach. This approach </w:t>
      </w:r>
      <w:r w:rsidRPr="00126A30">
        <w:t>enumerates</w:t>
      </w:r>
      <w:r>
        <w:t xml:space="preserve"> human capital by looking at the stream of past investments undertaken by individuals, households, employers and government in formal education</w:t>
      </w:r>
      <w:r w:rsidR="00126A30">
        <w:t>,</w:t>
      </w:r>
      <w:r>
        <w:t xml:space="preserve"> </w:t>
      </w:r>
      <w:r w:rsidR="005B360F">
        <w:t>although it</w:t>
      </w:r>
      <w:r>
        <w:t xml:space="preserve"> can be extended to include expenditure on work-related and other adult training. Boarini</w:t>
      </w:r>
      <w:r w:rsidR="005B360F">
        <w:t>, d’Ercole</w:t>
      </w:r>
      <w:r w:rsidR="00287A07">
        <w:t xml:space="preserve"> and Liu</w:t>
      </w:r>
      <w:r>
        <w:t xml:space="preserve"> (2012) noted that this approach has been criticised on conceptual grounds for only considering </w:t>
      </w:r>
      <w:r w:rsidR="002E54EE">
        <w:t xml:space="preserve">the </w:t>
      </w:r>
      <w:r w:rsidR="00287A07">
        <w:t xml:space="preserve">costs </w:t>
      </w:r>
      <w:r w:rsidR="002E54EE">
        <w:t xml:space="preserve">of </w:t>
      </w:r>
      <w:r>
        <w:t xml:space="preserve">production of human capital rather than </w:t>
      </w:r>
      <w:r w:rsidR="00747DFB">
        <w:t>examining</w:t>
      </w:r>
      <w:r>
        <w:t xml:space="preserve"> both the demand and supply of human capital. </w:t>
      </w:r>
    </w:p>
    <w:p w14:paraId="4AD80035" w14:textId="35964767" w:rsidR="00565129" w:rsidRDefault="00565129" w:rsidP="00565129">
      <w:pPr>
        <w:pStyle w:val="Text"/>
      </w:pPr>
      <w:r>
        <w:t xml:space="preserve">Having said this, Squicciarini, Marcolin and Horvat (2015) used a novel </w:t>
      </w:r>
      <w:r w:rsidR="00CF0337">
        <w:t>process</w:t>
      </w:r>
      <w:r>
        <w:t xml:space="preserve"> within the expenditure approach to estimate cross-country investment in firm-level training</w:t>
      </w:r>
      <w:r w:rsidR="00777420">
        <w:t>.</w:t>
      </w:r>
      <w:r>
        <w:t xml:space="preserve"> </w:t>
      </w:r>
      <w:r w:rsidR="00777420">
        <w:t>Utilising</w:t>
      </w:r>
      <w:r>
        <w:t xml:space="preserve"> information in the OECD’s Programme for the Assessment of Adult Competencies (PIAAC)</w:t>
      </w:r>
      <w:r w:rsidR="00777420">
        <w:t>,</w:t>
      </w:r>
      <w:r w:rsidR="007F26D1">
        <w:rPr>
          <w:rStyle w:val="FootnoteReference"/>
        </w:rPr>
        <w:footnoteReference w:id="3"/>
      </w:r>
      <w:r>
        <w:t xml:space="preserve"> </w:t>
      </w:r>
      <w:r w:rsidR="00777420">
        <w:t>t</w:t>
      </w:r>
      <w:r>
        <w:t xml:space="preserve">heir approach importantly distinguishes between </w:t>
      </w:r>
      <w:r w:rsidR="00504539">
        <w:t xml:space="preserve">the </w:t>
      </w:r>
      <w:r>
        <w:t xml:space="preserve">three types of training </w:t>
      </w:r>
      <w:r w:rsidR="00C15DB6">
        <w:t xml:space="preserve">in which </w:t>
      </w:r>
      <w:r>
        <w:t>workers engage: formal training, on-the-job training and informal training. This information is derived from individual</w:t>
      </w:r>
      <w:r w:rsidR="00C15DB6">
        <w:t>-</w:t>
      </w:r>
      <w:r>
        <w:t xml:space="preserve">level information in PIAAC </w:t>
      </w:r>
      <w:r w:rsidR="00B20BF0" w:rsidRPr="00B20BF0">
        <w:t>relating to</w:t>
      </w:r>
      <w:r w:rsidRPr="00B20BF0">
        <w:t xml:space="preserve"> training</w:t>
      </w:r>
      <w:r w:rsidR="00B20BF0" w:rsidRPr="00B20BF0">
        <w:t>,</w:t>
      </w:r>
      <w:r w:rsidRPr="00B20BF0">
        <w:t xml:space="preserve"> together with </w:t>
      </w:r>
      <w:r w:rsidR="00175129">
        <w:t xml:space="preserve">data from </w:t>
      </w:r>
      <w:r w:rsidRPr="00B20BF0">
        <w:t>other industry and country-level sources.</w:t>
      </w:r>
      <w:r>
        <w:t xml:space="preserve"> </w:t>
      </w:r>
      <w:r w:rsidR="00953AB1">
        <w:t xml:space="preserve">Squicciarini, Marcolin and Horvat (2015) </w:t>
      </w:r>
      <w:r>
        <w:t>found evidence to demonstrate differences across countries in workers</w:t>
      </w:r>
      <w:r w:rsidR="00743EEC">
        <w:t>’</w:t>
      </w:r>
      <w:r>
        <w:t xml:space="preserve"> engage</w:t>
      </w:r>
      <w:r w:rsidR="00743EEC">
        <w:t>ment</w:t>
      </w:r>
      <w:r>
        <w:t xml:space="preserve"> in the three forms of training. This type of analysis is important as it provides evidence on the extent to which the workforce engages in training and the type</w:t>
      </w:r>
      <w:r w:rsidR="00ED4882">
        <w:t>s</w:t>
      </w:r>
      <w:r>
        <w:t xml:space="preserve"> of training</w:t>
      </w:r>
      <w:r w:rsidR="00ED4882">
        <w:t>,</w:t>
      </w:r>
      <w:r>
        <w:t xml:space="preserve"> and reinforces the point made by Wei (2008) </w:t>
      </w:r>
      <w:r w:rsidR="003D4B89">
        <w:t>on</w:t>
      </w:r>
      <w:r>
        <w:t xml:space="preserve"> the importance of capturing job-related training as part of the investment in human capital formation. </w:t>
      </w:r>
    </w:p>
    <w:p w14:paraId="5B8CDDD3" w14:textId="49CD2C31" w:rsidR="00565129" w:rsidRDefault="00565129" w:rsidP="00565129">
      <w:pPr>
        <w:pStyle w:val="Text"/>
      </w:pPr>
      <w:r>
        <w:t>Added to this can be the indirect or residual monetary approach. This will not be discussed further here</w:t>
      </w:r>
      <w:r w:rsidR="003D4B89">
        <w:t>,</w:t>
      </w:r>
      <w:r>
        <w:t xml:space="preserve"> other than to </w:t>
      </w:r>
      <w:r w:rsidR="003D4B89">
        <w:t>note</w:t>
      </w:r>
      <w:r>
        <w:t xml:space="preserve"> that it is the difference (residual) between a measure of a country’s wealth (discounted value of future consumption flows) and the components of that wealth (produced capital and the market component of natural capital). </w:t>
      </w:r>
    </w:p>
    <w:p w14:paraId="459DDC05" w14:textId="45C38C39" w:rsidR="00565129" w:rsidRDefault="00565129" w:rsidP="00565129">
      <w:pPr>
        <w:pStyle w:val="Text"/>
      </w:pPr>
      <w:r>
        <w:t>The main the aim of Boarini</w:t>
      </w:r>
      <w:r w:rsidR="0047022D">
        <w:t>,</w:t>
      </w:r>
      <w:r>
        <w:t xml:space="preserve"> </w:t>
      </w:r>
      <w:r w:rsidR="0047022D">
        <w:t>d’Ercole and Liu</w:t>
      </w:r>
      <w:r w:rsidR="006E01A2">
        <w:t>’s</w:t>
      </w:r>
      <w:r w:rsidR="0047022D">
        <w:t xml:space="preserve"> </w:t>
      </w:r>
      <w:r>
        <w:t xml:space="preserve">(2012) paper was to review international initiatives in </w:t>
      </w:r>
      <w:r w:rsidR="002014EA">
        <w:t xml:space="preserve">the </w:t>
      </w:r>
      <w:r>
        <w:t>develop</w:t>
      </w:r>
      <w:r w:rsidR="002014EA">
        <w:t>ment of</w:t>
      </w:r>
      <w:r>
        <w:t xml:space="preserve"> monetary measures of the stock of human capital to complement indicator-based measures of the quantity and quality of education. They noted </w:t>
      </w:r>
      <w:r w:rsidR="005805F6">
        <w:t xml:space="preserve">that, in addition to monetary approaches, </w:t>
      </w:r>
      <w:r>
        <w:t xml:space="preserve">other approaches </w:t>
      </w:r>
      <w:r w:rsidR="0047022D">
        <w:t xml:space="preserve">are adopted </w:t>
      </w:r>
      <w:r w:rsidR="00FF1CB3">
        <w:t>in</w:t>
      </w:r>
      <w:r>
        <w:t xml:space="preserve"> measuring human capital. These indicator measures are more salient to this paper and are described below.</w:t>
      </w:r>
      <w:r w:rsidR="00D6108C">
        <w:t xml:space="preserve"> </w:t>
      </w:r>
    </w:p>
    <w:p w14:paraId="493F0C60" w14:textId="77777777" w:rsidR="00565129" w:rsidRDefault="00565129" w:rsidP="00565129">
      <w:pPr>
        <w:pStyle w:val="Heading4"/>
      </w:pPr>
      <w:r w:rsidRPr="00565129">
        <w:t>Indicators approaches</w:t>
      </w:r>
    </w:p>
    <w:p w14:paraId="1D8BDC14" w14:textId="2435C866" w:rsidR="00565129" w:rsidRDefault="00565129" w:rsidP="00565129">
      <w:pPr>
        <w:pStyle w:val="Text"/>
      </w:pPr>
      <w:r>
        <w:t xml:space="preserve">This section reviews indicator-based approaches to measuring skills supply and demand and </w:t>
      </w:r>
      <w:r w:rsidR="00FF1CB3">
        <w:t>subsequently</w:t>
      </w:r>
      <w:r>
        <w:t xml:space="preserve"> considers </w:t>
      </w:r>
      <w:r w:rsidR="00FF1CB3">
        <w:t>the</w:t>
      </w:r>
      <w:r>
        <w:t xml:space="preserve"> kinds of data available in the Australian context. We focus on the indicators-based approach here because we are more interested in stocks of actual qualifications and skills rather than monetary amounts.</w:t>
      </w:r>
    </w:p>
    <w:p w14:paraId="1986BAFC" w14:textId="3C2C01CA" w:rsidR="00565129" w:rsidRDefault="00565129" w:rsidP="00565129">
      <w:pPr>
        <w:pStyle w:val="Text"/>
      </w:pPr>
      <w:r>
        <w:t>With regard to measurement, Boarini, d’Ercole and Liu’s (2012) review of cross-country initiatives found that</w:t>
      </w:r>
      <w:r w:rsidR="00F544BA">
        <w:t>,</w:t>
      </w:r>
      <w:r>
        <w:t xml:space="preserve"> </w:t>
      </w:r>
      <w:r w:rsidR="00F544BA">
        <w:t xml:space="preserve">when it comes to physical indicators, </w:t>
      </w:r>
      <w:r>
        <w:t>most countries surveyed rely on conventional indicators of education</w:t>
      </w:r>
      <w:r w:rsidR="000F22A7">
        <w:t>,</w:t>
      </w:r>
      <w:r>
        <w:t xml:space="preserve"> taken from the country’s education statistics. Few countries reported developing their own indicators of the quality of education and skills. </w:t>
      </w:r>
    </w:p>
    <w:p w14:paraId="60C003F7" w14:textId="7A511944" w:rsidR="00565129" w:rsidRDefault="00565129" w:rsidP="00565129">
      <w:pPr>
        <w:pStyle w:val="Text"/>
      </w:pPr>
      <w:r>
        <w:t>Eurostat (2016)</w:t>
      </w:r>
      <w:r w:rsidR="00BC6B0D">
        <w:t>,</w:t>
      </w:r>
      <w:r>
        <w:t xml:space="preserve"> and to an extent Braham and Tobin (2020)</w:t>
      </w:r>
      <w:r w:rsidR="00BC6B0D">
        <w:t>,</w:t>
      </w:r>
      <w:r>
        <w:t xml:space="preserve"> provided a comprehensive discussion of the measurement of skills in terms of skills supply, skills demand, skills mismatch (the match between the qualifications and skills people have in a job as opposed to what the job requires) and skills development </w:t>
      </w:r>
      <w:r>
        <w:lastRenderedPageBreak/>
        <w:t>(initial, continuing and work-based), although the last two are beyond the general purview of this review. Within these categories</w:t>
      </w:r>
      <w:r w:rsidR="008D5278">
        <w:t>,</w:t>
      </w:r>
      <w:r>
        <w:t xml:space="preserve"> they discussed direct and indirect measures, and also self-assessment of skills. These approaches will be discussed in turn. </w:t>
      </w:r>
    </w:p>
    <w:p w14:paraId="7189088D" w14:textId="7510EF94" w:rsidR="00565129" w:rsidRDefault="00565129" w:rsidP="00565129">
      <w:pPr>
        <w:pStyle w:val="Text"/>
      </w:pPr>
      <w:r>
        <w:t xml:space="preserve">Boarini, d’Ercole and Liu (2012) noted that a single measure is rarely adequate </w:t>
      </w:r>
      <w:r w:rsidR="00F0780D">
        <w:t>for</w:t>
      </w:r>
      <w:r>
        <w:t xml:space="preserve"> measur</w:t>
      </w:r>
      <w:r w:rsidR="00F0780D">
        <w:t>ing</w:t>
      </w:r>
      <w:r>
        <w:t xml:space="preserve"> all</w:t>
      </w:r>
      <w:r w:rsidR="00AF2845">
        <w:t xml:space="preserve"> of</w:t>
      </w:r>
      <w:r>
        <w:t xml:space="preserve"> the skills and competences that go to make up human capital. By extension, it could be argued that complementary measures should be used</w:t>
      </w:r>
      <w:r w:rsidR="00AF2845">
        <w:t>,</w:t>
      </w:r>
      <w:r>
        <w:t xml:space="preserve"> </w:t>
      </w:r>
      <w:r w:rsidR="00AF2845">
        <w:t xml:space="preserve">potentially </w:t>
      </w:r>
      <w:r>
        <w:t xml:space="preserve">involving multiple data sources. The </w:t>
      </w:r>
      <w:proofErr w:type="gramStart"/>
      <w:r>
        <w:t>types</w:t>
      </w:r>
      <w:proofErr w:type="gramEnd"/>
      <w:r>
        <w:t xml:space="preserve"> of indicator measures available are discussed below. </w:t>
      </w:r>
    </w:p>
    <w:p w14:paraId="4E615259" w14:textId="5576C931" w:rsidR="00565129" w:rsidRDefault="00565129" w:rsidP="00565129">
      <w:pPr>
        <w:pStyle w:val="Heading5"/>
      </w:pPr>
      <w:r w:rsidRPr="00565129">
        <w:t>Indirect measures</w:t>
      </w:r>
    </w:p>
    <w:p w14:paraId="6AF656A7" w14:textId="75489110" w:rsidR="00565129" w:rsidRDefault="00565129" w:rsidP="00565129">
      <w:pPr>
        <w:pStyle w:val="Text"/>
      </w:pPr>
      <w:r>
        <w:t>Indirect measures, such as the highest level of education and occupation if employed, are most often used in measuring skills supply and demand (Eurostat 2016; Braham &amp; Tobin 2020)</w:t>
      </w:r>
      <w:r w:rsidR="0084656F">
        <w:t>,</w:t>
      </w:r>
      <w:r>
        <w:t xml:space="preserve"> as t</w:t>
      </w:r>
      <w:r w:rsidR="001D4595">
        <w:t>hese</w:t>
      </w:r>
      <w:r>
        <w:t xml:space="preserve"> data </w:t>
      </w:r>
      <w:r w:rsidR="001D4595">
        <w:t xml:space="preserve">are </w:t>
      </w:r>
      <w:r>
        <w:t>readily available, reliable and timely. In particular,</w:t>
      </w:r>
      <w:r w:rsidR="00B96E24">
        <w:t xml:space="preserve"> when</w:t>
      </w:r>
      <w:r>
        <w:t xml:space="preserve"> standard classifications</w:t>
      </w:r>
      <w:r w:rsidR="00B96E24">
        <w:t xml:space="preserve"> are used</w:t>
      </w:r>
      <w:r>
        <w:t>, data can be compared between countries and between years</w:t>
      </w:r>
      <w:r w:rsidR="00B96E24">
        <w:t>, consequently</w:t>
      </w:r>
      <w:r>
        <w:t xml:space="preserve"> </w:t>
      </w:r>
      <w:r w:rsidR="00B96E24">
        <w:t xml:space="preserve">providing </w:t>
      </w:r>
      <w:r>
        <w:t xml:space="preserve">useful information on the supply of qualifications (proxy for skills) across occupations. </w:t>
      </w:r>
    </w:p>
    <w:p w14:paraId="076727BA" w14:textId="409DA8CD" w:rsidR="00565129" w:rsidRDefault="00565129" w:rsidP="00565129">
      <w:pPr>
        <w:pStyle w:val="Text"/>
      </w:pPr>
      <w:r>
        <w:t xml:space="preserve">Many of the surveys used to assess these measures also </w:t>
      </w:r>
      <w:r w:rsidR="003F3CCE">
        <w:t>give</w:t>
      </w:r>
      <w:r>
        <w:t xml:space="preserve"> some level of detail on the field of education </w:t>
      </w:r>
      <w:r w:rsidR="00602996">
        <w:t xml:space="preserve">in which </w:t>
      </w:r>
      <w:r>
        <w:t>the qualification(s) were undertaken, which does add some extra information to the skills picture. Added to this could be supply</w:t>
      </w:r>
      <w:r w:rsidR="003F3CCE">
        <w:t>-</w:t>
      </w:r>
      <w:r>
        <w:t xml:space="preserve">side information on new graduates and information on adults upgrading their skills (Gasskov 2018). </w:t>
      </w:r>
    </w:p>
    <w:p w14:paraId="1B6BC325" w14:textId="176B83B6" w:rsidR="00565129" w:rsidRDefault="00565129" w:rsidP="00565129">
      <w:pPr>
        <w:pStyle w:val="Text"/>
      </w:pPr>
      <w:r>
        <w:t>However, Braham and Tobin (2020) pointed out that th</w:t>
      </w:r>
      <w:r w:rsidR="003F3CCE">
        <w:t>ese are</w:t>
      </w:r>
      <w:r>
        <w:t xml:space="preserve"> not necessarily the best data for measuring skills supply as </w:t>
      </w:r>
      <w:r w:rsidR="003F3CCE">
        <w:t>they</w:t>
      </w:r>
      <w:r>
        <w:t xml:space="preserve"> do not provide information on actual skills. Furthermore, the information </w:t>
      </w:r>
      <w:r w:rsidR="00352759">
        <w:t xml:space="preserve">was </w:t>
      </w:r>
      <w:r w:rsidR="003F3CCE">
        <w:t>related to</w:t>
      </w:r>
      <w:r>
        <w:t xml:space="preserve"> full qualifications obtained (and usually the highest level)</w:t>
      </w:r>
      <w:r w:rsidR="00666E13">
        <w:t>,</w:t>
      </w:r>
      <w:r>
        <w:t xml:space="preserve"> which excludes information on qualifications other than highest level, incomplete qualifications, sub-qualification courses (</w:t>
      </w:r>
      <w:r w:rsidR="00666E13">
        <w:t>for example,</w:t>
      </w:r>
      <w:r>
        <w:t xml:space="preserve"> skill sets and micro-credentials)</w:t>
      </w:r>
      <w:r w:rsidR="003E12BA">
        <w:t>,</w:t>
      </w:r>
      <w:r>
        <w:t xml:space="preserve"> work-related training courses and on-the-job training. These are very important sources </w:t>
      </w:r>
      <w:r w:rsidR="003E12BA">
        <w:t>for</w:t>
      </w:r>
      <w:r>
        <w:t xml:space="preserve"> obtaining skills (see Wei 2008; Eurostat 2016). AlphaBeta (2019) predicted that in the future most new learning (to obtain skills), particularly post</w:t>
      </w:r>
      <w:r w:rsidR="001A01AD">
        <w:t>-</w:t>
      </w:r>
      <w:r>
        <w:t>initial qualification, will be short courses and on-the-job training focusing on skills requirements, so information on this type of learning will become increasingly important to gather. How th</w:t>
      </w:r>
      <w:r w:rsidR="001A01AD">
        <w:t>ese</w:t>
      </w:r>
      <w:r>
        <w:t xml:space="preserve"> data </w:t>
      </w:r>
      <w:r w:rsidR="001A01AD">
        <w:t>are</w:t>
      </w:r>
      <w:r>
        <w:t xml:space="preserve"> obtained is another matter.</w:t>
      </w:r>
    </w:p>
    <w:p w14:paraId="102A1B3E" w14:textId="77777777" w:rsidR="00565129" w:rsidRDefault="00565129" w:rsidP="00565129">
      <w:pPr>
        <w:pStyle w:val="Text"/>
      </w:pPr>
      <w:r>
        <w:t>Another issue with using qualification proxies is that it does not account for the quality and relevance of the skills obtained through the education. There can be variation across educational institutions and variation according to personal factors (Eurostat 2016).</w:t>
      </w:r>
    </w:p>
    <w:p w14:paraId="3A63C0DD" w14:textId="67A39161" w:rsidR="00565129" w:rsidRDefault="00565129" w:rsidP="00565129">
      <w:pPr>
        <w:pStyle w:val="Text"/>
      </w:pPr>
      <w:r>
        <w:t xml:space="preserve">Yet another issue </w:t>
      </w:r>
      <w:r w:rsidR="003E4A59">
        <w:t>relates to</w:t>
      </w:r>
      <w:r>
        <w:t xml:space="preserve"> when the qualification was obtained. </w:t>
      </w:r>
      <w:r w:rsidR="006D1C0B">
        <w:t xml:space="preserve">In his human capital accumulation discussion, </w:t>
      </w:r>
      <w:r>
        <w:t>Wei (2008) introduced the concept of skills depreciation. Does a qualification obtained 20 years ago have the same currency as one obtained two years ago? This again highlights the importance of obtaining information on work</w:t>
      </w:r>
      <w:r w:rsidR="006D1C0B">
        <w:t>-</w:t>
      </w:r>
      <w:r>
        <w:t xml:space="preserve">related training or sub-qualification training in terms of keeping skills up to date. </w:t>
      </w:r>
    </w:p>
    <w:p w14:paraId="3208B933" w14:textId="77777777" w:rsidR="007633B2" w:rsidRDefault="007633B2">
      <w:pPr>
        <w:spacing w:before="0" w:line="240" w:lineRule="auto"/>
      </w:pPr>
      <w:r>
        <w:br w:type="page"/>
      </w:r>
    </w:p>
    <w:p w14:paraId="57264774" w14:textId="2F06C6E3" w:rsidR="00565129" w:rsidRDefault="00565129" w:rsidP="00565129">
      <w:pPr>
        <w:pStyle w:val="Text"/>
      </w:pPr>
      <w:r>
        <w:lastRenderedPageBreak/>
        <w:t xml:space="preserve">Looking at the issue of occupational classifications in terms of demand for skills, while </w:t>
      </w:r>
      <w:r w:rsidR="00BA4060">
        <w:t>the Australian and New Zealand Standard Classi</w:t>
      </w:r>
      <w:r w:rsidR="008E14FF">
        <w:t>fic</w:t>
      </w:r>
      <w:r w:rsidR="00BA4060">
        <w:t xml:space="preserve">ation </w:t>
      </w:r>
      <w:r w:rsidR="008E14FF">
        <w:t>of Occupations (</w:t>
      </w:r>
      <w:r>
        <w:t>ANZSCO</w:t>
      </w:r>
      <w:r w:rsidR="008E14FF">
        <w:t>)</w:t>
      </w:r>
      <w:r>
        <w:t xml:space="preserve"> is the ‘best available’ classification now, it does not provide a facility </w:t>
      </w:r>
      <w:r w:rsidR="008707C5">
        <w:t>for</w:t>
      </w:r>
      <w:r>
        <w:t xml:space="preserve"> captur</w:t>
      </w:r>
      <w:r w:rsidR="008707C5">
        <w:t>ing</w:t>
      </w:r>
      <w:r>
        <w:t xml:space="preserve"> all skills for current jobs in the labour market. One of the issues is that jobs and occupations change constantly, particularly with new technology, whereas ANZSCO is a static classification</w:t>
      </w:r>
      <w:r w:rsidR="00EF11AC">
        <w:t>, meaning that</w:t>
      </w:r>
      <w:r>
        <w:t xml:space="preserve"> new jobs and occupations</w:t>
      </w:r>
      <w:r w:rsidR="00EF11AC">
        <w:t xml:space="preserve"> are not being identified</w:t>
      </w:r>
      <w:r w:rsidRPr="00CA2043">
        <w:t xml:space="preserve">. The National Skills Commission </w:t>
      </w:r>
      <w:r w:rsidR="00D14DC1">
        <w:t>however</w:t>
      </w:r>
      <w:r w:rsidRPr="00CA2043">
        <w:t xml:space="preserve"> has published a list of emerging occupations in Australia</w:t>
      </w:r>
      <w:r w:rsidR="00FF6DC4">
        <w:t>.</w:t>
      </w:r>
      <w:r w:rsidR="007F26D1" w:rsidRPr="00CA2043">
        <w:rPr>
          <w:rStyle w:val="FootnoteReference"/>
        </w:rPr>
        <w:footnoteReference w:id="4"/>
      </w:r>
      <w:r w:rsidRPr="00CA2043">
        <w:t xml:space="preserve"> </w:t>
      </w:r>
      <w:bookmarkStart w:id="23" w:name="_Hlk66193728"/>
      <w:r w:rsidRPr="00CA2043">
        <w:t>Using the Jobs and Education Infrastructure project (JEDI), the</w:t>
      </w:r>
      <w:r w:rsidR="00BF6DE8">
        <w:t xml:space="preserve"> commission</w:t>
      </w:r>
      <w:r w:rsidRPr="00CA2043">
        <w:t xml:space="preserve"> w</w:t>
      </w:r>
      <w:r w:rsidR="00BF6DE8">
        <w:t xml:space="preserve">as </w:t>
      </w:r>
      <w:r w:rsidRPr="00CA2043">
        <w:t>able to identify emerging occupations by looking at emerging skills</w:t>
      </w:r>
      <w:r w:rsidR="005B1614">
        <w:t xml:space="preserve"> and</w:t>
      </w:r>
      <w:r w:rsidRPr="00CA2043">
        <w:t xml:space="preserve"> job titles </w:t>
      </w:r>
      <w:r w:rsidR="009E1757">
        <w:t xml:space="preserve">with increasing numbers </w:t>
      </w:r>
      <w:r w:rsidRPr="00CA2043">
        <w:t xml:space="preserve">and </w:t>
      </w:r>
      <w:r w:rsidR="0008559A">
        <w:t>undertaking</w:t>
      </w:r>
      <w:r w:rsidRPr="00CA2043">
        <w:t xml:space="preserve"> a comparison </w:t>
      </w:r>
      <w:r w:rsidR="0008559A">
        <w:t>with</w:t>
      </w:r>
      <w:r w:rsidRPr="00CA2043">
        <w:t xml:space="preserve"> jobs in other classifications (such as O*NET). </w:t>
      </w:r>
      <w:bookmarkEnd w:id="23"/>
      <w:r w:rsidRPr="00CA2043">
        <w:t>In the United States, O*NET collects a variety of information from different sources</w:t>
      </w:r>
      <w:r w:rsidR="008E6737">
        <w:t>,</w:t>
      </w:r>
      <w:r w:rsidRPr="00CA2043">
        <w:t xml:space="preserve"> including surveys of workers and occupational experts</w:t>
      </w:r>
      <w:r w:rsidR="008E6737">
        <w:t>,</w:t>
      </w:r>
      <w:r w:rsidRPr="00CA2043">
        <w:t xml:space="preserve"> to update their classification for new and emerging jobs and occupation</w:t>
      </w:r>
      <w:r w:rsidR="008E6737">
        <w:t>s.</w:t>
      </w:r>
      <w:r w:rsidR="007F26D1" w:rsidRPr="00CA2043">
        <w:rPr>
          <w:rStyle w:val="FootnoteReference"/>
        </w:rPr>
        <w:footnoteReference w:id="5"/>
      </w:r>
      <w:r w:rsidRPr="00CA2043">
        <w:t xml:space="preserve"> Further detail on JEDI and O*NET is provided later.</w:t>
      </w:r>
      <w:r>
        <w:t xml:space="preserve"> </w:t>
      </w:r>
    </w:p>
    <w:p w14:paraId="49114600" w14:textId="1301E22D" w:rsidR="00565129" w:rsidRPr="00565129" w:rsidRDefault="005D7EC3" w:rsidP="005D7EC3">
      <w:pPr>
        <w:pStyle w:val="Heading5"/>
      </w:pPr>
      <w:r w:rsidRPr="005D7EC3">
        <w:t>Self-report measures</w:t>
      </w:r>
      <w:r w:rsidR="00565129">
        <w:t xml:space="preserve"> </w:t>
      </w:r>
    </w:p>
    <w:p w14:paraId="420B1814" w14:textId="6ECAF572" w:rsidR="005D7EC3" w:rsidRDefault="008E6737" w:rsidP="005D7EC3">
      <w:pPr>
        <w:pStyle w:val="Text"/>
      </w:pPr>
      <w:r>
        <w:t>S</w:t>
      </w:r>
      <w:r w:rsidR="005D7EC3">
        <w:t>elf-report measures of skills supply and demand</w:t>
      </w:r>
      <w:r>
        <w:t xml:space="preserve"> </w:t>
      </w:r>
      <w:r w:rsidR="00096C5C">
        <w:t>can</w:t>
      </w:r>
      <w:r>
        <w:t xml:space="preserve"> also </w:t>
      </w:r>
      <w:r w:rsidR="00096C5C">
        <w:t xml:space="preserve">be </w:t>
      </w:r>
      <w:r>
        <w:t>utilised</w:t>
      </w:r>
      <w:r w:rsidR="005D7EC3">
        <w:t xml:space="preserve">. The advantage of this approach is </w:t>
      </w:r>
      <w:r w:rsidR="00096C5C">
        <w:t xml:space="preserve">that </w:t>
      </w:r>
      <w:r w:rsidR="005D7EC3">
        <w:t xml:space="preserve">information on actual skills </w:t>
      </w:r>
      <w:r w:rsidR="00B316EC">
        <w:t xml:space="preserve">is provided </w:t>
      </w:r>
      <w:r w:rsidR="005D7EC3">
        <w:t xml:space="preserve">(albeit self-reported). In terms of skills supply, data </w:t>
      </w:r>
      <w:r w:rsidR="00B316EC">
        <w:t xml:space="preserve">are available </w:t>
      </w:r>
      <w:r w:rsidR="005D7EC3">
        <w:t>on self-reported ability to perform tasks. An example of this</w:t>
      </w:r>
      <w:r w:rsidR="00B316EC">
        <w:t>,</w:t>
      </w:r>
      <w:r w:rsidR="005D7EC3">
        <w:t xml:space="preserve"> mentioned by Eurostat (2016)</w:t>
      </w:r>
      <w:r w:rsidR="00B316EC">
        <w:t>,</w:t>
      </w:r>
      <w:r w:rsidR="005D7EC3">
        <w:t xml:space="preserve"> includes self-reported information on digital skills in the European Community Survey on ‘ICT Usage in Households and by Individuals’</w:t>
      </w:r>
      <w:r w:rsidR="00B14C5A">
        <w:t>, while a</w:t>
      </w:r>
      <w:r w:rsidR="005D7EC3">
        <w:t xml:space="preserve">n example of a survey that includes self-assessment of skills is the Cedefop’s European Skills and Jobs Survey, which provides information on self-assessed skills in areas such as literacy, numeracy, digital skills and others. </w:t>
      </w:r>
    </w:p>
    <w:p w14:paraId="3EA77E39" w14:textId="7FBF948C" w:rsidR="005D7EC3" w:rsidRDefault="005D7EC3" w:rsidP="005D7EC3">
      <w:pPr>
        <w:pStyle w:val="Text"/>
      </w:pPr>
      <w:r>
        <w:t>The JRA</w:t>
      </w:r>
      <w:r w:rsidR="00420046">
        <w:t>,</w:t>
      </w:r>
      <w:r>
        <w:t xml:space="preserve"> or Job Requirements Approach</w:t>
      </w:r>
      <w:r w:rsidR="00420046">
        <w:t>,</w:t>
      </w:r>
      <w:r>
        <w:t xml:space="preserve"> is another self-report measure. This approach focuses on self-reported tasks that are carried out in the workplace and so provides some measure of skills intensity. Some of th</w:t>
      </w:r>
      <w:r w:rsidR="00420046">
        <w:t>ese</w:t>
      </w:r>
      <w:r>
        <w:t xml:space="preserve"> data </w:t>
      </w:r>
      <w:r w:rsidR="00420046">
        <w:t>are</w:t>
      </w:r>
      <w:r>
        <w:t xml:space="preserve"> available in PIAAC. </w:t>
      </w:r>
    </w:p>
    <w:p w14:paraId="3AA22B12" w14:textId="030B613C" w:rsidR="005D7EC3" w:rsidRDefault="005D7EC3" w:rsidP="005D7EC3">
      <w:pPr>
        <w:pStyle w:val="Text"/>
      </w:pPr>
      <w:r>
        <w:t>On the demand side</w:t>
      </w:r>
      <w:r w:rsidR="00D51ADE">
        <w:t>,</w:t>
      </w:r>
      <w:r>
        <w:t xml:space="preserve"> there are subjective assessments by employers of skills demand. The European Union’s Continuing Vocational Training Survey (CVTS), for example, asks enterprises questions about future skills and </w:t>
      </w:r>
      <w:r w:rsidR="00BD2EE5">
        <w:t xml:space="preserve">the </w:t>
      </w:r>
      <w:r>
        <w:t xml:space="preserve">skills considered important (Wiseman &amp; Parry 2017). </w:t>
      </w:r>
    </w:p>
    <w:p w14:paraId="7A5B2D9F" w14:textId="41906C82" w:rsidR="005D7EC3" w:rsidRDefault="005D7EC3" w:rsidP="005D7EC3">
      <w:pPr>
        <w:pStyle w:val="Text"/>
      </w:pPr>
      <w:r>
        <w:t>Employer surveys asking about skills and skills shortages more generally can be used as a self-report measure of skills demand. Braham and Tobin mentioned</w:t>
      </w:r>
      <w:r w:rsidR="00CC2673">
        <w:t>,</w:t>
      </w:r>
      <w:r>
        <w:t xml:space="preserve"> </w:t>
      </w:r>
      <w:r w:rsidR="00CC2673">
        <w:t xml:space="preserve">by way of </w:t>
      </w:r>
      <w:r w:rsidRPr="0099299F">
        <w:t>example</w:t>
      </w:r>
      <w:r w:rsidR="00CC2673">
        <w:t>,</w:t>
      </w:r>
      <w:r>
        <w:t xml:space="preserve"> employer surveys</w:t>
      </w:r>
      <w:r w:rsidR="006A50B9">
        <w:t>,</w:t>
      </w:r>
      <w:r>
        <w:t xml:space="preserve"> including the UK Department for Education</w:t>
      </w:r>
      <w:r w:rsidR="00CC2673">
        <w:t>’s</w:t>
      </w:r>
      <w:r>
        <w:t xml:space="preserve"> Employer Skills Survey and the European Centre for the Development of Vocational Training’s European Employer Survey. </w:t>
      </w:r>
      <w:r w:rsidR="0097630C">
        <w:t>The l</w:t>
      </w:r>
      <w:r>
        <w:t xml:space="preserve">imitations associated with these mentioned by Braham and Tobin include that they may be subject to response bias and that not every country has a national employer survey.  </w:t>
      </w:r>
    </w:p>
    <w:p w14:paraId="16F23608" w14:textId="65CE69F1" w:rsidR="005D7EC3" w:rsidRDefault="005D7EC3" w:rsidP="005D7EC3">
      <w:pPr>
        <w:pStyle w:val="Text"/>
      </w:pPr>
      <w:r>
        <w:t>Employer surveys in Australia include the Survey of Employer Use and Views of the VET system (SEUV)</w:t>
      </w:r>
      <w:r w:rsidR="00E051E5">
        <w:rPr>
          <w:rStyle w:val="FootnoteReference"/>
        </w:rPr>
        <w:footnoteReference w:id="6"/>
      </w:r>
      <w:r>
        <w:t xml:space="preserve">  funded by the Australian Government Department of Education, Skills and Employment. While this survey has questions about recruitment difficulties and the reasons why, there are no questions </w:t>
      </w:r>
      <w:r w:rsidR="0054169A">
        <w:t>relating to</w:t>
      </w:r>
      <w:r>
        <w:t xml:space="preserve"> specific skills. </w:t>
      </w:r>
      <w:r w:rsidR="0054169A">
        <w:t>The survey</w:t>
      </w:r>
      <w:r>
        <w:t xml:space="preserve"> </w:t>
      </w:r>
      <w:r w:rsidR="007B0CD4">
        <w:t>is also limited</w:t>
      </w:r>
      <w:r w:rsidR="00564A08">
        <w:t>,</w:t>
      </w:r>
      <w:r w:rsidR="007B0CD4">
        <w:t xml:space="preserve"> in that it is</w:t>
      </w:r>
      <w:r>
        <w:t xml:space="preserve"> only applicable to VET sector</w:t>
      </w:r>
      <w:r w:rsidR="007B0CD4">
        <w:t>-</w:t>
      </w:r>
      <w:r>
        <w:t xml:space="preserve">related qualifications and skills (including unaccredited training), and furthermore does not provide data by occupational level. </w:t>
      </w:r>
    </w:p>
    <w:p w14:paraId="1D123149" w14:textId="77777777" w:rsidR="00842F04" w:rsidRDefault="00842F04">
      <w:pPr>
        <w:spacing w:before="0" w:line="240" w:lineRule="auto"/>
      </w:pPr>
      <w:r>
        <w:br w:type="page"/>
      </w:r>
    </w:p>
    <w:p w14:paraId="650FA1C0" w14:textId="23375705" w:rsidR="005D7EC3" w:rsidRDefault="005D7EC3" w:rsidP="005D7EC3">
      <w:pPr>
        <w:pStyle w:val="Text"/>
      </w:pPr>
      <w:r>
        <w:lastRenderedPageBreak/>
        <w:t>Also funded by the same department is the Employer Satisfaction Survey for supervisors of graduates of the higher education sector</w:t>
      </w:r>
      <w:r w:rsidR="007B0CD4">
        <w:t>.</w:t>
      </w:r>
      <w:r w:rsidR="00E051E5">
        <w:rPr>
          <w:rStyle w:val="FootnoteReference"/>
        </w:rPr>
        <w:footnoteReference w:id="7"/>
      </w:r>
      <w:r>
        <w:t xml:space="preserve"> This survey asks about overall satisfaction with graduates but also satisfaction about their skills</w:t>
      </w:r>
      <w:r w:rsidR="007B0CD4">
        <w:t>,</w:t>
      </w:r>
      <w:r>
        <w:t xml:space="preserve"> including foundation, adaptive, collaborative, technical and employability skills. While </w:t>
      </w:r>
      <w:r w:rsidR="000A4DA9">
        <w:t>the survey gives</w:t>
      </w:r>
      <w:r>
        <w:t xml:space="preserve"> a breakdown of findings by broad level of industry and occupation, it cannot provide information at the fine level of occupation (due to the sample size).</w:t>
      </w:r>
    </w:p>
    <w:p w14:paraId="23BD4294" w14:textId="55ED0959" w:rsidR="005D7EC3" w:rsidRDefault="005D7EC3" w:rsidP="005D7EC3">
      <w:pPr>
        <w:pStyle w:val="Text"/>
      </w:pPr>
      <w:r>
        <w:t>The Survey of Employers</w:t>
      </w:r>
      <w:r w:rsidR="005A7B16">
        <w:t>’</w:t>
      </w:r>
      <w:r>
        <w:t xml:space="preserve"> Recruitment Experiences in Australia collects information on employers</w:t>
      </w:r>
      <w:r w:rsidR="00D9120B">
        <w:t>’</w:t>
      </w:r>
      <w:r>
        <w:t xml:space="preserve"> demand for skills and labour, with reference to their recent recruitment experiences and future recruitment intentions (</w:t>
      </w:r>
      <w:r w:rsidR="00D9120B">
        <w:t xml:space="preserve">Australian </w:t>
      </w:r>
      <w:r>
        <w:t xml:space="preserve">Department of Employment, Skills, Small &amp; Family Business 2018). There are also </w:t>
      </w:r>
      <w:r w:rsidR="005403D4">
        <w:t xml:space="preserve">a number of </w:t>
      </w:r>
      <w:r>
        <w:t xml:space="preserve">surveys </w:t>
      </w:r>
      <w:r w:rsidR="005403D4">
        <w:t>that lack</w:t>
      </w:r>
      <w:r>
        <w:t xml:space="preserve"> Australia-wide coverage such as the Victorian Department of Education and Training’s Victorian Employer Skills Survey</w:t>
      </w:r>
      <w:r w:rsidR="00044140">
        <w:t>,</w:t>
      </w:r>
      <w:r>
        <w:t xml:space="preserve"> last conducted in 2018. This survey asks employers in Victoria about skills, recruitment, and training needs</w:t>
      </w:r>
      <w:r w:rsidR="00044140">
        <w:t>.</w:t>
      </w:r>
      <w:r w:rsidR="00E051E5">
        <w:rPr>
          <w:rStyle w:val="FootnoteReference"/>
        </w:rPr>
        <w:footnoteReference w:id="8"/>
      </w:r>
      <w:r>
        <w:t xml:space="preserve"> </w:t>
      </w:r>
    </w:p>
    <w:p w14:paraId="73CC9959" w14:textId="0B0E58C5" w:rsidR="005D7EC3" w:rsidRDefault="005D7EC3" w:rsidP="005D7EC3">
      <w:pPr>
        <w:pStyle w:val="Text"/>
      </w:pPr>
      <w:r>
        <w:t xml:space="preserve">The inherent drawback with self-report measures </w:t>
      </w:r>
      <w:r w:rsidR="00044140">
        <w:t>is</w:t>
      </w:r>
      <w:r>
        <w:t xml:space="preserve"> that they can be subject to bias </w:t>
      </w:r>
      <w:r w:rsidR="00145347">
        <w:t>from</w:t>
      </w:r>
      <w:r>
        <w:t xml:space="preserve"> </w:t>
      </w:r>
      <w:r w:rsidR="00145347">
        <w:t xml:space="preserve">both </w:t>
      </w:r>
      <w:r>
        <w:t>the individuals and employers.</w:t>
      </w:r>
    </w:p>
    <w:p w14:paraId="7C96D282" w14:textId="662F127B" w:rsidR="005D7EC3" w:rsidRDefault="005D7EC3" w:rsidP="005D7EC3">
      <w:pPr>
        <w:pStyle w:val="Heading5"/>
      </w:pPr>
      <w:r w:rsidRPr="005D7EC3">
        <w:t>Direct measures</w:t>
      </w:r>
    </w:p>
    <w:p w14:paraId="281963BA" w14:textId="77777777" w:rsidR="005D7EC3" w:rsidRDefault="005D7EC3" w:rsidP="005D7EC3">
      <w:pPr>
        <w:pStyle w:val="Text"/>
      </w:pPr>
      <w:r>
        <w:t xml:space="preserve">More direct measures of skills supply and demand can take different forms, which have been summarised by Braham and Tobin (2020, p.12) and Eurostat (2016). </w:t>
      </w:r>
    </w:p>
    <w:p w14:paraId="71139189" w14:textId="2D9B3298" w:rsidR="005D7EC3" w:rsidRDefault="005D7EC3" w:rsidP="005D7EC3">
      <w:pPr>
        <w:pStyle w:val="Text"/>
      </w:pPr>
      <w:r>
        <w:t>A direct measure of demand mentioned by Eurostat (2016) is job</w:t>
      </w:r>
      <w:r w:rsidR="00AC6E08">
        <w:t>-</w:t>
      </w:r>
      <w:r>
        <w:t>vacancy data. In Australia, a vacancy report</w:t>
      </w:r>
      <w:r w:rsidR="004B022E">
        <w:t>,</w:t>
      </w:r>
      <w:r>
        <w:t xml:space="preserve"> based on internet vacancies </w:t>
      </w:r>
      <w:r w:rsidR="00827AC3">
        <w:t xml:space="preserve">and </w:t>
      </w:r>
      <w:r>
        <w:t>prepared by the National Skills Commission (NSC)</w:t>
      </w:r>
      <w:r w:rsidR="004B022E">
        <w:t>, is</w:t>
      </w:r>
      <w:r>
        <w:t xml:space="preserve"> available on the Australian Government’s Labour Market Information Portal (LMIP)</w:t>
      </w:r>
      <w:r w:rsidR="004B022E">
        <w:t>.</w:t>
      </w:r>
      <w:r w:rsidR="00471D6A">
        <w:rPr>
          <w:rStyle w:val="FootnoteReference"/>
        </w:rPr>
        <w:footnoteReference w:id="9"/>
      </w:r>
      <w:r>
        <w:t xml:space="preserve"> Gasskov (2018) noted that (hard to fill) vacancies can be interpreted as skill shortages </w:t>
      </w:r>
      <w:r w:rsidR="00827AC3">
        <w:t>where</w:t>
      </w:r>
      <w:r>
        <w:t xml:space="preserve"> there is a lack of qualified applicants rather than low pay or poor working conditions. </w:t>
      </w:r>
    </w:p>
    <w:p w14:paraId="16C3331A" w14:textId="6936B917" w:rsidR="005D7EC3" w:rsidRDefault="005D7EC3" w:rsidP="005D7EC3">
      <w:pPr>
        <w:pStyle w:val="Text"/>
      </w:pPr>
      <w:r>
        <w:t>While th</w:t>
      </w:r>
      <w:r w:rsidR="009436D9">
        <w:t>ese</w:t>
      </w:r>
      <w:r>
        <w:t xml:space="preserve"> job</w:t>
      </w:r>
      <w:r w:rsidR="00D52F0F">
        <w:t>-</w:t>
      </w:r>
      <w:r>
        <w:t xml:space="preserve">vacancy data </w:t>
      </w:r>
      <w:r w:rsidR="0032507B">
        <w:t>represent</w:t>
      </w:r>
      <w:r>
        <w:t xml:space="preserve"> useful information, </w:t>
      </w:r>
      <w:r w:rsidR="0032507B">
        <w:t>they</w:t>
      </w:r>
      <w:r>
        <w:t xml:space="preserve"> can be at a fairly broad level and furthermore not provide information on specific skills (Braham &amp; Tobin 2020; Eurostat 2016). There have been more recent developments in collecting job</w:t>
      </w:r>
      <w:r w:rsidR="00D52F0F">
        <w:t>-</w:t>
      </w:r>
      <w:r>
        <w:t>vacancy data from search engines and the like and these are discussed later.</w:t>
      </w:r>
    </w:p>
    <w:p w14:paraId="598C2983" w14:textId="2157AD9B" w:rsidR="005D7EC3" w:rsidRDefault="005D7EC3" w:rsidP="005D7EC3">
      <w:pPr>
        <w:pStyle w:val="Text"/>
      </w:pPr>
      <w:r>
        <w:t xml:space="preserve">Another direct measure of skills demand </w:t>
      </w:r>
      <w:r w:rsidR="0032507B">
        <w:t>are</w:t>
      </w:r>
      <w:r>
        <w:t xml:space="preserve"> data on the newly employed or new graduates entering the workforce. This measure could be compared </w:t>
      </w:r>
      <w:r w:rsidR="0032507B">
        <w:t>with</w:t>
      </w:r>
      <w:r>
        <w:t xml:space="preserve"> those already in employment (split by occupation) as a measure of demand. This information is available </w:t>
      </w:r>
      <w:r w:rsidR="00577892">
        <w:t>through the</w:t>
      </w:r>
      <w:r>
        <w:t xml:space="preserve"> European Labour Force survey but may not be available in all </w:t>
      </w:r>
      <w:r w:rsidR="00471D6A">
        <w:t>countr</w:t>
      </w:r>
      <w:r w:rsidR="00577892">
        <w:t>ies’</w:t>
      </w:r>
      <w:r>
        <w:t xml:space="preserve"> labour surveys (Eurostat 2016). However, </w:t>
      </w:r>
      <w:r w:rsidR="00060CB7">
        <w:t>the survey</w:t>
      </w:r>
      <w:r>
        <w:t xml:space="preserve"> does not provide information on actual skills.</w:t>
      </w:r>
    </w:p>
    <w:p w14:paraId="712161DA" w14:textId="01750D44" w:rsidR="005D7EC3" w:rsidRDefault="005D7EC3" w:rsidP="005D7EC3">
      <w:pPr>
        <w:pStyle w:val="Text"/>
      </w:pPr>
      <w:r>
        <w:t>A direct measure of skills supply is skills testing</w:t>
      </w:r>
      <w:r w:rsidR="00060CB7">
        <w:t>, includ</w:t>
      </w:r>
      <w:r w:rsidR="00585825">
        <w:t>ing</w:t>
      </w:r>
      <w:r>
        <w:t xml:space="preserve"> psychometric tests</w:t>
      </w:r>
      <w:r w:rsidR="00585825">
        <w:t xml:space="preserve">, </w:t>
      </w:r>
      <w:r w:rsidR="00632429">
        <w:t xml:space="preserve">of </w:t>
      </w:r>
      <w:r w:rsidR="00585825">
        <w:t xml:space="preserve">which </w:t>
      </w:r>
      <w:r w:rsidR="00632429">
        <w:t xml:space="preserve">there are </w:t>
      </w:r>
      <w:r>
        <w:t>different classes. The OECD carries out some of these to measure aptitude</w:t>
      </w:r>
      <w:r w:rsidR="00F03F1D">
        <w:t>,</w:t>
      </w:r>
      <w:r>
        <w:t xml:space="preserve"> including PIAAC (mentioned above) and the Programme for International Student Assessment (PISA)</w:t>
      </w:r>
      <w:r w:rsidR="00FF0CC9">
        <w:t>,</w:t>
      </w:r>
      <w:r>
        <w:t xml:space="preserve"> which measures the literacy of 15-year-old students in the areas of reading, mathematics and science. This test is conducted every three years. While there are drawbacks </w:t>
      </w:r>
      <w:r w:rsidR="00545634">
        <w:t>to</w:t>
      </w:r>
      <w:r>
        <w:t xml:space="preserve"> these surveys, such as cost</w:t>
      </w:r>
      <w:r w:rsidR="00545634">
        <w:t xml:space="preserve"> and</w:t>
      </w:r>
      <w:r>
        <w:t xml:space="preserve"> timeliness</w:t>
      </w:r>
      <w:r w:rsidR="00AE7AC2">
        <w:t xml:space="preserve"> </w:t>
      </w:r>
      <w:r w:rsidR="00603661">
        <w:t>and</w:t>
      </w:r>
      <w:r w:rsidR="006A68F8">
        <w:t xml:space="preserve"> </w:t>
      </w:r>
      <w:r w:rsidR="00545634">
        <w:t xml:space="preserve">that they </w:t>
      </w:r>
      <w:r>
        <w:t>only measur</w:t>
      </w:r>
      <w:r w:rsidR="00545634">
        <w:t>e</w:t>
      </w:r>
      <w:r>
        <w:t xml:space="preserve"> certain general skills (Boarini, d’Ercole &amp; Liu 2012) </w:t>
      </w:r>
      <w:r w:rsidR="00282D0E">
        <w:t>rather than the</w:t>
      </w:r>
      <w:r w:rsidR="003643A5">
        <w:t xml:space="preserve"> specific ability to perform a task, </w:t>
      </w:r>
      <w:r>
        <w:t xml:space="preserve">they do provide some direct information on skills to complement other more indirect approaches. CEDEFOP (2013) noted that PIAAC focuses on </w:t>
      </w:r>
      <w:r w:rsidR="00382E58">
        <w:t xml:space="preserve">the </w:t>
      </w:r>
      <w:r>
        <w:t>cognitive and workplace skills required for successful participation in an economy and</w:t>
      </w:r>
      <w:r w:rsidR="00382E58">
        <w:t>,</w:t>
      </w:r>
      <w:r>
        <w:t xml:space="preserve"> importantly</w:t>
      </w:r>
      <w:r w:rsidR="00382E58">
        <w:t>,</w:t>
      </w:r>
      <w:r>
        <w:t xml:space="preserve"> the results can be split by sector and occupation. </w:t>
      </w:r>
    </w:p>
    <w:p w14:paraId="28B3CB2D" w14:textId="60F478A1" w:rsidR="005D7EC3" w:rsidRDefault="002C1890" w:rsidP="005D7EC3">
      <w:pPr>
        <w:pStyle w:val="Text"/>
      </w:pPr>
      <w:r>
        <w:lastRenderedPageBreak/>
        <w:t>Personality-profiling tests represent a</w:t>
      </w:r>
      <w:r w:rsidR="005D7EC3">
        <w:t>nother class of psychometric tests</w:t>
      </w:r>
      <w:r>
        <w:t>, o</w:t>
      </w:r>
      <w:r w:rsidR="005D7EC3">
        <w:t xml:space="preserve">ne of the more famous examples of these </w:t>
      </w:r>
      <w:r>
        <w:t>being</w:t>
      </w:r>
      <w:r w:rsidR="005D7EC3">
        <w:t xml:space="preserve"> the Myers Briggs Type indicator. However, these tests also have limitations</w:t>
      </w:r>
      <w:r w:rsidR="00C81D13">
        <w:t>,</w:t>
      </w:r>
      <w:r w:rsidR="005D7EC3">
        <w:t xml:space="preserve"> such as social desirability bias (providing the answer the applicant thinks the employer wants). Importantly, the link between the personality types derived from these tests and skills is not well defined (Braham &amp; Tobin 2020).</w:t>
      </w:r>
    </w:p>
    <w:p w14:paraId="1486553E" w14:textId="2071163D" w:rsidR="005D7EC3" w:rsidRDefault="005D7EC3" w:rsidP="005D7EC3">
      <w:pPr>
        <w:pStyle w:val="Text"/>
      </w:pPr>
      <w:r>
        <w:t>Finally, direct tests to measure skills</w:t>
      </w:r>
      <w:r w:rsidR="00C81D13">
        <w:t xml:space="preserve"> can be given</w:t>
      </w:r>
      <w:r>
        <w:t>, such as may happen for job applicants</w:t>
      </w:r>
      <w:r w:rsidR="00F55E06">
        <w:t>;</w:t>
      </w:r>
      <w:r>
        <w:t xml:space="preserve"> however, these tests are idiosyncratic and so not generalisable or comparable </w:t>
      </w:r>
      <w:r w:rsidR="00F55E06">
        <w:t>with</w:t>
      </w:r>
      <w:r>
        <w:t xml:space="preserve"> other tests. </w:t>
      </w:r>
    </w:p>
    <w:p w14:paraId="0697CBE3" w14:textId="2D6EE24D" w:rsidR="005D7EC3" w:rsidRDefault="005D7EC3" w:rsidP="005D7EC3">
      <w:pPr>
        <w:pStyle w:val="Text"/>
      </w:pPr>
      <w:r>
        <w:t>Table 1 summarises the approaches to skills measurement discussed above</w:t>
      </w:r>
      <w:r w:rsidR="00F55E06">
        <w:t>,</w:t>
      </w:r>
      <w:r>
        <w:t xml:space="preserve"> together with the advantages and disadvantages of each type of measure.</w:t>
      </w:r>
    </w:p>
    <w:p w14:paraId="025A1C28" w14:textId="34273369" w:rsidR="00D66A56" w:rsidRDefault="009553A2" w:rsidP="009553A2">
      <w:pPr>
        <w:pStyle w:val="tabletitle"/>
      </w:pPr>
      <w:bookmarkStart w:id="24" w:name="_Toc66774488"/>
      <w:r w:rsidRPr="009553A2">
        <w:t>Table 1</w:t>
      </w:r>
      <w:r w:rsidRPr="009553A2">
        <w:tab/>
        <w:t>Indicator based approaches to skills measurement</w:t>
      </w:r>
      <w:bookmarkEnd w:id="24"/>
    </w:p>
    <w:tbl>
      <w:tblPr>
        <w:tblStyle w:val="PlainTable2"/>
        <w:tblW w:w="8916" w:type="dxa"/>
        <w:tblInd w:w="10" w:type="dxa"/>
        <w:tblLook w:val="0000" w:firstRow="0" w:lastRow="0" w:firstColumn="0" w:lastColumn="0" w:noHBand="0" w:noVBand="0"/>
      </w:tblPr>
      <w:tblGrid>
        <w:gridCol w:w="1261"/>
        <w:gridCol w:w="2835"/>
        <w:gridCol w:w="2268"/>
        <w:gridCol w:w="2552"/>
      </w:tblGrid>
      <w:tr w:rsidR="00D66A56" w:rsidRPr="00D66A56" w14:paraId="366A240B" w14:textId="77777777" w:rsidTr="00890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Pr>
          <w:p w14:paraId="4E695525" w14:textId="77777777" w:rsidR="00D66A56" w:rsidRPr="00D66A56" w:rsidRDefault="00D66A56" w:rsidP="00D66A56">
            <w:pPr>
              <w:pStyle w:val="Tablehead1"/>
              <w:rPr>
                <w:lang w:val="en-US"/>
              </w:rPr>
            </w:pPr>
          </w:p>
        </w:tc>
        <w:tc>
          <w:tcPr>
            <w:cnfStyle w:val="000001000000" w:firstRow="0" w:lastRow="0" w:firstColumn="0" w:lastColumn="0" w:oddVBand="0" w:evenVBand="1" w:oddHBand="0" w:evenHBand="0" w:firstRowFirstColumn="0" w:firstRowLastColumn="0" w:lastRowFirstColumn="0" w:lastRowLastColumn="0"/>
            <w:tcW w:w="2835" w:type="dxa"/>
          </w:tcPr>
          <w:p w14:paraId="39F4556B" w14:textId="77777777" w:rsidR="00D66A56" w:rsidRPr="00D66A56" w:rsidRDefault="00D66A56" w:rsidP="00D66A56">
            <w:pPr>
              <w:pStyle w:val="Tablehead1"/>
              <w:rPr>
                <w:lang w:val="en-US"/>
              </w:rPr>
            </w:pPr>
            <w:r w:rsidRPr="00D66A56">
              <w:rPr>
                <w:lang w:val="en-US"/>
              </w:rPr>
              <w:t>Example measures</w:t>
            </w:r>
          </w:p>
        </w:tc>
        <w:tc>
          <w:tcPr>
            <w:cnfStyle w:val="000010000000" w:firstRow="0" w:lastRow="0" w:firstColumn="0" w:lastColumn="0" w:oddVBand="1" w:evenVBand="0" w:oddHBand="0" w:evenHBand="0" w:firstRowFirstColumn="0" w:firstRowLastColumn="0" w:lastRowFirstColumn="0" w:lastRowLastColumn="0"/>
            <w:tcW w:w="2268" w:type="dxa"/>
          </w:tcPr>
          <w:p w14:paraId="6D7DAFB4" w14:textId="77777777" w:rsidR="00D66A56" w:rsidRPr="00D66A56" w:rsidRDefault="00D66A56" w:rsidP="00D66A56">
            <w:pPr>
              <w:pStyle w:val="Tablehead1"/>
              <w:rPr>
                <w:lang w:val="en-US"/>
              </w:rPr>
            </w:pPr>
            <w:r w:rsidRPr="00D66A56">
              <w:rPr>
                <w:lang w:val="en-US"/>
              </w:rPr>
              <w:t>Advantages</w:t>
            </w:r>
          </w:p>
        </w:tc>
        <w:tc>
          <w:tcPr>
            <w:cnfStyle w:val="000001000000" w:firstRow="0" w:lastRow="0" w:firstColumn="0" w:lastColumn="0" w:oddVBand="0" w:evenVBand="1" w:oddHBand="0" w:evenHBand="0" w:firstRowFirstColumn="0" w:firstRowLastColumn="0" w:lastRowFirstColumn="0" w:lastRowLastColumn="0"/>
            <w:tcW w:w="2552" w:type="dxa"/>
          </w:tcPr>
          <w:p w14:paraId="09CA7153" w14:textId="77777777" w:rsidR="00D66A56" w:rsidRPr="00D66A56" w:rsidRDefault="00D66A56" w:rsidP="00D66A56">
            <w:pPr>
              <w:pStyle w:val="Tablehead1"/>
              <w:rPr>
                <w:lang w:val="en-US"/>
              </w:rPr>
            </w:pPr>
            <w:r w:rsidRPr="00D66A56">
              <w:rPr>
                <w:lang w:val="en-US"/>
              </w:rPr>
              <w:t>Limitations</w:t>
            </w:r>
          </w:p>
        </w:tc>
      </w:tr>
      <w:tr w:rsidR="00D66A56" w:rsidRPr="00D66A56" w14:paraId="24B34DC6" w14:textId="77777777" w:rsidTr="008901A5">
        <w:tc>
          <w:tcPr>
            <w:cnfStyle w:val="000010000000" w:firstRow="0" w:lastRow="0" w:firstColumn="0" w:lastColumn="0" w:oddVBand="1" w:evenVBand="0" w:oddHBand="0" w:evenHBand="0" w:firstRowFirstColumn="0" w:firstRowLastColumn="0" w:lastRowFirstColumn="0" w:lastRowLastColumn="0"/>
            <w:tcW w:w="1261" w:type="dxa"/>
          </w:tcPr>
          <w:p w14:paraId="20F577E4" w14:textId="77777777" w:rsidR="00D66A56" w:rsidRPr="00D66A56" w:rsidRDefault="00D66A56" w:rsidP="00D66A56">
            <w:pPr>
              <w:pStyle w:val="Tablehead2"/>
              <w:rPr>
                <w:lang w:val="en-US"/>
              </w:rPr>
            </w:pPr>
            <w:r w:rsidRPr="00D66A56">
              <w:rPr>
                <w:lang w:val="en-US"/>
              </w:rPr>
              <w:t>Skills supply</w:t>
            </w:r>
          </w:p>
        </w:tc>
        <w:tc>
          <w:tcPr>
            <w:cnfStyle w:val="000001000000" w:firstRow="0" w:lastRow="0" w:firstColumn="0" w:lastColumn="0" w:oddVBand="0" w:evenVBand="1" w:oddHBand="0" w:evenHBand="0" w:firstRowFirstColumn="0" w:firstRowLastColumn="0" w:lastRowFirstColumn="0" w:lastRowLastColumn="0"/>
            <w:tcW w:w="2835" w:type="dxa"/>
          </w:tcPr>
          <w:p w14:paraId="04051AA8" w14:textId="77777777" w:rsidR="00D66A56" w:rsidRPr="00D66A56" w:rsidRDefault="00D66A56" w:rsidP="00D66A56">
            <w:pPr>
              <w:pStyle w:val="Tablehead2"/>
              <w:rPr>
                <w:lang w:val="en-US"/>
              </w:rPr>
            </w:pPr>
          </w:p>
        </w:tc>
        <w:tc>
          <w:tcPr>
            <w:cnfStyle w:val="000010000000" w:firstRow="0" w:lastRow="0" w:firstColumn="0" w:lastColumn="0" w:oddVBand="1" w:evenVBand="0" w:oddHBand="0" w:evenHBand="0" w:firstRowFirstColumn="0" w:firstRowLastColumn="0" w:lastRowFirstColumn="0" w:lastRowLastColumn="0"/>
            <w:tcW w:w="2268" w:type="dxa"/>
          </w:tcPr>
          <w:p w14:paraId="52DC54AE" w14:textId="77777777" w:rsidR="00D66A56" w:rsidRPr="00D66A56" w:rsidRDefault="00D66A56" w:rsidP="00D66A56">
            <w:pPr>
              <w:pStyle w:val="Tablehead2"/>
              <w:rPr>
                <w:lang w:val="en-US"/>
              </w:rPr>
            </w:pPr>
          </w:p>
        </w:tc>
        <w:tc>
          <w:tcPr>
            <w:cnfStyle w:val="000001000000" w:firstRow="0" w:lastRow="0" w:firstColumn="0" w:lastColumn="0" w:oddVBand="0" w:evenVBand="1" w:oddHBand="0" w:evenHBand="0" w:firstRowFirstColumn="0" w:firstRowLastColumn="0" w:lastRowFirstColumn="0" w:lastRowLastColumn="0"/>
            <w:tcW w:w="2552" w:type="dxa"/>
          </w:tcPr>
          <w:p w14:paraId="69A97325" w14:textId="77777777" w:rsidR="00D66A56" w:rsidRPr="00D66A56" w:rsidRDefault="00D66A56" w:rsidP="00D66A56">
            <w:pPr>
              <w:pStyle w:val="Tablehead2"/>
              <w:rPr>
                <w:lang w:val="en-US"/>
              </w:rPr>
            </w:pPr>
          </w:p>
        </w:tc>
      </w:tr>
      <w:tr w:rsidR="00D66A56" w:rsidRPr="00D66A56" w14:paraId="374286B6" w14:textId="77777777" w:rsidTr="00890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Pr>
          <w:p w14:paraId="0DBB7E06" w14:textId="77777777" w:rsidR="00D66A56" w:rsidRPr="00D66A56" w:rsidRDefault="00D66A56" w:rsidP="00D66A56">
            <w:pPr>
              <w:pStyle w:val="Tabletext"/>
              <w:rPr>
                <w:lang w:val="en-US"/>
              </w:rPr>
            </w:pPr>
            <w:r w:rsidRPr="00D66A56">
              <w:rPr>
                <w:lang w:val="en-US"/>
              </w:rPr>
              <w:t>Indirect</w:t>
            </w:r>
          </w:p>
        </w:tc>
        <w:tc>
          <w:tcPr>
            <w:cnfStyle w:val="000001000000" w:firstRow="0" w:lastRow="0" w:firstColumn="0" w:lastColumn="0" w:oddVBand="0" w:evenVBand="1" w:oddHBand="0" w:evenHBand="0" w:firstRowFirstColumn="0" w:firstRowLastColumn="0" w:lastRowFirstColumn="0" w:lastRowLastColumn="0"/>
            <w:tcW w:w="2835" w:type="dxa"/>
          </w:tcPr>
          <w:p w14:paraId="6CDE5E87" w14:textId="77777777" w:rsidR="00D66A56" w:rsidRPr="00D66A56" w:rsidRDefault="00D66A56" w:rsidP="00D66A56">
            <w:pPr>
              <w:pStyle w:val="Tabletext"/>
            </w:pPr>
            <w:r w:rsidRPr="00D66A56">
              <w:t>Educational attainment, in particular highest level and field of non-school qualification</w:t>
            </w:r>
          </w:p>
        </w:tc>
        <w:tc>
          <w:tcPr>
            <w:cnfStyle w:val="000010000000" w:firstRow="0" w:lastRow="0" w:firstColumn="0" w:lastColumn="0" w:oddVBand="1" w:evenVBand="0" w:oddHBand="0" w:evenHBand="0" w:firstRowFirstColumn="0" w:firstRowLastColumn="0" w:lastRowFirstColumn="0" w:lastRowLastColumn="0"/>
            <w:tcW w:w="2268" w:type="dxa"/>
          </w:tcPr>
          <w:p w14:paraId="29DD63A5" w14:textId="77777777" w:rsidR="00D66A56" w:rsidRPr="00D66A56" w:rsidRDefault="00D66A56" w:rsidP="00D66A56">
            <w:pPr>
              <w:pStyle w:val="Tabletext"/>
            </w:pPr>
            <w:r w:rsidRPr="00D66A56">
              <w:t>Data readily available, reliable and regular</w:t>
            </w:r>
          </w:p>
        </w:tc>
        <w:tc>
          <w:tcPr>
            <w:cnfStyle w:val="000001000000" w:firstRow="0" w:lastRow="0" w:firstColumn="0" w:lastColumn="0" w:oddVBand="0" w:evenVBand="1" w:oddHBand="0" w:evenHBand="0" w:firstRowFirstColumn="0" w:firstRowLastColumn="0" w:lastRowFirstColumn="0" w:lastRowLastColumn="0"/>
            <w:tcW w:w="2552" w:type="dxa"/>
          </w:tcPr>
          <w:p w14:paraId="2D447B7F" w14:textId="2B163138" w:rsidR="00D66A56" w:rsidRPr="00D66A56" w:rsidRDefault="00D66A56" w:rsidP="00D66A56">
            <w:pPr>
              <w:pStyle w:val="Tabletext"/>
            </w:pPr>
            <w:r w:rsidRPr="00D66A56">
              <w:t xml:space="preserve">No actual skill information; </w:t>
            </w:r>
            <w:r w:rsidR="00041482">
              <w:t>o</w:t>
            </w:r>
            <w:r w:rsidRPr="00D66A56">
              <w:t>nly information on full qualifications, not other forms of obtaining skills</w:t>
            </w:r>
            <w:r w:rsidR="00DA7333">
              <w:t>.</w:t>
            </w:r>
          </w:p>
        </w:tc>
      </w:tr>
      <w:tr w:rsidR="00D66A56" w:rsidRPr="00D66A56" w14:paraId="2DA5F645" w14:textId="77777777" w:rsidTr="008901A5">
        <w:tc>
          <w:tcPr>
            <w:cnfStyle w:val="000010000000" w:firstRow="0" w:lastRow="0" w:firstColumn="0" w:lastColumn="0" w:oddVBand="1" w:evenVBand="0" w:oddHBand="0" w:evenHBand="0" w:firstRowFirstColumn="0" w:firstRowLastColumn="0" w:lastRowFirstColumn="0" w:lastRowLastColumn="0"/>
            <w:tcW w:w="1261" w:type="dxa"/>
          </w:tcPr>
          <w:p w14:paraId="0E36CA37" w14:textId="77777777" w:rsidR="00D66A56" w:rsidRPr="00D66A56" w:rsidRDefault="00D66A56" w:rsidP="00D66A56">
            <w:pPr>
              <w:pStyle w:val="Tabletext"/>
              <w:rPr>
                <w:lang w:val="en-US"/>
              </w:rPr>
            </w:pPr>
            <w:r w:rsidRPr="00D66A56">
              <w:rPr>
                <w:lang w:val="en-US"/>
              </w:rPr>
              <w:t>Direct</w:t>
            </w:r>
          </w:p>
        </w:tc>
        <w:tc>
          <w:tcPr>
            <w:cnfStyle w:val="000001000000" w:firstRow="0" w:lastRow="0" w:firstColumn="0" w:lastColumn="0" w:oddVBand="0" w:evenVBand="1" w:oddHBand="0" w:evenHBand="0" w:firstRowFirstColumn="0" w:firstRowLastColumn="0" w:lastRowFirstColumn="0" w:lastRowLastColumn="0"/>
            <w:tcW w:w="2835" w:type="dxa"/>
          </w:tcPr>
          <w:p w14:paraId="66F84824" w14:textId="77777777" w:rsidR="00D66A56" w:rsidRPr="00D66A56" w:rsidRDefault="00D66A56" w:rsidP="00D66A56">
            <w:pPr>
              <w:pStyle w:val="Tabletext"/>
            </w:pPr>
            <w:r w:rsidRPr="00D66A56">
              <w:t>Test scores through direct skills assessment</w:t>
            </w:r>
          </w:p>
        </w:tc>
        <w:tc>
          <w:tcPr>
            <w:cnfStyle w:val="000010000000" w:firstRow="0" w:lastRow="0" w:firstColumn="0" w:lastColumn="0" w:oddVBand="1" w:evenVBand="0" w:oddHBand="0" w:evenHBand="0" w:firstRowFirstColumn="0" w:firstRowLastColumn="0" w:lastRowFirstColumn="0" w:lastRowLastColumn="0"/>
            <w:tcW w:w="2268" w:type="dxa"/>
          </w:tcPr>
          <w:p w14:paraId="5DF474B4" w14:textId="77777777" w:rsidR="00D66A56" w:rsidRPr="00D66A56" w:rsidRDefault="00D66A56" w:rsidP="00D66A56">
            <w:pPr>
              <w:pStyle w:val="Tabletext"/>
            </w:pPr>
            <w:r w:rsidRPr="00D66A56">
              <w:t>Provides information on actual skills</w:t>
            </w:r>
          </w:p>
        </w:tc>
        <w:tc>
          <w:tcPr>
            <w:cnfStyle w:val="000001000000" w:firstRow="0" w:lastRow="0" w:firstColumn="0" w:lastColumn="0" w:oddVBand="0" w:evenVBand="1" w:oddHBand="0" w:evenHBand="0" w:firstRowFirstColumn="0" w:firstRowLastColumn="0" w:lastRowFirstColumn="0" w:lastRowLastColumn="0"/>
            <w:tcW w:w="2552" w:type="dxa"/>
          </w:tcPr>
          <w:p w14:paraId="062DFF40" w14:textId="0D6B00FF" w:rsidR="00D66A56" w:rsidRPr="00D66A56" w:rsidRDefault="00D66A56" w:rsidP="00D66A56">
            <w:pPr>
              <w:pStyle w:val="Tabletext"/>
            </w:pPr>
            <w:r w:rsidRPr="00D66A56">
              <w:t>Cost, timeliness, potential narrowness of skills covered</w:t>
            </w:r>
            <w:r w:rsidR="00DA7333">
              <w:t>.</w:t>
            </w:r>
          </w:p>
        </w:tc>
      </w:tr>
      <w:tr w:rsidR="00D66A56" w:rsidRPr="00D66A56" w14:paraId="7B10D0E3" w14:textId="77777777" w:rsidTr="00890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Pr>
          <w:p w14:paraId="52E57B80" w14:textId="77777777" w:rsidR="00D66A56" w:rsidRPr="00D66A56" w:rsidRDefault="00D66A56" w:rsidP="00D66A56">
            <w:pPr>
              <w:pStyle w:val="Tabletext"/>
              <w:rPr>
                <w:lang w:val="en-US"/>
              </w:rPr>
            </w:pPr>
            <w:r w:rsidRPr="00D66A56">
              <w:rPr>
                <w:lang w:val="en-US"/>
              </w:rPr>
              <w:t>Self-report</w:t>
            </w:r>
          </w:p>
        </w:tc>
        <w:tc>
          <w:tcPr>
            <w:cnfStyle w:val="000001000000" w:firstRow="0" w:lastRow="0" w:firstColumn="0" w:lastColumn="0" w:oddVBand="0" w:evenVBand="1" w:oddHBand="0" w:evenHBand="0" w:firstRowFirstColumn="0" w:firstRowLastColumn="0" w:lastRowFirstColumn="0" w:lastRowLastColumn="0"/>
            <w:tcW w:w="2835" w:type="dxa"/>
          </w:tcPr>
          <w:p w14:paraId="48BFAD73" w14:textId="77777777" w:rsidR="00D66A56" w:rsidRPr="00D66A56" w:rsidRDefault="00D66A56" w:rsidP="00D66A56">
            <w:pPr>
              <w:pStyle w:val="Tabletext"/>
            </w:pPr>
            <w:r w:rsidRPr="00D66A56">
              <w:t>Self-reported ability to perform tasks</w:t>
            </w:r>
          </w:p>
          <w:p w14:paraId="7C6DE758" w14:textId="77777777" w:rsidR="00D66A56" w:rsidRPr="00D66A56" w:rsidRDefault="00D66A56" w:rsidP="00D66A56">
            <w:pPr>
              <w:pStyle w:val="Tabletext"/>
            </w:pPr>
            <w:r w:rsidRPr="00D66A56">
              <w:t>Self-assessment of skills</w:t>
            </w:r>
          </w:p>
        </w:tc>
        <w:tc>
          <w:tcPr>
            <w:cnfStyle w:val="000010000000" w:firstRow="0" w:lastRow="0" w:firstColumn="0" w:lastColumn="0" w:oddVBand="1" w:evenVBand="0" w:oddHBand="0" w:evenHBand="0" w:firstRowFirstColumn="0" w:firstRowLastColumn="0" w:lastRowFirstColumn="0" w:lastRowLastColumn="0"/>
            <w:tcW w:w="2268" w:type="dxa"/>
          </w:tcPr>
          <w:p w14:paraId="1F51219E" w14:textId="77777777" w:rsidR="00D66A56" w:rsidRPr="00D66A56" w:rsidRDefault="00D66A56" w:rsidP="00D66A56">
            <w:pPr>
              <w:pStyle w:val="Tabletext"/>
            </w:pPr>
            <w:r w:rsidRPr="00D66A56">
              <w:t>Provides information on actual skills</w:t>
            </w:r>
          </w:p>
        </w:tc>
        <w:tc>
          <w:tcPr>
            <w:cnfStyle w:val="000001000000" w:firstRow="0" w:lastRow="0" w:firstColumn="0" w:lastColumn="0" w:oddVBand="0" w:evenVBand="1" w:oddHBand="0" w:evenHBand="0" w:firstRowFirstColumn="0" w:firstRowLastColumn="0" w:lastRowFirstColumn="0" w:lastRowLastColumn="0"/>
            <w:tcW w:w="2552" w:type="dxa"/>
          </w:tcPr>
          <w:p w14:paraId="06836D9D" w14:textId="35EAC27A" w:rsidR="00D66A56" w:rsidRPr="00D66A56" w:rsidRDefault="00D66A56" w:rsidP="00D66A56">
            <w:pPr>
              <w:pStyle w:val="Tabletext"/>
            </w:pPr>
            <w:r w:rsidRPr="00D66A56">
              <w:t>Reports/assessments can be exaggerated/biased; may be small in scope</w:t>
            </w:r>
            <w:r w:rsidR="00466E6E">
              <w:t>.</w:t>
            </w:r>
          </w:p>
        </w:tc>
      </w:tr>
      <w:tr w:rsidR="00D66A56" w:rsidRPr="00D66A56" w14:paraId="4A9F23C2" w14:textId="77777777" w:rsidTr="008901A5">
        <w:tc>
          <w:tcPr>
            <w:cnfStyle w:val="000010000000" w:firstRow="0" w:lastRow="0" w:firstColumn="0" w:lastColumn="0" w:oddVBand="1" w:evenVBand="0" w:oddHBand="0" w:evenHBand="0" w:firstRowFirstColumn="0" w:firstRowLastColumn="0" w:lastRowFirstColumn="0" w:lastRowLastColumn="0"/>
            <w:tcW w:w="1261" w:type="dxa"/>
            <w:tcBorders>
              <w:bottom w:val="single" w:sz="4" w:space="0" w:color="7F7F7F" w:themeColor="text1" w:themeTint="80"/>
            </w:tcBorders>
          </w:tcPr>
          <w:p w14:paraId="4F2A7ECA" w14:textId="77777777" w:rsidR="00D66A56" w:rsidRPr="00D66A56" w:rsidRDefault="00D66A56" w:rsidP="00D66A56">
            <w:pPr>
              <w:pStyle w:val="Tablehead2"/>
              <w:rPr>
                <w:lang w:val="en-US"/>
              </w:rPr>
            </w:pPr>
            <w:r w:rsidRPr="00D66A56">
              <w:rPr>
                <w:lang w:val="en-US"/>
              </w:rPr>
              <w:t>Skills demand</w:t>
            </w:r>
          </w:p>
        </w:tc>
        <w:tc>
          <w:tcPr>
            <w:cnfStyle w:val="000001000000" w:firstRow="0" w:lastRow="0" w:firstColumn="0" w:lastColumn="0" w:oddVBand="0" w:evenVBand="1" w:oddHBand="0" w:evenHBand="0" w:firstRowFirstColumn="0" w:firstRowLastColumn="0" w:lastRowFirstColumn="0" w:lastRowLastColumn="0"/>
            <w:tcW w:w="2835" w:type="dxa"/>
            <w:tcBorders>
              <w:bottom w:val="single" w:sz="4" w:space="0" w:color="7F7F7F" w:themeColor="text1" w:themeTint="80"/>
            </w:tcBorders>
          </w:tcPr>
          <w:p w14:paraId="2C4EDBA2" w14:textId="77777777" w:rsidR="00D66A56" w:rsidRPr="00D66A56" w:rsidRDefault="00D66A56" w:rsidP="00D66A56">
            <w:pPr>
              <w:pStyle w:val="Tablehead2"/>
            </w:pPr>
          </w:p>
        </w:tc>
        <w:tc>
          <w:tcPr>
            <w:cnfStyle w:val="000010000000" w:firstRow="0" w:lastRow="0" w:firstColumn="0" w:lastColumn="0" w:oddVBand="1" w:evenVBand="0" w:oddHBand="0" w:evenHBand="0" w:firstRowFirstColumn="0" w:firstRowLastColumn="0" w:lastRowFirstColumn="0" w:lastRowLastColumn="0"/>
            <w:tcW w:w="2268" w:type="dxa"/>
            <w:tcBorders>
              <w:bottom w:val="single" w:sz="4" w:space="0" w:color="7F7F7F" w:themeColor="text1" w:themeTint="80"/>
            </w:tcBorders>
          </w:tcPr>
          <w:p w14:paraId="684C9DEE" w14:textId="77777777" w:rsidR="00D66A56" w:rsidRPr="00D66A56" w:rsidRDefault="00D66A56" w:rsidP="00D66A56">
            <w:pPr>
              <w:pStyle w:val="Tablehead2"/>
            </w:pPr>
          </w:p>
        </w:tc>
        <w:tc>
          <w:tcPr>
            <w:cnfStyle w:val="000001000000" w:firstRow="0" w:lastRow="0" w:firstColumn="0" w:lastColumn="0" w:oddVBand="0" w:evenVBand="1" w:oddHBand="0" w:evenHBand="0" w:firstRowFirstColumn="0" w:firstRowLastColumn="0" w:lastRowFirstColumn="0" w:lastRowLastColumn="0"/>
            <w:tcW w:w="2552" w:type="dxa"/>
            <w:tcBorders>
              <w:bottom w:val="single" w:sz="4" w:space="0" w:color="7F7F7F" w:themeColor="text1" w:themeTint="80"/>
            </w:tcBorders>
          </w:tcPr>
          <w:p w14:paraId="5E53A99F" w14:textId="77777777" w:rsidR="00D66A56" w:rsidRPr="00D66A56" w:rsidRDefault="00D66A56" w:rsidP="00D66A56">
            <w:pPr>
              <w:pStyle w:val="Tablehead2"/>
            </w:pPr>
          </w:p>
        </w:tc>
      </w:tr>
      <w:tr w:rsidR="00D66A56" w:rsidRPr="00D66A56" w14:paraId="466F1F26" w14:textId="77777777" w:rsidTr="00890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Borders>
              <w:bottom w:val="nil"/>
            </w:tcBorders>
          </w:tcPr>
          <w:p w14:paraId="562BB200" w14:textId="77777777" w:rsidR="00D66A56" w:rsidRPr="00D66A56" w:rsidRDefault="00D66A56" w:rsidP="00D66A56">
            <w:pPr>
              <w:pStyle w:val="Tabletext"/>
              <w:rPr>
                <w:lang w:val="en-US"/>
              </w:rPr>
            </w:pPr>
            <w:r w:rsidRPr="00D66A56">
              <w:rPr>
                <w:lang w:val="en-US"/>
              </w:rPr>
              <w:t>Indirect</w:t>
            </w:r>
          </w:p>
        </w:tc>
        <w:tc>
          <w:tcPr>
            <w:cnfStyle w:val="000001000000" w:firstRow="0" w:lastRow="0" w:firstColumn="0" w:lastColumn="0" w:oddVBand="0" w:evenVBand="1" w:oddHBand="0" w:evenHBand="0" w:firstRowFirstColumn="0" w:firstRowLastColumn="0" w:lastRowFirstColumn="0" w:lastRowLastColumn="0"/>
            <w:tcW w:w="2835" w:type="dxa"/>
            <w:tcBorders>
              <w:bottom w:val="nil"/>
            </w:tcBorders>
          </w:tcPr>
          <w:p w14:paraId="655892BF" w14:textId="77777777" w:rsidR="00D66A56" w:rsidRPr="00D66A56" w:rsidRDefault="00D66A56" w:rsidP="00D66A56">
            <w:pPr>
              <w:pStyle w:val="Tabletext"/>
            </w:pPr>
            <w:r w:rsidRPr="00D66A56">
              <w:t>Employment by occupation by qualification</w:t>
            </w:r>
          </w:p>
        </w:tc>
        <w:tc>
          <w:tcPr>
            <w:cnfStyle w:val="000010000000" w:firstRow="0" w:lastRow="0" w:firstColumn="0" w:lastColumn="0" w:oddVBand="1" w:evenVBand="0" w:oddHBand="0" w:evenHBand="0" w:firstRowFirstColumn="0" w:firstRowLastColumn="0" w:lastRowFirstColumn="0" w:lastRowLastColumn="0"/>
            <w:tcW w:w="2268" w:type="dxa"/>
            <w:tcBorders>
              <w:bottom w:val="nil"/>
            </w:tcBorders>
          </w:tcPr>
          <w:p w14:paraId="1202A70B" w14:textId="77777777" w:rsidR="00D66A56" w:rsidRPr="00D66A56" w:rsidRDefault="00D66A56" w:rsidP="00D66A56">
            <w:pPr>
              <w:pStyle w:val="Tabletext"/>
            </w:pPr>
            <w:r w:rsidRPr="00D66A56">
              <w:t>Often readily available; reliable; relatively regular</w:t>
            </w:r>
          </w:p>
        </w:tc>
        <w:tc>
          <w:tcPr>
            <w:cnfStyle w:val="000001000000" w:firstRow="0" w:lastRow="0" w:firstColumn="0" w:lastColumn="0" w:oddVBand="0" w:evenVBand="1" w:oddHBand="0" w:evenHBand="0" w:firstRowFirstColumn="0" w:firstRowLastColumn="0" w:lastRowFirstColumn="0" w:lastRowLastColumn="0"/>
            <w:tcW w:w="2552" w:type="dxa"/>
            <w:tcBorders>
              <w:bottom w:val="nil"/>
            </w:tcBorders>
          </w:tcPr>
          <w:p w14:paraId="0ACF1BEE" w14:textId="0A3387C8" w:rsidR="00D66A56" w:rsidRPr="00D66A56" w:rsidRDefault="00D66A56" w:rsidP="00D66A56">
            <w:pPr>
              <w:pStyle w:val="Tabletext"/>
            </w:pPr>
            <w:r w:rsidRPr="00D66A56">
              <w:t xml:space="preserve">No actual skills information; full qualification information only; </w:t>
            </w:r>
            <w:r w:rsidR="006102C6">
              <w:t>d</w:t>
            </w:r>
            <w:r w:rsidRPr="00D66A56">
              <w:t>oes not capture all new and emerging jobs</w:t>
            </w:r>
            <w:r w:rsidR="00466E6E">
              <w:t>.</w:t>
            </w:r>
          </w:p>
        </w:tc>
      </w:tr>
      <w:tr w:rsidR="00D66A56" w:rsidRPr="00D66A56" w14:paraId="28E8B87C" w14:textId="77777777" w:rsidTr="008901A5">
        <w:tc>
          <w:tcPr>
            <w:cnfStyle w:val="000010000000" w:firstRow="0" w:lastRow="0" w:firstColumn="0" w:lastColumn="0" w:oddVBand="1" w:evenVBand="0" w:oddHBand="0" w:evenHBand="0" w:firstRowFirstColumn="0" w:firstRowLastColumn="0" w:lastRowFirstColumn="0" w:lastRowLastColumn="0"/>
            <w:tcW w:w="1261" w:type="dxa"/>
            <w:tcBorders>
              <w:top w:val="nil"/>
              <w:bottom w:val="single" w:sz="4" w:space="0" w:color="7F7F7F" w:themeColor="text1" w:themeTint="80"/>
            </w:tcBorders>
          </w:tcPr>
          <w:p w14:paraId="300ADCA8" w14:textId="77777777" w:rsidR="00D66A56" w:rsidRPr="00D66A56" w:rsidRDefault="00D66A56" w:rsidP="00D66A56">
            <w:pPr>
              <w:pStyle w:val="Tabletext"/>
              <w:rPr>
                <w:lang w:val="en-US"/>
              </w:rPr>
            </w:pPr>
          </w:p>
        </w:tc>
        <w:tc>
          <w:tcPr>
            <w:cnfStyle w:val="000001000000" w:firstRow="0" w:lastRow="0" w:firstColumn="0" w:lastColumn="0" w:oddVBand="0" w:evenVBand="1" w:oddHBand="0" w:evenHBand="0" w:firstRowFirstColumn="0" w:firstRowLastColumn="0" w:lastRowFirstColumn="0" w:lastRowLastColumn="0"/>
            <w:tcW w:w="2835" w:type="dxa"/>
            <w:tcBorders>
              <w:top w:val="nil"/>
              <w:bottom w:val="single" w:sz="4" w:space="0" w:color="7F7F7F" w:themeColor="text1" w:themeTint="80"/>
            </w:tcBorders>
          </w:tcPr>
          <w:p w14:paraId="2BBFE96E" w14:textId="0CE0F603" w:rsidR="00D66A56" w:rsidRPr="00D66A56" w:rsidRDefault="00D66A56" w:rsidP="00D66A56">
            <w:pPr>
              <w:pStyle w:val="Tabletext"/>
            </w:pPr>
            <w:r w:rsidRPr="00D66A56">
              <w:t>Job</w:t>
            </w:r>
            <w:r w:rsidR="00D52F0F">
              <w:t>-</w:t>
            </w:r>
            <w:r w:rsidRPr="00D66A56">
              <w:t>vacancy data survey</w:t>
            </w:r>
          </w:p>
        </w:tc>
        <w:tc>
          <w:tcPr>
            <w:cnfStyle w:val="000010000000" w:firstRow="0" w:lastRow="0" w:firstColumn="0" w:lastColumn="0" w:oddVBand="1" w:evenVBand="0" w:oddHBand="0" w:evenHBand="0" w:firstRowFirstColumn="0" w:firstRowLastColumn="0" w:lastRowFirstColumn="0" w:lastRowLastColumn="0"/>
            <w:tcW w:w="2268" w:type="dxa"/>
            <w:tcBorders>
              <w:top w:val="nil"/>
              <w:bottom w:val="single" w:sz="4" w:space="0" w:color="7F7F7F" w:themeColor="text1" w:themeTint="80"/>
            </w:tcBorders>
          </w:tcPr>
          <w:p w14:paraId="7C6AF6FA" w14:textId="77777777" w:rsidR="00D66A56" w:rsidRPr="00D66A56" w:rsidRDefault="00D66A56" w:rsidP="00D66A56">
            <w:pPr>
              <w:pStyle w:val="Tabletext"/>
            </w:pPr>
            <w:r w:rsidRPr="00D66A56">
              <w:t xml:space="preserve">Provides some information on demand </w:t>
            </w:r>
          </w:p>
        </w:tc>
        <w:tc>
          <w:tcPr>
            <w:cnfStyle w:val="000001000000" w:firstRow="0" w:lastRow="0" w:firstColumn="0" w:lastColumn="0" w:oddVBand="0" w:evenVBand="1" w:oddHBand="0" w:evenHBand="0" w:firstRowFirstColumn="0" w:firstRowLastColumn="0" w:lastRowFirstColumn="0" w:lastRowLastColumn="0"/>
            <w:tcW w:w="2552" w:type="dxa"/>
            <w:tcBorders>
              <w:top w:val="nil"/>
              <w:bottom w:val="single" w:sz="4" w:space="0" w:color="7F7F7F" w:themeColor="text1" w:themeTint="80"/>
            </w:tcBorders>
          </w:tcPr>
          <w:p w14:paraId="2E91C2BE" w14:textId="75ECC5BD" w:rsidR="00D66A56" w:rsidRPr="00D66A56" w:rsidRDefault="00D66A56" w:rsidP="00D66A56">
            <w:pPr>
              <w:pStyle w:val="Tabletext"/>
            </w:pPr>
            <w:r w:rsidRPr="00D66A56">
              <w:t xml:space="preserve">Information can be at a fairly broad level; </w:t>
            </w:r>
            <w:r w:rsidR="00D02749">
              <w:t>m</w:t>
            </w:r>
            <w:r w:rsidRPr="00D66A56">
              <w:t>ay not have actual skills information</w:t>
            </w:r>
            <w:r w:rsidR="00466E6E">
              <w:t>.</w:t>
            </w:r>
          </w:p>
        </w:tc>
      </w:tr>
      <w:tr w:rsidR="00D66A56" w:rsidRPr="00D66A56" w14:paraId="25554B59" w14:textId="77777777" w:rsidTr="00890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Borders>
              <w:bottom w:val="nil"/>
            </w:tcBorders>
          </w:tcPr>
          <w:p w14:paraId="02FA2F23" w14:textId="77777777" w:rsidR="00D66A56" w:rsidRPr="00D66A56" w:rsidRDefault="00D66A56" w:rsidP="00D66A56">
            <w:pPr>
              <w:pStyle w:val="Tabletext"/>
              <w:rPr>
                <w:lang w:val="en-US"/>
              </w:rPr>
            </w:pPr>
            <w:r w:rsidRPr="00D66A56">
              <w:rPr>
                <w:lang w:val="en-US"/>
              </w:rPr>
              <w:t>Direct</w:t>
            </w:r>
          </w:p>
        </w:tc>
        <w:tc>
          <w:tcPr>
            <w:cnfStyle w:val="000001000000" w:firstRow="0" w:lastRow="0" w:firstColumn="0" w:lastColumn="0" w:oddVBand="0" w:evenVBand="1" w:oddHBand="0" w:evenHBand="0" w:firstRowFirstColumn="0" w:firstRowLastColumn="0" w:lastRowFirstColumn="0" w:lastRowLastColumn="0"/>
            <w:tcW w:w="2835" w:type="dxa"/>
            <w:tcBorders>
              <w:bottom w:val="nil"/>
            </w:tcBorders>
          </w:tcPr>
          <w:p w14:paraId="52EF0D22" w14:textId="77777777" w:rsidR="00D66A56" w:rsidRPr="00D66A56" w:rsidRDefault="00D66A56" w:rsidP="00D66A56">
            <w:pPr>
              <w:pStyle w:val="Tabletext"/>
            </w:pPr>
            <w:r w:rsidRPr="00D66A56">
              <w:t>Job vacancies</w:t>
            </w:r>
          </w:p>
        </w:tc>
        <w:tc>
          <w:tcPr>
            <w:cnfStyle w:val="000010000000" w:firstRow="0" w:lastRow="0" w:firstColumn="0" w:lastColumn="0" w:oddVBand="1" w:evenVBand="0" w:oddHBand="0" w:evenHBand="0" w:firstRowFirstColumn="0" w:firstRowLastColumn="0" w:lastRowFirstColumn="0" w:lastRowLastColumn="0"/>
            <w:tcW w:w="2268" w:type="dxa"/>
            <w:tcBorders>
              <w:bottom w:val="nil"/>
            </w:tcBorders>
          </w:tcPr>
          <w:p w14:paraId="37D7ACC4" w14:textId="77777777" w:rsidR="00D66A56" w:rsidRPr="00D66A56" w:rsidRDefault="00D66A56" w:rsidP="00D66A56">
            <w:pPr>
              <w:pStyle w:val="Tabletext"/>
            </w:pPr>
            <w:r w:rsidRPr="00D66A56">
              <w:t>Can be interpreted as skills shortages</w:t>
            </w:r>
          </w:p>
        </w:tc>
        <w:tc>
          <w:tcPr>
            <w:cnfStyle w:val="000001000000" w:firstRow="0" w:lastRow="0" w:firstColumn="0" w:lastColumn="0" w:oddVBand="0" w:evenVBand="1" w:oddHBand="0" w:evenHBand="0" w:firstRowFirstColumn="0" w:firstRowLastColumn="0" w:lastRowFirstColumn="0" w:lastRowLastColumn="0"/>
            <w:tcW w:w="2552" w:type="dxa"/>
            <w:tcBorders>
              <w:bottom w:val="nil"/>
            </w:tcBorders>
          </w:tcPr>
          <w:p w14:paraId="680BBCC2" w14:textId="77777777" w:rsidR="00D66A56" w:rsidRPr="00D66A56" w:rsidRDefault="00D66A56" w:rsidP="00D66A56">
            <w:pPr>
              <w:pStyle w:val="Tabletext"/>
            </w:pPr>
            <w:r w:rsidRPr="00D66A56">
              <w:t>Makes assumptions about reasons for vacancies</w:t>
            </w:r>
          </w:p>
        </w:tc>
      </w:tr>
      <w:tr w:rsidR="00D66A56" w:rsidRPr="00D66A56" w14:paraId="3020F63B" w14:textId="77777777" w:rsidTr="008901A5">
        <w:tc>
          <w:tcPr>
            <w:cnfStyle w:val="000010000000" w:firstRow="0" w:lastRow="0" w:firstColumn="0" w:lastColumn="0" w:oddVBand="1" w:evenVBand="0" w:oddHBand="0" w:evenHBand="0" w:firstRowFirstColumn="0" w:firstRowLastColumn="0" w:lastRowFirstColumn="0" w:lastRowLastColumn="0"/>
            <w:tcW w:w="1261" w:type="dxa"/>
            <w:tcBorders>
              <w:top w:val="nil"/>
              <w:bottom w:val="nil"/>
            </w:tcBorders>
          </w:tcPr>
          <w:p w14:paraId="54386C3F" w14:textId="77777777" w:rsidR="00D66A56" w:rsidRPr="00D66A56" w:rsidRDefault="00D66A56" w:rsidP="00D66A56">
            <w:pPr>
              <w:pStyle w:val="Tabletext"/>
              <w:rPr>
                <w:lang w:val="en-US"/>
              </w:rPr>
            </w:pPr>
          </w:p>
        </w:tc>
        <w:tc>
          <w:tcPr>
            <w:cnfStyle w:val="000001000000" w:firstRow="0" w:lastRow="0" w:firstColumn="0" w:lastColumn="0" w:oddVBand="0" w:evenVBand="1" w:oddHBand="0" w:evenHBand="0" w:firstRowFirstColumn="0" w:firstRowLastColumn="0" w:lastRowFirstColumn="0" w:lastRowLastColumn="0"/>
            <w:tcW w:w="2835" w:type="dxa"/>
            <w:tcBorders>
              <w:top w:val="nil"/>
              <w:bottom w:val="nil"/>
            </w:tcBorders>
          </w:tcPr>
          <w:p w14:paraId="139DA1B4" w14:textId="77777777" w:rsidR="00D66A56" w:rsidRPr="00D66A56" w:rsidRDefault="00D66A56" w:rsidP="00D66A56">
            <w:pPr>
              <w:pStyle w:val="Tabletext"/>
            </w:pPr>
            <w:r w:rsidRPr="00D66A56">
              <w:t>New entrants to labour force</w:t>
            </w:r>
          </w:p>
        </w:tc>
        <w:tc>
          <w:tcPr>
            <w:cnfStyle w:val="000010000000" w:firstRow="0" w:lastRow="0" w:firstColumn="0" w:lastColumn="0" w:oddVBand="1" w:evenVBand="0" w:oddHBand="0" w:evenHBand="0" w:firstRowFirstColumn="0" w:firstRowLastColumn="0" w:lastRowFirstColumn="0" w:lastRowLastColumn="0"/>
            <w:tcW w:w="2268" w:type="dxa"/>
            <w:tcBorders>
              <w:top w:val="nil"/>
              <w:bottom w:val="nil"/>
            </w:tcBorders>
          </w:tcPr>
          <w:p w14:paraId="215130B0" w14:textId="77777777" w:rsidR="00D66A56" w:rsidRPr="00D66A56" w:rsidRDefault="00D66A56" w:rsidP="00D66A56">
            <w:pPr>
              <w:pStyle w:val="Tabletext"/>
            </w:pPr>
            <w:r w:rsidRPr="00D66A56">
              <w:t>Information on new people available for labour market potentially by qualification and occupation</w:t>
            </w:r>
          </w:p>
        </w:tc>
        <w:tc>
          <w:tcPr>
            <w:cnfStyle w:val="000001000000" w:firstRow="0" w:lastRow="0" w:firstColumn="0" w:lastColumn="0" w:oddVBand="0" w:evenVBand="1" w:oddHBand="0" w:evenHBand="0" w:firstRowFirstColumn="0" w:firstRowLastColumn="0" w:lastRowFirstColumn="0" w:lastRowLastColumn="0"/>
            <w:tcW w:w="2552" w:type="dxa"/>
            <w:tcBorders>
              <w:top w:val="nil"/>
              <w:bottom w:val="nil"/>
            </w:tcBorders>
          </w:tcPr>
          <w:p w14:paraId="42C58F8D" w14:textId="176AEBCF" w:rsidR="00D66A56" w:rsidRPr="00D66A56" w:rsidRDefault="00D66A56" w:rsidP="00D66A56">
            <w:pPr>
              <w:pStyle w:val="Tabletext"/>
            </w:pPr>
            <w:r w:rsidRPr="00D66A56">
              <w:t>May not provide information on actual skills</w:t>
            </w:r>
            <w:r w:rsidR="00466E6E">
              <w:t>.</w:t>
            </w:r>
          </w:p>
        </w:tc>
      </w:tr>
      <w:tr w:rsidR="00D66A56" w:rsidRPr="00D66A56" w14:paraId="29A36A67" w14:textId="77777777" w:rsidTr="008901A5">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261" w:type="dxa"/>
            <w:tcBorders>
              <w:top w:val="nil"/>
            </w:tcBorders>
          </w:tcPr>
          <w:p w14:paraId="7B92FF62" w14:textId="77777777" w:rsidR="00D66A56" w:rsidRPr="00D66A56" w:rsidRDefault="00D66A56" w:rsidP="00D66A56">
            <w:pPr>
              <w:pStyle w:val="Tabletext"/>
              <w:rPr>
                <w:lang w:val="en-US"/>
              </w:rPr>
            </w:pPr>
          </w:p>
        </w:tc>
        <w:tc>
          <w:tcPr>
            <w:cnfStyle w:val="000001000000" w:firstRow="0" w:lastRow="0" w:firstColumn="0" w:lastColumn="0" w:oddVBand="0" w:evenVBand="1" w:oddHBand="0" w:evenHBand="0" w:firstRowFirstColumn="0" w:firstRowLastColumn="0" w:lastRowFirstColumn="0" w:lastRowLastColumn="0"/>
            <w:tcW w:w="2835" w:type="dxa"/>
            <w:tcBorders>
              <w:top w:val="nil"/>
            </w:tcBorders>
          </w:tcPr>
          <w:p w14:paraId="515C5D85" w14:textId="77777777" w:rsidR="00D66A56" w:rsidRPr="00D66A56" w:rsidRDefault="00D66A56" w:rsidP="00D66A56">
            <w:pPr>
              <w:pStyle w:val="Tabletext"/>
            </w:pPr>
          </w:p>
        </w:tc>
        <w:tc>
          <w:tcPr>
            <w:cnfStyle w:val="000010000000" w:firstRow="0" w:lastRow="0" w:firstColumn="0" w:lastColumn="0" w:oddVBand="1" w:evenVBand="0" w:oddHBand="0" w:evenHBand="0" w:firstRowFirstColumn="0" w:firstRowLastColumn="0" w:lastRowFirstColumn="0" w:lastRowLastColumn="0"/>
            <w:tcW w:w="2268" w:type="dxa"/>
            <w:tcBorders>
              <w:top w:val="nil"/>
            </w:tcBorders>
          </w:tcPr>
          <w:p w14:paraId="5F7C882A" w14:textId="77777777" w:rsidR="00D66A56" w:rsidRPr="00D66A56" w:rsidRDefault="00D66A56" w:rsidP="00D66A56">
            <w:pPr>
              <w:pStyle w:val="Tabletext"/>
            </w:pPr>
          </w:p>
        </w:tc>
        <w:tc>
          <w:tcPr>
            <w:cnfStyle w:val="000001000000" w:firstRow="0" w:lastRow="0" w:firstColumn="0" w:lastColumn="0" w:oddVBand="0" w:evenVBand="1" w:oddHBand="0" w:evenHBand="0" w:firstRowFirstColumn="0" w:firstRowLastColumn="0" w:lastRowFirstColumn="0" w:lastRowLastColumn="0"/>
            <w:tcW w:w="2552" w:type="dxa"/>
            <w:tcBorders>
              <w:top w:val="nil"/>
            </w:tcBorders>
          </w:tcPr>
          <w:p w14:paraId="47808CB9" w14:textId="77777777" w:rsidR="00D66A56" w:rsidRPr="00D66A56" w:rsidRDefault="00D66A56" w:rsidP="00D66A56">
            <w:pPr>
              <w:pStyle w:val="Tabletext"/>
            </w:pPr>
          </w:p>
        </w:tc>
      </w:tr>
      <w:tr w:rsidR="00D66A56" w:rsidRPr="00D66A56" w14:paraId="5AE0C8CE" w14:textId="77777777" w:rsidTr="008901A5">
        <w:tc>
          <w:tcPr>
            <w:cnfStyle w:val="000010000000" w:firstRow="0" w:lastRow="0" w:firstColumn="0" w:lastColumn="0" w:oddVBand="1" w:evenVBand="0" w:oddHBand="0" w:evenHBand="0" w:firstRowFirstColumn="0" w:firstRowLastColumn="0" w:lastRowFirstColumn="0" w:lastRowLastColumn="0"/>
            <w:tcW w:w="1261" w:type="dxa"/>
          </w:tcPr>
          <w:p w14:paraId="7D35B90C" w14:textId="77777777" w:rsidR="00D66A56" w:rsidRPr="00D66A56" w:rsidRDefault="00D66A56" w:rsidP="00D66A56">
            <w:pPr>
              <w:pStyle w:val="Tabletext"/>
              <w:rPr>
                <w:lang w:val="en-US"/>
              </w:rPr>
            </w:pPr>
            <w:r w:rsidRPr="00D66A56">
              <w:rPr>
                <w:lang w:val="en-US"/>
              </w:rPr>
              <w:t>Self-report</w:t>
            </w:r>
          </w:p>
        </w:tc>
        <w:tc>
          <w:tcPr>
            <w:cnfStyle w:val="000001000000" w:firstRow="0" w:lastRow="0" w:firstColumn="0" w:lastColumn="0" w:oddVBand="0" w:evenVBand="1" w:oddHBand="0" w:evenHBand="0" w:firstRowFirstColumn="0" w:firstRowLastColumn="0" w:lastRowFirstColumn="0" w:lastRowLastColumn="0"/>
            <w:tcW w:w="2835" w:type="dxa"/>
          </w:tcPr>
          <w:p w14:paraId="1108F414" w14:textId="77777777" w:rsidR="00D66A56" w:rsidRPr="00D66A56" w:rsidRDefault="00D66A56" w:rsidP="00D66A56">
            <w:pPr>
              <w:pStyle w:val="Tabletext"/>
            </w:pPr>
            <w:r w:rsidRPr="00D66A56">
              <w:t>Employer surveys</w:t>
            </w:r>
          </w:p>
        </w:tc>
        <w:tc>
          <w:tcPr>
            <w:cnfStyle w:val="000010000000" w:firstRow="0" w:lastRow="0" w:firstColumn="0" w:lastColumn="0" w:oddVBand="1" w:evenVBand="0" w:oddHBand="0" w:evenHBand="0" w:firstRowFirstColumn="0" w:firstRowLastColumn="0" w:lastRowFirstColumn="0" w:lastRowLastColumn="0"/>
            <w:tcW w:w="2268" w:type="dxa"/>
          </w:tcPr>
          <w:p w14:paraId="1F885A57" w14:textId="77777777" w:rsidR="00D66A56" w:rsidRPr="00D66A56" w:rsidRDefault="00D66A56" w:rsidP="00D66A56">
            <w:pPr>
              <w:pStyle w:val="Tabletext"/>
            </w:pPr>
            <w:r w:rsidRPr="00D66A56">
              <w:t>Can provide some information on skill needs; some surveys are conducted regularly or semi-regularly</w:t>
            </w:r>
          </w:p>
        </w:tc>
        <w:tc>
          <w:tcPr>
            <w:cnfStyle w:val="000001000000" w:firstRow="0" w:lastRow="0" w:firstColumn="0" w:lastColumn="0" w:oddVBand="0" w:evenVBand="1" w:oddHBand="0" w:evenHBand="0" w:firstRowFirstColumn="0" w:firstRowLastColumn="0" w:lastRowFirstColumn="0" w:lastRowLastColumn="0"/>
            <w:tcW w:w="2552" w:type="dxa"/>
          </w:tcPr>
          <w:p w14:paraId="4CFE827D" w14:textId="7BE51952" w:rsidR="00D66A56" w:rsidRPr="00D66A56" w:rsidRDefault="00D66A56" w:rsidP="00D66A56">
            <w:pPr>
              <w:pStyle w:val="Tabletext"/>
            </w:pPr>
            <w:r w:rsidRPr="00D66A56">
              <w:t>Possible response bias; may be conducted only intermittently; may not directly address skills needs</w:t>
            </w:r>
            <w:r w:rsidR="00466E6E">
              <w:t>.</w:t>
            </w:r>
          </w:p>
        </w:tc>
      </w:tr>
    </w:tbl>
    <w:p w14:paraId="5EEC1125" w14:textId="11EC6A09" w:rsidR="00D66A56" w:rsidRPr="00D66A56" w:rsidRDefault="00D66A56" w:rsidP="00D66A56">
      <w:pPr>
        <w:pStyle w:val="Source"/>
      </w:pPr>
      <w:r w:rsidRPr="00D66A56">
        <w:t>Sources: Summarised from Braham &amp; Tobin (2020); Eurostat (2016)</w:t>
      </w:r>
      <w:r w:rsidR="00F55E06">
        <w:t>.</w:t>
      </w:r>
    </w:p>
    <w:p w14:paraId="0BBD9F58" w14:textId="77777777" w:rsidR="00D66A56" w:rsidRDefault="00D66A56" w:rsidP="00D66A56">
      <w:pPr>
        <w:pStyle w:val="Heading3"/>
      </w:pPr>
      <w:r w:rsidRPr="00D66A56">
        <w:t xml:space="preserve">More recent approaches and new initiatives </w:t>
      </w:r>
    </w:p>
    <w:p w14:paraId="07B3496B" w14:textId="244BBE71" w:rsidR="00D66A56" w:rsidRDefault="00D66A56" w:rsidP="00D66A56">
      <w:pPr>
        <w:pStyle w:val="Text"/>
      </w:pPr>
      <w:r>
        <w:t>This section examines some relatively recent frameworks and initiatives</w:t>
      </w:r>
      <w:r w:rsidR="00D02749">
        <w:t>, which</w:t>
      </w:r>
      <w:r>
        <w:t xml:space="preserve"> may help </w:t>
      </w:r>
      <w:r w:rsidR="00466E6E">
        <w:t xml:space="preserve">to </w:t>
      </w:r>
      <w:r>
        <w:t xml:space="preserve">shed some light on aspects of the measurement of skill supply and demand. It looks at </w:t>
      </w:r>
      <w:r w:rsidR="00D02749">
        <w:t xml:space="preserve">the </w:t>
      </w:r>
      <w:r>
        <w:t>data sources used and, where relevant, how they are integrated into the frameworks. While these approaches are not directly measuring the stock of skills</w:t>
      </w:r>
      <w:r w:rsidR="00A53898">
        <w:t>,</w:t>
      </w:r>
      <w:r>
        <w:t xml:space="preserve"> they do point towards instruments and frameworks that </w:t>
      </w:r>
      <w:r w:rsidR="00A53898">
        <w:t>have the potential</w:t>
      </w:r>
      <w:r>
        <w:t xml:space="preserve"> to assist in this endeavour. </w:t>
      </w:r>
    </w:p>
    <w:p w14:paraId="1B697F53" w14:textId="646676B8" w:rsidR="00D66A56" w:rsidRDefault="00D66A56" w:rsidP="00D66A56">
      <w:pPr>
        <w:pStyle w:val="Text"/>
      </w:pPr>
      <w:r>
        <w:t xml:space="preserve">Siekmann and Fowler (2017) noted that ‘good practice’ frameworks used for occupational skills analysis rely on more than just an analysis of qualifications and occupations; they use </w:t>
      </w:r>
      <w:r w:rsidR="00401B28">
        <w:t xml:space="preserve">the </w:t>
      </w:r>
      <w:r>
        <w:t xml:space="preserve">actual discrete skills required in the workplace. Further to this, they noted that policy </w:t>
      </w:r>
      <w:r w:rsidR="00401B28">
        <w:t>associated with</w:t>
      </w:r>
      <w:r>
        <w:t xml:space="preserve"> skills, including skills </w:t>
      </w:r>
      <w:r>
        <w:lastRenderedPageBreak/>
        <w:t>imbalances and future skills demand, need</w:t>
      </w:r>
      <w:r w:rsidR="00A425EE">
        <w:t>s</w:t>
      </w:r>
      <w:r>
        <w:t xml:space="preserve"> to be underpinned by accurate and timely information on skills. This requires a diversity of data sources.  </w:t>
      </w:r>
    </w:p>
    <w:p w14:paraId="67C751D5" w14:textId="571D7BCE" w:rsidR="00D66A56" w:rsidRDefault="00D66A56" w:rsidP="00D66A56">
      <w:pPr>
        <w:pStyle w:val="Heading4"/>
      </w:pPr>
      <w:r>
        <w:t xml:space="preserve">Skills </w:t>
      </w:r>
      <w:r w:rsidR="00A425EE">
        <w:t>framework-</w:t>
      </w:r>
      <w:r>
        <w:t>based</w:t>
      </w:r>
    </w:p>
    <w:p w14:paraId="649B35BD" w14:textId="77777777" w:rsidR="00D66A56" w:rsidRDefault="00D66A56" w:rsidP="00D66A56">
      <w:pPr>
        <w:pStyle w:val="Heading5"/>
      </w:pPr>
      <w:r>
        <w:t>United States O*NET</w:t>
      </w:r>
    </w:p>
    <w:p w14:paraId="316979F0" w14:textId="2332AA2B" w:rsidR="00D66A56" w:rsidRDefault="00D66A56" w:rsidP="00D66A56">
      <w:pPr>
        <w:pStyle w:val="Text"/>
      </w:pPr>
      <w:r>
        <w:t>O*NET (Occupational Information Network), developed in the United States, is one of the most advanced of this kind of information source (S</w:t>
      </w:r>
      <w:r w:rsidR="00277A97">
        <w:t>ie</w:t>
      </w:r>
      <w:r>
        <w:t>kmann &amp; Fowler 2017). O*NET provides detailed information on actual skills</w:t>
      </w:r>
      <w:r w:rsidR="005356E3">
        <w:t xml:space="preserve">; it also gives </w:t>
      </w:r>
      <w:r>
        <w:t xml:space="preserve">the relative importance of those skills and </w:t>
      </w:r>
      <w:r w:rsidR="0090190F">
        <w:t xml:space="preserve">their </w:t>
      </w:r>
      <w:r>
        <w:t>relevance to occupations, along with an organising framework for those skills to enable robust comparisons to be made.</w:t>
      </w:r>
    </w:p>
    <w:p w14:paraId="5B9F972A" w14:textId="1B8BCC0A" w:rsidR="00D66A56" w:rsidRDefault="00D66A56" w:rsidP="00D66A56">
      <w:pPr>
        <w:pStyle w:val="Text"/>
      </w:pPr>
      <w:r>
        <w:t xml:space="preserve">O*NET contains standardised descriptors for each of the occupations on </w:t>
      </w:r>
      <w:r w:rsidR="0090190F">
        <w:t>its</w:t>
      </w:r>
      <w:r>
        <w:t xml:space="preserve"> database. To achieve this, O*NET has </w:t>
      </w:r>
      <w:r w:rsidR="00D405DA">
        <w:t xml:space="preserve">established </w:t>
      </w:r>
      <w:r>
        <w:t>a content model and the O*NET-SOC taxonomy</w:t>
      </w:r>
      <w:r w:rsidR="00D405DA">
        <w:t>.</w:t>
      </w:r>
      <w:r w:rsidR="00CC4430">
        <w:rPr>
          <w:rStyle w:val="FootnoteReference"/>
        </w:rPr>
        <w:footnoteReference w:id="10"/>
      </w:r>
      <w:r w:rsidR="00D6108C">
        <w:t xml:space="preserve"> </w:t>
      </w:r>
      <w:r>
        <w:t>The content model is a framework that provides information across six major domains:</w:t>
      </w:r>
    </w:p>
    <w:p w14:paraId="3C44E378" w14:textId="5016E03A" w:rsidR="003F6701" w:rsidRDefault="00FD4587" w:rsidP="003F6701">
      <w:pPr>
        <w:pStyle w:val="Dotpoint1"/>
      </w:pPr>
      <w:r>
        <w:t>w</w:t>
      </w:r>
      <w:r w:rsidR="003F6701">
        <w:t>orker characteristics</w:t>
      </w:r>
      <w:r>
        <w:t>: i</w:t>
      </w:r>
      <w:r w:rsidR="003F6701">
        <w:t>ncluding abilities, occupational interests, work values and work styles</w:t>
      </w:r>
    </w:p>
    <w:p w14:paraId="39D73C66" w14:textId="5FA608B1" w:rsidR="003F6701" w:rsidRDefault="00FD4587" w:rsidP="003F6701">
      <w:pPr>
        <w:pStyle w:val="Dotpoint1"/>
      </w:pPr>
      <w:r>
        <w:t>w</w:t>
      </w:r>
      <w:r w:rsidR="003F6701">
        <w:t>orker requirements</w:t>
      </w:r>
      <w:r>
        <w:t>: s</w:t>
      </w:r>
      <w:r w:rsidR="003F6701">
        <w:t>kills, knowledge and education</w:t>
      </w:r>
    </w:p>
    <w:p w14:paraId="1134EBAD" w14:textId="3090E2A9" w:rsidR="003F6701" w:rsidRDefault="00FD4587" w:rsidP="003F6701">
      <w:pPr>
        <w:pStyle w:val="Dotpoint1"/>
      </w:pPr>
      <w:r>
        <w:t>e</w:t>
      </w:r>
      <w:r w:rsidR="003F6701">
        <w:t>xperience requirements</w:t>
      </w:r>
      <w:r w:rsidR="006D1F92">
        <w:t>: e</w:t>
      </w:r>
      <w:r w:rsidR="003F6701">
        <w:t xml:space="preserve">xperience and training, </w:t>
      </w:r>
      <w:r w:rsidR="006D1F92">
        <w:t xml:space="preserve">skills-entry </w:t>
      </w:r>
      <w:r w:rsidR="003F6701">
        <w:t>requirement and licensing</w:t>
      </w:r>
    </w:p>
    <w:p w14:paraId="3641FE6D" w14:textId="037AFD6C" w:rsidR="003F6701" w:rsidRDefault="006D1F92" w:rsidP="003F6701">
      <w:pPr>
        <w:pStyle w:val="Dotpoint1"/>
      </w:pPr>
      <w:r>
        <w:t>o</w:t>
      </w:r>
      <w:r w:rsidR="003F6701">
        <w:t>ccupational requirements</w:t>
      </w:r>
      <w:r>
        <w:t>: g</w:t>
      </w:r>
      <w:r w:rsidR="003F6701">
        <w:t>eneralised work activities, detailed work activities, organisational context and work context</w:t>
      </w:r>
    </w:p>
    <w:p w14:paraId="1CCA6661" w14:textId="42382F0C" w:rsidR="003F6701" w:rsidRDefault="00E741AD" w:rsidP="003F6701">
      <w:pPr>
        <w:pStyle w:val="Dotpoint1"/>
      </w:pPr>
      <w:r>
        <w:t>w</w:t>
      </w:r>
      <w:r w:rsidR="003F6701">
        <w:t>orkforce characteristics</w:t>
      </w:r>
      <w:r>
        <w:t>: l</w:t>
      </w:r>
      <w:r w:rsidR="003F6701">
        <w:t>abour market information and occupational outlook</w:t>
      </w:r>
    </w:p>
    <w:p w14:paraId="5784E697" w14:textId="247A8978" w:rsidR="00D66A56" w:rsidRDefault="00E741AD" w:rsidP="003F6701">
      <w:pPr>
        <w:pStyle w:val="Dotpoint1"/>
      </w:pPr>
      <w:r>
        <w:t>o</w:t>
      </w:r>
      <w:r w:rsidR="003F6701">
        <w:t>ccupation–specific information</w:t>
      </w:r>
      <w:r>
        <w:t>: t</w:t>
      </w:r>
      <w:r w:rsidR="003F6701">
        <w:t>asks and tools and technology</w:t>
      </w:r>
      <w:r w:rsidR="00967378">
        <w:t>.</w:t>
      </w:r>
      <w:r w:rsidR="00CC4430">
        <w:rPr>
          <w:rStyle w:val="FootnoteReference"/>
        </w:rPr>
        <w:footnoteReference w:id="11"/>
      </w:r>
    </w:p>
    <w:p w14:paraId="3FC0858D" w14:textId="0BAA7996" w:rsidR="00826E24" w:rsidRDefault="00826E24" w:rsidP="00826E24">
      <w:pPr>
        <w:pStyle w:val="Text"/>
      </w:pPr>
      <w:r>
        <w:t>The O*NET-SOC taxonomy defines occupations and is based on the Standard Occupational Classification. The taxonomy currently includes data on 923 occupations (and 93 occupations with titles only)</w:t>
      </w:r>
      <w:r w:rsidR="00237951">
        <w:t>.</w:t>
      </w:r>
      <w:r w:rsidR="00CC4430">
        <w:rPr>
          <w:rStyle w:val="FootnoteReference"/>
        </w:rPr>
        <w:footnoteReference w:id="12"/>
      </w:r>
      <w:r>
        <w:t xml:space="preserve"> To </w:t>
      </w:r>
      <w:r w:rsidR="005229A8">
        <w:t>add</w:t>
      </w:r>
      <w:r>
        <w:t xml:space="preserve"> descriptors for each occupation based on the content model, O*NET has a data collection program</w:t>
      </w:r>
      <w:r w:rsidR="005229A8">
        <w:t>,</w:t>
      </w:r>
      <w:r>
        <w:t xml:space="preserve"> involving regular surveys of workers and occupational experts. It also collects online vacancy data for technical or tool-related skills (Siekmann &amp; Fowler 2017). In addition, O*NET captures information on new and emerging occupations</w:t>
      </w:r>
      <w:r w:rsidR="00EC1352">
        <w:t>; f</w:t>
      </w:r>
      <w:r>
        <w:t xml:space="preserve">or example, new occupations such as </w:t>
      </w:r>
      <w:r w:rsidR="00AE1385">
        <w:t>blockchain engineers and digital forensics analysts were</w:t>
      </w:r>
      <w:r>
        <w:t xml:space="preserve"> added</w:t>
      </w:r>
      <w:r w:rsidR="00AE1385" w:rsidRPr="00AE1385">
        <w:t xml:space="preserve"> </w:t>
      </w:r>
      <w:r w:rsidR="00AE1385">
        <w:t>for its 2019 occupation list</w:t>
      </w:r>
      <w:r>
        <w:t xml:space="preserve">. </w:t>
      </w:r>
    </w:p>
    <w:p w14:paraId="57D04D09" w14:textId="1DF29BDC" w:rsidR="00826E24" w:rsidRDefault="00826E24" w:rsidP="00826E24">
      <w:pPr>
        <w:pStyle w:val="Text"/>
      </w:pPr>
      <w:r>
        <w:t xml:space="preserve">The data in O*NET </w:t>
      </w:r>
      <w:r w:rsidR="00DF2BA8">
        <w:t>is useful</w:t>
      </w:r>
      <w:r>
        <w:t xml:space="preserve"> in exercises looking at skills supply and demand by linking it to, for example, occupationally based labour market data and online job advertisement data (discussed later). </w:t>
      </w:r>
      <w:r w:rsidR="00DF2BA8">
        <w:t>This enable</w:t>
      </w:r>
      <w:r w:rsidR="0098329E">
        <w:t>s</w:t>
      </w:r>
      <w:r w:rsidR="00DF2BA8">
        <w:t xml:space="preserve"> quantification of the supply of and demand for actual skills.</w:t>
      </w:r>
    </w:p>
    <w:p w14:paraId="6D2831CD" w14:textId="16E2830F" w:rsidR="00826E24" w:rsidRDefault="00826E24" w:rsidP="00826E24">
      <w:pPr>
        <w:pStyle w:val="Text"/>
      </w:pPr>
      <w:r>
        <w:t>As with all sources of information</w:t>
      </w:r>
      <w:r w:rsidR="0098329E">
        <w:t>, O*NET</w:t>
      </w:r>
      <w:r>
        <w:t xml:space="preserve"> </w:t>
      </w:r>
      <w:r w:rsidR="0098329E">
        <w:t>has its</w:t>
      </w:r>
      <w:r>
        <w:t xml:space="preserve"> drawbacks. </w:t>
      </w:r>
      <w:r w:rsidR="0098329E">
        <w:t xml:space="preserve">Since </w:t>
      </w:r>
      <w:r>
        <w:t>O*NET is United States</w:t>
      </w:r>
      <w:r w:rsidR="0098329E">
        <w:t>-</w:t>
      </w:r>
      <w:r>
        <w:t>based</w:t>
      </w:r>
      <w:r w:rsidR="0098329E">
        <w:t>,</w:t>
      </w:r>
      <w:r>
        <w:t xml:space="preserve"> there is potential for the skills profiles to be </w:t>
      </w:r>
      <w:r w:rsidR="0098329E">
        <w:t>in</w:t>
      </w:r>
      <w:r>
        <w:t>correctly mapped in other countries</w:t>
      </w:r>
      <w:r w:rsidR="006676B3">
        <w:t>’</w:t>
      </w:r>
      <w:r>
        <w:t xml:space="preserve"> contexts or for </w:t>
      </w:r>
      <w:r w:rsidR="006676B3">
        <w:t>other countries to support</w:t>
      </w:r>
      <w:r>
        <w:t xml:space="preserve"> occupations </w:t>
      </w:r>
      <w:r w:rsidR="006676B3">
        <w:t>without</w:t>
      </w:r>
      <w:r>
        <w:t xml:space="preserve"> an associated O*NET listing. Furthermore, the frequency of updates of skills information varies by </w:t>
      </w:r>
      <w:r w:rsidR="00CC4430">
        <w:t>category,</w:t>
      </w:r>
      <w:r>
        <w:t xml:space="preserve"> </w:t>
      </w:r>
      <w:r w:rsidR="005206D8">
        <w:t>for example,</w:t>
      </w:r>
      <w:r>
        <w:t xml:space="preserve"> updates for skills based on tools and technology are updated more frequently than some other categories (Siekmann &amp; Fowler 2017).</w:t>
      </w:r>
      <w:r w:rsidR="00D6108C">
        <w:t xml:space="preserve"> </w:t>
      </w:r>
      <w:r>
        <w:t xml:space="preserve"> </w:t>
      </w:r>
    </w:p>
    <w:p w14:paraId="16B8234E" w14:textId="4E4E9A2F" w:rsidR="00826E24" w:rsidRDefault="00826E24" w:rsidP="00826E24">
      <w:pPr>
        <w:pStyle w:val="Text"/>
      </w:pPr>
      <w:r w:rsidRPr="00594A16">
        <w:t xml:space="preserve">It is worth noting that O*NET is </w:t>
      </w:r>
      <w:r w:rsidR="00594A16">
        <w:t xml:space="preserve">a key input </w:t>
      </w:r>
      <w:r w:rsidRPr="00594A16">
        <w:t>in</w:t>
      </w:r>
      <w:r w:rsidR="00594A16">
        <w:t>to</w:t>
      </w:r>
      <w:r w:rsidRPr="00594A16">
        <w:t xml:space="preserve"> Australia’s JEDI engine</w:t>
      </w:r>
      <w:r w:rsidR="00EE6640">
        <w:t>,</w:t>
      </w:r>
      <w:r w:rsidRPr="00594A16">
        <w:t xml:space="preserve"> which is discussed later.</w:t>
      </w:r>
    </w:p>
    <w:p w14:paraId="6ABE3FE8" w14:textId="77777777" w:rsidR="00826E24" w:rsidRDefault="00826E24" w:rsidP="00826E24">
      <w:pPr>
        <w:pStyle w:val="Heading5"/>
      </w:pPr>
      <w:r>
        <w:lastRenderedPageBreak/>
        <w:t xml:space="preserve">The European Commission’s ESCO </w:t>
      </w:r>
    </w:p>
    <w:p w14:paraId="1FA68F5C" w14:textId="57209B0A" w:rsidR="00826E24" w:rsidRDefault="00826E24" w:rsidP="00826E24">
      <w:pPr>
        <w:pStyle w:val="Text"/>
      </w:pPr>
      <w:r>
        <w:t xml:space="preserve">The European Skills, Competences, Qualifications and Occupations (ESCO) </w:t>
      </w:r>
      <w:r w:rsidR="00336F3A">
        <w:t xml:space="preserve">classification </w:t>
      </w:r>
      <w:r>
        <w:t xml:space="preserve">was launched </w:t>
      </w:r>
      <w:r w:rsidR="00EE6640">
        <w:t xml:space="preserve">in </w:t>
      </w:r>
      <w:r>
        <w:t xml:space="preserve">July 2017. </w:t>
      </w:r>
      <w:r w:rsidR="003B780A">
        <w:t>A</w:t>
      </w:r>
      <w:r>
        <w:t xml:space="preserve"> multilingual platform containing an assembly of skills information</w:t>
      </w:r>
      <w:r w:rsidR="003B780A">
        <w:t>, it</w:t>
      </w:r>
      <w:r>
        <w:t xml:space="preserve"> us</w:t>
      </w:r>
      <w:r w:rsidR="003B780A">
        <w:t>es</w:t>
      </w:r>
      <w:r>
        <w:t xml:space="preserve"> web</w:t>
      </w:r>
      <w:r w:rsidR="002922CE">
        <w:t>-</w:t>
      </w:r>
      <w:r>
        <w:t xml:space="preserve">tagging technology (Siekmann &amp; Fowler 2017). </w:t>
      </w:r>
    </w:p>
    <w:p w14:paraId="53D67B5C" w14:textId="2D683110" w:rsidR="00826E24" w:rsidRDefault="00826E24" w:rsidP="00826E24">
      <w:pPr>
        <w:pStyle w:val="Text"/>
      </w:pPr>
      <w:r>
        <w:t>The European Commission (2019) noted that ESCO was built from the ground up</w:t>
      </w:r>
      <w:r w:rsidR="00C00CC8">
        <w:t>,</w:t>
      </w:r>
      <w:r>
        <w:t xml:space="preserve"> u</w:t>
      </w:r>
      <w:r w:rsidR="002922CE">
        <w:t xml:space="preserve">tilising </w:t>
      </w:r>
      <w:r>
        <w:t>a variety of sources</w:t>
      </w:r>
      <w:r w:rsidR="002922CE">
        <w:t>,</w:t>
      </w:r>
      <w:r>
        <w:t xml:space="preserve"> including national occupation classifications from member states, classifications covering the European area</w:t>
      </w:r>
      <w:r w:rsidR="002922CE">
        <w:t>,</w:t>
      </w:r>
      <w:r>
        <w:t xml:space="preserve"> and international classifications (including </w:t>
      </w:r>
      <w:r w:rsidR="00466F18">
        <w:t xml:space="preserve">the International Standard Classification of Occupations or </w:t>
      </w:r>
      <w:r>
        <w:t xml:space="preserve">ISCO). ESCO is published as </w:t>
      </w:r>
      <w:r w:rsidR="00474588">
        <w:t xml:space="preserve">linked open data, </w:t>
      </w:r>
      <w:r>
        <w:t>which means it can be used by developers as a building block in applications providing services such as job matching, career guidance and self-assessment tools to citizens.</w:t>
      </w:r>
    </w:p>
    <w:p w14:paraId="533F6E23" w14:textId="0B4DD222" w:rsidR="00826E24" w:rsidRDefault="00826E24" w:rsidP="00826E24">
      <w:pPr>
        <w:pStyle w:val="Text"/>
      </w:pPr>
      <w:r>
        <w:t xml:space="preserve">The </w:t>
      </w:r>
      <w:r w:rsidRPr="00474588">
        <w:rPr>
          <w:i/>
          <w:iCs/>
        </w:rPr>
        <w:t>ESCO Handbook</w:t>
      </w:r>
      <w:r>
        <w:t xml:space="preserve"> (European Commission 2019) provides information on the structure of ESCO</w:t>
      </w:r>
      <w:r w:rsidR="00BC572F">
        <w:t>, which</w:t>
      </w:r>
      <w:r>
        <w:t xml:space="preserve"> essentially classifies, identifies and categorises skills, competencies, qualifications and occupations relevant </w:t>
      </w:r>
      <w:r w:rsidR="00CF1E66">
        <w:t>to</w:t>
      </w:r>
      <w:r>
        <w:t xml:space="preserve"> the European labour market and education and training (p.10). There are three ‘pillars’ to ESCO:</w:t>
      </w:r>
    </w:p>
    <w:p w14:paraId="5772A847" w14:textId="0DCB259E" w:rsidR="00826E24" w:rsidRDefault="00096041" w:rsidP="00826E24">
      <w:pPr>
        <w:pStyle w:val="Dotpoint1"/>
      </w:pPr>
      <w:r>
        <w:t>o</w:t>
      </w:r>
      <w:r w:rsidR="00826E24">
        <w:t xml:space="preserve">ccupations pillar, which </w:t>
      </w:r>
      <w:r>
        <w:t>attempts</w:t>
      </w:r>
      <w:r w:rsidR="00826E24">
        <w:t xml:space="preserve"> to describe all the occupations relevant to the European labour market</w:t>
      </w:r>
    </w:p>
    <w:p w14:paraId="64AE8D6C" w14:textId="538CC276" w:rsidR="00826E24" w:rsidRDefault="00096041" w:rsidP="00826E24">
      <w:pPr>
        <w:pStyle w:val="Dotpoint1"/>
      </w:pPr>
      <w:r>
        <w:t>s</w:t>
      </w:r>
      <w:r w:rsidR="00826E24">
        <w:t xml:space="preserve">kills pillar, which contains information on </w:t>
      </w:r>
      <w:r>
        <w:t xml:space="preserve">the </w:t>
      </w:r>
      <w:r w:rsidR="00826E24">
        <w:t>knowledge, skills and competencies relevant to the European labour market</w:t>
      </w:r>
    </w:p>
    <w:p w14:paraId="7BF70A1D" w14:textId="438EE480" w:rsidR="00826E24" w:rsidRDefault="00096041" w:rsidP="00826E24">
      <w:pPr>
        <w:pStyle w:val="Dotpoint1"/>
      </w:pPr>
      <w:r>
        <w:t>q</w:t>
      </w:r>
      <w:r w:rsidR="00826E24">
        <w:t>ualifications pillar, which collects existing information on qualifications.</w:t>
      </w:r>
    </w:p>
    <w:p w14:paraId="0E8E5A4E" w14:textId="0261DE33" w:rsidR="00826E24" w:rsidRDefault="00B8087D" w:rsidP="00826E24">
      <w:pPr>
        <w:pStyle w:val="Text"/>
      </w:pPr>
      <w:r>
        <w:t xml:space="preserve">One of the great benefits of </w:t>
      </w:r>
      <w:r w:rsidR="00826E24">
        <w:t xml:space="preserve">ESCO </w:t>
      </w:r>
      <w:r>
        <w:t xml:space="preserve">is that it </w:t>
      </w:r>
      <w:r w:rsidR="00826E24">
        <w:t xml:space="preserve">links these three pillars by providing information on </w:t>
      </w:r>
      <w:r w:rsidR="00CF1E66">
        <w:t xml:space="preserve">the </w:t>
      </w:r>
      <w:r w:rsidR="00826E24">
        <w:t xml:space="preserve">skills required for working in a particular occupation and also for </w:t>
      </w:r>
      <w:r w:rsidR="00CF1E66">
        <w:t xml:space="preserve">the </w:t>
      </w:r>
      <w:r w:rsidR="00826E24">
        <w:t xml:space="preserve">skills gained from undertaking a particular qualification. It also provides information </w:t>
      </w:r>
      <w:r w:rsidR="008E2E1C">
        <w:t xml:space="preserve">on </w:t>
      </w:r>
      <w:r w:rsidR="00BD3179">
        <w:t xml:space="preserve">the </w:t>
      </w:r>
      <w:r w:rsidR="00826E24">
        <w:t xml:space="preserve">qualifications required by or requested for a particular occupation. </w:t>
      </w:r>
    </w:p>
    <w:p w14:paraId="062B27CC" w14:textId="2031E49F" w:rsidR="00826E24" w:rsidRDefault="00826E24" w:rsidP="00826E24">
      <w:pPr>
        <w:pStyle w:val="Text"/>
      </w:pPr>
      <w:r>
        <w:t>ESCO can be connected to other sources of skills intelligence (</w:t>
      </w:r>
      <w:r w:rsidR="008E2E1C">
        <w:t>for example,</w:t>
      </w:r>
      <w:r>
        <w:t xml:space="preserve"> online job advertisement data, occupational labour market data) by the use of a linked open data approach (Siekmann &amp; Fowler 2017). It can therefore be used as a source in exercises </w:t>
      </w:r>
      <w:r w:rsidR="00B13BDF">
        <w:t>for</w:t>
      </w:r>
      <w:r>
        <w:t xml:space="preserve"> estimating skills supply and demand. </w:t>
      </w:r>
      <w:r w:rsidR="00B13BDF">
        <w:t xml:space="preserve">As with all these approaches, </w:t>
      </w:r>
      <w:r>
        <w:t>ESCO also has some potential drawbacks</w:t>
      </w:r>
      <w:r w:rsidR="00B13BDF">
        <w:t>: i</w:t>
      </w:r>
      <w:r>
        <w:t>t is Eurocentric</w:t>
      </w:r>
      <w:r w:rsidR="00964AB7">
        <w:t>,</w:t>
      </w:r>
      <w:r>
        <w:t xml:space="preserve"> meaning there may be difficulties in translating </w:t>
      </w:r>
      <w:r w:rsidR="00A92906">
        <w:t xml:space="preserve">to </w:t>
      </w:r>
      <w:r>
        <w:t>contexts outside Europe</w:t>
      </w:r>
      <w:r w:rsidR="00B8087D">
        <w:t xml:space="preserve"> (</w:t>
      </w:r>
      <w:r w:rsidR="00964AB7">
        <w:t>for example,</w:t>
      </w:r>
      <w:r w:rsidR="00B8087D">
        <w:t xml:space="preserve"> the occupations may not easily translate to the Australian context)</w:t>
      </w:r>
      <w:r>
        <w:t>.</w:t>
      </w:r>
      <w:r w:rsidR="00D6108C">
        <w:t xml:space="preserve"> </w:t>
      </w:r>
      <w:r>
        <w:t xml:space="preserve"> </w:t>
      </w:r>
    </w:p>
    <w:p w14:paraId="7F7D2E1C" w14:textId="008CE8E1" w:rsidR="00826E24" w:rsidRDefault="00F578F3" w:rsidP="00826E24">
      <w:pPr>
        <w:pStyle w:val="Text"/>
      </w:pPr>
      <w:bookmarkStart w:id="26" w:name="_Hlk66194115"/>
      <w:r>
        <w:t xml:space="preserve">In 2017 </w:t>
      </w:r>
      <w:r w:rsidR="00826E24" w:rsidRPr="00594A16">
        <w:t>Siekmann and Fowler noted that a similar database could be created for Australia</w:t>
      </w:r>
      <w:r w:rsidR="008E19EF">
        <w:t>;</w:t>
      </w:r>
      <w:r>
        <w:t xml:space="preserve"> since then</w:t>
      </w:r>
      <w:r w:rsidR="00B8087D">
        <w:t xml:space="preserve"> the</w:t>
      </w:r>
      <w:r w:rsidR="00826E24" w:rsidRPr="00594A16">
        <w:t xml:space="preserve"> JEDI engine (described below)</w:t>
      </w:r>
      <w:r w:rsidR="006A68F8">
        <w:t xml:space="preserve"> has been developed in Australia</w:t>
      </w:r>
      <w:r w:rsidR="00826E24" w:rsidRPr="00594A16">
        <w:t>.</w:t>
      </w:r>
    </w:p>
    <w:bookmarkEnd w:id="26"/>
    <w:p w14:paraId="4C8703DD" w14:textId="0B79E538" w:rsidR="00B435B0" w:rsidRDefault="008E19EF" w:rsidP="00B435B0">
      <w:pPr>
        <w:pStyle w:val="Heading5"/>
      </w:pPr>
      <w:r>
        <w:t xml:space="preserve">The </w:t>
      </w:r>
      <w:r w:rsidR="00B435B0">
        <w:t xml:space="preserve">OECD’s Skills for jobs database </w:t>
      </w:r>
    </w:p>
    <w:p w14:paraId="7DCE4E58" w14:textId="11F8C0FA" w:rsidR="00B435B0" w:rsidRDefault="00B435B0" w:rsidP="00B435B0">
      <w:pPr>
        <w:pStyle w:val="Text"/>
      </w:pPr>
      <w:r>
        <w:t xml:space="preserve">The OECD </w:t>
      </w:r>
      <w:r w:rsidR="00977AEE">
        <w:t>S</w:t>
      </w:r>
      <w:r>
        <w:t xml:space="preserve">kills for jobs database provides a ranking of </w:t>
      </w:r>
      <w:r w:rsidR="00977AEE">
        <w:t xml:space="preserve">hard-to-fill </w:t>
      </w:r>
      <w:r>
        <w:t>occupations (or</w:t>
      </w:r>
      <w:r w:rsidR="00977AEE">
        <w:t>,</w:t>
      </w:r>
      <w:r>
        <w:t xml:space="preserve"> conversely</w:t>
      </w:r>
      <w:r w:rsidR="00977AEE">
        <w:t>,</w:t>
      </w:r>
      <w:r>
        <w:t xml:space="preserve"> easy to fill)</w:t>
      </w:r>
      <w:r w:rsidR="00977AEE">
        <w:t>,</w:t>
      </w:r>
      <w:r>
        <w:t xml:space="preserve"> based on five main indicators:</w:t>
      </w:r>
    </w:p>
    <w:p w14:paraId="1AE6239C" w14:textId="2E08193E" w:rsidR="00B435B0" w:rsidRDefault="00A66BB3" w:rsidP="00B435B0">
      <w:pPr>
        <w:pStyle w:val="Dotpoint1"/>
      </w:pPr>
      <w:r>
        <w:t>w</w:t>
      </w:r>
      <w:r w:rsidR="00B435B0">
        <w:t>age growth</w:t>
      </w:r>
    </w:p>
    <w:p w14:paraId="09F0D498" w14:textId="7ECD734B" w:rsidR="00B435B0" w:rsidRDefault="00A66BB3" w:rsidP="00B435B0">
      <w:pPr>
        <w:pStyle w:val="Dotpoint1"/>
      </w:pPr>
      <w:r>
        <w:t>e</w:t>
      </w:r>
      <w:r w:rsidR="00B435B0">
        <w:t>mployment growth</w:t>
      </w:r>
    </w:p>
    <w:p w14:paraId="7718722E" w14:textId="15DD255A" w:rsidR="00B435B0" w:rsidRDefault="00A66BB3" w:rsidP="00B435B0">
      <w:pPr>
        <w:pStyle w:val="Dotpoint1"/>
      </w:pPr>
      <w:r>
        <w:t>h</w:t>
      </w:r>
      <w:r w:rsidR="00B435B0">
        <w:t>ours worked growth</w:t>
      </w:r>
    </w:p>
    <w:p w14:paraId="7FE139EE" w14:textId="6358E7BF" w:rsidR="00B435B0" w:rsidRDefault="00A66BB3" w:rsidP="00B435B0">
      <w:pPr>
        <w:pStyle w:val="Dotpoint1"/>
      </w:pPr>
      <w:r>
        <w:t>u</w:t>
      </w:r>
      <w:r w:rsidR="00B435B0">
        <w:t>nemployment rate</w:t>
      </w:r>
    </w:p>
    <w:p w14:paraId="742F0242" w14:textId="00A7A8D0" w:rsidR="00B435B0" w:rsidRDefault="00A66BB3" w:rsidP="00B435B0">
      <w:pPr>
        <w:pStyle w:val="Dotpoint1"/>
      </w:pPr>
      <w:r>
        <w:t>u</w:t>
      </w:r>
      <w:r w:rsidR="00B435B0">
        <w:t>nder-qualification growth (proportion of workers with qualifications below what is required for their job)</w:t>
      </w:r>
      <w:r>
        <w:t>.</w:t>
      </w:r>
    </w:p>
    <w:p w14:paraId="0A72140F" w14:textId="351C7550" w:rsidR="00B435B0" w:rsidRDefault="00B435B0" w:rsidP="00B435B0">
      <w:pPr>
        <w:pStyle w:val="Text"/>
      </w:pPr>
      <w:r>
        <w:lastRenderedPageBreak/>
        <w:t>These labour market indicators are derived from large household labour market surveys. The five indicators are aggregated into an overall indicator of demand</w:t>
      </w:r>
      <w:r w:rsidR="003538FB">
        <w:t>,</w:t>
      </w:r>
      <w:r>
        <w:t xml:space="preserve"> using a weighting methodology (OECD 2017). </w:t>
      </w:r>
    </w:p>
    <w:p w14:paraId="55784888" w14:textId="09D01E0F" w:rsidR="00B435B0" w:rsidRDefault="00B435B0" w:rsidP="00B435B0">
      <w:pPr>
        <w:pStyle w:val="Text"/>
      </w:pPr>
      <w:r>
        <w:t>The premise of building this database was to measure skills imbalances in the labour market</w:t>
      </w:r>
      <w:r w:rsidR="004B077D">
        <w:t>,</w:t>
      </w:r>
      <w:r>
        <w:t xml:space="preserve"> such as a mismatch between labour market demand and labour supply (OECD 2017). The database covers information for European countries and South Africa. </w:t>
      </w:r>
    </w:p>
    <w:p w14:paraId="02837562" w14:textId="1206B25B" w:rsidR="00B435B0" w:rsidRDefault="00B435B0" w:rsidP="00B435B0">
      <w:pPr>
        <w:pStyle w:val="Text"/>
      </w:pPr>
      <w:r>
        <w:t>Information contained in the O*NET database is used</w:t>
      </w:r>
      <w:r w:rsidR="00632888">
        <w:t xml:space="preserve"> in the OECD database </w:t>
      </w:r>
      <w:r>
        <w:t xml:space="preserve">to map importance and </w:t>
      </w:r>
      <w:r w:rsidR="004B077D">
        <w:t xml:space="preserve">the </w:t>
      </w:r>
      <w:r>
        <w:t xml:space="preserve">level of skills required for an occupation </w:t>
      </w:r>
      <w:r w:rsidRPr="00E3421E">
        <w:t>labour market information</w:t>
      </w:r>
      <w:r w:rsidR="00C00596">
        <w:t xml:space="preserve"> for that occupation</w:t>
      </w:r>
      <w:r>
        <w:t xml:space="preserve">. Three domains of competence are measured from O*NET </w:t>
      </w:r>
      <w:r w:rsidR="006916CC">
        <w:t>—</w:t>
      </w:r>
      <w:r>
        <w:t xml:space="preserve"> skills, knowledge and ability. </w:t>
      </w:r>
    </w:p>
    <w:p w14:paraId="083ADA44" w14:textId="2590A523" w:rsidR="00B435B0" w:rsidRDefault="00B435B0" w:rsidP="00B435B0">
      <w:pPr>
        <w:pStyle w:val="Text"/>
      </w:pPr>
      <w:r>
        <w:t xml:space="preserve">The database can provide information on labour market needs </w:t>
      </w:r>
      <w:r w:rsidR="006916CC">
        <w:t xml:space="preserve">that have changed </w:t>
      </w:r>
      <w:r>
        <w:t>through technological progress and increased automation</w:t>
      </w:r>
      <w:r w:rsidR="005B2496">
        <w:t>, finding, for example</w:t>
      </w:r>
      <w:r w:rsidR="005A21E8">
        <w:t>,</w:t>
      </w:r>
      <w:r>
        <w:t xml:space="preserve"> that ‘soft’ skills such as leadership and adaptability are likely to be in shortage in some occupations, particularly those needing intensive cognitive skills (OECD 2017). </w:t>
      </w:r>
    </w:p>
    <w:p w14:paraId="14A7C74A" w14:textId="0D5CE916" w:rsidR="00B435B0" w:rsidRDefault="00B435B0" w:rsidP="00B435B0">
      <w:pPr>
        <w:pStyle w:val="Text"/>
      </w:pPr>
      <w:r>
        <w:t xml:space="preserve">While this database does not measure the stock of skills in an economy per se, it does </w:t>
      </w:r>
      <w:r w:rsidR="0047299A">
        <w:t>represent</w:t>
      </w:r>
      <w:r>
        <w:t xml:space="preserve"> an important step in doing so by providing a mechanism to attach skills to occupations by various labour market indicators. </w:t>
      </w:r>
    </w:p>
    <w:p w14:paraId="35BB1CB3" w14:textId="77777777" w:rsidR="00792900" w:rsidRDefault="00792900" w:rsidP="00792900">
      <w:pPr>
        <w:pStyle w:val="Heading5"/>
      </w:pPr>
      <w:r w:rsidRPr="00792900">
        <w:t>Australia</w:t>
      </w:r>
    </w:p>
    <w:p w14:paraId="2B520BBA" w14:textId="3474B4C9" w:rsidR="00645D33" w:rsidRDefault="00515FC9" w:rsidP="00645D33">
      <w:pPr>
        <w:pStyle w:val="Text"/>
      </w:pPr>
      <w:r>
        <w:t>Australia has developed the Jobs and Education Data Infrastructure (JEDI)</w:t>
      </w:r>
      <w:r w:rsidR="005A21E8">
        <w:t>,</w:t>
      </w:r>
      <w:r>
        <w:t xml:space="preserve"> which </w:t>
      </w:r>
      <w:r w:rsidR="00645D33">
        <w:t>brings together data on</w:t>
      </w:r>
      <w:r>
        <w:t xml:space="preserve"> jobs, skills, units of study and qualifications</w:t>
      </w:r>
      <w:r w:rsidR="00F015C5">
        <w:t xml:space="preserve"> from diverse sources</w:t>
      </w:r>
      <w:r w:rsidR="005A21E8">
        <w:t>,</w:t>
      </w:r>
      <w:r w:rsidR="00F015C5">
        <w:t xml:space="preserve"> including </w:t>
      </w:r>
      <w:r w:rsidR="00645D33">
        <w:t xml:space="preserve">O*NET, the </w:t>
      </w:r>
      <w:r w:rsidR="00645D33" w:rsidRPr="00594A16">
        <w:t>Australian Taxation Office (ATO), student outcomes information, VET course information, student enrolment and graduate information</w:t>
      </w:r>
      <w:r w:rsidR="005A21E8">
        <w:t>,</w:t>
      </w:r>
      <w:r w:rsidR="00645D33" w:rsidRPr="00594A16">
        <w:rPr>
          <w:rStyle w:val="FootnoteReference"/>
        </w:rPr>
        <w:footnoteReference w:id="13"/>
      </w:r>
      <w:r w:rsidR="00645D33" w:rsidRPr="00594A16">
        <w:t xml:space="preserve"> and My Futures</w:t>
      </w:r>
      <w:r w:rsidR="00645D33" w:rsidRPr="00594A16">
        <w:rPr>
          <w:rStyle w:val="FootnoteReference"/>
        </w:rPr>
        <w:footnoteReference w:id="14"/>
      </w:r>
      <w:r w:rsidR="00645D33" w:rsidRPr="00594A16">
        <w:t xml:space="preserve"> data from Education Services Australia</w:t>
      </w:r>
      <w:r w:rsidR="00A446B2">
        <w:rPr>
          <w:rStyle w:val="FootnoteReference"/>
        </w:rPr>
        <w:footnoteReference w:id="15"/>
      </w:r>
      <w:r w:rsidR="00645D33" w:rsidRPr="00594A16">
        <w:t xml:space="preserve">. </w:t>
      </w:r>
    </w:p>
    <w:p w14:paraId="1CCAEA8A" w14:textId="41B4FCE4" w:rsidR="00F015C5" w:rsidRDefault="00F015C5" w:rsidP="00645D33">
      <w:pPr>
        <w:pStyle w:val="Text"/>
      </w:pPr>
      <w:r>
        <w:t>An important</w:t>
      </w:r>
      <w:r w:rsidRPr="00594A16">
        <w:t xml:space="preserve"> </w:t>
      </w:r>
      <w:r>
        <w:t>component</w:t>
      </w:r>
      <w:r w:rsidRPr="00594A16">
        <w:t xml:space="preserve"> of the JEDI project</w:t>
      </w:r>
      <w:r>
        <w:t xml:space="preserve"> has been the development </w:t>
      </w:r>
      <w:r w:rsidR="0030514B" w:rsidRPr="00594A16">
        <w:t>by the National Skills Commissioner</w:t>
      </w:r>
      <w:r w:rsidR="0030514B">
        <w:t xml:space="preserve"> </w:t>
      </w:r>
      <w:r>
        <w:t>of</w:t>
      </w:r>
      <w:r w:rsidRPr="00594A16">
        <w:t xml:space="preserve"> a data-driven Australian Skills Classification. This </w:t>
      </w:r>
      <w:r>
        <w:t xml:space="preserve">details the core competencies, specialised tasks and technology tools required by different occupations and </w:t>
      </w:r>
      <w:r w:rsidRPr="00594A16">
        <w:t>enables exploration of connections and transferability</w:t>
      </w:r>
      <w:r>
        <w:t xml:space="preserve"> both within and</w:t>
      </w:r>
      <w:r w:rsidRPr="00594A16">
        <w:t xml:space="preserve"> between jobs and qualifications</w:t>
      </w:r>
      <w:r w:rsidR="009A2976">
        <w:t xml:space="preserve"> </w:t>
      </w:r>
      <w:r w:rsidR="00C61393">
        <w:t>(National Skills Commission 2021)</w:t>
      </w:r>
      <w:r w:rsidR="0030514B">
        <w:t>.</w:t>
      </w:r>
    </w:p>
    <w:p w14:paraId="2D82B4A9" w14:textId="4ECDF1B2" w:rsidR="00F015C5" w:rsidRDefault="00F015C5" w:rsidP="00645D33">
      <w:pPr>
        <w:pStyle w:val="Text"/>
      </w:pPr>
      <w:r w:rsidRPr="00594A16">
        <w:t>The development of more skills-based occupational classification was recommended by the OECD (2018)</w:t>
      </w:r>
      <w:r w:rsidR="00592913">
        <w:t>,</w:t>
      </w:r>
      <w:r w:rsidRPr="00594A16">
        <w:t xml:space="preserve"> which highlighted that skill assessment and anticipation exercises in Australia</w:t>
      </w:r>
      <w:r>
        <w:t xml:space="preserve"> at the time</w:t>
      </w:r>
      <w:r w:rsidRPr="00594A16">
        <w:t xml:space="preserve"> </w:t>
      </w:r>
      <w:r>
        <w:t>we</w:t>
      </w:r>
      <w:r w:rsidRPr="00594A16">
        <w:t xml:space="preserve">re focused on qualifications and occupations in demand, rather than </w:t>
      </w:r>
      <w:r w:rsidR="007939C4">
        <w:t xml:space="preserve">on </w:t>
      </w:r>
      <w:r w:rsidRPr="00594A16">
        <w:t>actual skills. A skills-based approach is seen as being more responsive to changes in demand due to technological progress and provide</w:t>
      </w:r>
      <w:r>
        <w:t>s</w:t>
      </w:r>
      <w:r w:rsidRPr="00594A16">
        <w:t xml:space="preserve"> more specific information on where learning may be required for skills in demand</w:t>
      </w:r>
      <w:r w:rsidR="002F3940">
        <w:t xml:space="preserve">; </w:t>
      </w:r>
      <w:r w:rsidRPr="00594A16">
        <w:t>hence</w:t>
      </w:r>
      <w:r w:rsidR="002F3940">
        <w:t>,</w:t>
      </w:r>
      <w:r w:rsidRPr="00594A16">
        <w:t xml:space="preserve"> undertaking training for a specific skill rather than retraining for an entire occupation.</w:t>
      </w:r>
    </w:p>
    <w:p w14:paraId="7788AEAF" w14:textId="25F51AE9" w:rsidR="00792900" w:rsidRDefault="00515FC9" w:rsidP="00792900">
      <w:pPr>
        <w:pStyle w:val="Text"/>
      </w:pPr>
      <w:r>
        <w:t xml:space="preserve">One </w:t>
      </w:r>
      <w:r w:rsidR="00F015C5">
        <w:t>application</w:t>
      </w:r>
      <w:r>
        <w:t xml:space="preserve"> of </w:t>
      </w:r>
      <w:r w:rsidR="00F015C5">
        <w:t>J</w:t>
      </w:r>
      <w:r>
        <w:t xml:space="preserve">EDI </w:t>
      </w:r>
      <w:r w:rsidR="00F015C5">
        <w:t xml:space="preserve">has been the development of </w:t>
      </w:r>
      <w:r w:rsidRPr="00594A16">
        <w:t>a skills</w:t>
      </w:r>
      <w:r w:rsidR="00CD7EB4">
        <w:t>-</w:t>
      </w:r>
      <w:r w:rsidRPr="00594A16">
        <w:t>matching methodology</w:t>
      </w:r>
      <w:r w:rsidR="00170E74">
        <w:t xml:space="preserve"> (Australia</w:t>
      </w:r>
      <w:r w:rsidR="003006AC">
        <w:t>n</w:t>
      </w:r>
      <w:r w:rsidR="00170E74">
        <w:t xml:space="preserve"> Department of Employment, Skills, Small and Family Business Future of Work Taskforce 2019)</w:t>
      </w:r>
      <w:r w:rsidRPr="00594A16">
        <w:t xml:space="preserve">, which was informed by a methodology developed by </w:t>
      </w:r>
      <w:r w:rsidR="00964643">
        <w:t xml:space="preserve">the </w:t>
      </w:r>
      <w:r w:rsidRPr="00594A16">
        <w:t>World Economic Forum and Boston Consulting Group (2018). A key aspect of the skills</w:t>
      </w:r>
      <w:r w:rsidR="00983133">
        <w:t>-</w:t>
      </w:r>
      <w:r w:rsidRPr="00594A16">
        <w:t xml:space="preserve">matching methodology is a similarity score calculated </w:t>
      </w:r>
      <w:r w:rsidR="00983133">
        <w:t xml:space="preserve">across </w:t>
      </w:r>
      <w:r w:rsidRPr="00594A16">
        <w:t>occupations.</w:t>
      </w:r>
      <w:r w:rsidR="00F015C5">
        <w:t xml:space="preserve"> </w:t>
      </w:r>
      <w:r w:rsidR="005C2F92" w:rsidRPr="00594A16">
        <w:t xml:space="preserve">JEDI </w:t>
      </w:r>
      <w:r w:rsidR="00792900" w:rsidRPr="00594A16">
        <w:t>has</w:t>
      </w:r>
      <w:r w:rsidR="00F015C5">
        <w:t xml:space="preserve"> also</w:t>
      </w:r>
      <w:r w:rsidR="00792900" w:rsidRPr="00594A16">
        <w:t xml:space="preserve"> been used to develop a Skills Match Tool on the Job Outlook Website</w:t>
      </w:r>
      <w:r w:rsidR="00983133">
        <w:t>.</w:t>
      </w:r>
      <w:r w:rsidR="00E66C5C" w:rsidRPr="00594A16">
        <w:rPr>
          <w:rStyle w:val="FootnoteReference"/>
        </w:rPr>
        <w:footnoteReference w:id="16"/>
      </w:r>
      <w:r w:rsidR="00792900" w:rsidRPr="00594A16">
        <w:t xml:space="preserve"> This tool provides, for a </w:t>
      </w:r>
      <w:r w:rsidR="00792900" w:rsidRPr="00594A16">
        <w:lastRenderedPageBreak/>
        <w:t xml:space="preserve">given job, specific information on </w:t>
      </w:r>
      <w:r w:rsidR="00F13205">
        <w:t xml:space="preserve">the </w:t>
      </w:r>
      <w:r w:rsidR="00792900" w:rsidRPr="00594A16">
        <w:t xml:space="preserve">skill needs required for that job, with comparisons to </w:t>
      </w:r>
      <w:r w:rsidR="00F13205">
        <w:t xml:space="preserve">the </w:t>
      </w:r>
      <w:r w:rsidR="00792900" w:rsidRPr="00594A16">
        <w:t xml:space="preserve">skills required for a potential </w:t>
      </w:r>
      <w:r w:rsidR="0024412B">
        <w:t xml:space="preserve">other </w:t>
      </w:r>
      <w:r w:rsidR="00792900" w:rsidRPr="00594A16">
        <w:t xml:space="preserve">job </w:t>
      </w:r>
      <w:r w:rsidR="0024412B">
        <w:t>a person may wish to move to</w:t>
      </w:r>
      <w:r w:rsidR="00792900" w:rsidRPr="00594A16">
        <w:t xml:space="preserve"> (based on O*NET). Hence, it provides information on potential skill gaps and therefore training needs.</w:t>
      </w:r>
    </w:p>
    <w:p w14:paraId="18ECF593" w14:textId="3B0BB2F2" w:rsidR="009A2976" w:rsidRDefault="00F015C5" w:rsidP="004A16DB">
      <w:pPr>
        <w:pStyle w:val="Text"/>
      </w:pPr>
      <w:r w:rsidRPr="00594A16">
        <w:t>While the Skills Match Tool is aimed at individuals, JEDI and the Australian Skills Classification can also be utilised to undertake macro</w:t>
      </w:r>
      <w:r w:rsidR="00065174">
        <w:t>-</w:t>
      </w:r>
      <w:r w:rsidRPr="00594A16">
        <w:t>level skills supply and demand analys</w:t>
      </w:r>
      <w:r w:rsidR="00121FC1">
        <w:t>e</w:t>
      </w:r>
      <w:r w:rsidRPr="00594A16">
        <w:t>s of the entire labour market.</w:t>
      </w:r>
    </w:p>
    <w:p w14:paraId="7D923DE6" w14:textId="77777777" w:rsidR="00754AE2" w:rsidRDefault="00754AE2" w:rsidP="00754AE2">
      <w:pPr>
        <w:pStyle w:val="Heading4"/>
      </w:pPr>
      <w:r w:rsidRPr="00754AE2">
        <w:t>Other initiatives and recent study</w:t>
      </w:r>
    </w:p>
    <w:p w14:paraId="378866E8" w14:textId="3796BE9D" w:rsidR="000E36A0" w:rsidRDefault="00121FC1" w:rsidP="000E36A0">
      <w:pPr>
        <w:pStyle w:val="Text"/>
      </w:pPr>
      <w:r>
        <w:t>O</w:t>
      </w:r>
      <w:r w:rsidR="000E36A0">
        <w:t xml:space="preserve">ther more recent approaches have </w:t>
      </w:r>
      <w:r>
        <w:t>been identified as promising</w:t>
      </w:r>
      <w:r w:rsidR="000E36A0">
        <w:t xml:space="preserve">. Braham and Tobin (2020) discussed the use of digital approaches and </w:t>
      </w:r>
      <w:r w:rsidR="00CB5576">
        <w:t xml:space="preserve">the </w:t>
      </w:r>
      <w:r w:rsidR="000E36A0">
        <w:t xml:space="preserve">harvesting </w:t>
      </w:r>
      <w:r w:rsidR="00CB5576">
        <w:t xml:space="preserve">of </w:t>
      </w:r>
      <w:r w:rsidR="000E36A0">
        <w:t xml:space="preserve">big data </w:t>
      </w:r>
      <w:r w:rsidR="00CB5576">
        <w:t xml:space="preserve">in order </w:t>
      </w:r>
      <w:r w:rsidR="000E36A0">
        <w:t>to g</w:t>
      </w:r>
      <w:r w:rsidR="003F552B">
        <w:t>ain</w:t>
      </w:r>
      <w:r w:rsidR="000E36A0">
        <w:t xml:space="preserve"> information on skills supply and demand. This includes mining self-reported skills data from anonymised job seeker profiles (skills supply) and employer job postings (skills demand). Platforms from which the data can be harvested include LinkedIn. </w:t>
      </w:r>
      <w:r w:rsidR="00624656">
        <w:t>D</w:t>
      </w:r>
      <w:r w:rsidR="000E36A0">
        <w:t xml:space="preserve">ata </w:t>
      </w:r>
      <w:r w:rsidR="00624656">
        <w:t xml:space="preserve">are also </w:t>
      </w:r>
      <w:r w:rsidR="000E36A0">
        <w:t>available from forums that specialise in web and data scraping</w:t>
      </w:r>
      <w:r w:rsidR="00E8175A">
        <w:t>,</w:t>
      </w:r>
      <w:r w:rsidR="000E36A0">
        <w:t xml:space="preserve"> such as Burning Glass Technologies (see</w:t>
      </w:r>
      <w:r w:rsidR="00E8175A">
        <w:t>,</w:t>
      </w:r>
      <w:r w:rsidR="000E36A0">
        <w:t xml:space="preserve"> </w:t>
      </w:r>
      <w:r w:rsidR="00624656">
        <w:t>for example,</w:t>
      </w:r>
      <w:r w:rsidR="000E36A0">
        <w:t xml:space="preserve"> Korbel 2018). Others include Vicinity Jobs Technologies</w:t>
      </w:r>
      <w:r w:rsidR="00E508AD">
        <w:t>,</w:t>
      </w:r>
      <w:r w:rsidR="000E36A0">
        <w:t xml:space="preserve"> Magnet (which take data directly from job portals) and Adzuna (a job</w:t>
      </w:r>
      <w:r w:rsidR="00E8175A">
        <w:t>-</w:t>
      </w:r>
      <w:r w:rsidR="000E36A0">
        <w:t>search engine).</w:t>
      </w:r>
      <w:r w:rsidR="00D6108C">
        <w:t xml:space="preserve"> </w:t>
      </w:r>
    </w:p>
    <w:p w14:paraId="06E0A6BB" w14:textId="0181D461" w:rsidR="000E36A0" w:rsidRDefault="00E8175A" w:rsidP="000E36A0">
      <w:pPr>
        <w:pStyle w:val="Text"/>
      </w:pPr>
      <w:r>
        <w:t xml:space="preserve">Considerable advantages </w:t>
      </w:r>
      <w:r w:rsidR="000E36A0">
        <w:t>to using these approaches</w:t>
      </w:r>
      <w:r>
        <w:t xml:space="preserve"> have been identified,</w:t>
      </w:r>
      <w:r w:rsidR="000E36A0">
        <w:t xml:space="preserve"> including access to timely and granular</w:t>
      </w:r>
      <w:r>
        <w:t>-</w:t>
      </w:r>
      <w:r w:rsidR="000E36A0">
        <w:t>level data. These techniques can also be cost</w:t>
      </w:r>
      <w:r>
        <w:t>-</w:t>
      </w:r>
      <w:r w:rsidR="000E36A0">
        <w:t xml:space="preserve">effective and an efficient way of linking skills to jobs. </w:t>
      </w:r>
    </w:p>
    <w:p w14:paraId="7368FC3E" w14:textId="464C4EB8" w:rsidR="000E36A0" w:rsidRDefault="00815CA7" w:rsidP="000E36A0">
      <w:pPr>
        <w:pStyle w:val="Text"/>
      </w:pPr>
      <w:r>
        <w:t xml:space="preserve">These approaches </w:t>
      </w:r>
      <w:r w:rsidR="000E36A0">
        <w:t xml:space="preserve">also </w:t>
      </w:r>
      <w:r>
        <w:t xml:space="preserve">have </w:t>
      </w:r>
      <w:r w:rsidR="000E36A0">
        <w:t>limitations. Brah</w:t>
      </w:r>
      <w:r w:rsidR="00B04C00">
        <w:t>a</w:t>
      </w:r>
      <w:r w:rsidR="000E36A0">
        <w:t>m and Tobin (2020) noted that each of these organisations use</w:t>
      </w:r>
      <w:r w:rsidR="0037687A">
        <w:t>s its</w:t>
      </w:r>
      <w:r w:rsidR="000E36A0">
        <w:t xml:space="preserve"> own classification system</w:t>
      </w:r>
      <w:r w:rsidR="0037687A">
        <w:t>, meaning that</w:t>
      </w:r>
      <w:r w:rsidR="000E36A0">
        <w:t xml:space="preserve"> there is no one common skills classification used to organise the data.</w:t>
      </w:r>
      <w:r w:rsidR="0037687A">
        <w:t xml:space="preserve"> The s</w:t>
      </w:r>
      <w:r w:rsidR="000E36A0">
        <w:t xml:space="preserve">kills </w:t>
      </w:r>
      <w:r w:rsidR="00E508AD">
        <w:t xml:space="preserve">that </w:t>
      </w:r>
      <w:r w:rsidR="000E36A0">
        <w:t xml:space="preserve">employers want, or </w:t>
      </w:r>
      <w:r w:rsidR="00F638C5">
        <w:t xml:space="preserve">the </w:t>
      </w:r>
      <w:r w:rsidR="000E36A0">
        <w:t>skills</w:t>
      </w:r>
      <w:r w:rsidR="0064562B">
        <w:t xml:space="preserve"> that</w:t>
      </w:r>
      <w:r w:rsidR="000E36A0">
        <w:t xml:space="preserve"> job seekers have, can be exaggerated in job ads and job</w:t>
      </w:r>
      <w:r w:rsidR="00F638C5">
        <w:t>-</w:t>
      </w:r>
      <w:r w:rsidR="000E36A0">
        <w:t xml:space="preserve">seeker profiles. In addition, descriptors </w:t>
      </w:r>
      <w:r w:rsidR="00B91ACE">
        <w:t xml:space="preserve">that are not actually skills </w:t>
      </w:r>
      <w:r w:rsidR="000E36A0">
        <w:t xml:space="preserve">can be </w:t>
      </w:r>
      <w:r w:rsidR="00B91ACE">
        <w:t>identified</w:t>
      </w:r>
      <w:r w:rsidR="000E36A0">
        <w:t xml:space="preserve"> and organised, or they are </w:t>
      </w:r>
      <w:r w:rsidR="00B91ACE">
        <w:t xml:space="preserve">taken </w:t>
      </w:r>
      <w:r w:rsidR="000E36A0">
        <w:t>out of context. Furthermore, not all jobs are posted electronically</w:t>
      </w:r>
      <w:r w:rsidR="0064562B">
        <w:t>,</w:t>
      </w:r>
      <w:r w:rsidR="000E36A0">
        <w:t xml:space="preserve"> so it is not known how representative </w:t>
      </w:r>
      <w:r w:rsidR="00AB75A0">
        <w:t xml:space="preserve">the </w:t>
      </w:r>
      <w:r w:rsidR="000E36A0">
        <w:t xml:space="preserve">data posted online </w:t>
      </w:r>
      <w:r w:rsidR="00AB75A0">
        <w:t>are</w:t>
      </w:r>
      <w:r w:rsidR="000E36A0">
        <w:t xml:space="preserve"> of the total job market</w:t>
      </w:r>
      <w:r w:rsidR="000D50DB">
        <w:t>, with an</w:t>
      </w:r>
      <w:r w:rsidR="000E36A0">
        <w:t xml:space="preserve"> inherent bias </w:t>
      </w:r>
      <w:r w:rsidR="000D50DB">
        <w:t>a possibility</w:t>
      </w:r>
      <w:r w:rsidR="000E36A0">
        <w:t xml:space="preserve">. </w:t>
      </w:r>
      <w:r w:rsidR="00FC0DBE">
        <w:t>Evidence</w:t>
      </w:r>
      <w:r w:rsidR="000E36A0">
        <w:t xml:space="preserve"> suggest</w:t>
      </w:r>
      <w:r w:rsidR="00FC0DBE">
        <w:t>s</w:t>
      </w:r>
      <w:r w:rsidR="000E36A0">
        <w:t xml:space="preserve"> that employers in some areas</w:t>
      </w:r>
      <w:r w:rsidR="00FC0DBE">
        <w:t>,</w:t>
      </w:r>
      <w:r w:rsidR="000E36A0">
        <w:t xml:space="preserve"> such as information technology and health</w:t>
      </w:r>
      <w:r w:rsidR="00FC0DBE">
        <w:t>,</w:t>
      </w:r>
      <w:r w:rsidR="000E36A0">
        <w:t xml:space="preserve"> are more likely to post jobs online than </w:t>
      </w:r>
      <w:r w:rsidR="00FC0DBE">
        <w:t xml:space="preserve">those </w:t>
      </w:r>
      <w:r w:rsidR="000E36A0">
        <w:t>in other areas. There are also some challenges in terms of data quality</w:t>
      </w:r>
      <w:r w:rsidR="00B3269D">
        <w:t>,</w:t>
      </w:r>
      <w:r w:rsidR="000E36A0">
        <w:t xml:space="preserve"> such as classifying job information correctly and </w:t>
      </w:r>
      <w:r w:rsidR="00B3269D">
        <w:t>excluding</w:t>
      </w:r>
      <w:r w:rsidR="000E36A0">
        <w:t xml:space="preserve"> duplicate postings.</w:t>
      </w:r>
    </w:p>
    <w:p w14:paraId="1DA1CC17" w14:textId="79238F93" w:rsidR="000E36A0" w:rsidRDefault="000E36A0" w:rsidP="000E36A0">
      <w:pPr>
        <w:pStyle w:val="Text"/>
      </w:pPr>
      <w:r w:rsidRPr="00594A16">
        <w:t xml:space="preserve">In Australia, in addition to being </w:t>
      </w:r>
      <w:r w:rsidR="00594A16" w:rsidRPr="0033726A">
        <w:t>an input into</w:t>
      </w:r>
      <w:r w:rsidRPr="00594A16">
        <w:t xml:space="preserve"> JEDI (see earlier), Burning Glass data </w:t>
      </w:r>
      <w:r w:rsidR="00A15749">
        <w:t>are</w:t>
      </w:r>
      <w:r w:rsidRPr="00594A16">
        <w:t xml:space="preserve"> also used in the National Industry Insights Report</w:t>
      </w:r>
      <w:r w:rsidR="00E66C5C" w:rsidRPr="00594A16">
        <w:rPr>
          <w:rStyle w:val="FootnoteReference"/>
        </w:rPr>
        <w:footnoteReference w:id="17"/>
      </w:r>
      <w:r w:rsidRPr="00594A16">
        <w:t xml:space="preserve"> to provide information on employers’ skill needs for various industry sectors. Despite the drawbacks and caveats associated with the Burning Glass data, as mentioned above, it is nevertheless an important source of information.</w:t>
      </w:r>
      <w:r>
        <w:t xml:space="preserve"> </w:t>
      </w:r>
    </w:p>
    <w:p w14:paraId="66A574CC" w14:textId="0D49A7F1" w:rsidR="000E36A0" w:rsidRDefault="000E36A0" w:rsidP="000E36A0">
      <w:pPr>
        <w:pStyle w:val="Text"/>
      </w:pPr>
      <w:r>
        <w:t xml:space="preserve">There has been a recent attempt in Australia to estimate the stock of skills of the workforce. AlphaBeta (2019) estimated the average amount of time </w:t>
      </w:r>
      <w:r w:rsidR="006A6519">
        <w:t xml:space="preserve">that </w:t>
      </w:r>
      <w:r>
        <w:t>working</w:t>
      </w:r>
      <w:r w:rsidR="006A6519">
        <w:t>-</w:t>
      </w:r>
      <w:r>
        <w:t>age Australians spend in school, tertiary education, other formal training and on-the-job training</w:t>
      </w:r>
      <w:r w:rsidR="00121B90">
        <w:t>,</w:t>
      </w:r>
      <w:r>
        <w:t xml:space="preserve"> using information obtained from various sources</w:t>
      </w:r>
      <w:r w:rsidR="006A6519">
        <w:t>,</w:t>
      </w:r>
      <w:r>
        <w:t xml:space="preserve"> including the </w:t>
      </w:r>
      <w:r w:rsidR="002E7BC7">
        <w:t>c</w:t>
      </w:r>
      <w:r>
        <w:t xml:space="preserve">ensus and other </w:t>
      </w:r>
      <w:r w:rsidR="00121B90">
        <w:t>ABS</w:t>
      </w:r>
      <w:r>
        <w:t xml:space="preserve"> data, as well as O*NET. The O*NET data w</w:t>
      </w:r>
      <w:r w:rsidR="007513E4">
        <w:t>ere</w:t>
      </w:r>
      <w:r>
        <w:t xml:space="preserve"> used to allocate skills, knowledge, abilities and work styles across occupations to an education level and a training source. This then allowed for a cumulative training profile for each occupation and</w:t>
      </w:r>
      <w:r w:rsidR="008F6500">
        <w:t>,</w:t>
      </w:r>
      <w:r>
        <w:t xml:space="preserve"> following this</w:t>
      </w:r>
      <w:r w:rsidR="008F6500">
        <w:t>,</w:t>
      </w:r>
      <w:r>
        <w:t xml:space="preserve"> an estimate of time for training for each skill in each occupation. In sum, AlphaBeta estimated an average 24 000 hours of education and training for working-aged Australians</w:t>
      </w:r>
      <w:r w:rsidR="008F6500">
        <w:t>,</w:t>
      </w:r>
      <w:r>
        <w:t xml:space="preserve"> which equates to a stock of education and training across the population of 300 billion hours. This was then extrapolated to the year 2040</w:t>
      </w:r>
      <w:r w:rsidR="00E367CD">
        <w:t>,</w:t>
      </w:r>
      <w:r>
        <w:t xml:space="preserve"> with a calculation of 600 billion hours of education and training required to ensure </w:t>
      </w:r>
      <w:r w:rsidR="002E06A2">
        <w:t xml:space="preserve">that </w:t>
      </w:r>
      <w:r>
        <w:t>the workforce is fully equipped for future needs. Skills needed in the future were seen to be those that complement automation</w:t>
      </w:r>
      <w:r w:rsidR="002E06A2">
        <w:t>,</w:t>
      </w:r>
      <w:r>
        <w:t xml:space="preserve"> with the fastest growing skills being those </w:t>
      </w:r>
      <w:r w:rsidR="009344EE">
        <w:t>attached to people,</w:t>
      </w:r>
      <w:r>
        <w:t xml:space="preserve"> such as adaptability, teamwork, creativity and integrity. Interestingly, most of the post</w:t>
      </w:r>
      <w:r w:rsidR="009344EE">
        <w:t>-</w:t>
      </w:r>
      <w:r>
        <w:t>initial training is</w:t>
      </w:r>
      <w:r w:rsidR="00C526C9">
        <w:t xml:space="preserve"> not</w:t>
      </w:r>
      <w:r>
        <w:t xml:space="preserve"> </w:t>
      </w:r>
      <w:r>
        <w:lastRenderedPageBreak/>
        <w:t>seen as being formal courses/qualifications at a tertiary institutions but rather on-the-job training and short courses. The AlphaBeta study is one approach to estimating skills in the economy (ultimately formulated in hours). This approach also utilises the skills data in O*NET.</w:t>
      </w:r>
      <w:r w:rsidR="00D6108C">
        <w:t xml:space="preserve"> </w:t>
      </w:r>
      <w:r>
        <w:t xml:space="preserve"> </w:t>
      </w:r>
    </w:p>
    <w:p w14:paraId="2CCFDB0A" w14:textId="77777777" w:rsidR="000E36A0" w:rsidRDefault="000E36A0" w:rsidP="000E36A0">
      <w:pPr>
        <w:pStyle w:val="Heading2"/>
      </w:pPr>
      <w:bookmarkStart w:id="27" w:name="_Toc66774407"/>
      <w:r w:rsidRPr="000E36A0">
        <w:t>Measuring stocks of skills in Australia</w:t>
      </w:r>
      <w:bookmarkEnd w:id="27"/>
    </w:p>
    <w:p w14:paraId="5AC6575C" w14:textId="5286C820" w:rsidR="000E36A0" w:rsidRDefault="00282B9C" w:rsidP="000E36A0">
      <w:pPr>
        <w:pStyle w:val="Text"/>
      </w:pPr>
      <w:r>
        <w:t>Considering</w:t>
      </w:r>
      <w:r w:rsidR="000E36A0" w:rsidRPr="000E36A0">
        <w:t xml:space="preserve"> the types of </w:t>
      </w:r>
      <w:proofErr w:type="gramStart"/>
      <w:r w:rsidR="000E36A0" w:rsidRPr="000E36A0">
        <w:t>data</w:t>
      </w:r>
      <w:proofErr w:type="gramEnd"/>
      <w:r w:rsidR="000E36A0" w:rsidRPr="000E36A0">
        <w:t xml:space="preserve"> we have available in Australia, particularly indicators-based data, but also skills classification</w:t>
      </w:r>
      <w:r w:rsidR="003D604C">
        <w:t>-</w:t>
      </w:r>
      <w:r w:rsidR="000E36A0" w:rsidRPr="000E36A0">
        <w:t>related information, we can arrive at a concept map for qualifications and skills supply and demand data for Australia (figure 1). The map shows the types of elements we need to think about in measuring skills supply and demand</w:t>
      </w:r>
      <w:r w:rsidR="003D604C">
        <w:t>;</w:t>
      </w:r>
      <w:r w:rsidR="000E36A0" w:rsidRPr="000E36A0">
        <w:t xml:space="preserve"> associated with this </w:t>
      </w:r>
      <w:r w:rsidR="00CA2605">
        <w:t xml:space="preserve">are </w:t>
      </w:r>
      <w:r w:rsidR="000E36A0" w:rsidRPr="000E36A0">
        <w:t>the possible data sources we have available for information on those elements.</w:t>
      </w:r>
      <w:r w:rsidR="00D6108C">
        <w:t xml:space="preserve"> </w:t>
      </w:r>
    </w:p>
    <w:p w14:paraId="1A61B838" w14:textId="22976F5A" w:rsidR="00A111FE" w:rsidRDefault="00157F0A" w:rsidP="00A111FE">
      <w:pPr>
        <w:pStyle w:val="Figuretitle"/>
      </w:pPr>
      <w:bookmarkStart w:id="28" w:name="_Toc66363718"/>
      <w:r w:rsidRPr="00157F0A">
        <w:rPr>
          <w:rFonts w:ascii="Trebuchet MS" w:hAnsi="Trebuchet MS"/>
          <w:noProof/>
          <w:sz w:val="19"/>
        </w:rPr>
        <mc:AlternateContent>
          <mc:Choice Requires="wpg">
            <w:drawing>
              <wp:anchor distT="0" distB="0" distL="114300" distR="114300" simplePos="0" relativeHeight="251669504" behindDoc="0" locked="0" layoutInCell="1" allowOverlap="1" wp14:anchorId="70E089FC" wp14:editId="166CE1C7">
                <wp:simplePos x="0" y="0"/>
                <wp:positionH relativeFrom="margin">
                  <wp:posOffset>-462280</wp:posOffset>
                </wp:positionH>
                <wp:positionV relativeFrom="paragraph">
                  <wp:posOffset>521970</wp:posOffset>
                </wp:positionV>
                <wp:extent cx="6669405" cy="5923915"/>
                <wp:effectExtent l="0" t="0" r="0" b="635"/>
                <wp:wrapTopAndBottom/>
                <wp:docPr id="293" name="Group 293"/>
                <wp:cNvGraphicFramePr/>
                <a:graphic xmlns:a="http://schemas.openxmlformats.org/drawingml/2006/main">
                  <a:graphicData uri="http://schemas.microsoft.com/office/word/2010/wordprocessingGroup">
                    <wpg:wgp>
                      <wpg:cNvGrpSpPr/>
                      <wpg:grpSpPr>
                        <a:xfrm>
                          <a:off x="0" y="0"/>
                          <a:ext cx="6669405" cy="5923915"/>
                          <a:chOff x="-9530" y="-9547"/>
                          <a:chExt cx="6669530" cy="5938493"/>
                        </a:xfrm>
                      </wpg:grpSpPr>
                      <wpg:grpSp>
                        <wpg:cNvPr id="294" name="Group 294"/>
                        <wpg:cNvGrpSpPr>
                          <a:grpSpLocks noChangeAspect="1"/>
                        </wpg:cNvGrpSpPr>
                        <wpg:grpSpPr>
                          <a:xfrm>
                            <a:off x="-9530" y="-9547"/>
                            <a:ext cx="6669530" cy="5938493"/>
                            <a:chOff x="153720" y="-9719"/>
                            <a:chExt cx="6790001" cy="6045749"/>
                          </a:xfrm>
                        </wpg:grpSpPr>
                        <wpg:grpSp>
                          <wpg:cNvPr id="295" name="Group 295"/>
                          <wpg:cNvGrpSpPr/>
                          <wpg:grpSpPr>
                            <a:xfrm>
                              <a:off x="153720" y="-9719"/>
                              <a:ext cx="6790001" cy="6045749"/>
                              <a:chOff x="153720" y="-9720"/>
                              <a:chExt cx="6790001" cy="6046213"/>
                            </a:xfrm>
                          </wpg:grpSpPr>
                          <wpg:grpSp>
                            <wpg:cNvPr id="296" name="Group 296"/>
                            <wpg:cNvGrpSpPr/>
                            <wpg:grpSpPr>
                              <a:xfrm>
                                <a:off x="153720" y="-9720"/>
                                <a:ext cx="6789587" cy="3311999"/>
                                <a:chOff x="153720" y="-9720"/>
                                <a:chExt cx="6789587" cy="3311999"/>
                              </a:xfrm>
                            </wpg:grpSpPr>
                            <wps:wsp>
                              <wps:cNvPr id="297" name="Text Box 2"/>
                              <wps:cNvSpPr txBox="1">
                                <a:spLocks noChangeArrowheads="1"/>
                              </wps:cNvSpPr>
                              <wps:spPr bwMode="auto">
                                <a:xfrm>
                                  <a:off x="153720" y="-9720"/>
                                  <a:ext cx="3577872" cy="2265142"/>
                                </a:xfrm>
                                <a:prstGeom prst="rect">
                                  <a:avLst/>
                                </a:prstGeom>
                                <a:solidFill>
                                  <a:srgbClr val="FFFFFF"/>
                                </a:solidFill>
                                <a:ln w="9525">
                                  <a:noFill/>
                                  <a:miter lim="800000"/>
                                  <a:headEnd/>
                                  <a:tailEnd/>
                                </a:ln>
                              </wps:spPr>
                              <wps:txbx>
                                <w:txbxContent>
                                  <w:tbl>
                                    <w:tblPr>
                                      <w:tblStyle w:val="NCVERTable5"/>
                                      <w:tblW w:w="0" w:type="auto"/>
                                      <w:tblBorders>
                                        <w:top w:val="none" w:sz="0" w:space="0" w:color="auto"/>
                                        <w:bottom w:val="none" w:sz="0" w:space="0" w:color="auto"/>
                                        <w:insideH w:val="single" w:sz="4" w:space="0" w:color="auto"/>
                                      </w:tblBorders>
                                      <w:tblLook w:val="04A0" w:firstRow="1" w:lastRow="0" w:firstColumn="1" w:lastColumn="0" w:noHBand="0" w:noVBand="1"/>
                                    </w:tblPr>
                                    <w:tblGrid>
                                      <w:gridCol w:w="2014"/>
                                      <w:gridCol w:w="1992"/>
                                      <w:gridCol w:w="1231"/>
                                    </w:tblGrid>
                                    <w:tr w:rsidR="00157F0A" w:rsidRPr="00157F0A" w14:paraId="30576270" w14:textId="77777777" w:rsidTr="00C83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3"/>
                                          <w:tcBorders>
                                            <w:left w:val="single" w:sz="4" w:space="0" w:color="auto"/>
                                            <w:right w:val="single" w:sz="4" w:space="0" w:color="auto"/>
                                          </w:tcBorders>
                                        </w:tcPr>
                                        <w:p w14:paraId="0D4BCF2B" w14:textId="77777777" w:rsidR="00157F0A" w:rsidRPr="00157F0A" w:rsidRDefault="00157F0A" w:rsidP="00157F0A">
                                          <w:pPr>
                                            <w:pStyle w:val="TableText0"/>
                                            <w:rPr>
                                              <w:rStyle w:val="Emphasis"/>
                                              <w:i w:val="0"/>
                                              <w:iCs w:val="0"/>
                                              <w:sz w:val="20"/>
                                              <w:szCs w:val="20"/>
                                            </w:rPr>
                                          </w:pPr>
                                          <w:r w:rsidRPr="00157F0A">
                                            <w:rPr>
                                              <w:rStyle w:val="Strong"/>
                                              <w:color w:val="79288C"/>
                                              <w:sz w:val="20"/>
                                              <w:szCs w:val="20"/>
                                            </w:rPr>
                                            <w:t>SKILLS INPUTS</w:t>
                                          </w:r>
                                        </w:p>
                                      </w:tc>
                                    </w:tr>
                                    <w:tr w:rsidR="00157F0A" w:rsidRPr="00157F0A" w14:paraId="3669632E" w14:textId="77777777" w:rsidTr="00C8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nil"/>
                                            <w:right w:val="single" w:sz="4" w:space="0" w:color="auto"/>
                                          </w:tcBorders>
                                        </w:tcPr>
                                        <w:p w14:paraId="236836E9" w14:textId="77777777" w:rsidR="00157F0A" w:rsidRPr="00157F0A" w:rsidRDefault="00157F0A" w:rsidP="00157F0A">
                                          <w:pPr>
                                            <w:pStyle w:val="TableText0"/>
                                            <w:rPr>
                                              <w:rStyle w:val="Emphasis"/>
                                              <w:b/>
                                              <w:i w:val="0"/>
                                              <w:iCs w:val="0"/>
                                            </w:rPr>
                                          </w:pPr>
                                          <w:r w:rsidRPr="00157F0A">
                                            <w:rPr>
                                              <w:rStyle w:val="Emphasis"/>
                                              <w:b/>
                                              <w:i w:val="0"/>
                                              <w:iCs w:val="0"/>
                                            </w:rPr>
                                            <w:t>Formal learning (AQF qualifications)</w:t>
                                          </w:r>
                                        </w:p>
                                      </w:tc>
                                      <w:tc>
                                        <w:tcPr>
                                          <w:tcW w:w="2118" w:type="dxa"/>
                                          <w:tcBorders>
                                            <w:top w:val="single" w:sz="4" w:space="0" w:color="auto"/>
                                            <w:left w:val="single" w:sz="4" w:space="0" w:color="auto"/>
                                            <w:bottom w:val="nil"/>
                                            <w:right w:val="single" w:sz="4" w:space="0" w:color="auto"/>
                                          </w:tcBorders>
                                        </w:tcPr>
                                        <w:p w14:paraId="700F4269" w14:textId="77777777" w:rsidR="00157F0A" w:rsidRPr="00157F0A" w:rsidRDefault="00157F0A" w:rsidP="00157F0A">
                                          <w:pPr>
                                            <w:pStyle w:val="TableText0"/>
                                            <w:cnfStyle w:val="000000100000" w:firstRow="0" w:lastRow="0" w:firstColumn="0" w:lastColumn="0" w:oddVBand="0" w:evenVBand="0" w:oddHBand="1" w:evenHBand="0" w:firstRowFirstColumn="0" w:firstRowLastColumn="0" w:lastRowFirstColumn="0" w:lastRowLastColumn="0"/>
                                            <w:rPr>
                                              <w:rStyle w:val="Emphasis"/>
                                              <w:i w:val="0"/>
                                              <w:iCs w:val="0"/>
                                            </w:rPr>
                                          </w:pPr>
                                          <w:r w:rsidRPr="00157F0A">
                                            <w:rPr>
                                              <w:rStyle w:val="Emphasis"/>
                                              <w:i w:val="0"/>
                                              <w:iCs w:val="0"/>
                                            </w:rPr>
                                            <w:t>Formal non-qualification learning</w:t>
                                          </w:r>
                                        </w:p>
                                      </w:tc>
                                      <w:tc>
                                        <w:tcPr>
                                          <w:tcW w:w="1289" w:type="dxa"/>
                                          <w:tcBorders>
                                            <w:top w:val="single" w:sz="4" w:space="0" w:color="auto"/>
                                            <w:left w:val="single" w:sz="4" w:space="0" w:color="auto"/>
                                            <w:bottom w:val="nil"/>
                                            <w:right w:val="single" w:sz="4" w:space="0" w:color="auto"/>
                                          </w:tcBorders>
                                        </w:tcPr>
                                        <w:p w14:paraId="1473B813" w14:textId="77777777" w:rsidR="00157F0A" w:rsidRPr="00157F0A" w:rsidRDefault="00157F0A" w:rsidP="00157F0A">
                                          <w:pPr>
                                            <w:pStyle w:val="TableText0"/>
                                            <w:cnfStyle w:val="000000100000" w:firstRow="0" w:lastRow="0" w:firstColumn="0" w:lastColumn="0" w:oddVBand="0" w:evenVBand="0" w:oddHBand="1" w:evenHBand="0" w:firstRowFirstColumn="0" w:firstRowLastColumn="0" w:lastRowFirstColumn="0" w:lastRowLastColumn="0"/>
                                            <w:rPr>
                                              <w:rStyle w:val="Emphasis"/>
                                              <w:i w:val="0"/>
                                              <w:iCs w:val="0"/>
                                            </w:rPr>
                                          </w:pPr>
                                          <w:r w:rsidRPr="00157F0A">
                                            <w:rPr>
                                              <w:rStyle w:val="Emphasis"/>
                                              <w:i w:val="0"/>
                                              <w:iCs w:val="0"/>
                                            </w:rPr>
                                            <w:t>Informal learning</w:t>
                                          </w:r>
                                        </w:p>
                                      </w:tc>
                                    </w:tr>
                                    <w:tr w:rsidR="00157F0A" w:rsidRPr="00157F0A" w14:paraId="35A29253" w14:textId="77777777" w:rsidTr="003C584E">
                                      <w:trPr>
                                        <w:trHeight w:val="1321"/>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single" w:sz="4" w:space="0" w:color="auto"/>
                                            <w:right w:val="single" w:sz="4" w:space="0" w:color="auto"/>
                                          </w:tcBorders>
                                        </w:tcPr>
                                        <w:p w14:paraId="040EB0FC" w14:textId="77777777" w:rsidR="00157F0A" w:rsidRPr="00157F0A" w:rsidRDefault="00157F0A" w:rsidP="00157F0A">
                                          <w:pPr>
                                            <w:pStyle w:val="TableText0"/>
                                            <w:jc w:val="left"/>
                                          </w:pPr>
                                          <w:r w:rsidRPr="00157F0A">
                                            <w:t>Schooling</w:t>
                                          </w:r>
                                        </w:p>
                                        <w:p w14:paraId="42A85BC9" w14:textId="77777777" w:rsidR="00157F0A" w:rsidRPr="00157F0A" w:rsidRDefault="00157F0A" w:rsidP="00157F0A">
                                          <w:pPr>
                                            <w:pStyle w:val="TableText0"/>
                                            <w:jc w:val="left"/>
                                          </w:pPr>
                                          <w:r w:rsidRPr="00157F0A">
                                            <w:t>Vocational education and training</w:t>
                                          </w:r>
                                        </w:p>
                                        <w:p w14:paraId="4FD5F640" w14:textId="77777777" w:rsidR="00157F0A" w:rsidRPr="00157F0A" w:rsidRDefault="00157F0A" w:rsidP="00157F0A">
                                          <w:pPr>
                                            <w:pStyle w:val="TableText0"/>
                                            <w:jc w:val="left"/>
                                          </w:pPr>
                                          <w:r w:rsidRPr="00157F0A">
                                            <w:t>Higher education</w:t>
                                          </w:r>
                                        </w:p>
                                      </w:tc>
                                      <w:tc>
                                        <w:tcPr>
                                          <w:tcW w:w="0" w:type="dxa"/>
                                          <w:tcBorders>
                                            <w:top w:val="nil"/>
                                            <w:left w:val="single" w:sz="4" w:space="0" w:color="auto"/>
                                            <w:bottom w:val="single" w:sz="4" w:space="0" w:color="auto"/>
                                            <w:right w:val="single" w:sz="4" w:space="0" w:color="auto"/>
                                          </w:tcBorders>
                                        </w:tcPr>
                                        <w:p w14:paraId="5E54D2FC"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Non-completed qualifications</w:t>
                                          </w:r>
                                        </w:p>
                                        <w:p w14:paraId="772EF04D"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Skill sets</w:t>
                                          </w:r>
                                        </w:p>
                                        <w:p w14:paraId="5EC5A33F"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Work-related training</w:t>
                                          </w:r>
                                        </w:p>
                                      </w:tc>
                                      <w:tc>
                                        <w:tcPr>
                                          <w:tcW w:w="0" w:type="dxa"/>
                                          <w:tcBorders>
                                            <w:top w:val="nil"/>
                                            <w:left w:val="single" w:sz="4" w:space="0" w:color="auto"/>
                                            <w:bottom w:val="single" w:sz="4" w:space="0" w:color="auto"/>
                                            <w:right w:val="single" w:sz="4" w:space="0" w:color="auto"/>
                                          </w:tcBorders>
                                        </w:tcPr>
                                        <w:p w14:paraId="5F1489AB"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 xml:space="preserve">On-the-job learning </w:t>
                                          </w:r>
                                        </w:p>
                                        <w:p w14:paraId="31F24089"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Personal interest learning</w:t>
                                          </w:r>
                                        </w:p>
                                      </w:tc>
                                    </w:tr>
                                    <w:tr w:rsidR="00157F0A" w:rsidRPr="00157F0A" w14:paraId="431D3AAA" w14:textId="77777777" w:rsidTr="00C8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3"/>
                                          <w:tcBorders>
                                            <w:top w:val="single" w:sz="4" w:space="0" w:color="auto"/>
                                            <w:left w:val="single" w:sz="4" w:space="0" w:color="auto"/>
                                            <w:bottom w:val="single" w:sz="4" w:space="0" w:color="auto"/>
                                            <w:right w:val="single" w:sz="4" w:space="0" w:color="auto"/>
                                          </w:tcBorders>
                                        </w:tcPr>
                                        <w:p w14:paraId="38D449BA" w14:textId="77777777" w:rsidR="00157F0A" w:rsidRPr="00157F0A" w:rsidRDefault="00157F0A" w:rsidP="00157F0A">
                                          <w:pPr>
                                            <w:pStyle w:val="TableText0"/>
                                            <w:rPr>
                                              <w:b/>
                                            </w:rPr>
                                          </w:pPr>
                                          <w:r w:rsidRPr="00157F0A">
                                            <w:rPr>
                                              <w:b/>
                                            </w:rPr>
                                            <w:t>Depreciation of skills</w:t>
                                          </w:r>
                                        </w:p>
                                      </w:tc>
                                    </w:tr>
                                  </w:tbl>
                                  <w:p w14:paraId="53605A48" w14:textId="77777777" w:rsidR="00157F0A" w:rsidRPr="00157F0A" w:rsidRDefault="00157F0A" w:rsidP="00157F0A">
                                    <w:pPr>
                                      <w:rPr>
                                        <w:rFonts w:ascii="Arial" w:hAnsi="Arial" w:cs="Arial"/>
                                      </w:rPr>
                                    </w:pPr>
                                  </w:p>
                                </w:txbxContent>
                              </wps:txbx>
                              <wps:bodyPr rot="0" vert="horz" wrap="square" lIns="91440" tIns="45720" rIns="91440" bIns="45720" anchor="t" anchorCtr="0">
                                <a:noAutofit/>
                              </wps:bodyPr>
                            </wps:wsp>
                            <wps:wsp>
                              <wps:cNvPr id="298" name="Text Box 2"/>
                              <wps:cNvSpPr txBox="1">
                                <a:spLocks noChangeArrowheads="1"/>
                              </wps:cNvSpPr>
                              <wps:spPr bwMode="auto">
                                <a:xfrm>
                                  <a:off x="3790559" y="2"/>
                                  <a:ext cx="3152748" cy="2575954"/>
                                </a:xfrm>
                                <a:prstGeom prst="rect">
                                  <a:avLst/>
                                </a:prstGeom>
                                <a:solidFill>
                                  <a:srgbClr val="FFFFFF"/>
                                </a:solidFill>
                                <a:ln w="9525">
                                  <a:noFill/>
                                  <a:miter lim="800000"/>
                                  <a:headEnd/>
                                  <a:tailEnd/>
                                </a:ln>
                              </wps:spPr>
                              <wps:txbx>
                                <w:txbxContent>
                                  <w:tbl>
                                    <w:tblPr>
                                      <w:tblStyle w:val="NCVERTable5"/>
                                      <w:tblW w:w="4678" w:type="dxa"/>
                                      <w:tblBorders>
                                        <w:insideH w:val="single" w:sz="4" w:space="0" w:color="auto"/>
                                      </w:tblBorders>
                                      <w:shd w:val="clear" w:color="auto" w:fill="F2F2F2"/>
                                      <w:tblLook w:val="04A0" w:firstRow="1" w:lastRow="0" w:firstColumn="1" w:lastColumn="0" w:noHBand="0" w:noVBand="1"/>
                                    </w:tblPr>
                                    <w:tblGrid>
                                      <w:gridCol w:w="4678"/>
                                    </w:tblGrid>
                                    <w:tr w:rsidR="00157F0A" w14:paraId="3624D183" w14:textId="77777777" w:rsidTr="0022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327463C9" w14:textId="77777777" w:rsidR="00157F0A" w:rsidRPr="00226E86" w:rsidRDefault="00157F0A" w:rsidP="00157F0A">
                                          <w:pPr>
                                            <w:pStyle w:val="TableText0"/>
                                            <w:rPr>
                                              <w:rStyle w:val="Emphasis"/>
                                              <w:rFonts w:ascii="Trebuchet MS" w:hAnsi="Trebuchet MS" w:cs="Times New Roman"/>
                                              <w:bCs w:val="0"/>
                                              <w:i w:val="0"/>
                                              <w:iCs w:val="0"/>
                                              <w:sz w:val="19"/>
                                              <w:szCs w:val="20"/>
                                            </w:rPr>
                                          </w:pPr>
                                          <w:r w:rsidRPr="00226E86">
                                            <w:rPr>
                                              <w:rStyle w:val="Strong"/>
                                            </w:rPr>
                                            <w:t>Possible data sources</w:t>
                                          </w:r>
                                        </w:p>
                                      </w:tc>
                                    </w:tr>
                                    <w:tr w:rsidR="00157F0A" w14:paraId="1B302C99" w14:textId="77777777" w:rsidTr="0022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3D8670F9" w14:textId="77777777" w:rsidR="00157F0A" w:rsidRPr="00226E86" w:rsidRDefault="00157F0A" w:rsidP="00157F0A">
                                          <w:pPr>
                                            <w:pStyle w:val="TableText0"/>
                                            <w:jc w:val="left"/>
                                          </w:pPr>
                                          <w:r w:rsidRPr="00226E86">
                                            <w:t>ABS Census</w:t>
                                          </w:r>
                                        </w:p>
                                        <w:p w14:paraId="69A8C6E3" w14:textId="77777777" w:rsidR="00157F0A" w:rsidRPr="00226E86" w:rsidRDefault="00157F0A" w:rsidP="00157F0A">
                                          <w:pPr>
                                            <w:pStyle w:val="TableText0"/>
                                            <w:jc w:val="left"/>
                                          </w:pPr>
                                          <w:r w:rsidRPr="00226E86">
                                            <w:t xml:space="preserve">ABS Multi-Agency Data Integration Project </w:t>
                                          </w:r>
                                        </w:p>
                                        <w:p w14:paraId="0AE2E8C8" w14:textId="77777777" w:rsidR="00157F0A" w:rsidRPr="00226E86" w:rsidRDefault="00157F0A" w:rsidP="00157F0A">
                                          <w:pPr>
                                            <w:pStyle w:val="TableText0"/>
                                            <w:jc w:val="left"/>
                                          </w:pPr>
                                          <w:r w:rsidRPr="00226E86">
                                            <w:t>ABS Survey of Qualifications and Work</w:t>
                                          </w:r>
                                        </w:p>
                                        <w:p w14:paraId="3E08ECDD" w14:textId="77777777" w:rsidR="00157F0A" w:rsidRPr="00226E86" w:rsidRDefault="00157F0A" w:rsidP="00157F0A">
                                          <w:pPr>
                                            <w:pStyle w:val="TableText0"/>
                                            <w:jc w:val="left"/>
                                          </w:pPr>
                                          <w:r w:rsidRPr="00226E86">
                                            <w:t>ABS Survey of Education and Work</w:t>
                                          </w:r>
                                        </w:p>
                                        <w:p w14:paraId="7773BA91" w14:textId="77777777" w:rsidR="00157F0A" w:rsidRPr="00226E86" w:rsidRDefault="00157F0A" w:rsidP="00157F0A">
                                          <w:pPr>
                                            <w:pStyle w:val="TableText0"/>
                                            <w:jc w:val="left"/>
                                          </w:pPr>
                                          <w:r w:rsidRPr="00226E86">
                                            <w:t>NCVER Total VET Activity administrative collection</w:t>
                                          </w:r>
                                        </w:p>
                                        <w:p w14:paraId="2DC9362D" w14:textId="77777777" w:rsidR="00157F0A" w:rsidRPr="00226E86" w:rsidRDefault="00157F0A" w:rsidP="00157F0A">
                                          <w:pPr>
                                            <w:pStyle w:val="TableText0"/>
                                            <w:jc w:val="left"/>
                                          </w:pPr>
                                          <w:r w:rsidRPr="00226E86">
                                            <w:t>DESE Higher Education Internet Management System</w:t>
                                          </w:r>
                                        </w:p>
                                      </w:tc>
                                    </w:tr>
                                    <w:tr w:rsidR="00157F0A" w14:paraId="46122CA8" w14:textId="77777777" w:rsidTr="00226E86">
                                      <w:tc>
                                        <w:tcPr>
                                          <w:cnfStyle w:val="001000000000" w:firstRow="0" w:lastRow="0" w:firstColumn="1" w:lastColumn="0" w:oddVBand="0" w:evenVBand="0" w:oddHBand="0" w:evenHBand="0" w:firstRowFirstColumn="0" w:firstRowLastColumn="0" w:lastRowFirstColumn="0" w:lastRowLastColumn="0"/>
                                          <w:tcW w:w="4678" w:type="dxa"/>
                                          <w:shd w:val="clear" w:color="auto" w:fill="F2F2F2"/>
                                        </w:tcPr>
                                        <w:p w14:paraId="222BB1AA" w14:textId="77777777" w:rsidR="00157F0A" w:rsidRPr="00226E86" w:rsidRDefault="00157F0A" w:rsidP="00157F0A">
                                          <w:pPr>
                                            <w:pStyle w:val="TableText0"/>
                                            <w:jc w:val="left"/>
                                          </w:pPr>
                                          <w:r w:rsidRPr="00226E86">
                                            <w:t>ABS Survey of Qualifications and Work</w:t>
                                          </w:r>
                                        </w:p>
                                        <w:p w14:paraId="014B9690" w14:textId="77777777" w:rsidR="00157F0A" w:rsidRPr="00226E86" w:rsidRDefault="00157F0A" w:rsidP="00157F0A">
                                          <w:pPr>
                                            <w:pStyle w:val="TableText0"/>
                                            <w:jc w:val="left"/>
                                          </w:pPr>
                                          <w:r w:rsidRPr="00226E86">
                                            <w:t>NCVER Total VET Activity administrative collection</w:t>
                                          </w:r>
                                        </w:p>
                                        <w:p w14:paraId="4BDBB095" w14:textId="77777777" w:rsidR="00157F0A" w:rsidRPr="00226E86" w:rsidRDefault="00157F0A" w:rsidP="00157F0A">
                                          <w:pPr>
                                            <w:pStyle w:val="TableText0"/>
                                            <w:jc w:val="left"/>
                                          </w:pPr>
                                          <w:r w:rsidRPr="00226E86">
                                            <w:t>ABS Work-related Training and Adult Learning survey</w:t>
                                          </w:r>
                                        </w:p>
                                      </w:tc>
                                    </w:tr>
                                  </w:tbl>
                                  <w:p w14:paraId="4247F6E2" w14:textId="77777777" w:rsidR="00157F0A" w:rsidRDefault="00157F0A" w:rsidP="00157F0A"/>
                                </w:txbxContent>
                              </wps:txbx>
                              <wps:bodyPr rot="0" vert="horz" wrap="square" lIns="91440" tIns="45720" rIns="91440" bIns="45720" anchor="t" anchorCtr="0">
                                <a:noAutofit/>
                              </wps:bodyPr>
                            </wps:wsp>
                            <wps:wsp>
                              <wps:cNvPr id="299" name="Straight Arrow Connector 299"/>
                              <wps:cNvCnPr/>
                              <wps:spPr>
                                <a:xfrm>
                                  <a:off x="1575981" y="918472"/>
                                  <a:ext cx="2347294" cy="9525"/>
                                </a:xfrm>
                                <a:prstGeom prst="straightConnector1">
                                  <a:avLst/>
                                </a:prstGeom>
                                <a:noFill/>
                                <a:ln w="12700" cap="flat" cmpd="sng" algn="ctr">
                                  <a:solidFill>
                                    <a:sysClr val="windowText" lastClr="000000"/>
                                  </a:solidFill>
                                  <a:prstDash val="dash"/>
                                  <a:miter lim="800000"/>
                                  <a:headEnd type="none" w="lg" len="med"/>
                                  <a:tailEnd type="none"/>
                                </a:ln>
                                <a:effectLst/>
                              </wps:spPr>
                              <wps:bodyPr/>
                            </wps:wsp>
                            <wps:wsp>
                              <wps:cNvPr id="300" name="Straight Arrow Connector 300"/>
                              <wps:cNvCnPr/>
                              <wps:spPr>
                                <a:xfrm flipV="1">
                                  <a:off x="2846104" y="1783757"/>
                                  <a:ext cx="1063618" cy="0"/>
                                </a:xfrm>
                                <a:prstGeom prst="straightConnector1">
                                  <a:avLst/>
                                </a:prstGeom>
                                <a:noFill/>
                                <a:ln w="12700" cap="flat" cmpd="sng" algn="ctr">
                                  <a:solidFill>
                                    <a:sysClr val="windowText" lastClr="000000"/>
                                  </a:solidFill>
                                  <a:prstDash val="dash"/>
                                  <a:miter lim="800000"/>
                                  <a:headEnd type="none" w="lg" len="med"/>
                                  <a:tailEnd type="none"/>
                                </a:ln>
                                <a:effectLst/>
                              </wps:spPr>
                              <wps:bodyPr/>
                            </wps:wsp>
                            <wps:wsp>
                              <wps:cNvPr id="301" name="Connector: Elbow 301"/>
                              <wps:cNvCnPr/>
                              <wps:spPr>
                                <a:xfrm rot="16200000" flipH="1">
                                  <a:off x="2984616" y="2435488"/>
                                  <a:ext cx="1018060" cy="715521"/>
                                </a:xfrm>
                                <a:prstGeom prst="bentConnector3">
                                  <a:avLst>
                                    <a:gd name="adj1" fmla="val 50000"/>
                                  </a:avLst>
                                </a:prstGeom>
                                <a:noFill/>
                                <a:ln w="12700" cap="flat" cmpd="sng" algn="ctr">
                                  <a:solidFill>
                                    <a:sysClr val="windowText" lastClr="000000"/>
                                  </a:solidFill>
                                  <a:prstDash val="solid"/>
                                  <a:miter lim="800000"/>
                                  <a:headEnd type="stealth" w="lg" len="med"/>
                                  <a:tailEnd type="stealth" w="lg" len="med"/>
                                </a:ln>
                                <a:effectLst/>
                              </wps:spPr>
                              <wps:bodyPr/>
                            </wps:wsp>
                          </wpg:grpSp>
                          <wpg:grpSp>
                            <wpg:cNvPr id="302" name="Group 302"/>
                            <wpg:cNvGrpSpPr/>
                            <wpg:grpSpPr>
                              <a:xfrm>
                                <a:off x="569919" y="2448586"/>
                                <a:ext cx="3956268" cy="1420194"/>
                                <a:chOff x="560397" y="-708922"/>
                                <a:chExt cx="3956318" cy="1420194"/>
                              </a:xfrm>
                            </wpg:grpSpPr>
                            <wps:wsp>
                              <wps:cNvPr id="303" name="Text Box 303"/>
                              <wps:cNvSpPr txBox="1"/>
                              <wps:spPr>
                                <a:xfrm>
                                  <a:off x="3076715" y="157496"/>
                                  <a:ext cx="1440000" cy="273444"/>
                                </a:xfrm>
                                <a:prstGeom prst="rect">
                                  <a:avLst/>
                                </a:prstGeom>
                                <a:solidFill>
                                  <a:sysClr val="window" lastClr="FFFFFF"/>
                                </a:solidFill>
                                <a:ln w="6350">
                                  <a:solidFill>
                                    <a:prstClr val="black"/>
                                  </a:solidFill>
                                </a:ln>
                              </wps:spPr>
                              <wps:txbx>
                                <w:txbxContent>
                                  <w:p w14:paraId="5DD70B60" w14:textId="77777777" w:rsidR="00157F0A" w:rsidRPr="00157F0A" w:rsidRDefault="00157F0A" w:rsidP="00157F0A">
                                    <w:pPr>
                                      <w:spacing w:before="0"/>
                                      <w:jc w:val="center"/>
                                      <w:rPr>
                                        <w:rStyle w:val="Strong"/>
                                        <w:rFonts w:ascii="Arial" w:hAnsi="Arial" w:cs="Arial"/>
                                        <w:color w:val="79288C"/>
                                        <w:sz w:val="20"/>
                                      </w:rPr>
                                    </w:pPr>
                                    <w:r w:rsidRPr="00157F0A">
                                      <w:rPr>
                                        <w:rStyle w:val="Strong"/>
                                        <w:rFonts w:ascii="Arial" w:hAnsi="Arial" w:cs="Arial"/>
                                        <w:color w:val="79288C"/>
                                        <w:sz w:val="20"/>
                                      </w:rPr>
                                      <w:t>SKILLS SUPPLY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4" name="Text Box 2"/>
                              <wps:cNvSpPr txBox="1">
                                <a:spLocks noChangeArrowheads="1"/>
                              </wps:cNvSpPr>
                              <wps:spPr bwMode="auto">
                                <a:xfrm>
                                  <a:off x="560397" y="-708922"/>
                                  <a:ext cx="1962176" cy="1420194"/>
                                </a:xfrm>
                                <a:prstGeom prst="rect">
                                  <a:avLst/>
                                </a:prstGeom>
                                <a:solidFill>
                                  <a:srgbClr val="FFFFFF"/>
                                </a:solidFill>
                                <a:ln w="9525">
                                  <a:noFill/>
                                  <a:miter lim="800000"/>
                                  <a:headEnd/>
                                  <a:tailEnd/>
                                </a:ln>
                              </wps:spPr>
                              <wps:txbx>
                                <w:txbxContent>
                                  <w:tbl>
                                    <w:tblPr>
                                      <w:tblStyle w:val="NCVERTable5"/>
                                      <w:tblW w:w="2835" w:type="dxa"/>
                                      <w:tblBorders>
                                        <w:insideH w:val="single" w:sz="4" w:space="0" w:color="auto"/>
                                        <w:insideV w:val="single" w:sz="4" w:space="0" w:color="auto"/>
                                      </w:tblBorders>
                                      <w:shd w:val="clear" w:color="auto" w:fill="F2F2F2"/>
                                      <w:tblLook w:val="04A0" w:firstRow="1" w:lastRow="0" w:firstColumn="1" w:lastColumn="0" w:noHBand="0" w:noVBand="1"/>
                                    </w:tblPr>
                                    <w:tblGrid>
                                      <w:gridCol w:w="2835"/>
                                    </w:tblGrid>
                                    <w:tr w:rsidR="00157F0A" w14:paraId="25EE6184" w14:textId="77777777" w:rsidTr="0022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1DDC4276" w14:textId="77777777" w:rsidR="00157F0A" w:rsidRPr="00226E86" w:rsidRDefault="00157F0A" w:rsidP="00157F0A">
                                          <w:pPr>
                                            <w:pStyle w:val="TableText0"/>
                                            <w:rPr>
                                              <w:rStyle w:val="Emphasis"/>
                                              <w:rFonts w:ascii="Trebuchet MS" w:hAnsi="Trebuchet MS" w:cs="Times New Roman"/>
                                              <w:bCs w:val="0"/>
                                              <w:i w:val="0"/>
                                              <w:color w:val="ED7D31"/>
                                              <w:sz w:val="19"/>
                                              <w:szCs w:val="20"/>
                                            </w:rPr>
                                          </w:pPr>
                                          <w:r w:rsidRPr="00226E86">
                                            <w:rPr>
                                              <w:rStyle w:val="Strong"/>
                                            </w:rPr>
                                            <w:t>Possible data sources</w:t>
                                          </w:r>
                                        </w:p>
                                      </w:tc>
                                    </w:tr>
                                    <w:tr w:rsidR="00157F0A" w14:paraId="6C13674F" w14:textId="77777777" w:rsidTr="003C584E">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cPr>
                                        <w:p w14:paraId="451FC4B8" w14:textId="77777777" w:rsidR="00157F0A" w:rsidRPr="00F14CE0" w:rsidRDefault="00157F0A" w:rsidP="00157F0A">
                                          <w:pPr>
                                            <w:pStyle w:val="TableText0"/>
                                            <w:jc w:val="left"/>
                                          </w:pPr>
                                          <w:r w:rsidRPr="00F14CE0">
                                            <w:t>Jobs and Education Data Infrastructure project (JEDI): skills by qualification and by unit of competency</w:t>
                                          </w:r>
                                        </w:p>
                                        <w:p w14:paraId="6ECA906C" w14:textId="77777777" w:rsidR="00157F0A" w:rsidRPr="00897C90" w:rsidRDefault="00157F0A" w:rsidP="00157F0A">
                                          <w:pPr>
                                            <w:pStyle w:val="TableText0"/>
                                            <w:jc w:val="left"/>
                                          </w:pPr>
                                          <w:r w:rsidRPr="00F14CE0">
                                            <w:t>PIAAC</w:t>
                                          </w:r>
                                        </w:p>
                                      </w:tc>
                                    </w:tr>
                                  </w:tbl>
                                  <w:p w14:paraId="3F6F2714" w14:textId="77777777" w:rsidR="00157F0A" w:rsidRDefault="00157F0A" w:rsidP="00157F0A"/>
                                </w:txbxContent>
                              </wps:txbx>
                              <wps:bodyPr rot="0" vert="horz" wrap="square" lIns="91440" tIns="45720" rIns="91440" bIns="45720" anchor="t" anchorCtr="0">
                                <a:noAutofit/>
                              </wps:bodyPr>
                            </wps:wsp>
                          </wpg:grpSp>
                          <wpg:grpSp>
                            <wpg:cNvPr id="305" name="Group 305"/>
                            <wpg:cNvGrpSpPr/>
                            <wpg:grpSpPr>
                              <a:xfrm>
                                <a:off x="163423" y="4068016"/>
                                <a:ext cx="6780298" cy="1968477"/>
                                <a:chOff x="153898" y="-370634"/>
                                <a:chExt cx="6780298" cy="1968477"/>
                              </a:xfrm>
                            </wpg:grpSpPr>
                            <wpg:grpSp>
                              <wpg:cNvPr id="306" name="Group 306"/>
                              <wpg:cNvGrpSpPr/>
                              <wpg:grpSpPr>
                                <a:xfrm>
                                  <a:off x="153898" y="-370634"/>
                                  <a:ext cx="6780298" cy="1968477"/>
                                  <a:chOff x="153904" y="-885059"/>
                                  <a:chExt cx="6780569" cy="1968781"/>
                                </a:xfrm>
                              </wpg:grpSpPr>
                              <wps:wsp>
                                <wps:cNvPr id="307" name="Text Box 2"/>
                                <wps:cNvSpPr txBox="1">
                                  <a:spLocks noChangeArrowheads="1"/>
                                </wps:cNvSpPr>
                                <wps:spPr bwMode="auto">
                                  <a:xfrm>
                                    <a:off x="3542430" y="8815"/>
                                    <a:ext cx="3392043" cy="1074907"/>
                                  </a:xfrm>
                                  <a:prstGeom prst="rect">
                                    <a:avLst/>
                                  </a:prstGeom>
                                  <a:solidFill>
                                    <a:srgbClr val="FFFFFF"/>
                                  </a:solidFill>
                                  <a:ln w="9525">
                                    <a:noFill/>
                                    <a:miter lim="800000"/>
                                    <a:headEnd/>
                                    <a:tailEnd/>
                                  </a:ln>
                                </wps:spPr>
                                <wps:txbx>
                                  <w:txbxContent>
                                    <w:tbl>
                                      <w:tblPr>
                                        <w:tblStyle w:val="NCVERTable5"/>
                                        <w:tblW w:w="5024"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5"/>
                                        <w:gridCol w:w="1675"/>
                                      </w:tblGrid>
                                      <w:tr w:rsidR="00157F0A" w14:paraId="3FBAA142" w14:textId="77777777" w:rsidTr="0022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4" w:type="dxa"/>
                                            <w:gridSpan w:val="3"/>
                                            <w:tcBorders>
                                              <w:left w:val="single" w:sz="4" w:space="0" w:color="auto"/>
                                              <w:bottom w:val="single" w:sz="4" w:space="0" w:color="A6A6A6"/>
                                              <w:right w:val="single" w:sz="4" w:space="0" w:color="auto"/>
                                            </w:tcBorders>
                                          </w:tcPr>
                                          <w:p w14:paraId="263AFAF7" w14:textId="77777777" w:rsidR="00157F0A" w:rsidRPr="00157F0A" w:rsidRDefault="00157F0A" w:rsidP="00C8363B">
                                            <w:pPr>
                                              <w:spacing w:before="0"/>
                                              <w:jc w:val="center"/>
                                              <w:rPr>
                                                <w:rStyle w:val="Strong"/>
                                                <w:rFonts w:ascii="Arial" w:hAnsi="Arial" w:cs="Arial"/>
                                                <w:b/>
                                                <w:bCs w:val="0"/>
                                                <w:color w:val="79288C"/>
                                                <w:sz w:val="20"/>
                                              </w:rPr>
                                            </w:pPr>
                                            <w:r w:rsidRPr="00157F0A">
                                              <w:rPr>
                                                <w:rStyle w:val="Strong"/>
                                                <w:rFonts w:ascii="Arial" w:hAnsi="Arial" w:cs="Arial"/>
                                                <w:b/>
                                                <w:bCs w:val="0"/>
                                                <w:color w:val="79288C"/>
                                                <w:sz w:val="20"/>
                                              </w:rPr>
                                              <w:t>SKILLS DEMAND</w:t>
                                            </w:r>
                                          </w:p>
                                        </w:tc>
                                      </w:tr>
                                      <w:tr w:rsidR="00157F0A" w14:paraId="3DA67328" w14:textId="77777777" w:rsidTr="00157F0A">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auto"/>
                                              <w:left w:val="single" w:sz="4" w:space="0" w:color="auto"/>
                                              <w:bottom w:val="single" w:sz="4" w:space="0" w:color="auto"/>
                                              <w:right w:val="single" w:sz="4" w:space="0" w:color="auto"/>
                                            </w:tcBorders>
                                          </w:tcPr>
                                          <w:p w14:paraId="75C93E69" w14:textId="77777777" w:rsidR="00157F0A" w:rsidRPr="00157F0A" w:rsidRDefault="00157F0A" w:rsidP="00157F0A">
                                            <w:pPr>
                                              <w:pStyle w:val="TableText0"/>
                                              <w:rPr>
                                                <w:b/>
                                                <w:bCs w:val="0"/>
                                              </w:rPr>
                                            </w:pPr>
                                            <w:r w:rsidRPr="00157F0A">
                                              <w:rPr>
                                                <w:b/>
                                                <w:bCs w:val="0"/>
                                              </w:rPr>
                                              <w:t>Occupation prevalence</w:t>
                                            </w:r>
                                          </w:p>
                                        </w:tc>
                                        <w:tc>
                                          <w:tcPr>
                                            <w:tcW w:w="1675" w:type="dxa"/>
                                            <w:tcBorders>
                                              <w:top w:val="single" w:sz="4" w:space="0" w:color="auto"/>
                                              <w:left w:val="single" w:sz="4" w:space="0" w:color="auto"/>
                                              <w:bottom w:val="single" w:sz="4" w:space="0" w:color="auto"/>
                                              <w:right w:val="single" w:sz="4" w:space="0" w:color="auto"/>
                                            </w:tcBorders>
                                          </w:tcPr>
                                          <w:p w14:paraId="446C2F64" w14:textId="77777777" w:rsidR="00157F0A" w:rsidRPr="00157F0A" w:rsidRDefault="00157F0A" w:rsidP="00157F0A">
                                            <w:pPr>
                                              <w:pStyle w:val="TableText0"/>
                                              <w:cnfStyle w:val="000000100000" w:firstRow="0" w:lastRow="0" w:firstColumn="0" w:lastColumn="0" w:oddVBand="0" w:evenVBand="0" w:oddHBand="1" w:evenHBand="0" w:firstRowFirstColumn="0" w:firstRowLastColumn="0" w:lastRowFirstColumn="0" w:lastRowLastColumn="0"/>
                                              <w:rPr>
                                                <w:bCs w:val="0"/>
                                              </w:rPr>
                                            </w:pPr>
                                            <w:r w:rsidRPr="00157F0A">
                                              <w:rPr>
                                                <w:bCs w:val="0"/>
                                              </w:rPr>
                                              <w:t>Skills employers require for occupations</w:t>
                                            </w:r>
                                          </w:p>
                                        </w:tc>
                                        <w:tc>
                                          <w:tcPr>
                                            <w:tcW w:w="1675" w:type="dxa"/>
                                            <w:tcBorders>
                                              <w:top w:val="single" w:sz="4" w:space="0" w:color="auto"/>
                                              <w:left w:val="single" w:sz="4" w:space="0" w:color="auto"/>
                                              <w:bottom w:val="single" w:sz="4" w:space="0" w:color="auto"/>
                                              <w:right w:val="single" w:sz="4" w:space="0" w:color="auto"/>
                                            </w:tcBorders>
                                          </w:tcPr>
                                          <w:p w14:paraId="0562E2E1" w14:textId="77777777" w:rsidR="00157F0A" w:rsidRPr="00157F0A" w:rsidRDefault="00157F0A" w:rsidP="00157F0A">
                                            <w:pPr>
                                              <w:pStyle w:val="TableText0"/>
                                              <w:cnfStyle w:val="000000100000" w:firstRow="0" w:lastRow="0" w:firstColumn="0" w:lastColumn="0" w:oddVBand="0" w:evenVBand="0" w:oddHBand="1" w:evenHBand="0" w:firstRowFirstColumn="0" w:firstRowLastColumn="0" w:lastRowFirstColumn="0" w:lastRowLastColumn="0"/>
                                              <w:rPr>
                                                <w:bCs w:val="0"/>
                                              </w:rPr>
                                            </w:pPr>
                                            <w:r w:rsidRPr="00157F0A">
                                              <w:rPr>
                                                <w:bCs w:val="0"/>
                                              </w:rPr>
                                              <w:t>Job vacancies</w:t>
                                            </w:r>
                                          </w:p>
                                        </w:tc>
                                      </w:tr>
                                    </w:tbl>
                                    <w:p w14:paraId="359C9FD2" w14:textId="77777777" w:rsidR="00157F0A" w:rsidRDefault="00157F0A" w:rsidP="00157F0A"/>
                                  </w:txbxContent>
                                </wps:txbx>
                                <wps:bodyPr rot="0" vert="horz" wrap="square" lIns="91440" tIns="45720" rIns="91440" bIns="45720" anchor="t" anchorCtr="0">
                                  <a:noAutofit/>
                                </wps:bodyPr>
                              </wps:wsp>
                              <wps:wsp>
                                <wps:cNvPr id="308" name="Straight Arrow Connector 308"/>
                                <wps:cNvCnPr/>
                                <wps:spPr>
                                  <a:xfrm flipH="1">
                                    <a:off x="2802299" y="971516"/>
                                    <a:ext cx="2989928" cy="0"/>
                                  </a:xfrm>
                                  <a:prstGeom prst="straightConnector1">
                                    <a:avLst/>
                                  </a:prstGeom>
                                  <a:noFill/>
                                  <a:ln w="12700" cap="flat" cmpd="sng" algn="ctr">
                                    <a:solidFill>
                                      <a:sysClr val="windowText" lastClr="000000"/>
                                    </a:solidFill>
                                    <a:prstDash val="dash"/>
                                    <a:miter lim="800000"/>
                                    <a:headEnd type="none" w="lg" len="med"/>
                                    <a:tailEnd type="none"/>
                                  </a:ln>
                                  <a:effectLst/>
                                </wps:spPr>
                                <wps:bodyPr/>
                              </wps:wsp>
                              <wps:wsp>
                                <wps:cNvPr id="309" name="Text Box 2"/>
                                <wps:cNvSpPr txBox="1">
                                  <a:spLocks noChangeArrowheads="1"/>
                                </wps:cNvSpPr>
                                <wps:spPr bwMode="auto">
                                  <a:xfrm>
                                    <a:off x="153904" y="-885059"/>
                                    <a:ext cx="2717800" cy="1968781"/>
                                  </a:xfrm>
                                  <a:prstGeom prst="rect">
                                    <a:avLst/>
                                  </a:prstGeom>
                                  <a:solidFill>
                                    <a:srgbClr val="FFFFFF"/>
                                  </a:solidFill>
                                  <a:ln w="9525">
                                    <a:noFill/>
                                    <a:miter lim="800000"/>
                                    <a:headEnd/>
                                    <a:tailEnd/>
                                  </a:ln>
                                </wps:spPr>
                                <wps:txbx>
                                  <w:txbxContent>
                                    <w:tbl>
                                      <w:tblPr>
                                        <w:tblStyle w:val="NCVERTable5"/>
                                        <w:tblW w:w="4111" w:type="dxa"/>
                                        <w:tblBorders>
                                          <w:insideH w:val="single" w:sz="4" w:space="0" w:color="auto"/>
                                        </w:tblBorders>
                                        <w:shd w:val="clear" w:color="auto" w:fill="F2F2F2"/>
                                        <w:tblLook w:val="04A0" w:firstRow="1" w:lastRow="0" w:firstColumn="1" w:lastColumn="0" w:noHBand="0" w:noVBand="1"/>
                                      </w:tblPr>
                                      <w:tblGrid>
                                        <w:gridCol w:w="4111"/>
                                      </w:tblGrid>
                                      <w:tr w:rsidR="00157F0A" w14:paraId="67FE4CCE" w14:textId="77777777" w:rsidTr="0022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54AC1068" w14:textId="77777777" w:rsidR="00157F0A" w:rsidRPr="00226E86" w:rsidRDefault="00157F0A" w:rsidP="00157F0A">
                                            <w:pPr>
                                              <w:pStyle w:val="TableText0"/>
                                              <w:rPr>
                                                <w:rStyle w:val="Emphasis"/>
                                                <w:rFonts w:ascii="Trebuchet MS" w:hAnsi="Trebuchet MS" w:cs="Times New Roman"/>
                                                <w:bCs w:val="0"/>
                                                <w:i w:val="0"/>
                                                <w:color w:val="ED7D31"/>
                                                <w:sz w:val="19"/>
                                                <w:szCs w:val="20"/>
                                              </w:rPr>
                                            </w:pPr>
                                            <w:r w:rsidRPr="00226E86">
                                              <w:rPr>
                                                <w:rStyle w:val="Strong"/>
                                              </w:rPr>
                                              <w:t>Possible data sources</w:t>
                                            </w:r>
                                          </w:p>
                                        </w:tc>
                                      </w:tr>
                                      <w:tr w:rsidR="00157F0A" w14:paraId="3DD59EBD" w14:textId="77777777" w:rsidTr="0022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21D571AD" w14:textId="77777777" w:rsidR="00157F0A" w:rsidRPr="00897C90" w:rsidRDefault="00157F0A" w:rsidP="00157F0A">
                                            <w:pPr>
                                              <w:pStyle w:val="TableText0"/>
                                              <w:jc w:val="left"/>
                                            </w:pPr>
                                            <w:r w:rsidRPr="00897C90">
                                              <w:t>ABS Labour force survey</w:t>
                                            </w:r>
                                          </w:p>
                                          <w:p w14:paraId="1476B079" w14:textId="77777777" w:rsidR="00157F0A" w:rsidRPr="00897C90" w:rsidRDefault="00157F0A" w:rsidP="00157F0A">
                                            <w:pPr>
                                              <w:pStyle w:val="TableText0"/>
                                              <w:jc w:val="left"/>
                                            </w:pPr>
                                            <w:r w:rsidRPr="00897C90">
                                              <w:t>ABS Multi-Agency Data Integration Project</w:t>
                                            </w:r>
                                          </w:p>
                                          <w:p w14:paraId="285CD565" w14:textId="77777777" w:rsidR="00157F0A" w:rsidRPr="00897C90" w:rsidRDefault="00157F0A" w:rsidP="00157F0A">
                                            <w:pPr>
                                              <w:pStyle w:val="TableText0"/>
                                              <w:jc w:val="left"/>
                                            </w:pPr>
                                            <w:r w:rsidRPr="00897C90">
                                              <w:t>ABS Survey of Qualifications and Work</w:t>
                                            </w:r>
                                          </w:p>
                                          <w:p w14:paraId="0C734974" w14:textId="77777777" w:rsidR="00157F0A" w:rsidRPr="00897C90" w:rsidRDefault="00157F0A" w:rsidP="00157F0A">
                                            <w:pPr>
                                              <w:pStyle w:val="TableText0"/>
                                              <w:jc w:val="left"/>
                                            </w:pPr>
                                            <w:r w:rsidRPr="00897C90">
                                              <w:t>ABS Survey of Education and Work</w:t>
                                            </w:r>
                                          </w:p>
                                        </w:tc>
                                      </w:tr>
                                      <w:tr w:rsidR="00157F0A" w14:paraId="79C3EBD6" w14:textId="77777777" w:rsidTr="00226E86">
                                        <w:tc>
                                          <w:tcPr>
                                            <w:cnfStyle w:val="001000000000" w:firstRow="0" w:lastRow="0" w:firstColumn="1" w:lastColumn="0" w:oddVBand="0" w:evenVBand="0" w:oddHBand="0" w:evenHBand="0" w:firstRowFirstColumn="0" w:firstRowLastColumn="0" w:lastRowFirstColumn="0" w:lastRowLastColumn="0"/>
                                            <w:tcW w:w="4111" w:type="dxa"/>
                                            <w:shd w:val="clear" w:color="auto" w:fill="F2F2F2"/>
                                          </w:tcPr>
                                          <w:p w14:paraId="473789F5" w14:textId="77777777" w:rsidR="00157F0A" w:rsidRPr="00897C90" w:rsidRDefault="00157F0A" w:rsidP="00157F0A">
                                            <w:pPr>
                                              <w:pStyle w:val="TableText0"/>
                                              <w:jc w:val="left"/>
                                            </w:pPr>
                                            <w:r w:rsidRPr="00897C90">
                                              <w:t xml:space="preserve">Burning Glass </w:t>
                                            </w:r>
                                            <w:r>
                                              <w:t xml:space="preserve">- </w:t>
                                            </w:r>
                                            <w:r w:rsidRPr="00897C90">
                                              <w:t>skills by occupation</w:t>
                                            </w:r>
                                          </w:p>
                                          <w:p w14:paraId="38B458EA" w14:textId="77777777" w:rsidR="00157F0A" w:rsidRPr="00897C90" w:rsidRDefault="00157F0A" w:rsidP="00157F0A">
                                            <w:pPr>
                                              <w:pStyle w:val="TableText0"/>
                                              <w:jc w:val="left"/>
                                            </w:pPr>
                                            <w:proofErr w:type="spellStart"/>
                                            <w:r w:rsidRPr="00897C90">
                                              <w:t>Adzuna</w:t>
                                            </w:r>
                                            <w:proofErr w:type="spellEnd"/>
                                            <w:r w:rsidRPr="00897C90">
                                              <w:t xml:space="preserve"> job ad database</w:t>
                                            </w:r>
                                          </w:p>
                                        </w:tc>
                                      </w:tr>
                                    </w:tbl>
                                    <w:p w14:paraId="6C3B60FB" w14:textId="77777777" w:rsidR="00157F0A" w:rsidRDefault="00157F0A" w:rsidP="00157F0A"/>
                                  </w:txbxContent>
                                </wps:txbx>
                                <wps:bodyPr rot="0" vert="horz" wrap="square" lIns="91440" tIns="45720" rIns="91440" bIns="45720" anchor="t" anchorCtr="0">
                                  <a:noAutofit/>
                                </wps:bodyPr>
                              </wps:wsp>
                              <wps:wsp>
                                <wps:cNvPr id="310" name="Straight Arrow Connector 310"/>
                                <wps:cNvCnPr/>
                                <wps:spPr>
                                  <a:xfrm flipH="1">
                                    <a:off x="2871714" y="380545"/>
                                    <a:ext cx="749795" cy="0"/>
                                  </a:xfrm>
                                  <a:prstGeom prst="straightConnector1">
                                    <a:avLst/>
                                  </a:prstGeom>
                                  <a:noFill/>
                                  <a:ln w="12700" cap="flat" cmpd="sng" algn="ctr">
                                    <a:solidFill>
                                      <a:sysClr val="windowText" lastClr="000000"/>
                                    </a:solidFill>
                                    <a:prstDash val="dash"/>
                                    <a:miter lim="800000"/>
                                    <a:headEnd type="none" w="lg" len="med"/>
                                    <a:tailEnd type="none"/>
                                  </a:ln>
                                  <a:effectLst/>
                                </wps:spPr>
                                <wps:bodyPr/>
                              </wps:wsp>
                            </wpg:grpSp>
                            <wps:wsp>
                              <wps:cNvPr id="311" name="Straight Arrow Connector 311"/>
                              <wps:cNvCnPr/>
                              <wps:spPr>
                                <a:xfrm flipH="1">
                                  <a:off x="2867108" y="1414763"/>
                                  <a:ext cx="1835859" cy="0"/>
                                </a:xfrm>
                                <a:prstGeom prst="straightConnector1">
                                  <a:avLst/>
                                </a:prstGeom>
                                <a:noFill/>
                                <a:ln w="12700" cap="flat" cmpd="sng" algn="ctr">
                                  <a:solidFill>
                                    <a:sysClr val="windowText" lastClr="000000"/>
                                  </a:solidFill>
                                  <a:prstDash val="dash"/>
                                  <a:miter lim="800000"/>
                                  <a:headEnd type="none" w="lg" len="med"/>
                                  <a:tailEnd type="none"/>
                                </a:ln>
                                <a:effectLst/>
                              </wps:spPr>
                              <wps:bodyPr/>
                            </wps:wsp>
                          </wpg:grpSp>
                        </wpg:grpSp>
                        <wps:wsp>
                          <wps:cNvPr id="312" name="Straight Arrow Connector 312"/>
                          <wps:cNvCnPr/>
                          <wps:spPr>
                            <a:xfrm flipH="1">
                              <a:off x="2507035" y="3391952"/>
                              <a:ext cx="549754" cy="0"/>
                            </a:xfrm>
                            <a:prstGeom prst="straightConnector1">
                              <a:avLst/>
                            </a:prstGeom>
                            <a:noFill/>
                            <a:ln w="12700" cap="flat" cmpd="sng" algn="ctr">
                              <a:solidFill>
                                <a:sysClr val="windowText" lastClr="000000"/>
                              </a:solidFill>
                              <a:prstDash val="dash"/>
                              <a:miter lim="800000"/>
                              <a:headEnd type="none" w="lg" len="med"/>
                              <a:tailEnd type="none"/>
                            </a:ln>
                            <a:effectLst/>
                          </wps:spPr>
                          <wps:bodyPr/>
                        </wps:wsp>
                      </wpg:grpSp>
                      <wps:wsp>
                        <wps:cNvPr id="313" name="Connector: Elbow 313"/>
                        <wps:cNvCnPr/>
                        <wps:spPr>
                          <a:xfrm rot="16200000" flipH="1">
                            <a:off x="3325547" y="3849548"/>
                            <a:ext cx="1326515" cy="721094"/>
                          </a:xfrm>
                          <a:prstGeom prst="bentConnector3">
                            <a:avLst>
                              <a:gd name="adj1" fmla="val 50000"/>
                            </a:avLst>
                          </a:prstGeom>
                          <a:noFill/>
                          <a:ln w="12700" cap="flat" cmpd="sng" algn="ctr">
                            <a:solidFill>
                              <a:sysClr val="windowText" lastClr="000000"/>
                            </a:solidFill>
                            <a:prstDash val="solid"/>
                            <a:miter lim="800000"/>
                            <a:headEnd type="stealth" w="lg" len="med"/>
                            <a:tailEnd type="stealth" w="lg" len="med"/>
                          </a:ln>
                          <a:effectLst/>
                        </wps:spPr>
                        <wps:bodyPr/>
                      </wps:wsp>
                    </wpg:wgp>
                  </a:graphicData>
                </a:graphic>
                <wp14:sizeRelH relativeFrom="margin">
                  <wp14:pctWidth>0</wp14:pctWidth>
                </wp14:sizeRelH>
                <wp14:sizeRelV relativeFrom="margin">
                  <wp14:pctHeight>0</wp14:pctHeight>
                </wp14:sizeRelV>
              </wp:anchor>
            </w:drawing>
          </mc:Choice>
          <mc:Fallback>
            <w:pict>
              <v:group w14:anchorId="70E089FC" id="Group 293" o:spid="_x0000_s1029" style="position:absolute;left:0;text-align:left;margin-left:-36.4pt;margin-top:41.1pt;width:525.15pt;height:466.45pt;z-index:251669504;mso-position-horizontal-relative:margin;mso-width-relative:margin;mso-height-relative:margin" coordorigin="-95,-95" coordsize="66695,59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">
                <v:group id="Group 294" o:spid="_x0000_s1030" style="position:absolute;left:-95;top:-95;width:66695;height:59384" coordorigin="1537,-97" coordsize="67900,60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o:lock v:ext="edit" aspectratio="t"/>
                  <v:group id="Group 295" o:spid="_x0000_s1031" style="position:absolute;left:1537;top:-97;width:67900;height:60457" coordorigin="1537,-97" coordsize="67900,60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group id="Group 296" o:spid="_x0000_s1032" style="position:absolute;left:1537;top:-97;width:67896;height:33119" coordorigin="1537,-97" coordsize="67895,33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Text Box 2" o:spid="_x0000_s1033" type="#_x0000_t202" style="position:absolute;left:1537;top:-97;width:35778;height:226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" stroked="f">
                        <v:textbox>
                          <w:txbxContent>
                            <w:tbl>
                              <w:tblPr>
                                <w:tblStyle w:val="NCVERTable5"/>
                                <w:tblW w:w="0" w:type="auto"/>
                                <w:tblBorders>
                                  <w:top w:val="none" w:sz="0" w:space="0" w:color="auto"/>
                                  <w:bottom w:val="none" w:sz="0" w:space="0" w:color="auto"/>
                                  <w:insideH w:val="single" w:sz="4" w:space="0" w:color="auto"/>
                                </w:tblBorders>
                                <w:tblLook w:val="04A0" w:firstRow="1" w:lastRow="0" w:firstColumn="1" w:lastColumn="0" w:noHBand="0" w:noVBand="1"/>
                              </w:tblPr>
                              <w:tblGrid>
                                <w:gridCol w:w="2014"/>
                                <w:gridCol w:w="1992"/>
                                <w:gridCol w:w="1231"/>
                              </w:tblGrid>
                              <w:tr w:rsidR="00157F0A" w:rsidRPr="00157F0A" w14:paraId="30576270" w14:textId="77777777" w:rsidTr="00C8363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3"/>
                                    <w:tcBorders>
                                      <w:left w:val="single" w:sz="4" w:space="0" w:color="auto"/>
                                      <w:right w:val="single" w:sz="4" w:space="0" w:color="auto"/>
                                    </w:tcBorders>
                                  </w:tcPr>
                                  <w:p w14:paraId="0D4BCF2B" w14:textId="77777777" w:rsidR="00157F0A" w:rsidRPr="00157F0A" w:rsidRDefault="00157F0A" w:rsidP="00157F0A">
                                    <w:pPr>
                                      <w:pStyle w:val="TableText0"/>
                                      <w:rPr>
                                        <w:rStyle w:val="Emphasis"/>
                                        <w:i w:val="0"/>
                                        <w:iCs w:val="0"/>
                                        <w:sz w:val="20"/>
                                        <w:szCs w:val="20"/>
                                      </w:rPr>
                                    </w:pPr>
                                    <w:r w:rsidRPr="00157F0A">
                                      <w:rPr>
                                        <w:rStyle w:val="Strong"/>
                                        <w:color w:val="79288C"/>
                                        <w:sz w:val="20"/>
                                        <w:szCs w:val="20"/>
                                      </w:rPr>
                                      <w:t>SKILLS INPUTS</w:t>
                                    </w:r>
                                  </w:p>
                                </w:tc>
                              </w:tr>
                              <w:tr w:rsidR="00157F0A" w:rsidRPr="00157F0A" w14:paraId="3669632E" w14:textId="77777777" w:rsidTr="00C8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2" w:type="dxa"/>
                                    <w:tcBorders>
                                      <w:top w:val="single" w:sz="4" w:space="0" w:color="auto"/>
                                      <w:left w:val="single" w:sz="4" w:space="0" w:color="auto"/>
                                      <w:bottom w:val="nil"/>
                                      <w:right w:val="single" w:sz="4" w:space="0" w:color="auto"/>
                                    </w:tcBorders>
                                  </w:tcPr>
                                  <w:p w14:paraId="236836E9" w14:textId="77777777" w:rsidR="00157F0A" w:rsidRPr="00157F0A" w:rsidRDefault="00157F0A" w:rsidP="00157F0A">
                                    <w:pPr>
                                      <w:pStyle w:val="TableText0"/>
                                      <w:rPr>
                                        <w:rStyle w:val="Emphasis"/>
                                        <w:b/>
                                        <w:i w:val="0"/>
                                        <w:iCs w:val="0"/>
                                      </w:rPr>
                                    </w:pPr>
                                    <w:r w:rsidRPr="00157F0A">
                                      <w:rPr>
                                        <w:rStyle w:val="Emphasis"/>
                                        <w:b/>
                                        <w:i w:val="0"/>
                                        <w:iCs w:val="0"/>
                                      </w:rPr>
                                      <w:t>Formal learning (AQF qualifications)</w:t>
                                    </w:r>
                                  </w:p>
                                </w:tc>
                                <w:tc>
                                  <w:tcPr>
                                    <w:tcW w:w="2118" w:type="dxa"/>
                                    <w:tcBorders>
                                      <w:top w:val="single" w:sz="4" w:space="0" w:color="auto"/>
                                      <w:left w:val="single" w:sz="4" w:space="0" w:color="auto"/>
                                      <w:bottom w:val="nil"/>
                                      <w:right w:val="single" w:sz="4" w:space="0" w:color="auto"/>
                                    </w:tcBorders>
                                  </w:tcPr>
                                  <w:p w14:paraId="700F4269" w14:textId="77777777" w:rsidR="00157F0A" w:rsidRPr="00157F0A" w:rsidRDefault="00157F0A" w:rsidP="00157F0A">
                                    <w:pPr>
                                      <w:pStyle w:val="TableText0"/>
                                      <w:cnfStyle w:val="000000100000" w:firstRow="0" w:lastRow="0" w:firstColumn="0" w:lastColumn="0" w:oddVBand="0" w:evenVBand="0" w:oddHBand="1" w:evenHBand="0" w:firstRowFirstColumn="0" w:firstRowLastColumn="0" w:lastRowFirstColumn="0" w:lastRowLastColumn="0"/>
                                      <w:rPr>
                                        <w:rStyle w:val="Emphasis"/>
                                        <w:i w:val="0"/>
                                        <w:iCs w:val="0"/>
                                      </w:rPr>
                                    </w:pPr>
                                    <w:r w:rsidRPr="00157F0A">
                                      <w:rPr>
                                        <w:rStyle w:val="Emphasis"/>
                                        <w:i w:val="0"/>
                                        <w:iCs w:val="0"/>
                                      </w:rPr>
                                      <w:t>Formal non-qualification learning</w:t>
                                    </w:r>
                                  </w:p>
                                </w:tc>
                                <w:tc>
                                  <w:tcPr>
                                    <w:tcW w:w="1289" w:type="dxa"/>
                                    <w:tcBorders>
                                      <w:top w:val="single" w:sz="4" w:space="0" w:color="auto"/>
                                      <w:left w:val="single" w:sz="4" w:space="0" w:color="auto"/>
                                      <w:bottom w:val="nil"/>
                                      <w:right w:val="single" w:sz="4" w:space="0" w:color="auto"/>
                                    </w:tcBorders>
                                  </w:tcPr>
                                  <w:p w14:paraId="1473B813" w14:textId="77777777" w:rsidR="00157F0A" w:rsidRPr="00157F0A" w:rsidRDefault="00157F0A" w:rsidP="00157F0A">
                                    <w:pPr>
                                      <w:pStyle w:val="TableText0"/>
                                      <w:cnfStyle w:val="000000100000" w:firstRow="0" w:lastRow="0" w:firstColumn="0" w:lastColumn="0" w:oddVBand="0" w:evenVBand="0" w:oddHBand="1" w:evenHBand="0" w:firstRowFirstColumn="0" w:firstRowLastColumn="0" w:lastRowFirstColumn="0" w:lastRowLastColumn="0"/>
                                      <w:rPr>
                                        <w:rStyle w:val="Emphasis"/>
                                        <w:i w:val="0"/>
                                        <w:iCs w:val="0"/>
                                      </w:rPr>
                                    </w:pPr>
                                    <w:r w:rsidRPr="00157F0A">
                                      <w:rPr>
                                        <w:rStyle w:val="Emphasis"/>
                                        <w:i w:val="0"/>
                                        <w:iCs w:val="0"/>
                                      </w:rPr>
                                      <w:t>Informal learning</w:t>
                                    </w:r>
                                  </w:p>
                                </w:tc>
                              </w:tr>
                              <w:tr w:rsidR="00157F0A" w:rsidRPr="00157F0A" w14:paraId="35A29253" w14:textId="77777777" w:rsidTr="003C584E">
                                <w:trPr>
                                  <w:trHeight w:val="1321"/>
                                </w:trPr>
                                <w:tc>
                                  <w:tcPr>
                                    <w:cnfStyle w:val="001000000000" w:firstRow="0" w:lastRow="0" w:firstColumn="1" w:lastColumn="0" w:oddVBand="0" w:evenVBand="0" w:oddHBand="0" w:evenHBand="0" w:firstRowFirstColumn="0" w:firstRowLastColumn="0" w:lastRowFirstColumn="0" w:lastRowLastColumn="0"/>
                                    <w:tcW w:w="0" w:type="dxa"/>
                                    <w:tcBorders>
                                      <w:top w:val="nil"/>
                                      <w:left w:val="single" w:sz="4" w:space="0" w:color="auto"/>
                                      <w:bottom w:val="single" w:sz="4" w:space="0" w:color="auto"/>
                                      <w:right w:val="single" w:sz="4" w:space="0" w:color="auto"/>
                                    </w:tcBorders>
                                  </w:tcPr>
                                  <w:p w14:paraId="040EB0FC" w14:textId="77777777" w:rsidR="00157F0A" w:rsidRPr="00157F0A" w:rsidRDefault="00157F0A" w:rsidP="00157F0A">
                                    <w:pPr>
                                      <w:pStyle w:val="TableText0"/>
                                      <w:jc w:val="left"/>
                                    </w:pPr>
                                    <w:r w:rsidRPr="00157F0A">
                                      <w:t>Schooling</w:t>
                                    </w:r>
                                  </w:p>
                                  <w:p w14:paraId="42A85BC9" w14:textId="77777777" w:rsidR="00157F0A" w:rsidRPr="00157F0A" w:rsidRDefault="00157F0A" w:rsidP="00157F0A">
                                    <w:pPr>
                                      <w:pStyle w:val="TableText0"/>
                                      <w:jc w:val="left"/>
                                    </w:pPr>
                                    <w:r w:rsidRPr="00157F0A">
                                      <w:t>Vocational education and training</w:t>
                                    </w:r>
                                  </w:p>
                                  <w:p w14:paraId="4FD5F640" w14:textId="77777777" w:rsidR="00157F0A" w:rsidRPr="00157F0A" w:rsidRDefault="00157F0A" w:rsidP="00157F0A">
                                    <w:pPr>
                                      <w:pStyle w:val="TableText0"/>
                                      <w:jc w:val="left"/>
                                    </w:pPr>
                                    <w:r w:rsidRPr="00157F0A">
                                      <w:t>Higher education</w:t>
                                    </w:r>
                                  </w:p>
                                </w:tc>
                                <w:tc>
                                  <w:tcPr>
                                    <w:tcW w:w="0" w:type="dxa"/>
                                    <w:tcBorders>
                                      <w:top w:val="nil"/>
                                      <w:left w:val="single" w:sz="4" w:space="0" w:color="auto"/>
                                      <w:bottom w:val="single" w:sz="4" w:space="0" w:color="auto"/>
                                      <w:right w:val="single" w:sz="4" w:space="0" w:color="auto"/>
                                    </w:tcBorders>
                                  </w:tcPr>
                                  <w:p w14:paraId="5E54D2FC"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Non-completed qualifications</w:t>
                                    </w:r>
                                  </w:p>
                                  <w:p w14:paraId="772EF04D"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Skill sets</w:t>
                                    </w:r>
                                  </w:p>
                                  <w:p w14:paraId="5EC5A33F"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Work-related training</w:t>
                                    </w:r>
                                  </w:p>
                                </w:tc>
                                <w:tc>
                                  <w:tcPr>
                                    <w:tcW w:w="0" w:type="dxa"/>
                                    <w:tcBorders>
                                      <w:top w:val="nil"/>
                                      <w:left w:val="single" w:sz="4" w:space="0" w:color="auto"/>
                                      <w:bottom w:val="single" w:sz="4" w:space="0" w:color="auto"/>
                                      <w:right w:val="single" w:sz="4" w:space="0" w:color="auto"/>
                                    </w:tcBorders>
                                  </w:tcPr>
                                  <w:p w14:paraId="5F1489AB"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 xml:space="preserve">On-the-job learning </w:t>
                                    </w:r>
                                  </w:p>
                                  <w:p w14:paraId="31F24089" w14:textId="77777777" w:rsidR="00157F0A" w:rsidRPr="00157F0A" w:rsidRDefault="00157F0A" w:rsidP="00157F0A">
                                    <w:pPr>
                                      <w:pStyle w:val="TableText0"/>
                                      <w:jc w:val="left"/>
                                      <w:cnfStyle w:val="000000000000" w:firstRow="0" w:lastRow="0" w:firstColumn="0" w:lastColumn="0" w:oddVBand="0" w:evenVBand="0" w:oddHBand="0" w:evenHBand="0" w:firstRowFirstColumn="0" w:firstRowLastColumn="0" w:lastRowFirstColumn="0" w:lastRowLastColumn="0"/>
                                      <w:rPr>
                                        <w:b w:val="0"/>
                                      </w:rPr>
                                    </w:pPr>
                                    <w:r w:rsidRPr="00157F0A">
                                      <w:rPr>
                                        <w:b w:val="0"/>
                                      </w:rPr>
                                      <w:t>Personal interest learning</w:t>
                                    </w:r>
                                  </w:p>
                                </w:tc>
                              </w:tr>
                              <w:tr w:rsidR="00157F0A" w:rsidRPr="00157F0A" w14:paraId="431D3AAA" w14:textId="77777777" w:rsidTr="00C8363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29" w:type="dxa"/>
                                    <w:gridSpan w:val="3"/>
                                    <w:tcBorders>
                                      <w:top w:val="single" w:sz="4" w:space="0" w:color="auto"/>
                                      <w:left w:val="single" w:sz="4" w:space="0" w:color="auto"/>
                                      <w:bottom w:val="single" w:sz="4" w:space="0" w:color="auto"/>
                                      <w:right w:val="single" w:sz="4" w:space="0" w:color="auto"/>
                                    </w:tcBorders>
                                  </w:tcPr>
                                  <w:p w14:paraId="38D449BA" w14:textId="77777777" w:rsidR="00157F0A" w:rsidRPr="00157F0A" w:rsidRDefault="00157F0A" w:rsidP="00157F0A">
                                    <w:pPr>
                                      <w:pStyle w:val="TableText0"/>
                                      <w:rPr>
                                        <w:b/>
                                      </w:rPr>
                                    </w:pPr>
                                    <w:r w:rsidRPr="00157F0A">
                                      <w:rPr>
                                        <w:b/>
                                      </w:rPr>
                                      <w:t>Depreciation of skills</w:t>
                                    </w:r>
                                  </w:p>
                                </w:tc>
                              </w:tr>
                            </w:tbl>
                            <w:p w14:paraId="53605A48" w14:textId="77777777" w:rsidR="00157F0A" w:rsidRPr="00157F0A" w:rsidRDefault="00157F0A" w:rsidP="00157F0A">
                              <w:pPr>
                                <w:rPr>
                                  <w:rFonts w:ascii="Arial" w:hAnsi="Arial" w:cs="Arial"/>
                                </w:rPr>
                              </w:pPr>
                            </w:p>
                          </w:txbxContent>
                        </v:textbox>
                      </v:shape>
                      <v:shape id="Text Box 2" o:spid="_x0000_s1034" type="#_x0000_t202" style="position:absolute;left:37905;width:31528;height:25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" stroked="f">
                        <v:textbox>
                          <w:txbxContent>
                            <w:tbl>
                              <w:tblPr>
                                <w:tblStyle w:val="NCVERTable5"/>
                                <w:tblW w:w="4678" w:type="dxa"/>
                                <w:tblBorders>
                                  <w:insideH w:val="single" w:sz="4" w:space="0" w:color="auto"/>
                                </w:tblBorders>
                                <w:shd w:val="clear" w:color="auto" w:fill="F2F2F2"/>
                                <w:tblLook w:val="04A0" w:firstRow="1" w:lastRow="0" w:firstColumn="1" w:lastColumn="0" w:noHBand="0" w:noVBand="1"/>
                              </w:tblPr>
                              <w:tblGrid>
                                <w:gridCol w:w="4678"/>
                              </w:tblGrid>
                              <w:tr w:rsidR="00157F0A" w14:paraId="3624D183" w14:textId="77777777" w:rsidTr="0022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327463C9" w14:textId="77777777" w:rsidR="00157F0A" w:rsidRPr="00226E86" w:rsidRDefault="00157F0A" w:rsidP="00157F0A">
                                    <w:pPr>
                                      <w:pStyle w:val="TableText0"/>
                                      <w:rPr>
                                        <w:rStyle w:val="Emphasis"/>
                                        <w:rFonts w:ascii="Trebuchet MS" w:hAnsi="Trebuchet MS" w:cs="Times New Roman"/>
                                        <w:bCs w:val="0"/>
                                        <w:i w:val="0"/>
                                        <w:iCs w:val="0"/>
                                        <w:sz w:val="19"/>
                                        <w:szCs w:val="20"/>
                                      </w:rPr>
                                    </w:pPr>
                                    <w:r w:rsidRPr="00226E86">
                                      <w:rPr>
                                        <w:rStyle w:val="Strong"/>
                                      </w:rPr>
                                      <w:t>Possible data sources</w:t>
                                    </w:r>
                                  </w:p>
                                </w:tc>
                              </w:tr>
                              <w:tr w:rsidR="00157F0A" w14:paraId="1B302C99" w14:textId="77777777" w:rsidTr="0022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3D8670F9" w14:textId="77777777" w:rsidR="00157F0A" w:rsidRPr="00226E86" w:rsidRDefault="00157F0A" w:rsidP="00157F0A">
                                    <w:pPr>
                                      <w:pStyle w:val="TableText0"/>
                                      <w:jc w:val="left"/>
                                    </w:pPr>
                                    <w:r w:rsidRPr="00226E86">
                                      <w:t>ABS Census</w:t>
                                    </w:r>
                                  </w:p>
                                  <w:p w14:paraId="69A8C6E3" w14:textId="77777777" w:rsidR="00157F0A" w:rsidRPr="00226E86" w:rsidRDefault="00157F0A" w:rsidP="00157F0A">
                                    <w:pPr>
                                      <w:pStyle w:val="TableText0"/>
                                      <w:jc w:val="left"/>
                                    </w:pPr>
                                    <w:r w:rsidRPr="00226E86">
                                      <w:t xml:space="preserve">ABS Multi-Agency Data Integration Project </w:t>
                                    </w:r>
                                  </w:p>
                                  <w:p w14:paraId="0AE2E8C8" w14:textId="77777777" w:rsidR="00157F0A" w:rsidRPr="00226E86" w:rsidRDefault="00157F0A" w:rsidP="00157F0A">
                                    <w:pPr>
                                      <w:pStyle w:val="TableText0"/>
                                      <w:jc w:val="left"/>
                                    </w:pPr>
                                    <w:r w:rsidRPr="00226E86">
                                      <w:t>ABS Survey of Qualifications and Work</w:t>
                                    </w:r>
                                  </w:p>
                                  <w:p w14:paraId="3E08ECDD" w14:textId="77777777" w:rsidR="00157F0A" w:rsidRPr="00226E86" w:rsidRDefault="00157F0A" w:rsidP="00157F0A">
                                    <w:pPr>
                                      <w:pStyle w:val="TableText0"/>
                                      <w:jc w:val="left"/>
                                    </w:pPr>
                                    <w:r w:rsidRPr="00226E86">
                                      <w:t>ABS Survey of Education and Work</w:t>
                                    </w:r>
                                  </w:p>
                                  <w:p w14:paraId="7773BA91" w14:textId="77777777" w:rsidR="00157F0A" w:rsidRPr="00226E86" w:rsidRDefault="00157F0A" w:rsidP="00157F0A">
                                    <w:pPr>
                                      <w:pStyle w:val="TableText0"/>
                                      <w:jc w:val="left"/>
                                    </w:pPr>
                                    <w:r w:rsidRPr="00226E86">
                                      <w:t>NCVER Total VET Activity administrative collection</w:t>
                                    </w:r>
                                  </w:p>
                                  <w:p w14:paraId="2DC9362D" w14:textId="77777777" w:rsidR="00157F0A" w:rsidRPr="00226E86" w:rsidRDefault="00157F0A" w:rsidP="00157F0A">
                                    <w:pPr>
                                      <w:pStyle w:val="TableText0"/>
                                      <w:jc w:val="left"/>
                                    </w:pPr>
                                    <w:r w:rsidRPr="00226E86">
                                      <w:t>DESE Higher Education Internet Management System</w:t>
                                    </w:r>
                                  </w:p>
                                </w:tc>
                              </w:tr>
                              <w:tr w:rsidR="00157F0A" w14:paraId="46122CA8" w14:textId="77777777" w:rsidTr="00226E86">
                                <w:tc>
                                  <w:tcPr>
                                    <w:cnfStyle w:val="001000000000" w:firstRow="0" w:lastRow="0" w:firstColumn="1" w:lastColumn="0" w:oddVBand="0" w:evenVBand="0" w:oddHBand="0" w:evenHBand="0" w:firstRowFirstColumn="0" w:firstRowLastColumn="0" w:lastRowFirstColumn="0" w:lastRowLastColumn="0"/>
                                    <w:tcW w:w="4678" w:type="dxa"/>
                                    <w:shd w:val="clear" w:color="auto" w:fill="F2F2F2"/>
                                  </w:tcPr>
                                  <w:p w14:paraId="222BB1AA" w14:textId="77777777" w:rsidR="00157F0A" w:rsidRPr="00226E86" w:rsidRDefault="00157F0A" w:rsidP="00157F0A">
                                    <w:pPr>
                                      <w:pStyle w:val="TableText0"/>
                                      <w:jc w:val="left"/>
                                    </w:pPr>
                                    <w:r w:rsidRPr="00226E86">
                                      <w:t>ABS Survey of Qualifications and Work</w:t>
                                    </w:r>
                                  </w:p>
                                  <w:p w14:paraId="014B9690" w14:textId="77777777" w:rsidR="00157F0A" w:rsidRPr="00226E86" w:rsidRDefault="00157F0A" w:rsidP="00157F0A">
                                    <w:pPr>
                                      <w:pStyle w:val="TableText0"/>
                                      <w:jc w:val="left"/>
                                    </w:pPr>
                                    <w:r w:rsidRPr="00226E86">
                                      <w:t>NCVER Total VET Activity administrative collection</w:t>
                                    </w:r>
                                  </w:p>
                                  <w:p w14:paraId="4BDBB095" w14:textId="77777777" w:rsidR="00157F0A" w:rsidRPr="00226E86" w:rsidRDefault="00157F0A" w:rsidP="00157F0A">
                                    <w:pPr>
                                      <w:pStyle w:val="TableText0"/>
                                      <w:jc w:val="left"/>
                                    </w:pPr>
                                    <w:r w:rsidRPr="00226E86">
                                      <w:t>ABS Work-related Training and Adult Learning survey</w:t>
                                    </w:r>
                                  </w:p>
                                </w:tc>
                              </w:tr>
                            </w:tbl>
                            <w:p w14:paraId="4247F6E2" w14:textId="77777777" w:rsidR="00157F0A" w:rsidRDefault="00157F0A" w:rsidP="00157F0A"/>
                          </w:txbxContent>
                        </v:textbox>
                      </v:shape>
                      <v:shapetype id="_x0000_t32" coordsize="21600,21600" o:spt="32" o:oned="t" path="m,l21600,21600e" filled="f">
                        <v:path arrowok="t" fillok="f" o:connecttype="none"/>
                        <o:lock v:ext="edit" shapetype="t"/>
                      </v:shapetype>
                      <v:shape id="Straight Arrow Connector 299" o:spid="_x0000_s1035" type="#_x0000_t32" style="position:absolute;left:15759;top:9184;width:23473;height: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" strokecolor="windowText" strokeweight="1pt">
                        <v:stroke dashstyle="dash" startarrowwidth="wide" joinstyle="miter"/>
                      </v:shape>
                      <v:shape id="Straight Arrow Connector 300" o:spid="_x0000_s1036" type="#_x0000_t32" style="position:absolute;left:28461;top:17837;width:10636;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" strokecolor="windowText" strokeweight="1pt">
                        <v:stroke dashstyle="dash" startarrowwidth="wide"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or: Elbow 301" o:spid="_x0000_s1037" type="#_x0000_t34" style="position:absolute;left:29846;top:24354;width:10180;height:7156;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" strokecolor="windowText" strokeweight="1pt">
                        <v:stroke startarrow="classic" startarrowwidth="wide" endarrow="classic" endarrowwidth="wide"/>
                      </v:shape>
                    </v:group>
                    <v:group id="Group 302" o:spid="_x0000_s1038" style="position:absolute;left:5699;top:24485;width:39562;height:14202" coordorigin="5603,-7089" coordsize="39563,142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Text Box 303" o:spid="_x0000_s1039" type="#_x0000_t202" style="position:absolute;left:30767;top:1574;width:14400;height:27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" fillcolor="window" strokeweight=".5pt">
                        <v:textbox>
                          <w:txbxContent>
                            <w:p w14:paraId="5DD70B60" w14:textId="77777777" w:rsidR="00157F0A" w:rsidRPr="00157F0A" w:rsidRDefault="00157F0A" w:rsidP="00157F0A">
                              <w:pPr>
                                <w:spacing w:before="0"/>
                                <w:jc w:val="center"/>
                                <w:rPr>
                                  <w:rStyle w:val="Strong"/>
                                  <w:rFonts w:ascii="Arial" w:hAnsi="Arial" w:cs="Arial"/>
                                  <w:color w:val="79288C"/>
                                  <w:sz w:val="20"/>
                                </w:rPr>
                              </w:pPr>
                              <w:r w:rsidRPr="00157F0A">
                                <w:rPr>
                                  <w:rStyle w:val="Strong"/>
                                  <w:rFonts w:ascii="Arial" w:hAnsi="Arial" w:cs="Arial"/>
                                  <w:color w:val="79288C"/>
                                  <w:sz w:val="20"/>
                                </w:rPr>
                                <w:t>SKILLS SUPPLY</w:t>
                              </w:r>
                            </w:p>
                          </w:txbxContent>
                        </v:textbox>
                      </v:shape>
                      <v:shape id="Text Box 2" o:spid="_x0000_s1040" type="#_x0000_t202" style="position:absolute;left:5603;top:-7089;width:19622;height:14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" stroked="f">
                        <v:textbox>
                          <w:txbxContent>
                            <w:tbl>
                              <w:tblPr>
                                <w:tblStyle w:val="NCVERTable5"/>
                                <w:tblW w:w="2835" w:type="dxa"/>
                                <w:tblBorders>
                                  <w:insideH w:val="single" w:sz="4" w:space="0" w:color="auto"/>
                                  <w:insideV w:val="single" w:sz="4" w:space="0" w:color="auto"/>
                                </w:tblBorders>
                                <w:shd w:val="clear" w:color="auto" w:fill="F2F2F2"/>
                                <w:tblLook w:val="04A0" w:firstRow="1" w:lastRow="0" w:firstColumn="1" w:lastColumn="0" w:noHBand="0" w:noVBand="1"/>
                              </w:tblPr>
                              <w:tblGrid>
                                <w:gridCol w:w="2835"/>
                              </w:tblGrid>
                              <w:tr w:rsidR="00157F0A" w14:paraId="25EE6184" w14:textId="77777777" w:rsidTr="0022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5"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1DDC4276" w14:textId="77777777" w:rsidR="00157F0A" w:rsidRPr="00226E86" w:rsidRDefault="00157F0A" w:rsidP="00157F0A">
                                    <w:pPr>
                                      <w:pStyle w:val="TableText0"/>
                                      <w:rPr>
                                        <w:rStyle w:val="Emphasis"/>
                                        <w:rFonts w:ascii="Trebuchet MS" w:hAnsi="Trebuchet MS" w:cs="Times New Roman"/>
                                        <w:bCs w:val="0"/>
                                        <w:i w:val="0"/>
                                        <w:color w:val="ED7D31"/>
                                        <w:sz w:val="19"/>
                                        <w:szCs w:val="20"/>
                                      </w:rPr>
                                    </w:pPr>
                                    <w:r w:rsidRPr="00226E86">
                                      <w:rPr>
                                        <w:rStyle w:val="Strong"/>
                                      </w:rPr>
                                      <w:t>Possible data sources</w:t>
                                    </w:r>
                                  </w:p>
                                </w:tc>
                              </w:tr>
                              <w:tr w:rsidR="00157F0A" w14:paraId="6C13674F" w14:textId="77777777" w:rsidTr="003C584E">
                                <w:trPr>
                                  <w:cnfStyle w:val="000000100000" w:firstRow="0" w:lastRow="0" w:firstColumn="0" w:lastColumn="0" w:oddVBand="0" w:evenVBand="0" w:oddHBand="1" w:evenHBand="0" w:firstRowFirstColumn="0" w:firstRowLastColumn="0" w:lastRowFirstColumn="0" w:lastRowLastColumn="0"/>
                                  <w:trHeight w:val="1221"/>
                                </w:trPr>
                                <w:tc>
                                  <w:tcPr>
                                    <w:cnfStyle w:val="001000000000" w:firstRow="0" w:lastRow="0" w:firstColumn="1" w:lastColumn="0" w:oddVBand="0" w:evenVBand="0" w:oddHBand="0" w:evenHBand="0" w:firstRowFirstColumn="0" w:firstRowLastColumn="0" w:lastRowFirstColumn="0" w:lastRowLastColumn="0"/>
                                    <w:tcW w:w="0" w:type="dxa"/>
                                    <w:shd w:val="clear" w:color="auto" w:fill="F2F2F2"/>
                                  </w:tcPr>
                                  <w:p w14:paraId="451FC4B8" w14:textId="77777777" w:rsidR="00157F0A" w:rsidRPr="00F14CE0" w:rsidRDefault="00157F0A" w:rsidP="00157F0A">
                                    <w:pPr>
                                      <w:pStyle w:val="TableText0"/>
                                      <w:jc w:val="left"/>
                                    </w:pPr>
                                    <w:r w:rsidRPr="00F14CE0">
                                      <w:t>Jobs and Education Data Infrastructure project (JEDI): skills by qualification and by unit of competency</w:t>
                                    </w:r>
                                  </w:p>
                                  <w:p w14:paraId="6ECA906C" w14:textId="77777777" w:rsidR="00157F0A" w:rsidRPr="00897C90" w:rsidRDefault="00157F0A" w:rsidP="00157F0A">
                                    <w:pPr>
                                      <w:pStyle w:val="TableText0"/>
                                      <w:jc w:val="left"/>
                                    </w:pPr>
                                    <w:r w:rsidRPr="00F14CE0">
                                      <w:t>PIAAC</w:t>
                                    </w:r>
                                  </w:p>
                                </w:tc>
                              </w:tr>
                            </w:tbl>
                            <w:p w14:paraId="3F6F2714" w14:textId="77777777" w:rsidR="00157F0A" w:rsidRDefault="00157F0A" w:rsidP="00157F0A"/>
                          </w:txbxContent>
                        </v:textbox>
                      </v:shape>
                    </v:group>
                    <v:group id="Group 305" o:spid="_x0000_s1041" style="position:absolute;left:1634;top:40680;width:67803;height:19684" coordorigin="1538,-3706" coordsize="67802,196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">
                      <v:group id="Group 306" o:spid="_x0000_s1042" style="position:absolute;left:1538;top:-3706;width:67803;height:19684" coordorigin="1539,-8850" coordsize="67805,19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Text Box 2" o:spid="_x0000_s1043" type="#_x0000_t202" style="position:absolute;left:35424;top:88;width:33920;height:10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" stroked="f">
                          <v:textbox>
                            <w:txbxContent>
                              <w:tbl>
                                <w:tblPr>
                                  <w:tblStyle w:val="NCVERTable5"/>
                                  <w:tblW w:w="5024" w:type="dxa"/>
                                  <w:tblBorders>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4"/>
                                  <w:gridCol w:w="1675"/>
                                  <w:gridCol w:w="1675"/>
                                </w:tblGrid>
                                <w:tr w:rsidR="00157F0A" w14:paraId="3FBAA142" w14:textId="77777777" w:rsidTr="0022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24" w:type="dxa"/>
                                      <w:gridSpan w:val="3"/>
                                      <w:tcBorders>
                                        <w:left w:val="single" w:sz="4" w:space="0" w:color="auto"/>
                                        <w:bottom w:val="single" w:sz="4" w:space="0" w:color="A6A6A6"/>
                                        <w:right w:val="single" w:sz="4" w:space="0" w:color="auto"/>
                                      </w:tcBorders>
                                    </w:tcPr>
                                    <w:p w14:paraId="263AFAF7" w14:textId="77777777" w:rsidR="00157F0A" w:rsidRPr="00157F0A" w:rsidRDefault="00157F0A" w:rsidP="00C8363B">
                                      <w:pPr>
                                        <w:spacing w:before="0"/>
                                        <w:jc w:val="center"/>
                                        <w:rPr>
                                          <w:rStyle w:val="Strong"/>
                                          <w:rFonts w:ascii="Arial" w:hAnsi="Arial" w:cs="Arial"/>
                                          <w:b/>
                                          <w:bCs w:val="0"/>
                                          <w:color w:val="79288C"/>
                                          <w:sz w:val="20"/>
                                        </w:rPr>
                                      </w:pPr>
                                      <w:r w:rsidRPr="00157F0A">
                                        <w:rPr>
                                          <w:rStyle w:val="Strong"/>
                                          <w:rFonts w:ascii="Arial" w:hAnsi="Arial" w:cs="Arial"/>
                                          <w:b/>
                                          <w:bCs w:val="0"/>
                                          <w:color w:val="79288C"/>
                                          <w:sz w:val="20"/>
                                        </w:rPr>
                                        <w:t>SKILLS DEMAND</w:t>
                                      </w:r>
                                    </w:p>
                                  </w:tc>
                                </w:tr>
                                <w:tr w:rsidR="00157F0A" w14:paraId="3DA67328" w14:textId="77777777" w:rsidTr="00157F0A">
                                  <w:trPr>
                                    <w:cnfStyle w:val="000000100000" w:firstRow="0" w:lastRow="0" w:firstColumn="0" w:lastColumn="0" w:oddVBand="0" w:evenVBand="0" w:oddHBand="1" w:evenHBand="0" w:firstRowFirstColumn="0" w:firstRowLastColumn="0" w:lastRowFirstColumn="0" w:lastRowLastColumn="0"/>
                                    <w:trHeight w:val="966"/>
                                  </w:trPr>
                                  <w:tc>
                                    <w:tcPr>
                                      <w:cnfStyle w:val="001000000000" w:firstRow="0" w:lastRow="0" w:firstColumn="1" w:lastColumn="0" w:oddVBand="0" w:evenVBand="0" w:oddHBand="0" w:evenHBand="0" w:firstRowFirstColumn="0" w:firstRowLastColumn="0" w:lastRowFirstColumn="0" w:lastRowLastColumn="0"/>
                                      <w:tcW w:w="1674" w:type="dxa"/>
                                      <w:tcBorders>
                                        <w:top w:val="single" w:sz="4" w:space="0" w:color="auto"/>
                                        <w:left w:val="single" w:sz="4" w:space="0" w:color="auto"/>
                                        <w:bottom w:val="single" w:sz="4" w:space="0" w:color="auto"/>
                                        <w:right w:val="single" w:sz="4" w:space="0" w:color="auto"/>
                                      </w:tcBorders>
                                    </w:tcPr>
                                    <w:p w14:paraId="75C93E69" w14:textId="77777777" w:rsidR="00157F0A" w:rsidRPr="00157F0A" w:rsidRDefault="00157F0A" w:rsidP="00157F0A">
                                      <w:pPr>
                                        <w:pStyle w:val="TableText0"/>
                                        <w:rPr>
                                          <w:b/>
                                          <w:bCs w:val="0"/>
                                        </w:rPr>
                                      </w:pPr>
                                      <w:r w:rsidRPr="00157F0A">
                                        <w:rPr>
                                          <w:b/>
                                          <w:bCs w:val="0"/>
                                        </w:rPr>
                                        <w:t>Occupation prevalence</w:t>
                                      </w:r>
                                    </w:p>
                                  </w:tc>
                                  <w:tc>
                                    <w:tcPr>
                                      <w:tcW w:w="1675" w:type="dxa"/>
                                      <w:tcBorders>
                                        <w:top w:val="single" w:sz="4" w:space="0" w:color="auto"/>
                                        <w:left w:val="single" w:sz="4" w:space="0" w:color="auto"/>
                                        <w:bottom w:val="single" w:sz="4" w:space="0" w:color="auto"/>
                                        <w:right w:val="single" w:sz="4" w:space="0" w:color="auto"/>
                                      </w:tcBorders>
                                    </w:tcPr>
                                    <w:p w14:paraId="446C2F64" w14:textId="77777777" w:rsidR="00157F0A" w:rsidRPr="00157F0A" w:rsidRDefault="00157F0A" w:rsidP="00157F0A">
                                      <w:pPr>
                                        <w:pStyle w:val="TableText0"/>
                                        <w:cnfStyle w:val="000000100000" w:firstRow="0" w:lastRow="0" w:firstColumn="0" w:lastColumn="0" w:oddVBand="0" w:evenVBand="0" w:oddHBand="1" w:evenHBand="0" w:firstRowFirstColumn="0" w:firstRowLastColumn="0" w:lastRowFirstColumn="0" w:lastRowLastColumn="0"/>
                                        <w:rPr>
                                          <w:bCs w:val="0"/>
                                        </w:rPr>
                                      </w:pPr>
                                      <w:r w:rsidRPr="00157F0A">
                                        <w:rPr>
                                          <w:bCs w:val="0"/>
                                        </w:rPr>
                                        <w:t>Skills employers require for occupations</w:t>
                                      </w:r>
                                    </w:p>
                                  </w:tc>
                                  <w:tc>
                                    <w:tcPr>
                                      <w:tcW w:w="1675" w:type="dxa"/>
                                      <w:tcBorders>
                                        <w:top w:val="single" w:sz="4" w:space="0" w:color="auto"/>
                                        <w:left w:val="single" w:sz="4" w:space="0" w:color="auto"/>
                                        <w:bottom w:val="single" w:sz="4" w:space="0" w:color="auto"/>
                                        <w:right w:val="single" w:sz="4" w:space="0" w:color="auto"/>
                                      </w:tcBorders>
                                    </w:tcPr>
                                    <w:p w14:paraId="0562E2E1" w14:textId="77777777" w:rsidR="00157F0A" w:rsidRPr="00157F0A" w:rsidRDefault="00157F0A" w:rsidP="00157F0A">
                                      <w:pPr>
                                        <w:pStyle w:val="TableText0"/>
                                        <w:cnfStyle w:val="000000100000" w:firstRow="0" w:lastRow="0" w:firstColumn="0" w:lastColumn="0" w:oddVBand="0" w:evenVBand="0" w:oddHBand="1" w:evenHBand="0" w:firstRowFirstColumn="0" w:firstRowLastColumn="0" w:lastRowFirstColumn="0" w:lastRowLastColumn="0"/>
                                        <w:rPr>
                                          <w:bCs w:val="0"/>
                                        </w:rPr>
                                      </w:pPr>
                                      <w:r w:rsidRPr="00157F0A">
                                        <w:rPr>
                                          <w:bCs w:val="0"/>
                                        </w:rPr>
                                        <w:t>Job vacancies</w:t>
                                      </w:r>
                                    </w:p>
                                  </w:tc>
                                </w:tr>
                              </w:tbl>
                              <w:p w14:paraId="359C9FD2" w14:textId="77777777" w:rsidR="00157F0A" w:rsidRDefault="00157F0A" w:rsidP="00157F0A"/>
                            </w:txbxContent>
                          </v:textbox>
                        </v:shape>
                        <v:shape id="Straight Arrow Connector 308" o:spid="_x0000_s1044" type="#_x0000_t32" style="position:absolute;left:28022;top:9715;width:29900;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" strokecolor="windowText" strokeweight="1pt">
                          <v:stroke dashstyle="dash" startarrowwidth="wide" joinstyle="miter"/>
                        </v:shape>
                        <v:shape id="Text Box 2" o:spid="_x0000_s1045" type="#_x0000_t202" style="position:absolute;left:1539;top:-8850;width:27178;height:196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" stroked="f">
                          <v:textbox>
                            <w:txbxContent>
                              <w:tbl>
                                <w:tblPr>
                                  <w:tblStyle w:val="NCVERTable5"/>
                                  <w:tblW w:w="4111" w:type="dxa"/>
                                  <w:tblBorders>
                                    <w:insideH w:val="single" w:sz="4" w:space="0" w:color="auto"/>
                                  </w:tblBorders>
                                  <w:shd w:val="clear" w:color="auto" w:fill="F2F2F2"/>
                                  <w:tblLook w:val="04A0" w:firstRow="1" w:lastRow="0" w:firstColumn="1" w:lastColumn="0" w:noHBand="0" w:noVBand="1"/>
                                </w:tblPr>
                                <w:tblGrid>
                                  <w:gridCol w:w="4111"/>
                                </w:tblGrid>
                                <w:tr w:rsidR="00157F0A" w14:paraId="67FE4CCE" w14:textId="77777777" w:rsidTr="00226E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54AC1068" w14:textId="77777777" w:rsidR="00157F0A" w:rsidRPr="00226E86" w:rsidRDefault="00157F0A" w:rsidP="00157F0A">
                                      <w:pPr>
                                        <w:pStyle w:val="TableText0"/>
                                        <w:rPr>
                                          <w:rStyle w:val="Emphasis"/>
                                          <w:rFonts w:ascii="Trebuchet MS" w:hAnsi="Trebuchet MS" w:cs="Times New Roman"/>
                                          <w:bCs w:val="0"/>
                                          <w:i w:val="0"/>
                                          <w:color w:val="ED7D31"/>
                                          <w:sz w:val="19"/>
                                          <w:szCs w:val="20"/>
                                        </w:rPr>
                                      </w:pPr>
                                      <w:r w:rsidRPr="00226E86">
                                        <w:rPr>
                                          <w:rStyle w:val="Strong"/>
                                        </w:rPr>
                                        <w:t>Possible data sources</w:t>
                                      </w:r>
                                    </w:p>
                                  </w:tc>
                                </w:tr>
                                <w:tr w:rsidR="00157F0A" w14:paraId="3DD59EBD" w14:textId="77777777" w:rsidTr="00226E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tcBorders>
                                        <w:top w:val="none" w:sz="0" w:space="0" w:color="auto"/>
                                        <w:left w:val="none" w:sz="0" w:space="0" w:color="auto"/>
                                        <w:bottom w:val="none" w:sz="0" w:space="0" w:color="auto"/>
                                        <w:right w:val="none" w:sz="0" w:space="0" w:color="auto"/>
                                        <w:tl2br w:val="none" w:sz="0" w:space="0" w:color="auto"/>
                                        <w:tr2bl w:val="none" w:sz="0" w:space="0" w:color="auto"/>
                                      </w:tcBorders>
                                      <w:shd w:val="clear" w:color="auto" w:fill="F2F2F2"/>
                                    </w:tcPr>
                                    <w:p w14:paraId="21D571AD" w14:textId="77777777" w:rsidR="00157F0A" w:rsidRPr="00897C90" w:rsidRDefault="00157F0A" w:rsidP="00157F0A">
                                      <w:pPr>
                                        <w:pStyle w:val="TableText0"/>
                                        <w:jc w:val="left"/>
                                      </w:pPr>
                                      <w:r w:rsidRPr="00897C90">
                                        <w:t>ABS Labour force survey</w:t>
                                      </w:r>
                                    </w:p>
                                    <w:p w14:paraId="1476B079" w14:textId="77777777" w:rsidR="00157F0A" w:rsidRPr="00897C90" w:rsidRDefault="00157F0A" w:rsidP="00157F0A">
                                      <w:pPr>
                                        <w:pStyle w:val="TableText0"/>
                                        <w:jc w:val="left"/>
                                      </w:pPr>
                                      <w:r w:rsidRPr="00897C90">
                                        <w:t>ABS Multi-Agency Data Integration Project</w:t>
                                      </w:r>
                                    </w:p>
                                    <w:p w14:paraId="285CD565" w14:textId="77777777" w:rsidR="00157F0A" w:rsidRPr="00897C90" w:rsidRDefault="00157F0A" w:rsidP="00157F0A">
                                      <w:pPr>
                                        <w:pStyle w:val="TableText0"/>
                                        <w:jc w:val="left"/>
                                      </w:pPr>
                                      <w:r w:rsidRPr="00897C90">
                                        <w:t>ABS Survey of Qualifications and Work</w:t>
                                      </w:r>
                                    </w:p>
                                    <w:p w14:paraId="0C734974" w14:textId="77777777" w:rsidR="00157F0A" w:rsidRPr="00897C90" w:rsidRDefault="00157F0A" w:rsidP="00157F0A">
                                      <w:pPr>
                                        <w:pStyle w:val="TableText0"/>
                                        <w:jc w:val="left"/>
                                      </w:pPr>
                                      <w:r w:rsidRPr="00897C90">
                                        <w:t>ABS Survey of Education and Work</w:t>
                                      </w:r>
                                    </w:p>
                                  </w:tc>
                                </w:tr>
                                <w:tr w:rsidR="00157F0A" w14:paraId="79C3EBD6" w14:textId="77777777" w:rsidTr="00226E86">
                                  <w:tc>
                                    <w:tcPr>
                                      <w:cnfStyle w:val="001000000000" w:firstRow="0" w:lastRow="0" w:firstColumn="1" w:lastColumn="0" w:oddVBand="0" w:evenVBand="0" w:oddHBand="0" w:evenHBand="0" w:firstRowFirstColumn="0" w:firstRowLastColumn="0" w:lastRowFirstColumn="0" w:lastRowLastColumn="0"/>
                                      <w:tcW w:w="4111" w:type="dxa"/>
                                      <w:shd w:val="clear" w:color="auto" w:fill="F2F2F2"/>
                                    </w:tcPr>
                                    <w:p w14:paraId="473789F5" w14:textId="77777777" w:rsidR="00157F0A" w:rsidRPr="00897C90" w:rsidRDefault="00157F0A" w:rsidP="00157F0A">
                                      <w:pPr>
                                        <w:pStyle w:val="TableText0"/>
                                        <w:jc w:val="left"/>
                                      </w:pPr>
                                      <w:r w:rsidRPr="00897C90">
                                        <w:t xml:space="preserve">Burning Glass </w:t>
                                      </w:r>
                                      <w:r>
                                        <w:t xml:space="preserve">- </w:t>
                                      </w:r>
                                      <w:r w:rsidRPr="00897C90">
                                        <w:t>skills by occupation</w:t>
                                      </w:r>
                                    </w:p>
                                    <w:p w14:paraId="38B458EA" w14:textId="77777777" w:rsidR="00157F0A" w:rsidRPr="00897C90" w:rsidRDefault="00157F0A" w:rsidP="00157F0A">
                                      <w:pPr>
                                        <w:pStyle w:val="TableText0"/>
                                        <w:jc w:val="left"/>
                                      </w:pPr>
                                      <w:proofErr w:type="spellStart"/>
                                      <w:r w:rsidRPr="00897C90">
                                        <w:t>Adzuna</w:t>
                                      </w:r>
                                      <w:proofErr w:type="spellEnd"/>
                                      <w:r w:rsidRPr="00897C90">
                                        <w:t xml:space="preserve"> job ad database</w:t>
                                      </w:r>
                                    </w:p>
                                  </w:tc>
                                </w:tr>
                              </w:tbl>
                              <w:p w14:paraId="6C3B60FB" w14:textId="77777777" w:rsidR="00157F0A" w:rsidRDefault="00157F0A" w:rsidP="00157F0A"/>
                            </w:txbxContent>
                          </v:textbox>
                        </v:shape>
                        <v:shape id="Straight Arrow Connector 310" o:spid="_x0000_s1046" type="#_x0000_t32" style="position:absolute;left:28717;top:3805;width:749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" strokecolor="windowText" strokeweight="1pt">
                          <v:stroke dashstyle="dash" startarrowwidth="wide" joinstyle="miter"/>
                        </v:shape>
                      </v:group>
                      <v:shape id="Straight Arrow Connector 311" o:spid="_x0000_s1047" type="#_x0000_t32" style="position:absolute;left:28671;top:14147;width:1835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" strokecolor="windowText" strokeweight="1pt">
                        <v:stroke dashstyle="dash" startarrowwidth="wide" joinstyle="miter"/>
                      </v:shape>
                    </v:group>
                  </v:group>
                  <v:shape id="Straight Arrow Connector 312" o:spid="_x0000_s1048" type="#_x0000_t32" style="position:absolute;left:25070;top:33919;width:5497;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" strokecolor="windowText" strokeweight="1pt">
                    <v:stroke dashstyle="dash" startarrowwidth="wide" joinstyle="miter"/>
                  </v:shape>
                </v:group>
                <v:shape id="Connector: Elbow 313" o:spid="_x0000_s1049" type="#_x0000_t34" style="position:absolute;left:33255;top:38495;width:13265;height:7211;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" strokecolor="windowText" strokeweight="1pt">
                  <v:stroke startarrow="classic" startarrowwidth="wide" endarrow="classic" endarrowwidth="wide"/>
                </v:shape>
                <w10:wrap type="topAndBottom" anchorx="margin"/>
              </v:group>
            </w:pict>
          </mc:Fallback>
        </mc:AlternateContent>
      </w:r>
      <w:r w:rsidR="00A111FE" w:rsidRPr="00A111FE">
        <w:t>Figure 1</w:t>
      </w:r>
      <w:r w:rsidR="00A111FE" w:rsidRPr="00A111FE">
        <w:tab/>
        <w:t>Concept diagram</w:t>
      </w:r>
      <w:bookmarkEnd w:id="28"/>
    </w:p>
    <w:p w14:paraId="3B32C9AC" w14:textId="6A643D7A" w:rsidR="00A64A43" w:rsidRDefault="00A64A43" w:rsidP="006C227D">
      <w:pPr>
        <w:pStyle w:val="Figuretitle"/>
        <w:spacing w:before="0" w:after="0"/>
        <w:ind w:left="0" w:firstLine="0"/>
      </w:pPr>
    </w:p>
    <w:p w14:paraId="07B2A54D" w14:textId="77777777" w:rsidR="00157F0A" w:rsidRDefault="00157F0A" w:rsidP="004A16DB">
      <w:pPr>
        <w:pStyle w:val="Text"/>
      </w:pPr>
    </w:p>
    <w:p w14:paraId="18E042FE" w14:textId="77777777" w:rsidR="00157F0A" w:rsidRDefault="00157F0A" w:rsidP="004A16DB">
      <w:pPr>
        <w:pStyle w:val="Text"/>
      </w:pPr>
    </w:p>
    <w:p w14:paraId="44BD8994" w14:textId="6B7C4141" w:rsidR="00FB50A8" w:rsidRDefault="00E8757F" w:rsidP="004A16DB">
      <w:pPr>
        <w:pStyle w:val="Text"/>
      </w:pPr>
      <w:r w:rsidRPr="00E8757F">
        <w:lastRenderedPageBreak/>
        <w:t xml:space="preserve">Table 2 provides a summary of the pros and cons associated with data sources shown in the concept map. </w:t>
      </w:r>
    </w:p>
    <w:p w14:paraId="0281E235" w14:textId="69A40CB0" w:rsidR="006E2D02" w:rsidRDefault="006E2D02" w:rsidP="006E2D02">
      <w:pPr>
        <w:pStyle w:val="tabletitle"/>
      </w:pPr>
      <w:bookmarkStart w:id="29" w:name="_Toc66774489"/>
      <w:r w:rsidRPr="006E2D02">
        <w:t>Table 2</w:t>
      </w:r>
      <w:r w:rsidRPr="006E2D02">
        <w:tab/>
        <w:t>Data sources available in Australia</w:t>
      </w:r>
      <w:r w:rsidRPr="006E2D02">
        <w:rPr>
          <w:rFonts w:ascii="Arial Bold" w:hAnsi="Arial Bold"/>
          <w:sz w:val="16"/>
          <w:vertAlign w:val="superscript"/>
        </w:rPr>
        <w:t>1</w:t>
      </w:r>
      <w:bookmarkEnd w:id="29"/>
      <w:r w:rsidRPr="006E2D02">
        <w:rPr>
          <w:rFonts w:ascii="Arial Bold" w:hAnsi="Arial Bold"/>
          <w:sz w:val="16"/>
          <w:vertAlign w:val="superscript"/>
        </w:rPr>
        <w:t xml:space="preserve"> </w:t>
      </w:r>
    </w:p>
    <w:tbl>
      <w:tblPr>
        <w:tblStyle w:val="PlainTable2"/>
        <w:tblW w:w="8921" w:type="dxa"/>
        <w:tblLook w:val="0000" w:firstRow="0" w:lastRow="0" w:firstColumn="0" w:lastColumn="0" w:noHBand="0" w:noVBand="0"/>
      </w:tblPr>
      <w:tblGrid>
        <w:gridCol w:w="2643"/>
        <w:gridCol w:w="6278"/>
      </w:tblGrid>
      <w:tr w:rsidR="00B12E75" w14:paraId="39A70CA4"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191255D4" w14:textId="77777777" w:rsidR="00B12E75" w:rsidRPr="00F323D0" w:rsidRDefault="00B12E75" w:rsidP="00B12E75">
            <w:pPr>
              <w:pStyle w:val="Tablehead1"/>
              <w:rPr>
                <w:lang w:val="en-US"/>
              </w:rPr>
            </w:pPr>
            <w:r w:rsidRPr="00F323D0">
              <w:rPr>
                <w:lang w:val="en-US"/>
              </w:rPr>
              <w:t>Data source</w:t>
            </w:r>
          </w:p>
        </w:tc>
        <w:tc>
          <w:tcPr>
            <w:cnfStyle w:val="000001000000" w:firstRow="0" w:lastRow="0" w:firstColumn="0" w:lastColumn="0" w:oddVBand="0" w:evenVBand="1" w:oddHBand="0" w:evenHBand="0" w:firstRowFirstColumn="0" w:firstRowLastColumn="0" w:lastRowFirstColumn="0" w:lastRowLastColumn="0"/>
            <w:tcW w:w="6278" w:type="dxa"/>
          </w:tcPr>
          <w:p w14:paraId="6F736999" w14:textId="77777777" w:rsidR="00B12E75" w:rsidRPr="00F323D0" w:rsidRDefault="00B12E75" w:rsidP="00B12E75">
            <w:pPr>
              <w:pStyle w:val="Tablehead1"/>
              <w:rPr>
                <w:lang w:val="en-US"/>
              </w:rPr>
            </w:pPr>
            <w:r>
              <w:rPr>
                <w:lang w:val="en-US"/>
              </w:rPr>
              <w:t>Examples of p</w:t>
            </w:r>
            <w:r w:rsidRPr="00F323D0">
              <w:rPr>
                <w:lang w:val="en-US"/>
              </w:rPr>
              <w:t>ros and cons</w:t>
            </w:r>
            <w:r>
              <w:rPr>
                <w:lang w:val="en-US"/>
              </w:rPr>
              <w:t xml:space="preserve"> </w:t>
            </w:r>
          </w:p>
        </w:tc>
      </w:tr>
      <w:tr w:rsidR="00B12E75" w14:paraId="114CA688" w14:textId="77777777" w:rsidTr="00FA0B99">
        <w:tc>
          <w:tcPr>
            <w:cnfStyle w:val="000010000000" w:firstRow="0" w:lastRow="0" w:firstColumn="0" w:lastColumn="0" w:oddVBand="1" w:evenVBand="0" w:oddHBand="0" w:evenHBand="0" w:firstRowFirstColumn="0" w:firstRowLastColumn="0" w:lastRowFirstColumn="0" w:lastRowLastColumn="0"/>
            <w:tcW w:w="8921" w:type="dxa"/>
            <w:gridSpan w:val="2"/>
          </w:tcPr>
          <w:p w14:paraId="589CC55F" w14:textId="77777777" w:rsidR="00B12E75" w:rsidRDefault="00B12E75" w:rsidP="00B12E75">
            <w:pPr>
              <w:pStyle w:val="Tablehead2"/>
              <w:rPr>
                <w:lang w:val="en-US"/>
              </w:rPr>
            </w:pPr>
            <w:r w:rsidRPr="00BA5566">
              <w:rPr>
                <w:lang w:val="en-US"/>
              </w:rPr>
              <w:t>A</w:t>
            </w:r>
            <w:r>
              <w:rPr>
                <w:lang w:val="en-US"/>
              </w:rPr>
              <w:t xml:space="preserve">ustralian </w:t>
            </w:r>
            <w:r w:rsidRPr="00BA5566">
              <w:rPr>
                <w:lang w:val="en-US"/>
              </w:rPr>
              <w:t>B</w:t>
            </w:r>
            <w:r>
              <w:rPr>
                <w:lang w:val="en-US"/>
              </w:rPr>
              <w:t xml:space="preserve">ureau of </w:t>
            </w:r>
            <w:r w:rsidRPr="00BA5566">
              <w:rPr>
                <w:lang w:val="en-US"/>
              </w:rPr>
              <w:t>S</w:t>
            </w:r>
            <w:r>
              <w:rPr>
                <w:lang w:val="en-US"/>
              </w:rPr>
              <w:t>tatistics</w:t>
            </w:r>
          </w:p>
        </w:tc>
      </w:tr>
      <w:tr w:rsidR="00B12E75" w14:paraId="29001B5B"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63BDD423" w14:textId="77777777" w:rsidR="00B12E75" w:rsidRDefault="00B12E75" w:rsidP="00B12E75">
            <w:pPr>
              <w:pStyle w:val="Tabletext"/>
              <w:rPr>
                <w:lang w:val="en-US"/>
              </w:rPr>
            </w:pPr>
          </w:p>
          <w:p w14:paraId="449D5ACA" w14:textId="620DC509" w:rsidR="00B12E75" w:rsidRPr="00B12E75" w:rsidRDefault="00512FB0" w:rsidP="00B12E75">
            <w:pPr>
              <w:pStyle w:val="Tabletext"/>
              <w:rPr>
                <w:lang w:val="en-US"/>
              </w:rPr>
            </w:pPr>
            <w:r>
              <w:rPr>
                <w:lang w:val="en-US"/>
              </w:rPr>
              <w:t>Census data</w:t>
            </w:r>
          </w:p>
        </w:tc>
        <w:tc>
          <w:tcPr>
            <w:cnfStyle w:val="000001000000" w:firstRow="0" w:lastRow="0" w:firstColumn="0" w:lastColumn="0" w:oddVBand="0" w:evenVBand="1" w:oddHBand="0" w:evenHBand="0" w:firstRowFirstColumn="0" w:firstRowLastColumn="0" w:lastRowFirstColumn="0" w:lastRowLastColumn="0"/>
            <w:tcW w:w="6278" w:type="dxa"/>
          </w:tcPr>
          <w:p w14:paraId="63B0D7BD" w14:textId="1AFDDD94" w:rsidR="00B12E75" w:rsidRDefault="00B12E75" w:rsidP="008901A5">
            <w:pPr>
              <w:pStyle w:val="Tabletext"/>
              <w:rPr>
                <w:lang w:val="en-US"/>
              </w:rPr>
            </w:pPr>
            <w:r>
              <w:rPr>
                <w:lang w:val="en-US"/>
              </w:rPr>
              <w:t>Contains population</w:t>
            </w:r>
            <w:r w:rsidR="00276FB1">
              <w:rPr>
                <w:lang w:val="en-US"/>
              </w:rPr>
              <w:t>-</w:t>
            </w:r>
            <w:r>
              <w:rPr>
                <w:lang w:val="en-US"/>
              </w:rPr>
              <w:t>wide data</w:t>
            </w:r>
            <w:r w:rsidR="007C2D07">
              <w:rPr>
                <w:lang w:val="en-US"/>
              </w:rPr>
              <w:t>,</w:t>
            </w:r>
            <w:r>
              <w:rPr>
                <w:lang w:val="en-US"/>
              </w:rPr>
              <w:t xml:space="preserve"> so can drill down to detailed level of occupation, for example. </w:t>
            </w:r>
          </w:p>
          <w:p w14:paraId="12515E21" w14:textId="65565483" w:rsidR="00B12E75" w:rsidRDefault="00B12E75" w:rsidP="008901A5">
            <w:pPr>
              <w:pStyle w:val="Tabletext"/>
              <w:rPr>
                <w:lang w:val="en-US"/>
              </w:rPr>
            </w:pPr>
            <w:r>
              <w:rPr>
                <w:lang w:val="en-US"/>
              </w:rPr>
              <w:t>Qualifications data</w:t>
            </w:r>
            <w:r w:rsidR="00276FB1">
              <w:rPr>
                <w:lang w:val="en-US"/>
              </w:rPr>
              <w:t xml:space="preserve"> are</w:t>
            </w:r>
            <w:r>
              <w:rPr>
                <w:lang w:val="en-US"/>
              </w:rPr>
              <w:t xml:space="preserve"> limited to highest level of education only.</w:t>
            </w:r>
          </w:p>
          <w:p w14:paraId="5694E41D" w14:textId="77777777" w:rsidR="00B12E75" w:rsidRPr="00717272" w:rsidRDefault="00B12E75" w:rsidP="008901A5">
            <w:pPr>
              <w:pStyle w:val="Tabletext"/>
              <w:rPr>
                <w:lang w:val="en-US"/>
              </w:rPr>
            </w:pPr>
            <w:r>
              <w:rPr>
                <w:lang w:val="en-US"/>
              </w:rPr>
              <w:t xml:space="preserve">Conducted every five years so data may be slightly outdated. For example, the last census was in 2016 so the data dates to that time period. </w:t>
            </w:r>
          </w:p>
        </w:tc>
      </w:tr>
      <w:tr w:rsidR="00B12E75" w14:paraId="2093D2DF" w14:textId="77777777" w:rsidTr="00FA0B99">
        <w:tc>
          <w:tcPr>
            <w:cnfStyle w:val="000010000000" w:firstRow="0" w:lastRow="0" w:firstColumn="0" w:lastColumn="0" w:oddVBand="1" w:evenVBand="0" w:oddHBand="0" w:evenHBand="0" w:firstRowFirstColumn="0" w:firstRowLastColumn="0" w:lastRowFirstColumn="0" w:lastRowLastColumn="0"/>
            <w:tcW w:w="2643" w:type="dxa"/>
          </w:tcPr>
          <w:p w14:paraId="04263E57" w14:textId="2DB475BD" w:rsidR="00B12E75" w:rsidRPr="00EE3A83" w:rsidRDefault="00B12E75" w:rsidP="00B12E75">
            <w:pPr>
              <w:pStyle w:val="Tabletext"/>
            </w:pPr>
            <w:r>
              <w:t xml:space="preserve">Multi-Agency Data Information portal or </w:t>
            </w:r>
            <w:r w:rsidRPr="00EE3A83">
              <w:t>MADIP (</w:t>
            </w:r>
            <w:r w:rsidR="002E7BC7">
              <w:t>c</w:t>
            </w:r>
            <w:r w:rsidRPr="00EE3A83">
              <w:t xml:space="preserve">ensus, </w:t>
            </w:r>
            <w:r w:rsidR="005D5885" w:rsidRPr="00EE3A83">
              <w:t>p</w:t>
            </w:r>
            <w:r w:rsidR="005D5885">
              <w:t xml:space="preserve">ersonal </w:t>
            </w:r>
            <w:r w:rsidR="005D5885" w:rsidRPr="00EE3A83">
              <w:t>i</w:t>
            </w:r>
            <w:r w:rsidR="005D5885">
              <w:t xml:space="preserve">ncome </w:t>
            </w:r>
            <w:r w:rsidR="005D5885" w:rsidRPr="00EE3A83">
              <w:t>t</w:t>
            </w:r>
            <w:r w:rsidR="005D5885">
              <w:t>ax</w:t>
            </w:r>
            <w:r w:rsidRPr="00EE3A83">
              <w:t>,</w:t>
            </w:r>
            <w:r w:rsidR="008B2807">
              <w:t xml:space="preserve"> </w:t>
            </w:r>
            <w:r w:rsidR="008B2807" w:rsidRPr="00B12E75">
              <w:t>Higher Education Management System</w:t>
            </w:r>
            <w:r w:rsidRPr="00EE3A83">
              <w:t xml:space="preserve"> </w:t>
            </w:r>
            <w:r w:rsidR="008B2807">
              <w:t>(</w:t>
            </w:r>
            <w:r w:rsidRPr="00EE3A83">
              <w:t>HEIMS</w:t>
            </w:r>
            <w:r w:rsidR="008B2807">
              <w:t>)</w:t>
            </w:r>
            <w:r w:rsidRPr="00EE3A83">
              <w:t xml:space="preserve">, TVA, skilled migration points data – see MADIP catalogue </w:t>
            </w:r>
            <w:hyperlink r:id="rId19" w:history="1">
              <w:r w:rsidRPr="00B12E75">
                <w:t>Microdata: Multi-Agency Data Integration Project, Australia</w:t>
              </w:r>
            </w:hyperlink>
            <w:r w:rsidRPr="00EE3A83">
              <w:t xml:space="preserve"> (cat.no.1700.0) </w:t>
            </w:r>
          </w:p>
        </w:tc>
        <w:tc>
          <w:tcPr>
            <w:cnfStyle w:val="000001000000" w:firstRow="0" w:lastRow="0" w:firstColumn="0" w:lastColumn="0" w:oddVBand="0" w:evenVBand="1" w:oddHBand="0" w:evenHBand="0" w:firstRowFirstColumn="0" w:firstRowLastColumn="0" w:lastRowFirstColumn="0" w:lastRowLastColumn="0"/>
            <w:tcW w:w="6278" w:type="dxa"/>
          </w:tcPr>
          <w:p w14:paraId="4A323FA2" w14:textId="6BF12259" w:rsidR="00B12E75" w:rsidRDefault="00B12E75" w:rsidP="008901A5">
            <w:pPr>
              <w:pStyle w:val="Tabletext"/>
              <w:rPr>
                <w:lang w:val="en-US"/>
              </w:rPr>
            </w:pPr>
            <w:r>
              <w:rPr>
                <w:lang w:val="en-US"/>
              </w:rPr>
              <w:t>Linked dataset including administrative data as well as ABS census data</w:t>
            </w:r>
            <w:r w:rsidR="005D5885">
              <w:rPr>
                <w:lang w:val="en-US"/>
              </w:rPr>
              <w:t>,</w:t>
            </w:r>
            <w:r>
              <w:rPr>
                <w:lang w:val="en-US"/>
              </w:rPr>
              <w:t xml:space="preserve"> thereby increasing the power of this information. </w:t>
            </w:r>
          </w:p>
          <w:p w14:paraId="04C01441" w14:textId="77777777" w:rsidR="00B12E75" w:rsidRPr="00B352F8" w:rsidRDefault="00B12E75" w:rsidP="008901A5">
            <w:pPr>
              <w:pStyle w:val="Tabletext"/>
            </w:pPr>
            <w:r w:rsidRPr="00B352F8">
              <w:t>Can potentially get detailed level of information for some variables.</w:t>
            </w:r>
          </w:p>
          <w:p w14:paraId="57D5B264" w14:textId="26447E76" w:rsidR="00B12E75" w:rsidRDefault="00B12E75" w:rsidP="008901A5">
            <w:pPr>
              <w:pStyle w:val="Tabletext"/>
              <w:rPr>
                <w:lang w:val="en-US"/>
              </w:rPr>
            </w:pPr>
            <w:r>
              <w:rPr>
                <w:lang w:val="en-US"/>
              </w:rPr>
              <w:t xml:space="preserve">Not all data </w:t>
            </w:r>
            <w:r w:rsidR="00104D59">
              <w:rPr>
                <w:lang w:val="en-US"/>
              </w:rPr>
              <w:t>are</w:t>
            </w:r>
            <w:r>
              <w:rPr>
                <w:lang w:val="en-US"/>
              </w:rPr>
              <w:t xml:space="preserve"> up to date.</w:t>
            </w:r>
          </w:p>
          <w:p w14:paraId="3C2989AF" w14:textId="77777777" w:rsidR="00B12E75" w:rsidRPr="00717272" w:rsidRDefault="00B12E75" w:rsidP="008901A5">
            <w:pPr>
              <w:pStyle w:val="Text"/>
              <w:rPr>
                <w:lang w:val="en-US"/>
              </w:rPr>
            </w:pPr>
          </w:p>
        </w:tc>
      </w:tr>
      <w:tr w:rsidR="00FA0B99" w14:paraId="4D2BBF2B"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620D75BF" w14:textId="77777777" w:rsidR="00FA0B99" w:rsidRDefault="00FA0B99" w:rsidP="00B12E75">
            <w:pPr>
              <w:pStyle w:val="Tabletext"/>
              <w:rPr>
                <w:lang w:val="en-US"/>
              </w:rPr>
            </w:pPr>
            <w:r>
              <w:rPr>
                <w:lang w:val="en-US"/>
              </w:rPr>
              <w:t>Survey of Education and Work</w:t>
            </w:r>
          </w:p>
        </w:tc>
        <w:tc>
          <w:tcPr>
            <w:cnfStyle w:val="000001000000" w:firstRow="0" w:lastRow="0" w:firstColumn="0" w:lastColumn="0" w:oddVBand="0" w:evenVBand="1" w:oddHBand="0" w:evenHBand="0" w:firstRowFirstColumn="0" w:firstRowLastColumn="0" w:lastRowFirstColumn="0" w:lastRowLastColumn="0"/>
            <w:tcW w:w="6278" w:type="dxa"/>
            <w:vMerge w:val="restart"/>
          </w:tcPr>
          <w:p w14:paraId="02B28147" w14:textId="0C6C380C" w:rsidR="00FA0B99" w:rsidRDefault="00FA0B99" w:rsidP="005710BB">
            <w:pPr>
              <w:pStyle w:val="Tabletext"/>
              <w:rPr>
                <w:lang w:val="en-US"/>
              </w:rPr>
            </w:pPr>
            <w:r>
              <w:rPr>
                <w:lang w:val="en-US"/>
              </w:rPr>
              <w:t>These surveys provide regular and reliable information on education and training activity, and labour force participation (by occupation and industry).</w:t>
            </w:r>
          </w:p>
          <w:p w14:paraId="2EAEE386" w14:textId="4AB49C7C" w:rsidR="00FA0B99" w:rsidRPr="00FA0B99" w:rsidRDefault="00FA0B99" w:rsidP="00FA0B99">
            <w:pPr>
              <w:pStyle w:val="Tabletext"/>
              <w:rPr>
                <w:lang w:val="en-US"/>
              </w:rPr>
            </w:pPr>
            <w:r>
              <w:rPr>
                <w:lang w:val="en-US"/>
              </w:rPr>
              <w:t>As they comprise survey data with limited sample sizes, high standard errors become an issue when drilling into the data. In addition:</w:t>
            </w:r>
          </w:p>
          <w:p w14:paraId="1516456E" w14:textId="40E256CE" w:rsidR="00FA0B99" w:rsidRDefault="00FA0B99" w:rsidP="005710BB">
            <w:pPr>
              <w:pStyle w:val="Tabletext"/>
              <w:rPr>
                <w:lang w:val="en-US"/>
              </w:rPr>
            </w:pPr>
            <w:r>
              <w:rPr>
                <w:lang w:val="en-US"/>
              </w:rPr>
              <w:t>The Qualifications and Work survey provides information on multiple qualifications obtained by an individual as well as relevance of the qualification to the job.</w:t>
            </w:r>
          </w:p>
          <w:p w14:paraId="2DA5D010" w14:textId="0AC018D6" w:rsidR="00FA0B99" w:rsidRPr="00D629D6" w:rsidRDefault="00FA0B99" w:rsidP="00FA0B99">
            <w:pPr>
              <w:pStyle w:val="Tabletext"/>
              <w:rPr>
                <w:lang w:val="en-US"/>
              </w:rPr>
            </w:pPr>
            <w:r>
              <w:rPr>
                <w:lang w:val="en-US"/>
              </w:rPr>
              <w:t>The Work-related Training and Adult Learning survey provides some information on the important component of training outside qualifications.</w:t>
            </w:r>
          </w:p>
        </w:tc>
      </w:tr>
      <w:tr w:rsidR="00FA0B99" w14:paraId="3752D541" w14:textId="77777777" w:rsidTr="00FA0B99">
        <w:tc>
          <w:tcPr>
            <w:cnfStyle w:val="000010000000" w:firstRow="0" w:lastRow="0" w:firstColumn="0" w:lastColumn="0" w:oddVBand="1" w:evenVBand="0" w:oddHBand="0" w:evenHBand="0" w:firstRowFirstColumn="0" w:firstRowLastColumn="0" w:lastRowFirstColumn="0" w:lastRowLastColumn="0"/>
            <w:tcW w:w="2643" w:type="dxa"/>
          </w:tcPr>
          <w:p w14:paraId="6EBFD914" w14:textId="77777777" w:rsidR="00FA0B99" w:rsidRDefault="00FA0B99" w:rsidP="00FA0B99">
            <w:pPr>
              <w:pStyle w:val="Tabletext"/>
              <w:rPr>
                <w:lang w:val="en-US"/>
              </w:rPr>
            </w:pPr>
            <w:r>
              <w:rPr>
                <w:lang w:val="en-US"/>
              </w:rPr>
              <w:t>Labour force data</w:t>
            </w:r>
          </w:p>
          <w:p w14:paraId="2251A7CB" w14:textId="74C6A0EA" w:rsidR="00FA0B99" w:rsidRDefault="00FA0B99" w:rsidP="00B12E75">
            <w:pPr>
              <w:pStyle w:val="Tabletext"/>
              <w:rPr>
                <w:lang w:val="en-US"/>
              </w:rPr>
            </w:pPr>
          </w:p>
        </w:tc>
        <w:tc>
          <w:tcPr>
            <w:cnfStyle w:val="000001000000" w:firstRow="0" w:lastRow="0" w:firstColumn="0" w:lastColumn="0" w:oddVBand="0" w:evenVBand="1" w:oddHBand="0" w:evenHBand="0" w:firstRowFirstColumn="0" w:firstRowLastColumn="0" w:lastRowFirstColumn="0" w:lastRowLastColumn="0"/>
            <w:tcW w:w="6278" w:type="dxa"/>
            <w:vMerge/>
          </w:tcPr>
          <w:p w14:paraId="319EE20D" w14:textId="46032BC2" w:rsidR="00FA0B99" w:rsidRDefault="00FA0B99" w:rsidP="008901A5">
            <w:pPr>
              <w:pStyle w:val="Tabletext"/>
              <w:rPr>
                <w:lang w:val="en-US"/>
              </w:rPr>
            </w:pPr>
          </w:p>
        </w:tc>
      </w:tr>
      <w:tr w:rsidR="00FA0B99" w14:paraId="7DBFDDB8"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7FCBF1DB" w14:textId="1DC787DC" w:rsidR="00FA0B99" w:rsidRDefault="00FA0B99" w:rsidP="00B12E75">
            <w:pPr>
              <w:pStyle w:val="Tabletext"/>
              <w:rPr>
                <w:lang w:val="en-US"/>
              </w:rPr>
            </w:pPr>
            <w:r>
              <w:rPr>
                <w:lang w:val="en-US"/>
              </w:rPr>
              <w:t>Survey of Qualifications and Work</w:t>
            </w:r>
          </w:p>
        </w:tc>
        <w:tc>
          <w:tcPr>
            <w:cnfStyle w:val="000001000000" w:firstRow="0" w:lastRow="0" w:firstColumn="0" w:lastColumn="0" w:oddVBand="0" w:evenVBand="1" w:oddHBand="0" w:evenHBand="0" w:firstRowFirstColumn="0" w:firstRowLastColumn="0" w:lastRowFirstColumn="0" w:lastRowLastColumn="0"/>
            <w:tcW w:w="6278" w:type="dxa"/>
            <w:vMerge/>
          </w:tcPr>
          <w:p w14:paraId="4E0A5731" w14:textId="4AB9B80F" w:rsidR="00FA0B99" w:rsidRDefault="00FA0B99" w:rsidP="008901A5">
            <w:pPr>
              <w:pStyle w:val="Tabletext"/>
              <w:rPr>
                <w:lang w:val="en-US"/>
              </w:rPr>
            </w:pPr>
          </w:p>
        </w:tc>
      </w:tr>
      <w:tr w:rsidR="00FA0B99" w14:paraId="6DF588C6" w14:textId="77777777" w:rsidTr="00FA0B99">
        <w:tc>
          <w:tcPr>
            <w:cnfStyle w:val="000010000000" w:firstRow="0" w:lastRow="0" w:firstColumn="0" w:lastColumn="0" w:oddVBand="1" w:evenVBand="0" w:oddHBand="0" w:evenHBand="0" w:firstRowFirstColumn="0" w:firstRowLastColumn="0" w:lastRowFirstColumn="0" w:lastRowLastColumn="0"/>
            <w:tcW w:w="2643" w:type="dxa"/>
          </w:tcPr>
          <w:p w14:paraId="44A9E3C4" w14:textId="20519127" w:rsidR="00FA0B99" w:rsidRPr="00B12E75" w:rsidRDefault="00FA0B99" w:rsidP="00FA0B99">
            <w:pPr>
              <w:pStyle w:val="Tabletext"/>
              <w:rPr>
                <w:lang w:val="en-US"/>
              </w:rPr>
            </w:pPr>
            <w:r>
              <w:rPr>
                <w:lang w:val="en-US"/>
              </w:rPr>
              <w:t>Work-related Training and Adult Learning survey</w:t>
            </w:r>
          </w:p>
        </w:tc>
        <w:tc>
          <w:tcPr>
            <w:cnfStyle w:val="000001000000" w:firstRow="0" w:lastRow="0" w:firstColumn="0" w:lastColumn="0" w:oddVBand="0" w:evenVBand="1" w:oddHBand="0" w:evenHBand="0" w:firstRowFirstColumn="0" w:firstRowLastColumn="0" w:lastRowFirstColumn="0" w:lastRowLastColumn="0"/>
            <w:tcW w:w="6278" w:type="dxa"/>
            <w:vMerge/>
          </w:tcPr>
          <w:p w14:paraId="44939CDC" w14:textId="2FC8A282" w:rsidR="00FA0B99" w:rsidRDefault="00FA0B99" w:rsidP="008901A5">
            <w:pPr>
              <w:pStyle w:val="Tabletext"/>
              <w:rPr>
                <w:lang w:val="en-US"/>
              </w:rPr>
            </w:pPr>
          </w:p>
        </w:tc>
      </w:tr>
      <w:tr w:rsidR="00B12E75" w14:paraId="5F590FFB"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21" w:type="dxa"/>
            <w:gridSpan w:val="2"/>
          </w:tcPr>
          <w:p w14:paraId="7F8D007F" w14:textId="451230A1" w:rsidR="00B12E75" w:rsidRDefault="00B12E75" w:rsidP="00B12E75">
            <w:pPr>
              <w:pStyle w:val="Tablehead2"/>
              <w:rPr>
                <w:lang w:val="en-US"/>
              </w:rPr>
            </w:pPr>
            <w:r>
              <w:rPr>
                <w:lang w:val="en-US"/>
              </w:rPr>
              <w:t xml:space="preserve">Other Australian </w:t>
            </w:r>
            <w:r w:rsidR="001948DB">
              <w:rPr>
                <w:lang w:val="en-US"/>
              </w:rPr>
              <w:t xml:space="preserve">education and tax </w:t>
            </w:r>
            <w:r>
              <w:rPr>
                <w:lang w:val="en-US"/>
              </w:rPr>
              <w:t>data</w:t>
            </w:r>
          </w:p>
        </w:tc>
      </w:tr>
      <w:tr w:rsidR="00B12E75" w14:paraId="00312FA4" w14:textId="77777777" w:rsidTr="00FA0B99">
        <w:tc>
          <w:tcPr>
            <w:cnfStyle w:val="000010000000" w:firstRow="0" w:lastRow="0" w:firstColumn="0" w:lastColumn="0" w:oddVBand="1" w:evenVBand="0" w:oddHBand="0" w:evenHBand="0" w:firstRowFirstColumn="0" w:firstRowLastColumn="0" w:lastRowFirstColumn="0" w:lastRowLastColumn="0"/>
            <w:tcW w:w="2643" w:type="dxa"/>
          </w:tcPr>
          <w:p w14:paraId="76C6F628" w14:textId="6EE2D899" w:rsidR="00B12E75" w:rsidRPr="00B12E75" w:rsidRDefault="00B12E75" w:rsidP="00B12E75">
            <w:pPr>
              <w:pStyle w:val="Tabletext"/>
            </w:pPr>
            <w:r w:rsidRPr="00B12E75">
              <w:t xml:space="preserve">Total VET </w:t>
            </w:r>
            <w:r w:rsidR="001948DB">
              <w:t>a</w:t>
            </w:r>
            <w:r w:rsidRPr="00B12E75">
              <w:t>ctivity (TVA)</w:t>
            </w:r>
          </w:p>
        </w:tc>
        <w:tc>
          <w:tcPr>
            <w:cnfStyle w:val="000001000000" w:firstRow="0" w:lastRow="0" w:firstColumn="0" w:lastColumn="0" w:oddVBand="0" w:evenVBand="1" w:oddHBand="0" w:evenHBand="0" w:firstRowFirstColumn="0" w:firstRowLastColumn="0" w:lastRowFirstColumn="0" w:lastRowLastColumn="0"/>
            <w:tcW w:w="6278" w:type="dxa"/>
          </w:tcPr>
          <w:p w14:paraId="49DE64E7" w14:textId="1331AE92" w:rsidR="00B12E75" w:rsidRDefault="00B12E75" w:rsidP="008901A5">
            <w:pPr>
              <w:pStyle w:val="Tabletext"/>
              <w:rPr>
                <w:lang w:val="en-US"/>
              </w:rPr>
            </w:pPr>
            <w:r>
              <w:rPr>
                <w:lang w:val="en-US"/>
              </w:rPr>
              <w:t xml:space="preserve">Detailed administrative data on </w:t>
            </w:r>
            <w:r w:rsidR="005710BB">
              <w:rPr>
                <w:lang w:val="en-US"/>
              </w:rPr>
              <w:t xml:space="preserve">vocational </w:t>
            </w:r>
            <w:r>
              <w:rPr>
                <w:lang w:val="en-US"/>
              </w:rPr>
              <w:t xml:space="preserve">education </w:t>
            </w:r>
            <w:r w:rsidR="005710BB">
              <w:rPr>
                <w:lang w:val="en-US"/>
              </w:rPr>
              <w:t xml:space="preserve">and training </w:t>
            </w:r>
            <w:r>
              <w:rPr>
                <w:lang w:val="en-US"/>
              </w:rPr>
              <w:t>activity.</w:t>
            </w:r>
          </w:p>
          <w:p w14:paraId="73D1BBDF" w14:textId="7124936D" w:rsidR="00B12E75" w:rsidRDefault="00B12E75" w:rsidP="008901A5">
            <w:pPr>
              <w:pStyle w:val="Tabletext"/>
              <w:rPr>
                <w:lang w:val="en-US"/>
              </w:rPr>
            </w:pPr>
            <w:r>
              <w:rPr>
                <w:lang w:val="en-US"/>
              </w:rPr>
              <w:t>Information only available for the last five or so years so limited in this sense.</w:t>
            </w:r>
          </w:p>
          <w:p w14:paraId="4E2F1B25" w14:textId="4160F661" w:rsidR="00B12E75" w:rsidRPr="00094339" w:rsidRDefault="00B12E75" w:rsidP="008901A5">
            <w:pPr>
              <w:pStyle w:val="Tabletext"/>
              <w:rPr>
                <w:lang w:val="en-US"/>
              </w:rPr>
            </w:pPr>
          </w:p>
        </w:tc>
      </w:tr>
      <w:tr w:rsidR="00B12E75" w14:paraId="72D822E5"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79FD47D8" w14:textId="29DC3ABF" w:rsidR="00B12E75" w:rsidRPr="00B12E75" w:rsidRDefault="00B12E75" w:rsidP="00B12E75">
            <w:pPr>
              <w:pStyle w:val="Tabletext"/>
            </w:pPr>
            <w:r w:rsidRPr="00B12E75">
              <w:t>Higher Education Management System</w:t>
            </w:r>
          </w:p>
        </w:tc>
        <w:tc>
          <w:tcPr>
            <w:cnfStyle w:val="000001000000" w:firstRow="0" w:lastRow="0" w:firstColumn="0" w:lastColumn="0" w:oddVBand="0" w:evenVBand="1" w:oddHBand="0" w:evenHBand="0" w:firstRowFirstColumn="0" w:firstRowLastColumn="0" w:lastRowFirstColumn="0" w:lastRowLastColumn="0"/>
            <w:tcW w:w="6278" w:type="dxa"/>
          </w:tcPr>
          <w:p w14:paraId="2F89D77F" w14:textId="7BB7E240" w:rsidR="005710BB" w:rsidRDefault="005710BB" w:rsidP="005710BB">
            <w:pPr>
              <w:pStyle w:val="Tabletext"/>
              <w:rPr>
                <w:lang w:val="en-US"/>
              </w:rPr>
            </w:pPr>
            <w:r>
              <w:rPr>
                <w:lang w:val="en-US"/>
              </w:rPr>
              <w:t>Detailed administrative data on higher education activity.</w:t>
            </w:r>
          </w:p>
          <w:p w14:paraId="04BA1C30" w14:textId="77777777" w:rsidR="00B12E75" w:rsidRDefault="00B12E75" w:rsidP="008901A5">
            <w:pPr>
              <w:pStyle w:val="Tabletext"/>
              <w:rPr>
                <w:lang w:val="en-US"/>
              </w:rPr>
            </w:pPr>
          </w:p>
        </w:tc>
      </w:tr>
      <w:tr w:rsidR="00B12E75" w14:paraId="620B5093" w14:textId="77777777" w:rsidTr="00FA0B99">
        <w:tc>
          <w:tcPr>
            <w:cnfStyle w:val="000010000000" w:firstRow="0" w:lastRow="0" w:firstColumn="0" w:lastColumn="0" w:oddVBand="1" w:evenVBand="0" w:oddHBand="0" w:evenHBand="0" w:firstRowFirstColumn="0" w:firstRowLastColumn="0" w:lastRowFirstColumn="0" w:lastRowLastColumn="0"/>
            <w:tcW w:w="2643" w:type="dxa"/>
          </w:tcPr>
          <w:p w14:paraId="68BF93A4" w14:textId="77777777" w:rsidR="00B12E75" w:rsidRPr="00B12E75" w:rsidRDefault="00B12E75" w:rsidP="00B12E75">
            <w:pPr>
              <w:pStyle w:val="Tabletext"/>
            </w:pPr>
            <w:r w:rsidRPr="00B12E75">
              <w:t>Alife (sample of data from Australian tax returns)</w:t>
            </w:r>
          </w:p>
        </w:tc>
        <w:tc>
          <w:tcPr>
            <w:cnfStyle w:val="000001000000" w:firstRow="0" w:lastRow="0" w:firstColumn="0" w:lastColumn="0" w:oddVBand="0" w:evenVBand="1" w:oddHBand="0" w:evenHBand="0" w:firstRowFirstColumn="0" w:firstRowLastColumn="0" w:lastRowFirstColumn="0" w:lastRowLastColumn="0"/>
            <w:tcW w:w="6278" w:type="dxa"/>
          </w:tcPr>
          <w:p w14:paraId="598F2B3A" w14:textId="77777777" w:rsidR="005710BB" w:rsidRDefault="005710BB" w:rsidP="005710BB">
            <w:pPr>
              <w:pStyle w:val="Tabletext"/>
              <w:rPr>
                <w:lang w:val="en-US"/>
              </w:rPr>
            </w:pPr>
            <w:r>
              <w:rPr>
                <w:lang w:val="en-US"/>
              </w:rPr>
              <w:t>Alife provides information on income tax return data, including information on occupation of work (in addition to information on superannuation and student fees). Will be linked to TVA and HEIMS at via MADIP.</w:t>
            </w:r>
          </w:p>
          <w:p w14:paraId="188FDC83" w14:textId="647A42C9" w:rsidR="00B12E75" w:rsidRDefault="005710BB" w:rsidP="005710BB">
            <w:pPr>
              <w:pStyle w:val="Tabletext"/>
              <w:rPr>
                <w:lang w:val="en-US"/>
              </w:rPr>
            </w:pPr>
            <w:r>
              <w:rPr>
                <w:lang w:val="en-US"/>
              </w:rPr>
              <w:t>Alife provides information to 2-digit ANZSCO level only, which may not be a sufficiently detailed level.</w:t>
            </w:r>
          </w:p>
        </w:tc>
      </w:tr>
      <w:tr w:rsidR="00B12E75" w14:paraId="2B52CF97"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21" w:type="dxa"/>
            <w:gridSpan w:val="2"/>
          </w:tcPr>
          <w:p w14:paraId="671F0013" w14:textId="77777777" w:rsidR="00B12E75" w:rsidRDefault="00B12E75" w:rsidP="00B12E75">
            <w:pPr>
              <w:pStyle w:val="Tablehead2"/>
              <w:rPr>
                <w:lang w:val="en-US"/>
              </w:rPr>
            </w:pPr>
            <w:r w:rsidRPr="001F7BB1">
              <w:rPr>
                <w:lang w:val="en-US"/>
              </w:rPr>
              <w:t>OECD</w:t>
            </w:r>
            <w:r>
              <w:rPr>
                <w:lang w:val="en-US"/>
              </w:rPr>
              <w:t xml:space="preserve"> survey</w:t>
            </w:r>
            <w:r w:rsidRPr="001F7BB1">
              <w:rPr>
                <w:lang w:val="en-US"/>
              </w:rPr>
              <w:t xml:space="preserve"> data</w:t>
            </w:r>
          </w:p>
        </w:tc>
      </w:tr>
      <w:tr w:rsidR="00B12E75" w14:paraId="511D95E2" w14:textId="77777777" w:rsidTr="00FA0B99">
        <w:tc>
          <w:tcPr>
            <w:cnfStyle w:val="000010000000" w:firstRow="0" w:lastRow="0" w:firstColumn="0" w:lastColumn="0" w:oddVBand="1" w:evenVBand="0" w:oddHBand="0" w:evenHBand="0" w:firstRowFirstColumn="0" w:firstRowLastColumn="0" w:lastRowFirstColumn="0" w:lastRowLastColumn="0"/>
            <w:tcW w:w="2643" w:type="dxa"/>
          </w:tcPr>
          <w:p w14:paraId="22F2A2E8" w14:textId="77777777" w:rsidR="00B12E75" w:rsidRDefault="00B12E75" w:rsidP="008901A5">
            <w:pPr>
              <w:pStyle w:val="Tabletext"/>
              <w:rPr>
                <w:lang w:val="en-US"/>
              </w:rPr>
            </w:pPr>
            <w:r>
              <w:rPr>
                <w:lang w:val="en-US"/>
              </w:rPr>
              <w:t>PIAAC</w:t>
            </w:r>
          </w:p>
        </w:tc>
        <w:tc>
          <w:tcPr>
            <w:cnfStyle w:val="000001000000" w:firstRow="0" w:lastRow="0" w:firstColumn="0" w:lastColumn="0" w:oddVBand="0" w:evenVBand="1" w:oddHBand="0" w:evenHBand="0" w:firstRowFirstColumn="0" w:firstRowLastColumn="0" w:lastRowFirstColumn="0" w:lastRowLastColumn="0"/>
            <w:tcW w:w="6278" w:type="dxa"/>
          </w:tcPr>
          <w:p w14:paraId="516069F5" w14:textId="177A6867" w:rsidR="00B12E75" w:rsidRDefault="00B12E75" w:rsidP="008901A5">
            <w:pPr>
              <w:pStyle w:val="Tabletext"/>
              <w:rPr>
                <w:lang w:val="en-US"/>
              </w:rPr>
            </w:pPr>
            <w:r>
              <w:rPr>
                <w:lang w:val="en-US"/>
              </w:rPr>
              <w:t xml:space="preserve">Provides some information on actual skills. Data </w:t>
            </w:r>
            <w:r w:rsidR="004F21D3">
              <w:rPr>
                <w:lang w:val="en-US"/>
              </w:rPr>
              <w:t>are</w:t>
            </w:r>
            <w:r>
              <w:rPr>
                <w:lang w:val="en-US"/>
              </w:rPr>
              <w:t xml:space="preserve"> uniform and comparable across countries.</w:t>
            </w:r>
          </w:p>
          <w:p w14:paraId="7ACDC75F" w14:textId="48AB8C60" w:rsidR="00B12E75" w:rsidRDefault="00B12E75" w:rsidP="008901A5">
            <w:pPr>
              <w:pStyle w:val="Tabletext"/>
              <w:rPr>
                <w:lang w:val="en-US"/>
              </w:rPr>
            </w:pPr>
            <w:r>
              <w:rPr>
                <w:lang w:val="en-US"/>
              </w:rPr>
              <w:t xml:space="preserve">Only a limited </w:t>
            </w:r>
            <w:r w:rsidR="00F816E3">
              <w:rPr>
                <w:lang w:val="en-US"/>
              </w:rPr>
              <w:t>number</w:t>
            </w:r>
            <w:r>
              <w:rPr>
                <w:lang w:val="en-US"/>
              </w:rPr>
              <w:t xml:space="preserve"> of skills is surveyed.</w:t>
            </w:r>
          </w:p>
          <w:p w14:paraId="436692E1" w14:textId="5C4503C9" w:rsidR="00B12E75" w:rsidRPr="000E3A0A" w:rsidRDefault="00B12E75" w:rsidP="008901A5">
            <w:pPr>
              <w:pStyle w:val="Tabletext"/>
              <w:rPr>
                <w:lang w:val="en-US"/>
              </w:rPr>
            </w:pPr>
            <w:r>
              <w:rPr>
                <w:lang w:val="en-US"/>
              </w:rPr>
              <w:t xml:space="preserve">Data, in the case of Australia, </w:t>
            </w:r>
            <w:r w:rsidR="004F21D3">
              <w:rPr>
                <w:lang w:val="en-US"/>
              </w:rPr>
              <w:t>are</w:t>
            </w:r>
            <w:r>
              <w:rPr>
                <w:lang w:val="en-US"/>
              </w:rPr>
              <w:t xml:space="preserve"> currently out of date.</w:t>
            </w:r>
          </w:p>
        </w:tc>
      </w:tr>
      <w:tr w:rsidR="00B12E75" w14:paraId="1C748864"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8921" w:type="dxa"/>
            <w:gridSpan w:val="2"/>
          </w:tcPr>
          <w:p w14:paraId="770BD843" w14:textId="77777777" w:rsidR="00B12E75" w:rsidRDefault="00B12E75" w:rsidP="00B12E75">
            <w:pPr>
              <w:pStyle w:val="Tablehead2"/>
              <w:rPr>
                <w:lang w:val="en-US"/>
              </w:rPr>
            </w:pPr>
            <w:r w:rsidRPr="005B37EC">
              <w:rPr>
                <w:lang w:val="en-US"/>
              </w:rPr>
              <w:t xml:space="preserve">Data </w:t>
            </w:r>
            <w:r>
              <w:rPr>
                <w:lang w:val="en-US"/>
              </w:rPr>
              <w:t xml:space="preserve">(job classification and ad) </w:t>
            </w:r>
            <w:r w:rsidRPr="005B37EC">
              <w:rPr>
                <w:lang w:val="en-US"/>
              </w:rPr>
              <w:t>engines</w:t>
            </w:r>
          </w:p>
        </w:tc>
      </w:tr>
      <w:tr w:rsidR="00B12E75" w14:paraId="6326BE29" w14:textId="77777777" w:rsidTr="00FA0B99">
        <w:tc>
          <w:tcPr>
            <w:cnfStyle w:val="000010000000" w:firstRow="0" w:lastRow="0" w:firstColumn="0" w:lastColumn="0" w:oddVBand="1" w:evenVBand="0" w:oddHBand="0" w:evenHBand="0" w:firstRowFirstColumn="0" w:firstRowLastColumn="0" w:lastRowFirstColumn="0" w:lastRowLastColumn="0"/>
            <w:tcW w:w="2643" w:type="dxa"/>
          </w:tcPr>
          <w:p w14:paraId="3DA11628" w14:textId="7835139E" w:rsidR="00B12E75" w:rsidRPr="0033726A" w:rsidRDefault="00B12E75" w:rsidP="008901A5">
            <w:pPr>
              <w:pStyle w:val="Tabletext"/>
              <w:rPr>
                <w:highlight w:val="green"/>
                <w:lang w:val="en-US"/>
              </w:rPr>
            </w:pPr>
            <w:r w:rsidRPr="0033726A">
              <w:rPr>
                <w:lang w:val="en-US"/>
              </w:rPr>
              <w:t xml:space="preserve">Jobs and Education Data </w:t>
            </w:r>
            <w:r w:rsidR="00C01D2F" w:rsidRPr="0033726A">
              <w:rPr>
                <w:lang w:val="en-US"/>
              </w:rPr>
              <w:t>In</w:t>
            </w:r>
            <w:r w:rsidR="00C01D2F">
              <w:rPr>
                <w:lang w:val="en-US"/>
              </w:rPr>
              <w:t>frastructure</w:t>
            </w:r>
            <w:r w:rsidR="00C01D2F" w:rsidRPr="0033726A">
              <w:rPr>
                <w:lang w:val="en-US"/>
              </w:rPr>
              <w:t xml:space="preserve"> </w:t>
            </w:r>
            <w:r w:rsidRPr="0033726A">
              <w:rPr>
                <w:lang w:val="en-US"/>
              </w:rPr>
              <w:t>(JEDI)</w:t>
            </w:r>
          </w:p>
        </w:tc>
        <w:tc>
          <w:tcPr>
            <w:cnfStyle w:val="000001000000" w:firstRow="0" w:lastRow="0" w:firstColumn="0" w:lastColumn="0" w:oddVBand="0" w:evenVBand="1" w:oddHBand="0" w:evenHBand="0" w:firstRowFirstColumn="0" w:firstRowLastColumn="0" w:lastRowFirstColumn="0" w:lastRowLastColumn="0"/>
            <w:tcW w:w="6278" w:type="dxa"/>
            <w:vMerge w:val="restart"/>
          </w:tcPr>
          <w:p w14:paraId="67DBCE5A" w14:textId="24506B82" w:rsidR="00B12E75" w:rsidRDefault="00B12E75" w:rsidP="008901A5">
            <w:pPr>
              <w:pStyle w:val="Tabletext"/>
              <w:rPr>
                <w:lang w:val="en-US"/>
              </w:rPr>
            </w:pPr>
            <w:r>
              <w:rPr>
                <w:lang w:val="en-US"/>
              </w:rPr>
              <w:t>Provide</w:t>
            </w:r>
            <w:r w:rsidR="00C54383">
              <w:rPr>
                <w:lang w:val="en-US"/>
              </w:rPr>
              <w:t>s</w:t>
            </w:r>
            <w:r>
              <w:rPr>
                <w:lang w:val="en-US"/>
              </w:rPr>
              <w:t xml:space="preserve"> a skills</w:t>
            </w:r>
            <w:r w:rsidR="00CC7E4C">
              <w:rPr>
                <w:lang w:val="en-US"/>
              </w:rPr>
              <w:t>-</w:t>
            </w:r>
            <w:r>
              <w:rPr>
                <w:lang w:val="en-US"/>
              </w:rPr>
              <w:t>classification system with detailed skills information for qualifications and jobs.</w:t>
            </w:r>
          </w:p>
          <w:p w14:paraId="76883A05" w14:textId="37C64D93" w:rsidR="00B12E75" w:rsidRPr="000E3A0A" w:rsidRDefault="00B12E75" w:rsidP="008901A5">
            <w:pPr>
              <w:pStyle w:val="Tabletext"/>
              <w:rPr>
                <w:lang w:val="en-US"/>
              </w:rPr>
            </w:pPr>
            <w:r>
              <w:rPr>
                <w:lang w:val="en-US"/>
              </w:rPr>
              <w:t xml:space="preserve">To be used to obtain stock of skills information </w:t>
            </w:r>
            <w:r w:rsidR="008F7B0D">
              <w:rPr>
                <w:lang w:val="en-US"/>
              </w:rPr>
              <w:t xml:space="preserve">it </w:t>
            </w:r>
            <w:r>
              <w:rPr>
                <w:lang w:val="en-US"/>
              </w:rPr>
              <w:t xml:space="preserve">needs a linkage to detailed labour force information. </w:t>
            </w:r>
          </w:p>
        </w:tc>
      </w:tr>
      <w:tr w:rsidR="00B12E75" w14:paraId="62B00BBF"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605A1DE8" w14:textId="77777777" w:rsidR="00B12E75" w:rsidRDefault="00B12E75" w:rsidP="008901A5">
            <w:pPr>
              <w:pStyle w:val="Tabletext"/>
              <w:rPr>
                <w:lang w:val="en-US"/>
              </w:rPr>
            </w:pPr>
            <w:r>
              <w:rPr>
                <w:lang w:val="en-US"/>
              </w:rPr>
              <w:t>O*NET</w:t>
            </w:r>
          </w:p>
        </w:tc>
        <w:tc>
          <w:tcPr>
            <w:cnfStyle w:val="000001000000" w:firstRow="0" w:lastRow="0" w:firstColumn="0" w:lastColumn="0" w:oddVBand="0" w:evenVBand="1" w:oddHBand="0" w:evenHBand="0" w:firstRowFirstColumn="0" w:firstRowLastColumn="0" w:lastRowFirstColumn="0" w:lastRowLastColumn="0"/>
            <w:tcW w:w="6278" w:type="dxa"/>
            <w:vMerge/>
          </w:tcPr>
          <w:p w14:paraId="7C3A4683" w14:textId="77777777" w:rsidR="00B12E75" w:rsidRDefault="00B12E75" w:rsidP="008901A5">
            <w:pPr>
              <w:pStyle w:val="Tabletext"/>
              <w:rPr>
                <w:lang w:val="en-US"/>
              </w:rPr>
            </w:pPr>
          </w:p>
        </w:tc>
      </w:tr>
      <w:tr w:rsidR="00B12E75" w14:paraId="0CAAC2B5" w14:textId="77777777" w:rsidTr="00FA0B99">
        <w:tc>
          <w:tcPr>
            <w:cnfStyle w:val="000010000000" w:firstRow="0" w:lastRow="0" w:firstColumn="0" w:lastColumn="0" w:oddVBand="1" w:evenVBand="0" w:oddHBand="0" w:evenHBand="0" w:firstRowFirstColumn="0" w:firstRowLastColumn="0" w:lastRowFirstColumn="0" w:lastRowLastColumn="0"/>
            <w:tcW w:w="2643" w:type="dxa"/>
          </w:tcPr>
          <w:p w14:paraId="16BF777B" w14:textId="77777777" w:rsidR="00B12E75" w:rsidRDefault="00B12E75" w:rsidP="008901A5">
            <w:pPr>
              <w:pStyle w:val="Tabletext"/>
              <w:rPr>
                <w:lang w:val="en-US"/>
              </w:rPr>
            </w:pPr>
            <w:r>
              <w:rPr>
                <w:lang w:val="en-US"/>
              </w:rPr>
              <w:t>Adzuna</w:t>
            </w:r>
          </w:p>
        </w:tc>
        <w:tc>
          <w:tcPr>
            <w:cnfStyle w:val="000001000000" w:firstRow="0" w:lastRow="0" w:firstColumn="0" w:lastColumn="0" w:oddVBand="0" w:evenVBand="1" w:oddHBand="0" w:evenHBand="0" w:firstRowFirstColumn="0" w:firstRowLastColumn="0" w:lastRowFirstColumn="0" w:lastRowLastColumn="0"/>
            <w:tcW w:w="6278" w:type="dxa"/>
            <w:vMerge w:val="restart"/>
          </w:tcPr>
          <w:p w14:paraId="4A575C09" w14:textId="77777777" w:rsidR="00B12E75" w:rsidRDefault="00B12E75" w:rsidP="008901A5">
            <w:pPr>
              <w:pStyle w:val="Tabletext"/>
              <w:rPr>
                <w:lang w:val="en-US"/>
              </w:rPr>
            </w:pPr>
            <w:r>
              <w:rPr>
                <w:lang w:val="en-US"/>
              </w:rPr>
              <w:t>Provides information on skills needed for jobs (according to employer) according to a skills classification system.</w:t>
            </w:r>
          </w:p>
          <w:p w14:paraId="1472A182" w14:textId="77777777" w:rsidR="00B12E75" w:rsidRPr="001F7C42" w:rsidRDefault="00B12E75" w:rsidP="008901A5">
            <w:pPr>
              <w:pStyle w:val="Tabletext"/>
              <w:rPr>
                <w:lang w:val="en-US"/>
              </w:rPr>
            </w:pPr>
            <w:r>
              <w:rPr>
                <w:lang w:val="en-US"/>
              </w:rPr>
              <w:t>Data may be biased as only online postings are used and employers may exaggerate skills required).</w:t>
            </w:r>
          </w:p>
        </w:tc>
      </w:tr>
      <w:tr w:rsidR="00B12E75" w14:paraId="5587645D" w14:textId="77777777" w:rsidTr="00FA0B99">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643" w:type="dxa"/>
          </w:tcPr>
          <w:p w14:paraId="0DFC625D" w14:textId="77777777" w:rsidR="00B12E75" w:rsidRDefault="00B12E75" w:rsidP="008901A5">
            <w:pPr>
              <w:pStyle w:val="Tabletext"/>
              <w:rPr>
                <w:lang w:val="en-US"/>
              </w:rPr>
            </w:pPr>
            <w:r>
              <w:rPr>
                <w:lang w:val="en-US"/>
              </w:rPr>
              <w:t>Burning Glass</w:t>
            </w:r>
          </w:p>
        </w:tc>
        <w:tc>
          <w:tcPr>
            <w:cnfStyle w:val="000001000000" w:firstRow="0" w:lastRow="0" w:firstColumn="0" w:lastColumn="0" w:oddVBand="0" w:evenVBand="1" w:oddHBand="0" w:evenHBand="0" w:firstRowFirstColumn="0" w:firstRowLastColumn="0" w:lastRowFirstColumn="0" w:lastRowLastColumn="0"/>
            <w:tcW w:w="6278" w:type="dxa"/>
            <w:vMerge/>
          </w:tcPr>
          <w:p w14:paraId="26563DA3" w14:textId="77777777" w:rsidR="00B12E75" w:rsidRDefault="00B12E75" w:rsidP="008901A5">
            <w:pPr>
              <w:pStyle w:val="Tabletext"/>
              <w:rPr>
                <w:lang w:val="en-US"/>
              </w:rPr>
            </w:pPr>
          </w:p>
        </w:tc>
      </w:tr>
    </w:tbl>
    <w:p w14:paraId="5C827E9C" w14:textId="77777777" w:rsidR="00157F0A" w:rsidRDefault="00157F0A" w:rsidP="006B5409">
      <w:pPr>
        <w:pStyle w:val="Source"/>
      </w:pPr>
    </w:p>
    <w:p w14:paraId="7F153F1F" w14:textId="6E76BECC" w:rsidR="006B5409" w:rsidRDefault="006B5409" w:rsidP="006B5409">
      <w:pPr>
        <w:pStyle w:val="Source"/>
      </w:pPr>
      <w:r w:rsidRPr="006B5409">
        <w:t xml:space="preserve">1 The references for all the data sources mentioned in the table are contained in </w:t>
      </w:r>
      <w:r w:rsidR="00104D59">
        <w:t>a</w:t>
      </w:r>
      <w:r w:rsidRPr="006B5409">
        <w:t xml:space="preserve">ppendix </w:t>
      </w:r>
      <w:r w:rsidR="00104D59">
        <w:t>A.</w:t>
      </w:r>
      <w:r w:rsidRPr="006B5409">
        <w:t xml:space="preserve"> </w:t>
      </w:r>
    </w:p>
    <w:p w14:paraId="11882C56" w14:textId="77777777" w:rsidR="006B5409" w:rsidRDefault="006B5409" w:rsidP="006B5409">
      <w:pPr>
        <w:pStyle w:val="Heading2"/>
      </w:pPr>
      <w:bookmarkStart w:id="30" w:name="_Toc66774408"/>
      <w:r w:rsidRPr="006B5409">
        <w:t>Gaps in and challenges with the data</w:t>
      </w:r>
      <w:bookmarkEnd w:id="30"/>
    </w:p>
    <w:p w14:paraId="66CDAE87" w14:textId="4EA29FA4" w:rsidR="00D32FDE" w:rsidRDefault="00D32FDE" w:rsidP="00D32FDE">
      <w:pPr>
        <w:pStyle w:val="Text"/>
      </w:pPr>
      <w:r>
        <w:t xml:space="preserve">While table 2 shows that there are data sources in Australia </w:t>
      </w:r>
      <w:r w:rsidR="00BE65E4">
        <w:t>with the potential to</w:t>
      </w:r>
      <w:r>
        <w:t xml:space="preserve"> provide some useful information in </w:t>
      </w:r>
      <w:r w:rsidR="00A31137">
        <w:t xml:space="preserve">an </w:t>
      </w:r>
      <w:r>
        <w:t xml:space="preserve">attempt to measure skills supply and demand, there are still some areas where there are challenges. These include: </w:t>
      </w:r>
    </w:p>
    <w:p w14:paraId="7BAD6780" w14:textId="296AD789" w:rsidR="00D32FDE" w:rsidRDefault="00D15A93" w:rsidP="00D32FDE">
      <w:pPr>
        <w:pStyle w:val="Dotpoint1"/>
      </w:pPr>
      <w:r>
        <w:t>i</w:t>
      </w:r>
      <w:r w:rsidR="00D32FDE">
        <w:t xml:space="preserve">nformation on </w:t>
      </w:r>
      <w:r>
        <w:t xml:space="preserve">the </w:t>
      </w:r>
      <w:r w:rsidR="00D32FDE">
        <w:t>actual skills</w:t>
      </w:r>
      <w:r w:rsidR="00D73E7D">
        <w:t xml:space="preserve"> </w:t>
      </w:r>
    </w:p>
    <w:p w14:paraId="4668A05F" w14:textId="2BA4940C" w:rsidR="00D32FDE" w:rsidRDefault="00D15A93" w:rsidP="00D32FDE">
      <w:pPr>
        <w:pStyle w:val="Dotpoint1"/>
      </w:pPr>
      <w:r>
        <w:lastRenderedPageBreak/>
        <w:t>n</w:t>
      </w:r>
      <w:r w:rsidR="00D32FDE">
        <w:t>on-qualification-based training</w:t>
      </w:r>
      <w:r>
        <w:t>,</w:t>
      </w:r>
      <w:r w:rsidR="00D32FDE">
        <w:t xml:space="preserve"> including non-accredited training and qualification non-completion </w:t>
      </w:r>
    </w:p>
    <w:p w14:paraId="36DD348E" w14:textId="480CBCDE" w:rsidR="00D32FDE" w:rsidRDefault="00BF2FEE" w:rsidP="00D32FDE">
      <w:pPr>
        <w:pStyle w:val="Dotpoint1"/>
      </w:pPr>
      <w:r>
        <w:t>i</w:t>
      </w:r>
      <w:r w:rsidR="00D32FDE">
        <w:t>nformal learning</w:t>
      </w:r>
      <w:r>
        <w:t>,</w:t>
      </w:r>
      <w:r w:rsidR="00D32FDE">
        <w:t xml:space="preserve"> including learning on the job</w:t>
      </w:r>
    </w:p>
    <w:p w14:paraId="5F35EF78" w14:textId="0E8AC152" w:rsidR="00D32FDE" w:rsidRDefault="00BF2FEE" w:rsidP="00D32FDE">
      <w:pPr>
        <w:pStyle w:val="Dotpoint1"/>
      </w:pPr>
      <w:r>
        <w:t>a</w:t>
      </w:r>
      <w:r w:rsidR="00D32FDE">
        <w:t xml:space="preserve">ccounting for skills depreciation. </w:t>
      </w:r>
    </w:p>
    <w:p w14:paraId="6FFC167D" w14:textId="77777777" w:rsidR="00D32FDE" w:rsidRDefault="00D32FDE" w:rsidP="00D32FDE">
      <w:pPr>
        <w:pStyle w:val="Text"/>
      </w:pPr>
      <w:r>
        <w:t>These are discussed in turn.</w:t>
      </w:r>
    </w:p>
    <w:p w14:paraId="34F7B352" w14:textId="77777777" w:rsidR="00D32FDE" w:rsidRDefault="00D32FDE" w:rsidP="00D32FDE">
      <w:pPr>
        <w:pStyle w:val="Heading3"/>
      </w:pPr>
      <w:r>
        <w:t>Information on actual skills</w:t>
      </w:r>
    </w:p>
    <w:p w14:paraId="1DA718A6" w14:textId="74457666" w:rsidR="00D32FDE" w:rsidRDefault="00D32FDE" w:rsidP="00D32FDE">
      <w:pPr>
        <w:pStyle w:val="Text"/>
      </w:pPr>
      <w:r>
        <w:t xml:space="preserve">As mentioned previously, </w:t>
      </w:r>
      <w:r w:rsidRPr="00594A16">
        <w:t xml:space="preserve">Australia </w:t>
      </w:r>
      <w:r w:rsidR="00BF2FEE">
        <w:t>supports</w:t>
      </w:r>
      <w:r w:rsidRPr="00594A16">
        <w:t xml:space="preserve"> the JEDI data engine</w:t>
      </w:r>
      <w:r w:rsidR="00BF2FEE">
        <w:t>,</w:t>
      </w:r>
      <w:r w:rsidRPr="00594A16">
        <w:t xml:space="preserve"> contain</w:t>
      </w:r>
      <w:r w:rsidR="00635D6C">
        <w:t>ing</w:t>
      </w:r>
      <w:r w:rsidRPr="00594A16">
        <w:t xml:space="preserve"> </w:t>
      </w:r>
      <w:r w:rsidR="00D73E7D">
        <w:t>the Australian</w:t>
      </w:r>
      <w:r w:rsidRPr="00594A16">
        <w:t xml:space="preserve"> </w:t>
      </w:r>
      <w:r w:rsidR="00D73E7D">
        <w:t>S</w:t>
      </w:r>
      <w:r w:rsidRPr="00594A16">
        <w:t xml:space="preserve">kills </w:t>
      </w:r>
      <w:r w:rsidR="00D73E7D">
        <w:t>C</w:t>
      </w:r>
      <w:r w:rsidRPr="00594A16">
        <w:t>lassification</w:t>
      </w:r>
      <w:r w:rsidR="00421A45">
        <w:t>, which</w:t>
      </w:r>
      <w:r w:rsidRPr="00594A16">
        <w:t xml:space="preserve"> </w:t>
      </w:r>
      <w:r w:rsidR="00594A16" w:rsidRPr="00594A16">
        <w:t>can be</w:t>
      </w:r>
      <w:r w:rsidRPr="00594A16">
        <w:t xml:space="preserve"> linked to qualifications and occupations. This will be a very useful source </w:t>
      </w:r>
      <w:r w:rsidR="00421A45">
        <w:t>for</w:t>
      </w:r>
      <w:r w:rsidRPr="00594A16">
        <w:t xml:space="preserve"> providing information on skills supply (through qualification and</w:t>
      </w:r>
      <w:r>
        <w:t xml:space="preserve"> unit of competency information data) and skills demand (Job adverts from Burning Glass)</w:t>
      </w:r>
      <w:r w:rsidR="00496A9F">
        <w:t xml:space="preserve"> </w:t>
      </w:r>
      <w:r w:rsidR="00A4190A">
        <w:t>in the future</w:t>
      </w:r>
      <w:r>
        <w:t xml:space="preserve">. </w:t>
      </w:r>
    </w:p>
    <w:p w14:paraId="2E695333" w14:textId="40E7192B" w:rsidR="00D32FDE" w:rsidRDefault="00D32FDE" w:rsidP="00D32FDE">
      <w:pPr>
        <w:pStyle w:val="Text"/>
      </w:pPr>
      <w:r>
        <w:t xml:space="preserve">Most of the other information sources listed in table 2 do not provide information on specific skills. The exceptions are PIAAC, albeit </w:t>
      </w:r>
      <w:r w:rsidR="00CB2BFB">
        <w:t xml:space="preserve">on </w:t>
      </w:r>
      <w:r>
        <w:t>a limited range of skills, O*NET, and Adzuna and Burning Glass, both of which provide demand</w:t>
      </w:r>
      <w:r w:rsidR="00A4190A">
        <w:t>-</w:t>
      </w:r>
      <w:r>
        <w:t xml:space="preserve">side skills information. </w:t>
      </w:r>
    </w:p>
    <w:p w14:paraId="19A99C87" w14:textId="77777777" w:rsidR="00D32FDE" w:rsidRDefault="00D32FDE" w:rsidP="00D32FDE">
      <w:pPr>
        <w:pStyle w:val="Heading3"/>
      </w:pPr>
      <w:r>
        <w:t xml:space="preserve">Non-qualification-based training and informal learning </w:t>
      </w:r>
    </w:p>
    <w:p w14:paraId="1AE6A815" w14:textId="47162BEB" w:rsidR="00D32FDE" w:rsidRDefault="00D32FDE" w:rsidP="00D32FDE">
      <w:pPr>
        <w:pStyle w:val="Text"/>
      </w:pPr>
      <w:r>
        <w:t xml:space="preserve">A significant challenge </w:t>
      </w:r>
      <w:r w:rsidR="00A4190A">
        <w:t>lies</w:t>
      </w:r>
      <w:r>
        <w:t xml:space="preserve"> in obtaining data on </w:t>
      </w:r>
      <w:r w:rsidR="0000442F">
        <w:t xml:space="preserve">the </w:t>
      </w:r>
      <w:r>
        <w:t xml:space="preserve">skills obtained outside qualifications, which is a significant component of </w:t>
      </w:r>
      <w:r w:rsidR="008F7B0D">
        <w:t>all the skills held by people</w:t>
      </w:r>
      <w:r>
        <w:t xml:space="preserve">. </w:t>
      </w:r>
      <w:r w:rsidR="00DB6671">
        <w:t>A number of</w:t>
      </w:r>
      <w:r>
        <w:t xml:space="preserve"> disparate sources provide information on parts of this puzzle</w:t>
      </w:r>
      <w:r w:rsidR="003B5DBB">
        <w:t>,</w:t>
      </w:r>
      <w:r>
        <w:t xml:space="preserve"> such as NCVER’s Total VET </w:t>
      </w:r>
      <w:r w:rsidR="00D75A7D">
        <w:t>a</w:t>
      </w:r>
      <w:r>
        <w:t xml:space="preserve">ctivity administrative collection, the Higher Education Internet Management System database and the ABS Work-Related Training and Adult </w:t>
      </w:r>
      <w:r w:rsidR="003B5DBB">
        <w:t>L</w:t>
      </w:r>
      <w:r>
        <w:t>earning</w:t>
      </w:r>
      <w:r w:rsidR="003B5DBB">
        <w:t xml:space="preserve"> survey</w:t>
      </w:r>
      <w:r>
        <w:t xml:space="preserve">, but no comprehensive source is currently available. </w:t>
      </w:r>
      <w:r w:rsidR="00DB6671">
        <w:t>F</w:t>
      </w:r>
      <w:r>
        <w:t xml:space="preserve">urther investigation </w:t>
      </w:r>
      <w:r w:rsidR="00DB6671">
        <w:t xml:space="preserve">would be required </w:t>
      </w:r>
      <w:r>
        <w:t xml:space="preserve">to </w:t>
      </w:r>
      <w:r w:rsidR="00DB6671">
        <w:t>determine</w:t>
      </w:r>
      <w:r>
        <w:t xml:space="preserve"> how well these various sources of data could be brought together to paint a picture. Another way to approach this </w:t>
      </w:r>
      <w:r w:rsidR="00CA04D2">
        <w:t xml:space="preserve">would be </w:t>
      </w:r>
      <w:r>
        <w:t xml:space="preserve">to employ </w:t>
      </w:r>
      <w:r w:rsidR="00C27FCA">
        <w:t>an</w:t>
      </w:r>
      <w:r>
        <w:t xml:space="preserve"> estimation procedure such as </w:t>
      </w:r>
      <w:r w:rsidR="00C27FCA">
        <w:t>that undertaken</w:t>
      </w:r>
      <w:r>
        <w:t xml:space="preserve"> by Alpha Beta (2019) or Wei (2008).</w:t>
      </w:r>
    </w:p>
    <w:p w14:paraId="1DCAFA95" w14:textId="77777777" w:rsidR="00D32FDE" w:rsidRDefault="00D32FDE" w:rsidP="00D32FDE">
      <w:pPr>
        <w:pStyle w:val="Heading3"/>
      </w:pPr>
      <w:r>
        <w:t>Skills depreciation</w:t>
      </w:r>
    </w:p>
    <w:p w14:paraId="0EFBEE83" w14:textId="45921467" w:rsidR="00D32FDE" w:rsidRDefault="00D32FDE" w:rsidP="00D32FDE">
      <w:pPr>
        <w:pStyle w:val="Text"/>
      </w:pPr>
      <w:r>
        <w:t xml:space="preserve">There is no obvious source of information on skills depreciation </w:t>
      </w:r>
      <w:r w:rsidR="00CA04D2">
        <w:t>when</w:t>
      </w:r>
      <w:r>
        <w:t xml:space="preserve"> estimates of stocks of skills</w:t>
      </w:r>
      <w:r w:rsidR="00CA04D2">
        <w:t xml:space="preserve"> are produced</w:t>
      </w:r>
      <w:r>
        <w:t>. In addition, a complicating factor is that any depreciation of skills obtained through qualifications can be topped up by work-related and other short</w:t>
      </w:r>
      <w:r w:rsidR="00B4439E">
        <w:t>-</w:t>
      </w:r>
      <w:r>
        <w:t>form training (</w:t>
      </w:r>
      <w:r w:rsidR="004B2E7D">
        <w:t>for example,</w:t>
      </w:r>
      <w:r>
        <w:t xml:space="preserve"> micro-credentials). The human capital approach explained in Wei (2004, 2008) may be one way to think about this challenge. </w:t>
      </w:r>
    </w:p>
    <w:p w14:paraId="5F606320" w14:textId="0FC7AA41" w:rsidR="00502DAB" w:rsidRDefault="00502DAB">
      <w:pPr>
        <w:spacing w:before="0" w:line="240" w:lineRule="auto"/>
        <w:rPr>
          <w:rFonts w:ascii="Arial" w:hAnsi="Arial" w:cs="Tahoma"/>
          <w:color w:val="000000"/>
          <w:kern w:val="28"/>
          <w:sz w:val="56"/>
          <w:szCs w:val="56"/>
        </w:rPr>
      </w:pPr>
      <w:r>
        <w:br w:type="page"/>
      </w:r>
    </w:p>
    <w:p w14:paraId="003EE750" w14:textId="77777777" w:rsidR="00502DAB" w:rsidRDefault="00502DAB" w:rsidP="00502DAB">
      <w:pPr>
        <w:pStyle w:val="Heading1"/>
      </w:pPr>
      <w:bookmarkStart w:id="31" w:name="_Toc66774409"/>
      <w:r w:rsidRPr="00502DAB">
        <w:lastRenderedPageBreak/>
        <w:t>References</w:t>
      </w:r>
      <w:bookmarkEnd w:id="31"/>
    </w:p>
    <w:p w14:paraId="03D8A321" w14:textId="2B6B5610" w:rsidR="00502DAB" w:rsidRDefault="00502DAB" w:rsidP="00502DAB">
      <w:pPr>
        <w:pStyle w:val="References"/>
      </w:pPr>
      <w:r>
        <w:t xml:space="preserve">AlphaBeta 2019, </w:t>
      </w:r>
      <w:r w:rsidRPr="004B2E7D">
        <w:rPr>
          <w:i/>
          <w:iCs/>
        </w:rPr>
        <w:t>Future skills</w:t>
      </w:r>
      <w:r>
        <w:t>, AlphaBeta, Sydney, viewed 22 Jan</w:t>
      </w:r>
      <w:r w:rsidR="00762F30">
        <w:t>uary</w:t>
      </w:r>
      <w:r>
        <w:t xml:space="preserve"> 2020, &lt;https://www.alphabeta.com/wp-content/uploads/2019/01/google-skills-report.pdf&gt;.</w:t>
      </w:r>
    </w:p>
    <w:p w14:paraId="4FD17D34" w14:textId="33CF39AE" w:rsidR="00466F18" w:rsidRDefault="00466F18" w:rsidP="00502DAB">
      <w:pPr>
        <w:pStyle w:val="References"/>
      </w:pPr>
      <w:r>
        <w:t>Australian Department of Employment, Skills, Small and Family Business 2018, Survey of employer recruitment experiences: 2018 data report, viewed 16 April 2021, &lt;</w:t>
      </w:r>
      <w:r w:rsidRPr="00466F18">
        <w:t xml:space="preserve"> https://www.dese.gov.au/employment-research-and-statistics/resources/survey-employers-recruitment-experiences-data-report-2018</w:t>
      </w:r>
      <w:r>
        <w:t xml:space="preserve">&gt; </w:t>
      </w:r>
    </w:p>
    <w:p w14:paraId="5510D80D" w14:textId="5FC7123D" w:rsidR="00170E74" w:rsidRDefault="00170E74" w:rsidP="00502DAB">
      <w:pPr>
        <w:pStyle w:val="References"/>
      </w:pPr>
      <w:r>
        <w:t>Australia</w:t>
      </w:r>
      <w:r w:rsidR="000A1CE5">
        <w:t>n</w:t>
      </w:r>
      <w:r>
        <w:t xml:space="preserve"> Department of Employment, Skills, Small and Family Business Future of Work Taskforce 2019, </w:t>
      </w:r>
      <w:r>
        <w:rPr>
          <w:i/>
          <w:iCs/>
        </w:rPr>
        <w:t>Reskilling Australia: a data-driven approach</w:t>
      </w:r>
      <w:r>
        <w:t>, Department of Employment, Skills, Small and Family Business, Canberra, viewed 16 Mar</w:t>
      </w:r>
      <w:r w:rsidR="000A1CE5">
        <w:t>ch</w:t>
      </w:r>
      <w:r>
        <w:t xml:space="preserve"> 2021, &lt;https://docs.employment.gov.au/documents/reskilling-australia-data-driven-approach&gt;.</w:t>
      </w:r>
    </w:p>
    <w:p w14:paraId="28F6D041" w14:textId="0C9427B9" w:rsidR="00502DAB" w:rsidRDefault="00502DAB" w:rsidP="00502DAB">
      <w:pPr>
        <w:pStyle w:val="References"/>
      </w:pPr>
      <w:proofErr w:type="spellStart"/>
      <w:r>
        <w:t>Boarini</w:t>
      </w:r>
      <w:proofErr w:type="spellEnd"/>
      <w:r w:rsidR="000A1CE5">
        <w:t>,</w:t>
      </w:r>
      <w:r>
        <w:t xml:space="preserve"> R, </w:t>
      </w:r>
      <w:proofErr w:type="spellStart"/>
      <w:r>
        <w:t>d’Ercole</w:t>
      </w:r>
      <w:proofErr w:type="spellEnd"/>
      <w:r w:rsidR="000A1CE5">
        <w:t>,</w:t>
      </w:r>
      <w:r>
        <w:t xml:space="preserve"> MM &amp; Liu</w:t>
      </w:r>
      <w:r w:rsidR="000A1CE5">
        <w:t>,</w:t>
      </w:r>
      <w:r>
        <w:t xml:space="preserve"> G 2012, </w:t>
      </w:r>
      <w:r w:rsidRPr="00B637C0">
        <w:rPr>
          <w:i/>
          <w:iCs/>
        </w:rPr>
        <w:t>Approaches to measuring the stock of human capital: A review of country practices</w:t>
      </w:r>
      <w:r>
        <w:t xml:space="preserve">, OECD Statistics </w:t>
      </w:r>
      <w:r w:rsidR="00B637C0">
        <w:t xml:space="preserve">working papers </w:t>
      </w:r>
      <w:r>
        <w:t>2012/04, viewed 15 July 2020, &lt;https://www.oecd-ilibrary.org/docserver/5k8zlm5bc3ns-en.pdf?expires=1596774588&amp;id=id&amp;accname=guest&amp;checksum=C09B2FF32AA5B50DBE3424289D4FB9B1&gt;</w:t>
      </w:r>
      <w:r w:rsidR="00B637C0">
        <w:t>.</w:t>
      </w:r>
    </w:p>
    <w:p w14:paraId="1FA007FC" w14:textId="69F4A6E6" w:rsidR="00502DAB" w:rsidRDefault="00502DAB" w:rsidP="00502DAB">
      <w:pPr>
        <w:pStyle w:val="References"/>
      </w:pPr>
      <w:r>
        <w:t>Braham</w:t>
      </w:r>
      <w:r w:rsidR="00BD7830">
        <w:t>,</w:t>
      </w:r>
      <w:r>
        <w:t xml:space="preserve"> E &amp; Tobin</w:t>
      </w:r>
      <w:r w:rsidR="00BD7830">
        <w:t>,</w:t>
      </w:r>
      <w:r>
        <w:t xml:space="preserve"> S 2020</w:t>
      </w:r>
      <w:r w:rsidR="00BD7830">
        <w:t>,</w:t>
      </w:r>
      <w:r>
        <w:t xml:space="preserve"> </w:t>
      </w:r>
      <w:r w:rsidRPr="00BD7830">
        <w:rPr>
          <w:i/>
          <w:iCs/>
        </w:rPr>
        <w:t>Solving the skills puzzle</w:t>
      </w:r>
      <w:r w:rsidR="00BD7830" w:rsidRPr="00BD7830">
        <w:rPr>
          <w:i/>
          <w:iCs/>
        </w:rPr>
        <w:t>:</w:t>
      </w:r>
      <w:r w:rsidRPr="00BD7830">
        <w:rPr>
          <w:i/>
          <w:iCs/>
        </w:rPr>
        <w:t xml:space="preserve"> The missing piece is good information</w:t>
      </w:r>
      <w:r>
        <w:t>, Future Skills Centre, viewed 15 March 2020</w:t>
      </w:r>
      <w:r w:rsidR="00BD7830">
        <w:t>,</w:t>
      </w:r>
      <w:r>
        <w:t xml:space="preserve"> &lt;https://ppforum.ca/publications/solving-the-skills-puzzle/&gt;</w:t>
      </w:r>
      <w:r w:rsidR="00BD7830">
        <w:t>.</w:t>
      </w:r>
    </w:p>
    <w:p w14:paraId="595F1521" w14:textId="406B824E" w:rsidR="00502DAB" w:rsidRDefault="00502DAB" w:rsidP="00502DAB">
      <w:pPr>
        <w:pStyle w:val="References"/>
      </w:pPr>
      <w:r>
        <w:t>Brunello</w:t>
      </w:r>
      <w:r w:rsidR="00BD7830">
        <w:t>,</w:t>
      </w:r>
      <w:r>
        <w:t xml:space="preserve"> G &amp; Wruuk</w:t>
      </w:r>
      <w:r w:rsidR="00BD7830">
        <w:t>,</w:t>
      </w:r>
      <w:r>
        <w:t xml:space="preserve"> P 2019, </w:t>
      </w:r>
      <w:r w:rsidRPr="00BD7830">
        <w:rPr>
          <w:i/>
          <w:iCs/>
        </w:rPr>
        <w:t>Skill shortages and skill mismatch in Europe: A review of the literature</w:t>
      </w:r>
      <w:r>
        <w:t>, IZA Institute of Labour Economics, Discussion paper series, viewed 15 July 2020, &lt;https://www.iza.org/publications/dp/12346/skill-shortages-and-skill-mismatch-in-europe-a-review-of-the-literature&gt;</w:t>
      </w:r>
      <w:r w:rsidR="00BD7830">
        <w:t>.</w:t>
      </w:r>
    </w:p>
    <w:p w14:paraId="2FBA70E0" w14:textId="0852C3CA" w:rsidR="00502DAB" w:rsidRDefault="00502DAB" w:rsidP="00502DAB">
      <w:pPr>
        <w:pStyle w:val="References"/>
      </w:pPr>
      <w:r>
        <w:t xml:space="preserve">CEDEFOP 2013, </w:t>
      </w:r>
      <w:r w:rsidRPr="00BD7830">
        <w:rPr>
          <w:i/>
          <w:iCs/>
        </w:rPr>
        <w:t xml:space="preserve">Quantifying skill needs in Europe, </w:t>
      </w:r>
      <w:r w:rsidR="00BD7830" w:rsidRPr="00BD7830">
        <w:rPr>
          <w:i/>
          <w:iCs/>
        </w:rPr>
        <w:t>o</w:t>
      </w:r>
      <w:r w:rsidRPr="00BD7830">
        <w:rPr>
          <w:i/>
          <w:iCs/>
        </w:rPr>
        <w:t>ccupational skills profiles: Methodology and application</w:t>
      </w:r>
      <w:r>
        <w:t>, viewed 15 July 2020 &lt;https://www.cedefop.europa.eu/en/publications-and-resources/publications/5530&gt;</w:t>
      </w:r>
      <w:r w:rsidR="00BD7830">
        <w:t>.</w:t>
      </w:r>
    </w:p>
    <w:p w14:paraId="0A92D96D" w14:textId="01781F8F" w:rsidR="00502DAB" w:rsidRDefault="00502DAB" w:rsidP="00502DAB">
      <w:pPr>
        <w:pStyle w:val="References"/>
      </w:pPr>
      <w:r>
        <w:t xml:space="preserve">European Commission 2019, </w:t>
      </w:r>
      <w:r w:rsidRPr="005A7AF3">
        <w:rPr>
          <w:i/>
          <w:iCs/>
        </w:rPr>
        <w:t>ESCO Handbook</w:t>
      </w:r>
      <w:r w:rsidR="00BD7830" w:rsidRPr="005A7AF3">
        <w:rPr>
          <w:i/>
          <w:iCs/>
        </w:rPr>
        <w:t>:</w:t>
      </w:r>
      <w:r w:rsidRPr="005A7AF3">
        <w:rPr>
          <w:i/>
          <w:iCs/>
        </w:rPr>
        <w:t xml:space="preserve"> European </w:t>
      </w:r>
      <w:r w:rsidR="00BD7830" w:rsidRPr="005A7AF3">
        <w:rPr>
          <w:i/>
          <w:iCs/>
        </w:rPr>
        <w:t>skills, competences, qualifications and occupations,</w:t>
      </w:r>
      <w:r w:rsidR="00BD7830">
        <w:t xml:space="preserve"> </w:t>
      </w:r>
      <w:r>
        <w:t>European Union, viewed 7 August 2020, &lt;https://ec.europa.eu/esco/portal/documents&gt;</w:t>
      </w:r>
      <w:r w:rsidR="005A7AF3">
        <w:t>.</w:t>
      </w:r>
    </w:p>
    <w:p w14:paraId="3EABE6B1" w14:textId="2C939F67" w:rsidR="00502DAB" w:rsidRDefault="00502DAB" w:rsidP="00502DAB">
      <w:pPr>
        <w:pStyle w:val="References"/>
      </w:pPr>
      <w:r>
        <w:t xml:space="preserve">Eurostat 2016, </w:t>
      </w:r>
      <w:r w:rsidRPr="005A7AF3">
        <w:rPr>
          <w:i/>
          <w:iCs/>
        </w:rPr>
        <w:t>Statistical approaches to the measurement of skills</w:t>
      </w:r>
      <w:r>
        <w:t>, viewed 15 July 2020</w:t>
      </w:r>
      <w:r w:rsidR="005A7AF3">
        <w:t>,</w:t>
      </w:r>
      <w:r>
        <w:t xml:space="preserve"> &lt;https://ec.europa.eu/eurostat/documents/3888793/7753369/KS-TC-16-023-EN-N.pdf/438b69b5-2fcb-4923-b9e2-fa7b59906438&gt;</w:t>
      </w:r>
      <w:r w:rsidR="005A7AF3">
        <w:t>.</w:t>
      </w:r>
    </w:p>
    <w:p w14:paraId="63BDE1B3" w14:textId="77E1B52A" w:rsidR="00502DAB" w:rsidRDefault="00502DAB" w:rsidP="00502DAB">
      <w:pPr>
        <w:pStyle w:val="References"/>
      </w:pPr>
      <w:r>
        <w:t>Fraumeni</w:t>
      </w:r>
      <w:r w:rsidR="005A7AF3">
        <w:t>,</w:t>
      </w:r>
      <w:r>
        <w:t xml:space="preserve"> B, Christian</w:t>
      </w:r>
      <w:r w:rsidR="005A7AF3">
        <w:t>,</w:t>
      </w:r>
      <w:r>
        <w:t xml:space="preserve"> C &amp; Samuels</w:t>
      </w:r>
      <w:r w:rsidR="005A7AF3">
        <w:t>,</w:t>
      </w:r>
      <w:r>
        <w:t xml:space="preserve"> J 2020, </w:t>
      </w:r>
      <w:r w:rsidRPr="005A7AF3">
        <w:rPr>
          <w:i/>
          <w:iCs/>
        </w:rPr>
        <w:t>The accumulation of human and market capital in the United States: The long view, 1948</w:t>
      </w:r>
      <w:r w:rsidR="005A7AF3">
        <w:rPr>
          <w:i/>
          <w:iCs/>
        </w:rPr>
        <w:t>—</w:t>
      </w:r>
      <w:r w:rsidRPr="005A7AF3">
        <w:rPr>
          <w:i/>
          <w:iCs/>
        </w:rPr>
        <w:t>2013</w:t>
      </w:r>
      <w:r>
        <w:t>, IZA Institute of Labor Economics, Discussion paper series, viewed July 2020, &lt;https://www.iza.org/publications/dp/13239/the-accumulation-of-human-and-market-capital-in-the-united-states-the-long-view-19482013&gt;</w:t>
      </w:r>
      <w:r w:rsidR="002121AF">
        <w:t>.</w:t>
      </w:r>
    </w:p>
    <w:p w14:paraId="06888239" w14:textId="3E486FF8" w:rsidR="00502DAB" w:rsidRDefault="00502DAB" w:rsidP="00502DAB">
      <w:pPr>
        <w:pStyle w:val="References"/>
      </w:pPr>
      <w:r>
        <w:t xml:space="preserve">Gasskov, V 2018, </w:t>
      </w:r>
      <w:r w:rsidRPr="002121AF">
        <w:rPr>
          <w:i/>
          <w:iCs/>
        </w:rPr>
        <w:t>Analysis of market demand for skilled workforce and its application to VET delivery planning</w:t>
      </w:r>
      <w:r>
        <w:t>, viewed 20</w:t>
      </w:r>
      <w:r w:rsidR="00F34BA5">
        <w:t xml:space="preserve"> </w:t>
      </w:r>
      <w:r>
        <w:t>July 2020, &lt;https://www.ilo.org/wcmsp5/groups/public/---ed_emp/---ifp_skills/documents/genericdocument/wcms_628964.pdf</w:t>
      </w:r>
      <w:r w:rsidR="008E7EAC">
        <w:t>&gt;.</w:t>
      </w:r>
    </w:p>
    <w:p w14:paraId="3DF8714A" w14:textId="385B8536" w:rsidR="00502DAB" w:rsidRDefault="00502DAB" w:rsidP="00502DAB">
      <w:pPr>
        <w:pStyle w:val="References"/>
      </w:pPr>
      <w:r>
        <w:t>Korbel</w:t>
      </w:r>
      <w:r w:rsidR="008E7EAC">
        <w:t>,</w:t>
      </w:r>
      <w:r>
        <w:t xml:space="preserve"> P 2018, </w:t>
      </w:r>
      <w:r w:rsidRPr="008E7EAC">
        <w:rPr>
          <w:i/>
          <w:iCs/>
        </w:rPr>
        <w:t>Internet job postings, preliminary skills analysis,</w:t>
      </w:r>
      <w:r>
        <w:t xml:space="preserve"> Technical paper, NCVER, Adelaide. </w:t>
      </w:r>
    </w:p>
    <w:p w14:paraId="038AA4C1" w14:textId="0694F122" w:rsidR="00C61393" w:rsidRDefault="00C61393" w:rsidP="00502DAB">
      <w:pPr>
        <w:pStyle w:val="References"/>
      </w:pPr>
      <w:bookmarkStart w:id="32" w:name="_Hlk67902604"/>
      <w:r>
        <w:t xml:space="preserve">National Skills Commission 2021, </w:t>
      </w:r>
      <w:r w:rsidRPr="008E7EAC">
        <w:rPr>
          <w:i/>
          <w:iCs/>
        </w:rPr>
        <w:t>Australian Skills Classification BETA release discussion paper</w:t>
      </w:r>
      <w:r>
        <w:t xml:space="preserve">, Commonwealth of Australia, viewed 18 March 2021, </w:t>
      </w:r>
      <w:r w:rsidR="008E7EAC">
        <w:t>&lt;</w:t>
      </w:r>
      <w:r w:rsidRPr="00C61393">
        <w:t>https://www.nationalskillscommission.gov.au/sites/default/files/2021-03/AUSTRALIAN%20SKILLS%20CLASSIFICATION%20BETA%20DISCUSSION%20PAPER.pdf</w:t>
      </w:r>
      <w:r w:rsidR="00A55ABA">
        <w:t>&gt;.</w:t>
      </w:r>
    </w:p>
    <w:bookmarkEnd w:id="32"/>
    <w:p w14:paraId="7F1F00A4" w14:textId="0383A209" w:rsidR="00502DAB" w:rsidRDefault="00502DAB" w:rsidP="00502DAB">
      <w:pPr>
        <w:pStyle w:val="References"/>
      </w:pPr>
      <w:r>
        <w:t xml:space="preserve">OECD </w:t>
      </w:r>
      <w:r w:rsidR="00A55ABA">
        <w:t xml:space="preserve">(Organisation for Economic Co-operation and Development) </w:t>
      </w:r>
      <w:r>
        <w:t>2013</w:t>
      </w:r>
      <w:r w:rsidR="00A55ABA">
        <w:t>,</w:t>
      </w:r>
      <w:r>
        <w:t xml:space="preserve"> </w:t>
      </w:r>
      <w:r w:rsidRPr="00A55ABA">
        <w:rPr>
          <w:i/>
          <w:iCs/>
        </w:rPr>
        <w:t>Indicators of skills for employment and productivity: A conceptual framework and approach for low income countries</w:t>
      </w:r>
      <w:r>
        <w:t>, OECD and the World Bank in collaboration with ETF, ILO and UNESCO, viewed 11 August 2020, &lt;https://www.cedefop.europa.eu/en/publications-and-resources/presentations/indicators-skills-employment-and-productivity-conceptual&gt;</w:t>
      </w:r>
      <w:r w:rsidR="00A55ABA">
        <w:t>.</w:t>
      </w:r>
      <w:r>
        <w:t xml:space="preserve"> </w:t>
      </w:r>
    </w:p>
    <w:p w14:paraId="63688ED5" w14:textId="154CAA31" w:rsidR="00502DAB" w:rsidRDefault="008E4B21" w:rsidP="00502DAB">
      <w:pPr>
        <w:pStyle w:val="References"/>
      </w:pPr>
      <w:r>
        <w:t>——</w:t>
      </w:r>
      <w:r w:rsidR="00502DAB">
        <w:t xml:space="preserve">2017, </w:t>
      </w:r>
      <w:r w:rsidR="00502DAB" w:rsidRPr="008E4B21">
        <w:rPr>
          <w:i/>
          <w:iCs/>
        </w:rPr>
        <w:t>Getting skills right</w:t>
      </w:r>
      <w:r w:rsidRPr="008E4B21">
        <w:rPr>
          <w:i/>
          <w:iCs/>
        </w:rPr>
        <w:t>:</w:t>
      </w:r>
      <w:r w:rsidR="00502DAB" w:rsidRPr="008E4B21">
        <w:rPr>
          <w:i/>
          <w:iCs/>
        </w:rPr>
        <w:t xml:space="preserve"> Skills for jobs indicators,</w:t>
      </w:r>
      <w:r w:rsidR="00502DAB">
        <w:t xml:space="preserve"> viewed 15 July 2020, &lt;https://www.oecd.org/employment/getting-skills-right-skills-for-jobs-indicators-9789264277878-en.htm&gt;</w:t>
      </w:r>
      <w:r>
        <w:t>.</w:t>
      </w:r>
    </w:p>
    <w:p w14:paraId="3D3C79F0" w14:textId="4176F269" w:rsidR="00502DAB" w:rsidRDefault="00B3513B" w:rsidP="00502DAB">
      <w:pPr>
        <w:pStyle w:val="References"/>
      </w:pPr>
      <w:r>
        <w:t>——</w:t>
      </w:r>
      <w:r w:rsidR="00502DAB">
        <w:t xml:space="preserve">2018, </w:t>
      </w:r>
      <w:r w:rsidR="00502DAB" w:rsidRPr="00B3513B">
        <w:rPr>
          <w:i/>
          <w:iCs/>
        </w:rPr>
        <w:t>Getting skills right, Australia</w:t>
      </w:r>
      <w:r w:rsidR="00502DAB">
        <w:t>, viewed 15</w:t>
      </w:r>
      <w:r>
        <w:t xml:space="preserve"> </w:t>
      </w:r>
      <w:r w:rsidR="00502DAB">
        <w:t>July 2020, &lt;https://www.oecd.org/australia/getting-skills-right-australia-9789264303539-en.htm&gt;</w:t>
      </w:r>
      <w:r>
        <w:t>.</w:t>
      </w:r>
    </w:p>
    <w:p w14:paraId="541ECFFE" w14:textId="77777777" w:rsidR="00502DAB" w:rsidRDefault="00502DAB" w:rsidP="00502DAB">
      <w:pPr>
        <w:pStyle w:val="References"/>
      </w:pPr>
      <w:r>
        <w:t xml:space="preserve">Siekmann, G &amp; Fowler, C 2017, </w:t>
      </w:r>
      <w:r w:rsidRPr="00B3513B">
        <w:rPr>
          <w:i/>
          <w:iCs/>
        </w:rPr>
        <w:t>Identifying work skills: international approaches</w:t>
      </w:r>
      <w:r>
        <w:t xml:space="preserve">, NCVER, Adelaide. </w:t>
      </w:r>
    </w:p>
    <w:p w14:paraId="3D1E1B04" w14:textId="78E76B93" w:rsidR="00502DAB" w:rsidRDefault="00502DAB" w:rsidP="00502DAB">
      <w:pPr>
        <w:pStyle w:val="References"/>
      </w:pPr>
      <w:r>
        <w:t>Squicciarini</w:t>
      </w:r>
      <w:r w:rsidR="00B3513B">
        <w:t>,</w:t>
      </w:r>
      <w:r>
        <w:t xml:space="preserve"> M, Marcolin</w:t>
      </w:r>
      <w:r w:rsidR="008F098C">
        <w:t>,</w:t>
      </w:r>
      <w:r>
        <w:t xml:space="preserve"> L &amp; Horvat</w:t>
      </w:r>
      <w:r w:rsidR="008F098C">
        <w:t>,</w:t>
      </w:r>
      <w:r>
        <w:t xml:space="preserve"> P 2015, </w:t>
      </w:r>
      <w:r w:rsidRPr="008F098C">
        <w:rPr>
          <w:i/>
          <w:iCs/>
        </w:rPr>
        <w:t>Estimating cross-country investment in training: An experimental methodology using PIAAC data</w:t>
      </w:r>
      <w:r>
        <w:t xml:space="preserve">, OECD </w:t>
      </w:r>
      <w:r w:rsidR="00874D00">
        <w:t xml:space="preserve">science, technology </w:t>
      </w:r>
      <w:r w:rsidR="008F098C">
        <w:t>and industry working papers</w:t>
      </w:r>
      <w:r>
        <w:t>, 2015/09, viewed 15 July 2020, &lt;https://www.oecd-ilibrary.org/science-and-technology/estimating-cross-country-investment-in-training_5jrs3sftp8nw-en&gt;</w:t>
      </w:r>
      <w:r w:rsidR="008F098C">
        <w:t>.</w:t>
      </w:r>
    </w:p>
    <w:p w14:paraId="46FF36D4" w14:textId="14FD229B" w:rsidR="00502DAB" w:rsidRDefault="00502DAB" w:rsidP="00502DAB">
      <w:pPr>
        <w:pStyle w:val="References"/>
      </w:pPr>
      <w:r>
        <w:t>Stroombergen</w:t>
      </w:r>
      <w:r w:rsidR="008F098C">
        <w:t>.</w:t>
      </w:r>
      <w:r>
        <w:t xml:space="preserve"> A</w:t>
      </w:r>
      <w:r w:rsidR="008F098C">
        <w:t>,</w:t>
      </w:r>
      <w:r>
        <w:t xml:space="preserve"> Rose</w:t>
      </w:r>
      <w:r w:rsidR="008F098C">
        <w:t>,</w:t>
      </w:r>
      <w:r>
        <w:t xml:space="preserve"> D &amp; Nana</w:t>
      </w:r>
      <w:r w:rsidR="008F098C">
        <w:t>,</w:t>
      </w:r>
      <w:r>
        <w:t xml:space="preserve"> G 2002, </w:t>
      </w:r>
      <w:r w:rsidRPr="008F098C">
        <w:rPr>
          <w:i/>
          <w:iCs/>
        </w:rPr>
        <w:t>Review of the statistical measure of human capital</w:t>
      </w:r>
      <w:r>
        <w:t>, Statistics New Zealand</w:t>
      </w:r>
      <w:r w:rsidR="008F098C">
        <w:t>, Wellington.</w:t>
      </w:r>
      <w:r>
        <w:t xml:space="preserve"> </w:t>
      </w:r>
    </w:p>
    <w:p w14:paraId="47E73CB4" w14:textId="14B973DB" w:rsidR="00502DAB" w:rsidRDefault="00502DAB" w:rsidP="00502DAB">
      <w:pPr>
        <w:pStyle w:val="References"/>
      </w:pPr>
      <w:r>
        <w:t>Wei</w:t>
      </w:r>
      <w:r w:rsidR="00B74A5E">
        <w:t>,</w:t>
      </w:r>
      <w:r>
        <w:t xml:space="preserve"> H 2004, </w:t>
      </w:r>
      <w:r w:rsidR="00B74A5E">
        <w:t>‘</w:t>
      </w:r>
      <w:r>
        <w:t>Measuring human capital formation for Australia: A lifetime labour income approach</w:t>
      </w:r>
      <w:r w:rsidR="00B74A5E">
        <w:t>’</w:t>
      </w:r>
      <w:r>
        <w:t>, 33rd Annual conference of economists, 27</w:t>
      </w:r>
      <w:r w:rsidR="00B74A5E">
        <w:t>—</w:t>
      </w:r>
      <w:r>
        <w:t xml:space="preserve">30 September 2004, Sydney. </w:t>
      </w:r>
    </w:p>
    <w:p w14:paraId="0D10AF7E" w14:textId="223D5125" w:rsidR="00502DAB" w:rsidRDefault="00B74A5E" w:rsidP="00502DAB">
      <w:pPr>
        <w:pStyle w:val="References"/>
      </w:pPr>
      <w:r>
        <w:t>——</w:t>
      </w:r>
      <w:r w:rsidR="00502DAB">
        <w:t xml:space="preserve">2008, </w:t>
      </w:r>
      <w:r w:rsidR="00DB2B39">
        <w:t>‘</w:t>
      </w:r>
      <w:r w:rsidR="00502DAB">
        <w:t>Measuring human capital flows for Australia: A lifetime labour income approach</w:t>
      </w:r>
      <w:r w:rsidR="00DB2B39">
        <w:t>’</w:t>
      </w:r>
      <w:r w:rsidR="00502DAB">
        <w:t xml:space="preserve">, </w:t>
      </w:r>
      <w:r w:rsidR="00DB2B39">
        <w:t>cat.no. 1351.0.55.023, ABS</w:t>
      </w:r>
      <w:r w:rsidR="00502DAB">
        <w:t>, Canberra</w:t>
      </w:r>
      <w:r w:rsidR="00DB2B39">
        <w:t>.</w:t>
      </w:r>
      <w:r w:rsidR="00502DAB">
        <w:t xml:space="preserve"> </w:t>
      </w:r>
    </w:p>
    <w:p w14:paraId="5429300A" w14:textId="49B70646" w:rsidR="00502DAB" w:rsidRDefault="00502DAB" w:rsidP="00502DAB">
      <w:pPr>
        <w:pStyle w:val="References"/>
      </w:pPr>
      <w:r>
        <w:lastRenderedPageBreak/>
        <w:t>Wiseman, J</w:t>
      </w:r>
      <w:r w:rsidR="00DB2B39">
        <w:t xml:space="preserve"> &amp;</w:t>
      </w:r>
      <w:r>
        <w:t xml:space="preserve"> Parry, E 2017, </w:t>
      </w:r>
      <w:r w:rsidRPr="00D71C48">
        <w:rPr>
          <w:i/>
          <w:iCs/>
        </w:rPr>
        <w:t xml:space="preserve">Continuing Vocational Training Survey: CVTS 5, </w:t>
      </w:r>
      <w:r w:rsidR="00D71C48" w:rsidRPr="00D71C48">
        <w:rPr>
          <w:i/>
          <w:iCs/>
        </w:rPr>
        <w:t>main report</w:t>
      </w:r>
      <w:r w:rsidRPr="00D71C48">
        <w:rPr>
          <w:i/>
          <w:iCs/>
        </w:rPr>
        <w:t xml:space="preserve"> no. 5,</w:t>
      </w:r>
      <w:r>
        <w:t xml:space="preserve"> DfE research report, no. DFE-RR754, Department for Education, Manchester, viewed 11 Aug</w:t>
      </w:r>
      <w:r w:rsidR="00D71C48">
        <w:t>ust</w:t>
      </w:r>
      <w:r>
        <w:t xml:space="preserve"> 2020, &lt;https://www.gov.uk/government/publications/continuing-vocational-training-survey&gt;.</w:t>
      </w:r>
    </w:p>
    <w:p w14:paraId="24855890" w14:textId="1A651A98" w:rsidR="00502DAB" w:rsidRDefault="00502DAB" w:rsidP="00502DAB">
      <w:pPr>
        <w:pStyle w:val="References"/>
      </w:pPr>
      <w:r>
        <w:t>World Economic Forum</w:t>
      </w:r>
      <w:r w:rsidR="00D71C48">
        <w:t xml:space="preserve"> &amp;</w:t>
      </w:r>
      <w:r>
        <w:t xml:space="preserve"> Boston Consulting Group 2018, </w:t>
      </w:r>
      <w:r w:rsidRPr="00C52A28">
        <w:rPr>
          <w:i/>
          <w:iCs/>
        </w:rPr>
        <w:t>Towards a reskilling revolution: a future of jobs for all</w:t>
      </w:r>
      <w:r>
        <w:t xml:space="preserve">, viewed 15 July 2020, &lt; </w:t>
      </w:r>
      <w:hyperlink r:id="rId20" w:history="1">
        <w:r w:rsidRPr="001D7907">
          <w:rPr>
            <w:rStyle w:val="Hyperlink"/>
            <w:sz w:val="18"/>
          </w:rPr>
          <w:t>https://www.weforum.org/reports/towards-a-reskilling-revolution</w:t>
        </w:r>
      </w:hyperlink>
      <w:r>
        <w:t>&gt;</w:t>
      </w:r>
      <w:r w:rsidR="00C52A28">
        <w:t>.</w:t>
      </w:r>
    </w:p>
    <w:p w14:paraId="1017A26A" w14:textId="77777777" w:rsidR="00502DAB" w:rsidRDefault="00502DAB">
      <w:pPr>
        <w:spacing w:before="0" w:line="240" w:lineRule="auto"/>
        <w:rPr>
          <w:sz w:val="18"/>
        </w:rPr>
      </w:pPr>
      <w:r>
        <w:br w:type="page"/>
      </w:r>
    </w:p>
    <w:p w14:paraId="2DC899A3" w14:textId="59451DA8" w:rsidR="00502DAB" w:rsidRDefault="00502DAB" w:rsidP="00502DAB">
      <w:pPr>
        <w:pStyle w:val="Heading1"/>
      </w:pPr>
      <w:bookmarkStart w:id="33" w:name="_Toc66774410"/>
      <w:r w:rsidRPr="00502DAB">
        <w:lastRenderedPageBreak/>
        <w:t xml:space="preserve">Appendix </w:t>
      </w:r>
      <w:r w:rsidR="001475B5">
        <w:t>A</w:t>
      </w:r>
      <w:r w:rsidRPr="00502DAB">
        <w:t>: Australian data source references</w:t>
      </w:r>
      <w:bookmarkEnd w:id="33"/>
    </w:p>
    <w:p w14:paraId="7CD9B4F7" w14:textId="77777777" w:rsidR="00502DAB" w:rsidRDefault="00502DAB" w:rsidP="00502DAB">
      <w:pPr>
        <w:pStyle w:val="Heading5"/>
      </w:pPr>
      <w:r>
        <w:t xml:space="preserve">Australian Bureau of Statistics (ABS) </w:t>
      </w:r>
    </w:p>
    <w:p w14:paraId="470062C3" w14:textId="1B5A8753" w:rsidR="00502DAB" w:rsidRDefault="00502DAB" w:rsidP="00502DAB">
      <w:pPr>
        <w:pStyle w:val="References"/>
      </w:pPr>
      <w:r>
        <w:t xml:space="preserve">ABS 2016 Census products, </w:t>
      </w:r>
      <w:r w:rsidR="00762F30">
        <w:t>&lt;</w:t>
      </w:r>
      <w:r>
        <w:t>https://www.abs.gov.au/census</w:t>
      </w:r>
      <w:r w:rsidR="00762F30">
        <w:t>&gt;</w:t>
      </w:r>
    </w:p>
    <w:p w14:paraId="74D9B691" w14:textId="77777777" w:rsidR="00502DAB" w:rsidRDefault="00502DAB" w:rsidP="00502DAB">
      <w:pPr>
        <w:pStyle w:val="References"/>
      </w:pPr>
      <w:r>
        <w:t>ABS 2018 Microdata: Multi-Agency Data Integration Project, Australia, cat. no. 1700.0</w:t>
      </w:r>
    </w:p>
    <w:p w14:paraId="5F3DCFCF" w14:textId="7B0649D3" w:rsidR="00502DAB" w:rsidRDefault="00502DAB" w:rsidP="00502DAB">
      <w:pPr>
        <w:pStyle w:val="References"/>
      </w:pPr>
      <w:r>
        <w:t>ABS 2019 Education and work, Australia, cat</w:t>
      </w:r>
      <w:r w:rsidR="00762F30">
        <w:t>.</w:t>
      </w:r>
      <w:r>
        <w:t xml:space="preserve"> no. 6227.0</w:t>
      </w:r>
    </w:p>
    <w:p w14:paraId="615A3135" w14:textId="6E0A0DE4" w:rsidR="00502DAB" w:rsidRDefault="00502DAB" w:rsidP="00502DAB">
      <w:pPr>
        <w:pStyle w:val="References"/>
      </w:pPr>
      <w:r>
        <w:t>ABS 2016 Qualifications and work, Australia, cat.</w:t>
      </w:r>
      <w:r w:rsidR="00F4187F">
        <w:t xml:space="preserve"> </w:t>
      </w:r>
      <w:r>
        <w:t>no. 4235.0</w:t>
      </w:r>
    </w:p>
    <w:p w14:paraId="5C1EA581" w14:textId="5D991630" w:rsidR="00502DAB" w:rsidRDefault="00502DAB" w:rsidP="00502DAB">
      <w:pPr>
        <w:pStyle w:val="References"/>
      </w:pPr>
      <w:r>
        <w:t>ABS 2017 Work-related training and adult learning, Australia 2016</w:t>
      </w:r>
      <w:r w:rsidR="00F4187F">
        <w:t>—</w:t>
      </w:r>
      <w:r>
        <w:t>2017, cat.</w:t>
      </w:r>
      <w:r w:rsidR="00F4187F">
        <w:t xml:space="preserve"> </w:t>
      </w:r>
      <w:r>
        <w:t>no. 4234.0</w:t>
      </w:r>
    </w:p>
    <w:p w14:paraId="1EC02B3E" w14:textId="5B378F03" w:rsidR="00502DAB" w:rsidRDefault="00502DAB" w:rsidP="00502DAB">
      <w:pPr>
        <w:pStyle w:val="References"/>
      </w:pPr>
      <w:r>
        <w:t xml:space="preserve">ABS 2020 Labour force, Australia, cat. </w:t>
      </w:r>
      <w:r w:rsidR="00F4187F">
        <w:t>n</w:t>
      </w:r>
      <w:r>
        <w:t>o. 6202.0 (various editions)</w:t>
      </w:r>
    </w:p>
    <w:p w14:paraId="4D47BA25" w14:textId="386D792D" w:rsidR="00502DAB" w:rsidRDefault="00502DAB" w:rsidP="00502DAB">
      <w:pPr>
        <w:pStyle w:val="References"/>
      </w:pPr>
      <w:r>
        <w:t>ABS 2020 Labour force Australia, detailed</w:t>
      </w:r>
      <w:r w:rsidR="00F4187F">
        <w:t xml:space="preserve"> —</w:t>
      </w:r>
      <w:r>
        <w:t xml:space="preserve"> electronic delivery (various editions), </w:t>
      </w:r>
      <w:r w:rsidR="00856C82">
        <w:t xml:space="preserve">cat. no. </w:t>
      </w:r>
      <w:r>
        <w:t>6291.0.055.001</w:t>
      </w:r>
    </w:p>
    <w:p w14:paraId="53BD085D" w14:textId="309A83C0" w:rsidR="00502DAB" w:rsidRDefault="00502DAB" w:rsidP="00502DAB">
      <w:pPr>
        <w:pStyle w:val="References"/>
      </w:pPr>
      <w:r>
        <w:t xml:space="preserve">ABS 2020 Labour force Australia, detailed, quarterly (various editions), </w:t>
      </w:r>
      <w:r w:rsidR="00856C82">
        <w:t xml:space="preserve">cat. no. </w:t>
      </w:r>
      <w:r>
        <w:t>6291.0.055.003</w:t>
      </w:r>
    </w:p>
    <w:p w14:paraId="35312B7A" w14:textId="77777777" w:rsidR="00502DAB" w:rsidRDefault="00502DAB" w:rsidP="00502DAB">
      <w:pPr>
        <w:pStyle w:val="Heading5"/>
      </w:pPr>
      <w:r>
        <w:t>Administrative data</w:t>
      </w:r>
    </w:p>
    <w:p w14:paraId="3A5DBE3D" w14:textId="1FE41088" w:rsidR="00502DAB" w:rsidRDefault="00502DAB" w:rsidP="00502DAB">
      <w:pPr>
        <w:pStyle w:val="References"/>
      </w:pPr>
      <w:r>
        <w:t xml:space="preserve">NCVER Total VET Activity (TVA), </w:t>
      </w:r>
      <w:r w:rsidR="00856C82">
        <w:t>&lt;</w:t>
      </w:r>
      <w:r>
        <w:t>https://www.ncver.edu.au/about-ncver/about-our-data</w:t>
      </w:r>
      <w:r w:rsidR="00856C82">
        <w:t>&gt;</w:t>
      </w:r>
    </w:p>
    <w:p w14:paraId="3957F89C" w14:textId="1A5FB6D8" w:rsidR="00502DAB" w:rsidRDefault="00856C82" w:rsidP="00502DAB">
      <w:pPr>
        <w:pStyle w:val="References"/>
      </w:pPr>
      <w:r>
        <w:t xml:space="preserve">Australian </w:t>
      </w:r>
      <w:r w:rsidR="00502DAB">
        <w:t xml:space="preserve">Department of Education, Skills and Employment, Higher Education Management System (HEIMS), </w:t>
      </w:r>
      <w:r>
        <w:t>&lt;</w:t>
      </w:r>
      <w:r w:rsidR="00502DAB">
        <w:t>https://heimshelp.education.gov.au/resources/glossary/glossaryterm8642</w:t>
      </w:r>
      <w:r>
        <w:t>&gt;</w:t>
      </w:r>
    </w:p>
    <w:p w14:paraId="7EE95953" w14:textId="53E7C518" w:rsidR="00502DAB" w:rsidRDefault="00502DAB" w:rsidP="00502DAB">
      <w:pPr>
        <w:pStyle w:val="References"/>
      </w:pPr>
      <w:r>
        <w:t xml:space="preserve">Australian Taxation Office and Sax Institute, Alife (sample of data from Australian tax returns), </w:t>
      </w:r>
      <w:r w:rsidR="00856C82">
        <w:t>&lt;</w:t>
      </w:r>
      <w:r>
        <w:t>https://alife-research.app/info/overview</w:t>
      </w:r>
      <w:r w:rsidR="00856C82">
        <w:t>&gt;</w:t>
      </w:r>
    </w:p>
    <w:p w14:paraId="0EB5B0DC" w14:textId="77777777" w:rsidR="00502DAB" w:rsidRDefault="00502DAB" w:rsidP="00502DAB">
      <w:pPr>
        <w:pStyle w:val="Heading5"/>
      </w:pPr>
      <w:r>
        <w:t>OECD data</w:t>
      </w:r>
    </w:p>
    <w:p w14:paraId="6B4E927B" w14:textId="72D49EBE" w:rsidR="00502DAB" w:rsidRDefault="00502DAB" w:rsidP="00502DAB">
      <w:pPr>
        <w:pStyle w:val="References"/>
      </w:pPr>
      <w:r>
        <w:t xml:space="preserve">OECD, Survey of Adult Skills (PIAAC), </w:t>
      </w:r>
      <w:r w:rsidR="0028377D">
        <w:t>&lt;</w:t>
      </w:r>
      <w:r>
        <w:t>https://www.oecd.org/skills/piaac/</w:t>
      </w:r>
      <w:r w:rsidR="0028377D">
        <w:t>&gt;</w:t>
      </w:r>
    </w:p>
    <w:p w14:paraId="4BA5A50C" w14:textId="77777777" w:rsidR="00502DAB" w:rsidRDefault="00502DAB" w:rsidP="00502DAB">
      <w:pPr>
        <w:pStyle w:val="Heading5"/>
      </w:pPr>
      <w:r>
        <w:t>Data (job classification) engines</w:t>
      </w:r>
    </w:p>
    <w:p w14:paraId="2CB98C56" w14:textId="295A9F47" w:rsidR="00502DAB" w:rsidRDefault="00502DAB" w:rsidP="00502DAB">
      <w:pPr>
        <w:pStyle w:val="References"/>
      </w:pPr>
      <w:r w:rsidRPr="00594A16">
        <w:t xml:space="preserve">National Skills Commission, Jobs and Education Data Infrastructure (JEDI), </w:t>
      </w:r>
      <w:r w:rsidR="0028377D">
        <w:t>&lt;</w:t>
      </w:r>
      <w:r w:rsidRPr="00594A16">
        <w:t>https://www.nationalskillscommission.gov.au/our-work/forecasting-skills-and-analysis#:~:text=JEDI%20is%20a%20flagship%20NSC,jobs%20that%20use%20similar%20skills</w:t>
      </w:r>
      <w:r w:rsidR="0028377D">
        <w:t>&gt;</w:t>
      </w:r>
    </w:p>
    <w:p w14:paraId="654983F3" w14:textId="2DCD0E30" w:rsidR="00502DAB" w:rsidRDefault="00502DAB" w:rsidP="00502DAB">
      <w:pPr>
        <w:pStyle w:val="References"/>
      </w:pPr>
      <w:r>
        <w:t xml:space="preserve">Onetcenter, Occupational Information Network or O*NET, </w:t>
      </w:r>
      <w:r w:rsidR="004A7CF6">
        <w:t>&lt;</w:t>
      </w:r>
      <w:r>
        <w:t>https://www.onetcenter.org/overview.html</w:t>
      </w:r>
      <w:r w:rsidR="004A7CF6">
        <w:t>&gt;</w:t>
      </w:r>
    </w:p>
    <w:p w14:paraId="58BC9A32" w14:textId="77777777" w:rsidR="00502DAB" w:rsidRDefault="00502DAB" w:rsidP="00502DAB">
      <w:pPr>
        <w:pStyle w:val="Heading5"/>
      </w:pPr>
      <w:r>
        <w:t>Job ads</w:t>
      </w:r>
    </w:p>
    <w:p w14:paraId="567447D4" w14:textId="316F4AFB" w:rsidR="00502DAB" w:rsidRDefault="00502DAB" w:rsidP="00502DAB">
      <w:pPr>
        <w:pStyle w:val="References"/>
      </w:pPr>
      <w:r>
        <w:t xml:space="preserve">Adzuna, </w:t>
      </w:r>
      <w:r w:rsidR="004A7CF6">
        <w:t>&lt;</w:t>
      </w:r>
      <w:r>
        <w:t>https://www.adzuna.com.au/?gclid=EAIaIQobChMIopqKytOZ6wIVxAorCh25yQrXEAAYASAAEgLTTfD_BwE</w:t>
      </w:r>
      <w:r w:rsidR="004A7CF6">
        <w:t>&gt;</w:t>
      </w:r>
    </w:p>
    <w:p w14:paraId="3B966729" w14:textId="29AB7161" w:rsidR="00A111FE" w:rsidRDefault="00502DAB" w:rsidP="00502DAB">
      <w:pPr>
        <w:pStyle w:val="References"/>
      </w:pPr>
      <w:r>
        <w:t xml:space="preserve">Burning Glass Technologies, </w:t>
      </w:r>
      <w:r w:rsidR="004A7CF6">
        <w:t>&lt;</w:t>
      </w:r>
      <w:r>
        <w:t>https://www.burning-glass.com/</w:t>
      </w:r>
      <w:bookmarkEnd w:id="5"/>
      <w:bookmarkEnd w:id="6"/>
      <w:bookmarkEnd w:id="7"/>
      <w:bookmarkEnd w:id="8"/>
      <w:bookmarkEnd w:id="19"/>
      <w:r w:rsidR="004A7CF6">
        <w:t>&gt;</w:t>
      </w:r>
    </w:p>
    <w:sectPr w:rsidR="00A111FE" w:rsidSect="00357C16">
      <w:footerReference w:type="even" r:id="rId21"/>
      <w:footerReference w:type="default" r:id="rId22"/>
      <w:pgSz w:w="11907" w:h="16840" w:code="9"/>
      <w:pgMar w:top="1276" w:right="1418" w:bottom="992" w:left="1418" w:header="709" w:footer="556" w:gutter="0"/>
      <w:cols w:space="708" w:equalWidth="0">
        <w:col w:w="907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568BE" w14:textId="77777777" w:rsidR="008D04E9" w:rsidRDefault="008D04E9">
      <w:r>
        <w:separator/>
      </w:r>
    </w:p>
  </w:endnote>
  <w:endnote w:type="continuationSeparator" w:id="0">
    <w:p w14:paraId="7D256A79" w14:textId="77777777" w:rsidR="008D04E9" w:rsidRDefault="008D0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18E7" w14:textId="77777777" w:rsidR="008D04E9" w:rsidRDefault="008D04E9">
    <w:pPr>
      <w:pStyle w:val="Footer"/>
    </w:pPr>
    <w:r>
      <w:rPr>
        <w:noProof/>
        <w:lang w:eastAsia="en-AU"/>
      </w:rPr>
      <mc:AlternateContent>
        <mc:Choice Requires="wps">
          <w:drawing>
            <wp:anchor distT="0" distB="0" distL="114300" distR="114300" simplePos="0" relativeHeight="251664384" behindDoc="0" locked="0" layoutInCell="1" allowOverlap="1" wp14:anchorId="18BA742B" wp14:editId="440748DF">
              <wp:simplePos x="0" y="0"/>
              <wp:positionH relativeFrom="column">
                <wp:posOffset>-264160</wp:posOffset>
              </wp:positionH>
              <wp:positionV relativeFrom="paragraph">
                <wp:posOffset>-10161270</wp:posOffset>
              </wp:positionV>
              <wp:extent cx="1104900" cy="10769600"/>
              <wp:effectExtent l="2540" t="1905"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076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2B7756" w14:textId="77777777" w:rsidR="008D04E9" w:rsidRPr="00A9334E" w:rsidRDefault="008D04E9"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8D04E9" w:rsidRDefault="008D04E9" w:rsidP="00940830"/>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742B" id="_x0000_t202" coordsize="21600,21600" o:spt="202" path="m,l,21600r21600,l21600,xe">
              <v:stroke joinstyle="miter"/>
              <v:path gradientshapeok="t" o:connecttype="rect"/>
            </v:shapetype>
            <v:shape id="Text Box 5" o:spid="_x0000_s1050" type="#_x0000_t202" style="position:absolute;margin-left:-20.8pt;margin-top:-800.1pt;width:87pt;height:8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" filled="f" stroked="f">
              <v:textbox style="layout-flow:vertical;mso-layout-flow-alt:bottom-to-top">
                <w:txbxContent>
                  <w:p w14:paraId="392B7756" w14:textId="77777777" w:rsidR="008D04E9" w:rsidRPr="00A9334E" w:rsidRDefault="008D04E9" w:rsidP="00940830">
                    <w:pPr>
                      <w:spacing w:before="0" w:line="240" w:lineRule="auto"/>
                      <w:jc w:val="center"/>
                      <w:rPr>
                        <w:rFonts w:ascii="Tahoma" w:hAnsi="Tahoma" w:cs="Tahoma"/>
                        <w:color w:val="BFBFBF" w:themeColor="background1" w:themeShade="BF"/>
                        <w:sz w:val="120"/>
                        <w:szCs w:val="120"/>
                      </w:rPr>
                    </w:pPr>
                    <w:r w:rsidRPr="00A9334E">
                      <w:rPr>
                        <w:rFonts w:ascii="Tahoma" w:hAnsi="Tahoma" w:cs="Tahoma"/>
                        <w:color w:val="BFBFBF" w:themeColor="background1" w:themeShade="BF"/>
                        <w:sz w:val="120"/>
                        <w:szCs w:val="120"/>
                      </w:rPr>
                      <w:t>SUPPORT DOCUMENT</w:t>
                    </w:r>
                  </w:p>
                  <w:p w14:paraId="538DDEC1" w14:textId="77777777" w:rsidR="008D04E9" w:rsidRDefault="008D04E9" w:rsidP="00940830"/>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A502" w14:textId="307A005E" w:rsidR="008D04E9" w:rsidRPr="00EC3B66" w:rsidRDefault="007633B2" w:rsidP="00A03BF0">
    <w:pPr>
      <w:pStyle w:val="Footer"/>
      <w:tabs>
        <w:tab w:val="clear" w:pos="8505"/>
        <w:tab w:val="right" w:pos="10206"/>
      </w:tabs>
      <w:jc w:val="right"/>
      <w:rPr>
        <w:b/>
        <w:color w:val="FFFFFF" w:themeColor="background1"/>
      </w:rPr>
    </w:pPr>
    <w:r w:rsidRPr="007633B2">
      <w:rPr>
        <w:b/>
      </w:rPr>
      <w:t>Estimating the stock of skills in Australia: what data are needed?</w:t>
    </w:r>
    <w:r w:rsidR="008D04E9" w:rsidRPr="00EC3B66">
      <w:rPr>
        <w:b/>
      </w:rPr>
      <w:tab/>
      <w:t xml:space="preserve">NCVER | </w:t>
    </w:r>
    <w:r w:rsidR="008D04E9" w:rsidRPr="00EC3B66">
      <w:rPr>
        <w:rStyle w:val="PageNumber"/>
        <w:b/>
        <w:color w:val="000000" w:themeColor="text1"/>
        <w:sz w:val="17"/>
      </w:rPr>
      <w:fldChar w:fldCharType="begin"/>
    </w:r>
    <w:r w:rsidR="008D04E9" w:rsidRPr="00EC3B66">
      <w:rPr>
        <w:rStyle w:val="PageNumber"/>
        <w:b/>
        <w:color w:val="000000" w:themeColor="text1"/>
        <w:sz w:val="17"/>
      </w:rPr>
      <w:instrText xml:space="preserve"> PAGE </w:instrText>
    </w:r>
    <w:r w:rsidR="008D04E9" w:rsidRPr="00EC3B66">
      <w:rPr>
        <w:rStyle w:val="PageNumber"/>
        <w:b/>
        <w:color w:val="000000" w:themeColor="text1"/>
        <w:sz w:val="17"/>
      </w:rPr>
      <w:fldChar w:fldCharType="separate"/>
    </w:r>
    <w:r w:rsidR="008D04E9" w:rsidRPr="00EC3B66">
      <w:rPr>
        <w:rStyle w:val="PageNumber"/>
        <w:b/>
        <w:color w:val="000000" w:themeColor="text1"/>
        <w:sz w:val="17"/>
      </w:rPr>
      <w:t>3</w:t>
    </w:r>
    <w:r w:rsidR="008D04E9" w:rsidRPr="00EC3B66">
      <w:rPr>
        <w:rStyle w:val="PageNumber"/>
        <w:b/>
        <w:color w:val="000000" w:themeColor="text1"/>
        <w:sz w:val="17"/>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0A4EED" w14:textId="77E1E5A0" w:rsidR="008D04E9" w:rsidRPr="002F787C" w:rsidRDefault="007633B2" w:rsidP="008E6C3A">
    <w:pPr>
      <w:pStyle w:val="Footer"/>
      <w:tabs>
        <w:tab w:val="clear" w:pos="8505"/>
        <w:tab w:val="right" w:pos="10206"/>
      </w:tabs>
      <w:jc w:val="right"/>
      <w:rPr>
        <w:b/>
        <w:color w:val="FFFFFF" w:themeColor="background1"/>
      </w:rPr>
    </w:pPr>
    <w:r w:rsidRPr="007633B2">
      <w:rPr>
        <w:b/>
      </w:rPr>
      <w:t>Estimating the stock of skills in Australia: what data are needed?</w:t>
    </w:r>
    <w:r w:rsidR="008D04E9" w:rsidRPr="002F787C">
      <w:rPr>
        <w:b/>
      </w:rPr>
      <w:tab/>
      <w:t xml:space="preserve">NCVER | </w:t>
    </w:r>
    <w:r w:rsidR="008D04E9" w:rsidRPr="002F787C">
      <w:rPr>
        <w:rStyle w:val="PageNumber"/>
        <w:b/>
        <w:color w:val="000000" w:themeColor="text1"/>
        <w:sz w:val="17"/>
      </w:rPr>
      <w:fldChar w:fldCharType="begin"/>
    </w:r>
    <w:r w:rsidR="008D04E9" w:rsidRPr="002F787C">
      <w:rPr>
        <w:rStyle w:val="PageNumber"/>
        <w:b/>
        <w:color w:val="000000" w:themeColor="text1"/>
        <w:sz w:val="17"/>
      </w:rPr>
      <w:instrText xml:space="preserve"> PAGE </w:instrText>
    </w:r>
    <w:r w:rsidR="008D04E9" w:rsidRPr="002F787C">
      <w:rPr>
        <w:rStyle w:val="PageNumber"/>
        <w:b/>
        <w:color w:val="000000" w:themeColor="text1"/>
        <w:sz w:val="17"/>
      </w:rPr>
      <w:fldChar w:fldCharType="separate"/>
    </w:r>
    <w:r w:rsidR="008D04E9" w:rsidRPr="002F787C">
      <w:rPr>
        <w:rStyle w:val="PageNumber"/>
        <w:b/>
        <w:noProof/>
        <w:color w:val="000000" w:themeColor="text1"/>
        <w:sz w:val="17"/>
      </w:rPr>
      <w:t>7</w:t>
    </w:r>
    <w:r w:rsidR="008D04E9" w:rsidRPr="002F787C">
      <w:rPr>
        <w:rStyle w:val="PageNumber"/>
        <w:b/>
        <w:color w:val="000000" w:themeColor="text1"/>
        <w:sz w:val="1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AE3B3" w14:textId="77777777" w:rsidR="008D04E9" w:rsidRDefault="008D04E9">
      <w:r>
        <w:separator/>
      </w:r>
    </w:p>
  </w:footnote>
  <w:footnote w:type="continuationSeparator" w:id="0">
    <w:p w14:paraId="50A91E3F" w14:textId="77777777" w:rsidR="008D04E9" w:rsidRDefault="008D04E9">
      <w:r>
        <w:continuationSeparator/>
      </w:r>
    </w:p>
  </w:footnote>
  <w:footnote w:id="1">
    <w:p w14:paraId="091F8DEF" w14:textId="49744056" w:rsidR="008D04E9" w:rsidRDefault="008D04E9" w:rsidP="00B43B9C">
      <w:pPr>
        <w:pStyle w:val="FootnoteText"/>
      </w:pPr>
      <w:r w:rsidRPr="007633B2">
        <w:rPr>
          <w:rStyle w:val="FootnoteReference"/>
          <w:vertAlign w:val="baseline"/>
        </w:rPr>
        <w:footnoteRef/>
      </w:r>
      <w:r w:rsidRPr="007633B2">
        <w:t xml:space="preserve"> </w:t>
      </w:r>
      <w:r w:rsidR="00842F04">
        <w:tab/>
      </w:r>
      <w:r>
        <w:t>Note however that this current review is applicable to qualifications and skills obtained from both VET and higher education, as well as elsewhere.</w:t>
      </w:r>
    </w:p>
  </w:footnote>
  <w:footnote w:id="2">
    <w:p w14:paraId="19497BD4" w14:textId="20A4B5AC" w:rsidR="008D04E9" w:rsidRDefault="008D04E9">
      <w:pPr>
        <w:pStyle w:val="FootnoteText"/>
      </w:pPr>
      <w:r w:rsidRPr="007633B2">
        <w:rPr>
          <w:rStyle w:val="FootnoteReference"/>
          <w:vertAlign w:val="baseline"/>
        </w:rPr>
        <w:footnoteRef/>
      </w:r>
      <w:r w:rsidRPr="007633B2">
        <w:t xml:space="preserve"> </w:t>
      </w:r>
      <w:r w:rsidRPr="007F26D1">
        <w:t>Changes in real lifetime labour incomes from period to period (Wei 2008, p. 12)</w:t>
      </w:r>
    </w:p>
  </w:footnote>
  <w:footnote w:id="3">
    <w:p w14:paraId="0CE5A7A4" w14:textId="2E46551F" w:rsidR="008D04E9" w:rsidRDefault="008D04E9">
      <w:pPr>
        <w:pStyle w:val="FootnoteText"/>
      </w:pPr>
      <w:r w:rsidRPr="007633B2">
        <w:rPr>
          <w:rStyle w:val="FootnoteReference"/>
          <w:vertAlign w:val="baseline"/>
        </w:rPr>
        <w:footnoteRef/>
      </w:r>
      <w:r w:rsidRPr="007633B2">
        <w:t xml:space="preserve"> </w:t>
      </w:r>
      <w:r w:rsidRPr="007F26D1">
        <w:t>PIAAC is discussed later as a source of information on skills but it is worth mentioning that Australia takes part in the PIAAC survey. The last round of PIAAC for Australia was administered in 2011/2012, with the next round being due to be administered in 2021/22.</w:t>
      </w:r>
    </w:p>
  </w:footnote>
  <w:footnote w:id="4">
    <w:p w14:paraId="316AD819" w14:textId="4AD55461" w:rsidR="008D04E9" w:rsidRDefault="008D04E9" w:rsidP="00842F04">
      <w:pPr>
        <w:pStyle w:val="FootnoteText"/>
        <w:spacing w:before="0"/>
      </w:pPr>
      <w:r w:rsidRPr="007633B2">
        <w:rPr>
          <w:rStyle w:val="FootnoteReference"/>
          <w:vertAlign w:val="baseline"/>
        </w:rPr>
        <w:footnoteRef/>
      </w:r>
      <w:r>
        <w:t xml:space="preserve"> &lt;</w:t>
      </w:r>
      <w:r w:rsidRPr="007F26D1">
        <w:t>https://www.nationalskillscommission.gov.au/complementary-methods</w:t>
      </w:r>
      <w:r>
        <w:t>&gt;.</w:t>
      </w:r>
    </w:p>
  </w:footnote>
  <w:footnote w:id="5">
    <w:p w14:paraId="7436FB86" w14:textId="3161E906" w:rsidR="008D04E9" w:rsidRDefault="008D04E9" w:rsidP="00842F04">
      <w:pPr>
        <w:pStyle w:val="FootnoteText"/>
        <w:spacing w:before="0"/>
      </w:pPr>
      <w:r w:rsidRPr="007633B2">
        <w:rPr>
          <w:rStyle w:val="FootnoteReference"/>
          <w:vertAlign w:val="baseline"/>
        </w:rPr>
        <w:footnoteRef/>
      </w:r>
      <w:r w:rsidRPr="007633B2">
        <w:t xml:space="preserve"> </w:t>
      </w:r>
      <w:r>
        <w:t>&lt;</w:t>
      </w:r>
      <w:r w:rsidRPr="007F26D1">
        <w:t>https://www.onetcenter.org/dataUpdates.html</w:t>
      </w:r>
      <w:r>
        <w:t>&gt;.</w:t>
      </w:r>
    </w:p>
  </w:footnote>
  <w:footnote w:id="6">
    <w:p w14:paraId="508E7EE8" w14:textId="18F772DE" w:rsidR="008D04E9" w:rsidRDefault="008D04E9" w:rsidP="00842F04">
      <w:pPr>
        <w:pStyle w:val="FootnoteText"/>
        <w:spacing w:before="0"/>
      </w:pPr>
      <w:r w:rsidRPr="007633B2">
        <w:rPr>
          <w:rStyle w:val="FootnoteReference"/>
          <w:vertAlign w:val="baseline"/>
        </w:rPr>
        <w:footnoteRef/>
      </w:r>
      <w:r>
        <w:t xml:space="preserve"> &lt;</w:t>
      </w:r>
      <w:r w:rsidRPr="00E051E5">
        <w:t>https://www.ncver.edu.au/research-and-statistics/collections/employers-use-and-views-of-the-vet-system</w:t>
      </w:r>
      <w:r>
        <w:t>&gt;.</w:t>
      </w:r>
    </w:p>
  </w:footnote>
  <w:footnote w:id="7">
    <w:p w14:paraId="56F3D9AE" w14:textId="65C18F43" w:rsidR="008D04E9" w:rsidRPr="00842F04" w:rsidRDefault="008D04E9" w:rsidP="00842F04">
      <w:pPr>
        <w:pStyle w:val="FootnoteText"/>
        <w:spacing w:before="0"/>
      </w:pPr>
      <w:r w:rsidRPr="00842F04">
        <w:rPr>
          <w:rStyle w:val="FootnoteReference"/>
          <w:vertAlign w:val="baseline"/>
        </w:rPr>
        <w:footnoteRef/>
      </w:r>
      <w:r w:rsidRPr="00842F04">
        <w:t xml:space="preserve"> &lt;https://www.qilt.edu.au/qilt-surveys/employer-satisfaction&gt;.</w:t>
      </w:r>
    </w:p>
  </w:footnote>
  <w:footnote w:id="8">
    <w:p w14:paraId="0A01C644" w14:textId="4C70A4C2" w:rsidR="008D04E9" w:rsidRPr="00842F04" w:rsidRDefault="008D04E9" w:rsidP="00842F04">
      <w:pPr>
        <w:pStyle w:val="FootnoteText"/>
        <w:spacing w:before="0"/>
      </w:pPr>
      <w:r w:rsidRPr="00842F04">
        <w:rPr>
          <w:rStyle w:val="FootnoteReference"/>
          <w:vertAlign w:val="baseline"/>
        </w:rPr>
        <w:footnoteRef/>
      </w:r>
      <w:r w:rsidRPr="00842F04">
        <w:t xml:space="preserve"> &lt;https://www.education.vic.gov.au/training/providers/market/Pages/employersurvey.aspx&gt;.</w:t>
      </w:r>
    </w:p>
  </w:footnote>
  <w:footnote w:id="9">
    <w:p w14:paraId="7E383868" w14:textId="0D460815" w:rsidR="008D04E9" w:rsidRDefault="008D04E9" w:rsidP="00842F04">
      <w:pPr>
        <w:pStyle w:val="FootnoteText"/>
        <w:spacing w:before="0"/>
      </w:pPr>
      <w:r w:rsidRPr="00842F04">
        <w:rPr>
          <w:rStyle w:val="FootnoteReference"/>
          <w:vertAlign w:val="baseline"/>
        </w:rPr>
        <w:footnoteRef/>
      </w:r>
      <w:r w:rsidRPr="00842F04">
        <w:t xml:space="preserve"> See &lt;https://lmip.gov.au/&gt;. In addition, the LMIP also provides information on employment projections (by industry, </w:t>
      </w:r>
      <w:r w:rsidRPr="00842F04">
        <w:t xml:space="preserve">occupation and region), information from the Survey of Employers’ Recruitment Experiences (last done in 2018) and information on workforce shortages. </w:t>
      </w:r>
    </w:p>
  </w:footnote>
  <w:footnote w:id="10">
    <w:p w14:paraId="733E6B7A" w14:textId="4BF1E5E7" w:rsidR="008D04E9" w:rsidRDefault="008D04E9" w:rsidP="00842F04">
      <w:pPr>
        <w:pStyle w:val="FootnoteText"/>
        <w:spacing w:before="0"/>
      </w:pPr>
      <w:r w:rsidRPr="007633B2">
        <w:rPr>
          <w:rStyle w:val="FootnoteReference"/>
          <w:vertAlign w:val="baseline"/>
        </w:rPr>
        <w:footnoteRef/>
      </w:r>
      <w:r w:rsidRPr="007633B2">
        <w:t xml:space="preserve"> </w:t>
      </w:r>
      <w:bookmarkStart w:id="25" w:name="_Hlk67902422"/>
      <w:r>
        <w:t>&lt;</w:t>
      </w:r>
      <w:r w:rsidRPr="00CC4430">
        <w:t>https://www.onetcenter.org/overview.html</w:t>
      </w:r>
      <w:bookmarkEnd w:id="25"/>
      <w:r>
        <w:t>&gt;.</w:t>
      </w:r>
    </w:p>
  </w:footnote>
  <w:footnote w:id="11">
    <w:p w14:paraId="070FBF5C" w14:textId="5F2AB3A1" w:rsidR="008D04E9" w:rsidRDefault="008D04E9" w:rsidP="00842F04">
      <w:pPr>
        <w:pStyle w:val="FootnoteText"/>
        <w:spacing w:before="0"/>
      </w:pPr>
      <w:r w:rsidRPr="007633B2">
        <w:rPr>
          <w:rStyle w:val="FootnoteReference"/>
          <w:vertAlign w:val="baseline"/>
        </w:rPr>
        <w:footnoteRef/>
      </w:r>
      <w:r w:rsidRPr="007633B2">
        <w:t xml:space="preserve"> </w:t>
      </w:r>
      <w:r>
        <w:t>&lt;</w:t>
      </w:r>
      <w:r w:rsidRPr="00CC4430">
        <w:t>https://www.onetcenter.org/content.html</w:t>
      </w:r>
      <w:r>
        <w:t>&gt;.</w:t>
      </w:r>
    </w:p>
  </w:footnote>
  <w:footnote w:id="12">
    <w:p w14:paraId="53342BC3" w14:textId="78361849" w:rsidR="008D04E9" w:rsidRDefault="008D04E9" w:rsidP="00842F04">
      <w:pPr>
        <w:pStyle w:val="FootnoteText"/>
        <w:spacing w:before="0"/>
      </w:pPr>
      <w:r w:rsidRPr="007633B2">
        <w:rPr>
          <w:rStyle w:val="FootnoteReference"/>
          <w:vertAlign w:val="baseline"/>
        </w:rPr>
        <w:footnoteRef/>
      </w:r>
      <w:r w:rsidRPr="007633B2">
        <w:t xml:space="preserve"> </w:t>
      </w:r>
      <w:r>
        <w:t>&lt;</w:t>
      </w:r>
      <w:r w:rsidRPr="00CC4430">
        <w:t>https://www.onetcenter.org/taxonomy.html</w:t>
      </w:r>
      <w:r>
        <w:t>&gt;.</w:t>
      </w:r>
    </w:p>
  </w:footnote>
  <w:footnote w:id="13">
    <w:p w14:paraId="70E139DB" w14:textId="5F93FE34" w:rsidR="008D04E9" w:rsidRDefault="008D04E9" w:rsidP="00842F04">
      <w:pPr>
        <w:pStyle w:val="FootnoteText"/>
        <w:tabs>
          <w:tab w:val="clear" w:pos="1418"/>
        </w:tabs>
        <w:spacing w:before="0"/>
        <w:ind w:left="284" w:hanging="284"/>
      </w:pPr>
      <w:r w:rsidRPr="007633B2">
        <w:rPr>
          <w:rStyle w:val="FootnoteReference"/>
          <w:vertAlign w:val="baseline"/>
        </w:rPr>
        <w:footnoteRef/>
      </w:r>
      <w:r w:rsidRPr="007633B2">
        <w:t xml:space="preserve"> </w:t>
      </w:r>
      <w:r w:rsidR="00842F04">
        <w:tab/>
      </w:r>
      <w:r w:rsidRPr="00E66C5C">
        <w:t>VET course information and VET student outcomes are available from the National Centre for Vocational Education research (NCVER), while student enrolment data and graduate information for the higher education sector are available from the Australian Department of Education, Skills and Employment.</w:t>
      </w:r>
    </w:p>
  </w:footnote>
  <w:footnote w:id="14">
    <w:p w14:paraId="0B756B57" w14:textId="2E15BCC2" w:rsidR="008D04E9" w:rsidRDefault="008D04E9" w:rsidP="00842F04">
      <w:pPr>
        <w:pStyle w:val="FootnoteText"/>
        <w:spacing w:before="0"/>
        <w:ind w:left="284" w:hanging="284"/>
      </w:pPr>
      <w:r w:rsidRPr="007633B2">
        <w:rPr>
          <w:rStyle w:val="FootnoteReference"/>
          <w:vertAlign w:val="baseline"/>
        </w:rPr>
        <w:footnoteRef/>
      </w:r>
      <w:r w:rsidRPr="007633B2">
        <w:t xml:space="preserve"> </w:t>
      </w:r>
      <w:r w:rsidR="00842F04">
        <w:tab/>
      </w:r>
      <w:r>
        <w:t>&lt;</w:t>
      </w:r>
      <w:r w:rsidRPr="00E66C5C">
        <w:t>https://myfuture.edu.au/</w:t>
      </w:r>
      <w:r>
        <w:t>&gt;.</w:t>
      </w:r>
    </w:p>
  </w:footnote>
  <w:footnote w:id="15">
    <w:p w14:paraId="7C485344" w14:textId="1DB348B6" w:rsidR="00A446B2" w:rsidRDefault="00A446B2" w:rsidP="00842F04">
      <w:pPr>
        <w:pStyle w:val="FootnoteText"/>
        <w:spacing w:before="0"/>
        <w:ind w:left="284" w:hanging="284"/>
      </w:pPr>
      <w:r w:rsidRPr="007633B2">
        <w:rPr>
          <w:rStyle w:val="FootnoteReference"/>
          <w:vertAlign w:val="baseline"/>
        </w:rPr>
        <w:footnoteRef/>
      </w:r>
      <w:r w:rsidRPr="007633B2">
        <w:t xml:space="preserve"> </w:t>
      </w:r>
      <w:r w:rsidR="00842F04">
        <w:tab/>
      </w:r>
      <w:r>
        <w:t xml:space="preserve">See </w:t>
      </w:r>
      <w:hyperlink r:id="rId1" w:history="1">
        <w:r w:rsidRPr="006B1DDD">
          <w:rPr>
            <w:rStyle w:val="Hyperlink"/>
            <w:sz w:val="16"/>
          </w:rPr>
          <w:t>https://www.nationalskillscommission.gov.au/our-work/jobs-and-education-data-infrastructure-jedi</w:t>
        </w:r>
      </w:hyperlink>
      <w:r>
        <w:t xml:space="preserve">  (accessed April 2021</w:t>
      </w:r>
      <w:r>
        <w:t>)  for further information on JEDI.</w:t>
      </w:r>
    </w:p>
  </w:footnote>
  <w:footnote w:id="16">
    <w:p w14:paraId="4C5692A8" w14:textId="56261DFC" w:rsidR="008D04E9" w:rsidRDefault="008D04E9" w:rsidP="00842F04">
      <w:pPr>
        <w:pStyle w:val="FootnoteText"/>
        <w:spacing w:before="0"/>
      </w:pPr>
      <w:r w:rsidRPr="00842F04">
        <w:rPr>
          <w:rStyle w:val="FootnoteReference"/>
          <w:vertAlign w:val="baseline"/>
        </w:rPr>
        <w:footnoteRef/>
      </w:r>
      <w:r>
        <w:t xml:space="preserve"> &lt;</w:t>
      </w:r>
      <w:r w:rsidRPr="00E66C5C">
        <w:t>https://joboutlook.gov.au/</w:t>
      </w:r>
      <w:r>
        <w:t>&gt;.</w:t>
      </w:r>
    </w:p>
  </w:footnote>
  <w:footnote w:id="17">
    <w:p w14:paraId="2C746813" w14:textId="08C96AC9" w:rsidR="00842F04" w:rsidRDefault="008D04E9" w:rsidP="00842F04">
      <w:pPr>
        <w:pStyle w:val="FootnoteText"/>
        <w:spacing w:before="0"/>
      </w:pPr>
      <w:r w:rsidRPr="00842F04">
        <w:rPr>
          <w:rStyle w:val="FootnoteReference"/>
          <w:vertAlign w:val="baseline"/>
        </w:rPr>
        <w:footnoteRef/>
      </w:r>
      <w:r w:rsidRPr="00842F04">
        <w:t xml:space="preserve"> </w:t>
      </w:r>
      <w:r>
        <w:t>&lt;</w:t>
      </w:r>
      <w:r w:rsidRPr="00E66C5C">
        <w:t>https://nationalindustryinsights.aisc.net.au/</w:t>
      </w:r>
      <w: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3AC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5CEE0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B122C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F569A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BDAE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F410EF"/>
    <w:multiLevelType w:val="hybridMultilevel"/>
    <w:tmpl w:val="42146892"/>
    <w:lvl w:ilvl="0" w:tplc="24BA3DD4">
      <w:start w:val="1"/>
      <w:numFmt w:val="decimal"/>
      <w:pStyle w:val="NumberedListContinuing"/>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15:restartNumberingAfterBreak="0">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15:restartNumberingAfterBreak="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6" w15:restartNumberingAfterBreak="0">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D129F8"/>
    <w:multiLevelType w:val="hybridMultilevel"/>
    <w:tmpl w:val="D4A2D112"/>
    <w:lvl w:ilvl="0" w:tplc="A23A1592">
      <w:start w:val="1"/>
      <w:numFmt w:val="bullet"/>
      <w:pStyle w:val="KeyPoints"/>
      <w:lvlText w:val=""/>
      <w:lvlJc w:val="left"/>
      <w:pPr>
        <w:ind w:left="298" w:hanging="360"/>
      </w:pPr>
      <w:rPr>
        <w:rFonts w:ascii="Wingdings" w:hAnsi="Wingdings" w:hint="default"/>
      </w:rPr>
    </w:lvl>
    <w:lvl w:ilvl="1" w:tplc="0C090003" w:tentative="1">
      <w:start w:val="1"/>
      <w:numFmt w:val="bullet"/>
      <w:lvlText w:val="o"/>
      <w:lvlJc w:val="left"/>
      <w:pPr>
        <w:ind w:left="1015" w:hanging="360"/>
      </w:pPr>
      <w:rPr>
        <w:rFonts w:ascii="Courier New" w:hAnsi="Courier New" w:cs="Courier New" w:hint="default"/>
      </w:rPr>
    </w:lvl>
    <w:lvl w:ilvl="2" w:tplc="0C090005" w:tentative="1">
      <w:start w:val="1"/>
      <w:numFmt w:val="bullet"/>
      <w:lvlText w:val=""/>
      <w:lvlJc w:val="left"/>
      <w:pPr>
        <w:ind w:left="1735" w:hanging="360"/>
      </w:pPr>
      <w:rPr>
        <w:rFonts w:ascii="Wingdings" w:hAnsi="Wingdings" w:hint="default"/>
      </w:rPr>
    </w:lvl>
    <w:lvl w:ilvl="3" w:tplc="0C090001" w:tentative="1">
      <w:start w:val="1"/>
      <w:numFmt w:val="bullet"/>
      <w:lvlText w:val=""/>
      <w:lvlJc w:val="left"/>
      <w:pPr>
        <w:ind w:left="2455" w:hanging="360"/>
      </w:pPr>
      <w:rPr>
        <w:rFonts w:ascii="Symbol" w:hAnsi="Symbol" w:hint="default"/>
      </w:rPr>
    </w:lvl>
    <w:lvl w:ilvl="4" w:tplc="0C090003" w:tentative="1">
      <w:start w:val="1"/>
      <w:numFmt w:val="bullet"/>
      <w:lvlText w:val="o"/>
      <w:lvlJc w:val="left"/>
      <w:pPr>
        <w:ind w:left="3175" w:hanging="360"/>
      </w:pPr>
      <w:rPr>
        <w:rFonts w:ascii="Courier New" w:hAnsi="Courier New" w:cs="Courier New" w:hint="default"/>
      </w:rPr>
    </w:lvl>
    <w:lvl w:ilvl="5" w:tplc="0C090005" w:tentative="1">
      <w:start w:val="1"/>
      <w:numFmt w:val="bullet"/>
      <w:lvlText w:val=""/>
      <w:lvlJc w:val="left"/>
      <w:pPr>
        <w:ind w:left="3895" w:hanging="360"/>
      </w:pPr>
      <w:rPr>
        <w:rFonts w:ascii="Wingdings" w:hAnsi="Wingdings" w:hint="default"/>
      </w:rPr>
    </w:lvl>
    <w:lvl w:ilvl="6" w:tplc="0C090001" w:tentative="1">
      <w:start w:val="1"/>
      <w:numFmt w:val="bullet"/>
      <w:lvlText w:val=""/>
      <w:lvlJc w:val="left"/>
      <w:pPr>
        <w:ind w:left="4615" w:hanging="360"/>
      </w:pPr>
      <w:rPr>
        <w:rFonts w:ascii="Symbol" w:hAnsi="Symbol" w:hint="default"/>
      </w:rPr>
    </w:lvl>
    <w:lvl w:ilvl="7" w:tplc="0C090003" w:tentative="1">
      <w:start w:val="1"/>
      <w:numFmt w:val="bullet"/>
      <w:lvlText w:val="o"/>
      <w:lvlJc w:val="left"/>
      <w:pPr>
        <w:ind w:left="5335" w:hanging="360"/>
      </w:pPr>
      <w:rPr>
        <w:rFonts w:ascii="Courier New" w:hAnsi="Courier New" w:cs="Courier New" w:hint="default"/>
      </w:rPr>
    </w:lvl>
    <w:lvl w:ilvl="8" w:tplc="0C090005" w:tentative="1">
      <w:start w:val="1"/>
      <w:numFmt w:val="bullet"/>
      <w:lvlText w:val=""/>
      <w:lvlJc w:val="left"/>
      <w:pPr>
        <w:ind w:left="6055" w:hanging="360"/>
      </w:pPr>
      <w:rPr>
        <w:rFonts w:ascii="Wingdings" w:hAnsi="Wingdings" w:hint="default"/>
      </w:rPr>
    </w:lvl>
  </w:abstractNum>
  <w:abstractNum w:abstractNumId="28" w15:restartNumberingAfterBreak="0">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CE06DF1"/>
    <w:multiLevelType w:val="hybridMultilevel"/>
    <w:tmpl w:val="31AAA4F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13"/>
  </w:num>
  <w:num w:numId="3">
    <w:abstractNumId w:val="10"/>
  </w:num>
  <w:num w:numId="4">
    <w:abstractNumId w:val="18"/>
  </w:num>
  <w:num w:numId="5">
    <w:abstractNumId w:val="12"/>
  </w:num>
  <w:num w:numId="6">
    <w:abstractNumId w:val="22"/>
  </w:num>
  <w:num w:numId="7">
    <w:abstractNumId w:val="24"/>
  </w:num>
  <w:num w:numId="8">
    <w:abstractNumId w:val="23"/>
  </w:num>
  <w:num w:numId="9">
    <w:abstractNumId w:val="26"/>
  </w:num>
  <w:num w:numId="10">
    <w:abstractNumId w:val="19"/>
  </w:num>
  <w:num w:numId="11">
    <w:abstractNumId w:val="16"/>
  </w:num>
  <w:num w:numId="12">
    <w:abstractNumId w:val="20"/>
  </w:num>
  <w:num w:numId="13">
    <w:abstractNumId w:val="21"/>
  </w:num>
  <w:num w:numId="14">
    <w:abstractNumId w:val="14"/>
  </w:num>
  <w:num w:numId="15">
    <w:abstractNumId w:val="17"/>
  </w:num>
  <w:num w:numId="16">
    <w:abstractNumId w:val="15"/>
  </w:num>
  <w:num w:numId="17">
    <w:abstractNumId w:val="9"/>
  </w:num>
  <w:num w:numId="18">
    <w:abstractNumId w:val="7"/>
  </w:num>
  <w:num w:numId="19">
    <w:abstractNumId w:val="6"/>
  </w:num>
  <w:num w:numId="20">
    <w:abstractNumId w:val="5"/>
  </w:num>
  <w:num w:numId="21">
    <w:abstractNumId w:val="4"/>
  </w:num>
  <w:num w:numId="22">
    <w:abstractNumId w:val="11"/>
  </w:num>
  <w:num w:numId="23">
    <w:abstractNumId w:val="13"/>
  </w:num>
  <w:num w:numId="24">
    <w:abstractNumId w:val="11"/>
  </w:num>
  <w:num w:numId="25">
    <w:abstractNumId w:val="13"/>
  </w:num>
  <w:num w:numId="26">
    <w:abstractNumId w:val="28"/>
  </w:num>
  <w:num w:numId="27">
    <w:abstractNumId w:val="25"/>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29"/>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activeWritingStyle w:appName="MSWord" w:lang="en-US" w:vendorID="8" w:dllVersion="513" w:checkStyle="1"/>
  <w:activeWritingStyle w:appName="MSWord" w:lang="en-AU" w:vendorID="8" w:dllVersion="513" w:checkStyle="1"/>
  <w:activeWritingStyle w:appName="MSWord" w:lang="en-GB" w:vendorID="8" w:dllVersion="513" w:checkStyle="1"/>
  <w:proofState w:spelling="clean" w:grammar="clean"/>
  <w:stylePaneFormatFilter w:val="9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1"/>
  <w:stylePaneSortMethod w:val="0000"/>
  <w:defaultTabStop w:val="720"/>
  <w:doNotHyphenateCaps/>
  <w:clickAndTypeStyle w:val="Text"/>
  <w:evenAndOddHeaders/>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jA3sTA1M7Q0sbAwMjNT0lEKTi0uzszPAykwqgUADrfKeCwAAAA="/>
  </w:docVars>
  <w:rsids>
    <w:rsidRoot w:val="00405E3C"/>
    <w:rsid w:val="0000442F"/>
    <w:rsid w:val="000108B2"/>
    <w:rsid w:val="00013265"/>
    <w:rsid w:val="000145A6"/>
    <w:rsid w:val="00022290"/>
    <w:rsid w:val="000315D7"/>
    <w:rsid w:val="00031F9F"/>
    <w:rsid w:val="000400E6"/>
    <w:rsid w:val="00041482"/>
    <w:rsid w:val="00044140"/>
    <w:rsid w:val="00060CB7"/>
    <w:rsid w:val="0006125F"/>
    <w:rsid w:val="00065174"/>
    <w:rsid w:val="00066472"/>
    <w:rsid w:val="00073C91"/>
    <w:rsid w:val="00074BD4"/>
    <w:rsid w:val="0008559A"/>
    <w:rsid w:val="00096041"/>
    <w:rsid w:val="00096C5C"/>
    <w:rsid w:val="000A1CE5"/>
    <w:rsid w:val="000A4DA9"/>
    <w:rsid w:val="000A6922"/>
    <w:rsid w:val="000C1642"/>
    <w:rsid w:val="000C176A"/>
    <w:rsid w:val="000D08CC"/>
    <w:rsid w:val="000D45FC"/>
    <w:rsid w:val="000D50DB"/>
    <w:rsid w:val="000E36A0"/>
    <w:rsid w:val="000F22A7"/>
    <w:rsid w:val="000F641C"/>
    <w:rsid w:val="000F71DA"/>
    <w:rsid w:val="00102FD8"/>
    <w:rsid w:val="00104D59"/>
    <w:rsid w:val="00106B91"/>
    <w:rsid w:val="0010761A"/>
    <w:rsid w:val="00116D1E"/>
    <w:rsid w:val="00117BD5"/>
    <w:rsid w:val="00121B90"/>
    <w:rsid w:val="00121FC1"/>
    <w:rsid w:val="00123B5C"/>
    <w:rsid w:val="00126028"/>
    <w:rsid w:val="00126A30"/>
    <w:rsid w:val="001301B4"/>
    <w:rsid w:val="00135C75"/>
    <w:rsid w:val="00145347"/>
    <w:rsid w:val="001475B5"/>
    <w:rsid w:val="00150874"/>
    <w:rsid w:val="001509F3"/>
    <w:rsid w:val="001511AA"/>
    <w:rsid w:val="00151559"/>
    <w:rsid w:val="00155839"/>
    <w:rsid w:val="00157F0A"/>
    <w:rsid w:val="00164359"/>
    <w:rsid w:val="00166281"/>
    <w:rsid w:val="00167627"/>
    <w:rsid w:val="00170E74"/>
    <w:rsid w:val="00175129"/>
    <w:rsid w:val="001766E5"/>
    <w:rsid w:val="00177827"/>
    <w:rsid w:val="0018280D"/>
    <w:rsid w:val="00184504"/>
    <w:rsid w:val="00193D92"/>
    <w:rsid w:val="001948DB"/>
    <w:rsid w:val="00195D82"/>
    <w:rsid w:val="001A01AD"/>
    <w:rsid w:val="001A487E"/>
    <w:rsid w:val="001B43CF"/>
    <w:rsid w:val="001B5E61"/>
    <w:rsid w:val="001C01F2"/>
    <w:rsid w:val="001D0452"/>
    <w:rsid w:val="001D4595"/>
    <w:rsid w:val="001F373C"/>
    <w:rsid w:val="001F7D84"/>
    <w:rsid w:val="001F7E01"/>
    <w:rsid w:val="002014EA"/>
    <w:rsid w:val="002121AF"/>
    <w:rsid w:val="00223C91"/>
    <w:rsid w:val="002277A9"/>
    <w:rsid w:val="00233BFA"/>
    <w:rsid w:val="00233C8D"/>
    <w:rsid w:val="00237951"/>
    <w:rsid w:val="00241330"/>
    <w:rsid w:val="0024412B"/>
    <w:rsid w:val="002714BD"/>
    <w:rsid w:val="00276FB1"/>
    <w:rsid w:val="00277A97"/>
    <w:rsid w:val="00282282"/>
    <w:rsid w:val="00282B9C"/>
    <w:rsid w:val="00282D0E"/>
    <w:rsid w:val="0028377D"/>
    <w:rsid w:val="00284FCB"/>
    <w:rsid w:val="00287A07"/>
    <w:rsid w:val="002922CE"/>
    <w:rsid w:val="00297C1D"/>
    <w:rsid w:val="002C09F7"/>
    <w:rsid w:val="002C1890"/>
    <w:rsid w:val="002E06A2"/>
    <w:rsid w:val="002E164D"/>
    <w:rsid w:val="002E196B"/>
    <w:rsid w:val="002E54EE"/>
    <w:rsid w:val="002E7BC7"/>
    <w:rsid w:val="002F3940"/>
    <w:rsid w:val="002F5AD8"/>
    <w:rsid w:val="002F787C"/>
    <w:rsid w:val="00300027"/>
    <w:rsid w:val="003006AC"/>
    <w:rsid w:val="0030514B"/>
    <w:rsid w:val="00324373"/>
    <w:rsid w:val="0032507B"/>
    <w:rsid w:val="00334CE3"/>
    <w:rsid w:val="00336F3A"/>
    <w:rsid w:val="0033726A"/>
    <w:rsid w:val="00340B4D"/>
    <w:rsid w:val="0034504A"/>
    <w:rsid w:val="00345DF1"/>
    <w:rsid w:val="00352759"/>
    <w:rsid w:val="003538FB"/>
    <w:rsid w:val="00357001"/>
    <w:rsid w:val="0035722B"/>
    <w:rsid w:val="00357C16"/>
    <w:rsid w:val="003643A5"/>
    <w:rsid w:val="00364B7B"/>
    <w:rsid w:val="0037687A"/>
    <w:rsid w:val="00380BAC"/>
    <w:rsid w:val="00382E58"/>
    <w:rsid w:val="00386345"/>
    <w:rsid w:val="003919C9"/>
    <w:rsid w:val="003A2EFB"/>
    <w:rsid w:val="003A5B0A"/>
    <w:rsid w:val="003B16DA"/>
    <w:rsid w:val="003B3089"/>
    <w:rsid w:val="003B483E"/>
    <w:rsid w:val="003B5DBB"/>
    <w:rsid w:val="003B780A"/>
    <w:rsid w:val="003D4B89"/>
    <w:rsid w:val="003D5CFD"/>
    <w:rsid w:val="003D604C"/>
    <w:rsid w:val="003E12BA"/>
    <w:rsid w:val="003E4A59"/>
    <w:rsid w:val="003E67CB"/>
    <w:rsid w:val="003F3CCE"/>
    <w:rsid w:val="003F552B"/>
    <w:rsid w:val="003F6701"/>
    <w:rsid w:val="00401B28"/>
    <w:rsid w:val="00403A9F"/>
    <w:rsid w:val="00405E3C"/>
    <w:rsid w:val="00420046"/>
    <w:rsid w:val="00421A45"/>
    <w:rsid w:val="00430889"/>
    <w:rsid w:val="00450222"/>
    <w:rsid w:val="004522B4"/>
    <w:rsid w:val="004533C6"/>
    <w:rsid w:val="00457C3A"/>
    <w:rsid w:val="00466A6D"/>
    <w:rsid w:val="00466E6E"/>
    <w:rsid w:val="00466F18"/>
    <w:rsid w:val="0047022D"/>
    <w:rsid w:val="00471D6A"/>
    <w:rsid w:val="0047299A"/>
    <w:rsid w:val="00474588"/>
    <w:rsid w:val="004815AE"/>
    <w:rsid w:val="0048643A"/>
    <w:rsid w:val="004915BD"/>
    <w:rsid w:val="00494223"/>
    <w:rsid w:val="0049453B"/>
    <w:rsid w:val="00494E7C"/>
    <w:rsid w:val="00496A9F"/>
    <w:rsid w:val="00496C97"/>
    <w:rsid w:val="004A16DB"/>
    <w:rsid w:val="004A7CF6"/>
    <w:rsid w:val="004B022E"/>
    <w:rsid w:val="004B077D"/>
    <w:rsid w:val="004B2E7D"/>
    <w:rsid w:val="004C2A1B"/>
    <w:rsid w:val="004C4063"/>
    <w:rsid w:val="004D4802"/>
    <w:rsid w:val="004E182F"/>
    <w:rsid w:val="004E7227"/>
    <w:rsid w:val="004F21D3"/>
    <w:rsid w:val="00502DAB"/>
    <w:rsid w:val="00504539"/>
    <w:rsid w:val="00507849"/>
    <w:rsid w:val="00512FB0"/>
    <w:rsid w:val="00515FC9"/>
    <w:rsid w:val="00520315"/>
    <w:rsid w:val="005206D8"/>
    <w:rsid w:val="0052276C"/>
    <w:rsid w:val="005229A8"/>
    <w:rsid w:val="005356E3"/>
    <w:rsid w:val="00537450"/>
    <w:rsid w:val="005403D4"/>
    <w:rsid w:val="0054169A"/>
    <w:rsid w:val="005416CD"/>
    <w:rsid w:val="00545634"/>
    <w:rsid w:val="00547E52"/>
    <w:rsid w:val="00560C71"/>
    <w:rsid w:val="00564A08"/>
    <w:rsid w:val="00565129"/>
    <w:rsid w:val="00570758"/>
    <w:rsid w:val="005710BB"/>
    <w:rsid w:val="00572A0D"/>
    <w:rsid w:val="005741B7"/>
    <w:rsid w:val="00577892"/>
    <w:rsid w:val="005805F6"/>
    <w:rsid w:val="00581546"/>
    <w:rsid w:val="005820FC"/>
    <w:rsid w:val="00585825"/>
    <w:rsid w:val="00592913"/>
    <w:rsid w:val="00594672"/>
    <w:rsid w:val="00594A16"/>
    <w:rsid w:val="005A21E8"/>
    <w:rsid w:val="005A789A"/>
    <w:rsid w:val="005A7AF3"/>
    <w:rsid w:val="005A7B16"/>
    <w:rsid w:val="005B1614"/>
    <w:rsid w:val="005B2496"/>
    <w:rsid w:val="005B360F"/>
    <w:rsid w:val="005B4128"/>
    <w:rsid w:val="005C04A4"/>
    <w:rsid w:val="005C277E"/>
    <w:rsid w:val="005C2F92"/>
    <w:rsid w:val="005C61F8"/>
    <w:rsid w:val="005D5885"/>
    <w:rsid w:val="005D7EC3"/>
    <w:rsid w:val="005E4764"/>
    <w:rsid w:val="005F3FCD"/>
    <w:rsid w:val="00602996"/>
    <w:rsid w:val="00602E6A"/>
    <w:rsid w:val="00603661"/>
    <w:rsid w:val="006102C6"/>
    <w:rsid w:val="006127D5"/>
    <w:rsid w:val="00621E1D"/>
    <w:rsid w:val="00621FC8"/>
    <w:rsid w:val="00624656"/>
    <w:rsid w:val="00631107"/>
    <w:rsid w:val="00632429"/>
    <w:rsid w:val="00632888"/>
    <w:rsid w:val="00635D6C"/>
    <w:rsid w:val="0064562B"/>
    <w:rsid w:val="00645D33"/>
    <w:rsid w:val="0064763B"/>
    <w:rsid w:val="00650EE1"/>
    <w:rsid w:val="00652973"/>
    <w:rsid w:val="00656679"/>
    <w:rsid w:val="00656FEF"/>
    <w:rsid w:val="006600BB"/>
    <w:rsid w:val="00666E13"/>
    <w:rsid w:val="006676B3"/>
    <w:rsid w:val="0067712D"/>
    <w:rsid w:val="00690A22"/>
    <w:rsid w:val="006916CC"/>
    <w:rsid w:val="00696A48"/>
    <w:rsid w:val="006A50B9"/>
    <w:rsid w:val="006A6519"/>
    <w:rsid w:val="006A68F8"/>
    <w:rsid w:val="006A702B"/>
    <w:rsid w:val="006B1B3B"/>
    <w:rsid w:val="006B5409"/>
    <w:rsid w:val="006C227D"/>
    <w:rsid w:val="006C4D37"/>
    <w:rsid w:val="006C5DA9"/>
    <w:rsid w:val="006D1C0B"/>
    <w:rsid w:val="006D1F92"/>
    <w:rsid w:val="006E01A2"/>
    <w:rsid w:val="006E04A9"/>
    <w:rsid w:val="006E269B"/>
    <w:rsid w:val="006E2D02"/>
    <w:rsid w:val="006E74E0"/>
    <w:rsid w:val="007019A0"/>
    <w:rsid w:val="007037A4"/>
    <w:rsid w:val="007224CE"/>
    <w:rsid w:val="00722F98"/>
    <w:rsid w:val="00731EC8"/>
    <w:rsid w:val="00736A6F"/>
    <w:rsid w:val="00740EDB"/>
    <w:rsid w:val="00741ACD"/>
    <w:rsid w:val="007423D2"/>
    <w:rsid w:val="00743EEC"/>
    <w:rsid w:val="00744FAA"/>
    <w:rsid w:val="00747DFB"/>
    <w:rsid w:val="007513E4"/>
    <w:rsid w:val="007521C0"/>
    <w:rsid w:val="00754AE2"/>
    <w:rsid w:val="00755F86"/>
    <w:rsid w:val="00762F30"/>
    <w:rsid w:val="007633B2"/>
    <w:rsid w:val="00777420"/>
    <w:rsid w:val="00777767"/>
    <w:rsid w:val="00783F44"/>
    <w:rsid w:val="00792900"/>
    <w:rsid w:val="007939C4"/>
    <w:rsid w:val="007A2079"/>
    <w:rsid w:val="007A546E"/>
    <w:rsid w:val="007B0CD4"/>
    <w:rsid w:val="007C2D07"/>
    <w:rsid w:val="007C3281"/>
    <w:rsid w:val="007C50A7"/>
    <w:rsid w:val="007D79E4"/>
    <w:rsid w:val="007E1001"/>
    <w:rsid w:val="007E2D8C"/>
    <w:rsid w:val="007E52E6"/>
    <w:rsid w:val="007F26D1"/>
    <w:rsid w:val="00800A2B"/>
    <w:rsid w:val="00806C1C"/>
    <w:rsid w:val="00810F28"/>
    <w:rsid w:val="00815CA7"/>
    <w:rsid w:val="008256B2"/>
    <w:rsid w:val="00826757"/>
    <w:rsid w:val="00826E24"/>
    <w:rsid w:val="00827AC3"/>
    <w:rsid w:val="00832CF7"/>
    <w:rsid w:val="00837337"/>
    <w:rsid w:val="00842F04"/>
    <w:rsid w:val="0084656F"/>
    <w:rsid w:val="00856C82"/>
    <w:rsid w:val="00860A63"/>
    <w:rsid w:val="00865FF2"/>
    <w:rsid w:val="008707C5"/>
    <w:rsid w:val="00874D00"/>
    <w:rsid w:val="00874DA5"/>
    <w:rsid w:val="00877A16"/>
    <w:rsid w:val="00885380"/>
    <w:rsid w:val="00886ADE"/>
    <w:rsid w:val="008901A5"/>
    <w:rsid w:val="008923B6"/>
    <w:rsid w:val="00894271"/>
    <w:rsid w:val="00894A9D"/>
    <w:rsid w:val="008A09D5"/>
    <w:rsid w:val="008A7965"/>
    <w:rsid w:val="008B2807"/>
    <w:rsid w:val="008B48C8"/>
    <w:rsid w:val="008B6616"/>
    <w:rsid w:val="008B67B8"/>
    <w:rsid w:val="008B6CA6"/>
    <w:rsid w:val="008C0A74"/>
    <w:rsid w:val="008D04E9"/>
    <w:rsid w:val="008D5278"/>
    <w:rsid w:val="008E14FF"/>
    <w:rsid w:val="008E19EF"/>
    <w:rsid w:val="008E2E1C"/>
    <w:rsid w:val="008E4B21"/>
    <w:rsid w:val="008E59A3"/>
    <w:rsid w:val="008E6737"/>
    <w:rsid w:val="008E6C3A"/>
    <w:rsid w:val="008E7EAC"/>
    <w:rsid w:val="008F098C"/>
    <w:rsid w:val="008F20BA"/>
    <w:rsid w:val="008F478D"/>
    <w:rsid w:val="008F6500"/>
    <w:rsid w:val="008F7B0D"/>
    <w:rsid w:val="0090190F"/>
    <w:rsid w:val="00903EEF"/>
    <w:rsid w:val="009058B5"/>
    <w:rsid w:val="009200CA"/>
    <w:rsid w:val="0092730A"/>
    <w:rsid w:val="00933317"/>
    <w:rsid w:val="009344EE"/>
    <w:rsid w:val="00940830"/>
    <w:rsid w:val="009436D9"/>
    <w:rsid w:val="00945809"/>
    <w:rsid w:val="009461ED"/>
    <w:rsid w:val="00946B45"/>
    <w:rsid w:val="00952A1B"/>
    <w:rsid w:val="009538E6"/>
    <w:rsid w:val="00953AB1"/>
    <w:rsid w:val="009553A2"/>
    <w:rsid w:val="00957A3C"/>
    <w:rsid w:val="00963240"/>
    <w:rsid w:val="00964643"/>
    <w:rsid w:val="00964AB7"/>
    <w:rsid w:val="00967378"/>
    <w:rsid w:val="009704E4"/>
    <w:rsid w:val="0097630C"/>
    <w:rsid w:val="009775C7"/>
    <w:rsid w:val="00977AEE"/>
    <w:rsid w:val="00983133"/>
    <w:rsid w:val="0098329E"/>
    <w:rsid w:val="00987156"/>
    <w:rsid w:val="0099299F"/>
    <w:rsid w:val="009A2976"/>
    <w:rsid w:val="009B7D57"/>
    <w:rsid w:val="009C0075"/>
    <w:rsid w:val="009C22BE"/>
    <w:rsid w:val="009C452E"/>
    <w:rsid w:val="009E1757"/>
    <w:rsid w:val="009E17EF"/>
    <w:rsid w:val="009E231A"/>
    <w:rsid w:val="009E2F64"/>
    <w:rsid w:val="009F0CEF"/>
    <w:rsid w:val="009F2AD8"/>
    <w:rsid w:val="00A019AA"/>
    <w:rsid w:val="00A03BF0"/>
    <w:rsid w:val="00A0488F"/>
    <w:rsid w:val="00A10A6B"/>
    <w:rsid w:val="00A10E2B"/>
    <w:rsid w:val="00A111FE"/>
    <w:rsid w:val="00A15749"/>
    <w:rsid w:val="00A30084"/>
    <w:rsid w:val="00A31137"/>
    <w:rsid w:val="00A4190A"/>
    <w:rsid w:val="00A4242B"/>
    <w:rsid w:val="00A425EE"/>
    <w:rsid w:val="00A446B2"/>
    <w:rsid w:val="00A50895"/>
    <w:rsid w:val="00A53898"/>
    <w:rsid w:val="00A55ABA"/>
    <w:rsid w:val="00A566CC"/>
    <w:rsid w:val="00A64A43"/>
    <w:rsid w:val="00A66BB3"/>
    <w:rsid w:val="00A73318"/>
    <w:rsid w:val="00A86612"/>
    <w:rsid w:val="00A876ED"/>
    <w:rsid w:val="00A92906"/>
    <w:rsid w:val="00A9334E"/>
    <w:rsid w:val="00A93867"/>
    <w:rsid w:val="00AA44D4"/>
    <w:rsid w:val="00AB75A0"/>
    <w:rsid w:val="00AB7E26"/>
    <w:rsid w:val="00AC290B"/>
    <w:rsid w:val="00AC5585"/>
    <w:rsid w:val="00AC6E08"/>
    <w:rsid w:val="00AD6C1E"/>
    <w:rsid w:val="00AE1385"/>
    <w:rsid w:val="00AE7AC2"/>
    <w:rsid w:val="00AF1005"/>
    <w:rsid w:val="00AF2845"/>
    <w:rsid w:val="00B01E9F"/>
    <w:rsid w:val="00B04C00"/>
    <w:rsid w:val="00B05F5C"/>
    <w:rsid w:val="00B12E75"/>
    <w:rsid w:val="00B13BDF"/>
    <w:rsid w:val="00B14C5A"/>
    <w:rsid w:val="00B20BF0"/>
    <w:rsid w:val="00B2410F"/>
    <w:rsid w:val="00B316EC"/>
    <w:rsid w:val="00B31EC5"/>
    <w:rsid w:val="00B3269D"/>
    <w:rsid w:val="00B34446"/>
    <w:rsid w:val="00B3513B"/>
    <w:rsid w:val="00B40AED"/>
    <w:rsid w:val="00B41272"/>
    <w:rsid w:val="00B426FE"/>
    <w:rsid w:val="00B435B0"/>
    <w:rsid w:val="00B43B9C"/>
    <w:rsid w:val="00B4439E"/>
    <w:rsid w:val="00B57CC9"/>
    <w:rsid w:val="00B637C0"/>
    <w:rsid w:val="00B70A54"/>
    <w:rsid w:val="00B7392F"/>
    <w:rsid w:val="00B74A5E"/>
    <w:rsid w:val="00B77043"/>
    <w:rsid w:val="00B8087D"/>
    <w:rsid w:val="00B86D06"/>
    <w:rsid w:val="00B91ACE"/>
    <w:rsid w:val="00B96E24"/>
    <w:rsid w:val="00BA4060"/>
    <w:rsid w:val="00BB113D"/>
    <w:rsid w:val="00BB1290"/>
    <w:rsid w:val="00BB28D1"/>
    <w:rsid w:val="00BC265D"/>
    <w:rsid w:val="00BC572F"/>
    <w:rsid w:val="00BC6B0D"/>
    <w:rsid w:val="00BC770A"/>
    <w:rsid w:val="00BC7C47"/>
    <w:rsid w:val="00BD00B7"/>
    <w:rsid w:val="00BD2EE5"/>
    <w:rsid w:val="00BD3179"/>
    <w:rsid w:val="00BD5EE0"/>
    <w:rsid w:val="00BD610E"/>
    <w:rsid w:val="00BD7830"/>
    <w:rsid w:val="00BE5D60"/>
    <w:rsid w:val="00BE65E4"/>
    <w:rsid w:val="00BF2FEE"/>
    <w:rsid w:val="00BF4AFD"/>
    <w:rsid w:val="00BF690E"/>
    <w:rsid w:val="00BF6DE8"/>
    <w:rsid w:val="00C00596"/>
    <w:rsid w:val="00C00CC8"/>
    <w:rsid w:val="00C01D2F"/>
    <w:rsid w:val="00C053D5"/>
    <w:rsid w:val="00C13328"/>
    <w:rsid w:val="00C15DB6"/>
    <w:rsid w:val="00C27FCA"/>
    <w:rsid w:val="00C41E34"/>
    <w:rsid w:val="00C50343"/>
    <w:rsid w:val="00C526C9"/>
    <w:rsid w:val="00C52A28"/>
    <w:rsid w:val="00C54125"/>
    <w:rsid w:val="00C54383"/>
    <w:rsid w:val="00C56D1B"/>
    <w:rsid w:val="00C61393"/>
    <w:rsid w:val="00C62821"/>
    <w:rsid w:val="00C63294"/>
    <w:rsid w:val="00C636A0"/>
    <w:rsid w:val="00C64971"/>
    <w:rsid w:val="00C77DC6"/>
    <w:rsid w:val="00C801DA"/>
    <w:rsid w:val="00C80AAB"/>
    <w:rsid w:val="00C81D13"/>
    <w:rsid w:val="00C926F0"/>
    <w:rsid w:val="00C93DCF"/>
    <w:rsid w:val="00C9656D"/>
    <w:rsid w:val="00CA04D2"/>
    <w:rsid w:val="00CA2043"/>
    <w:rsid w:val="00CA2605"/>
    <w:rsid w:val="00CA4AFC"/>
    <w:rsid w:val="00CA7119"/>
    <w:rsid w:val="00CB2BFB"/>
    <w:rsid w:val="00CB5249"/>
    <w:rsid w:val="00CB5576"/>
    <w:rsid w:val="00CC2673"/>
    <w:rsid w:val="00CC4430"/>
    <w:rsid w:val="00CC7E4C"/>
    <w:rsid w:val="00CD0BFB"/>
    <w:rsid w:val="00CD5F32"/>
    <w:rsid w:val="00CD7EB4"/>
    <w:rsid w:val="00CF0337"/>
    <w:rsid w:val="00CF05BD"/>
    <w:rsid w:val="00CF1E66"/>
    <w:rsid w:val="00D02749"/>
    <w:rsid w:val="00D076F0"/>
    <w:rsid w:val="00D14DC1"/>
    <w:rsid w:val="00D15A93"/>
    <w:rsid w:val="00D239B8"/>
    <w:rsid w:val="00D32FDE"/>
    <w:rsid w:val="00D3396A"/>
    <w:rsid w:val="00D405DA"/>
    <w:rsid w:val="00D42A61"/>
    <w:rsid w:val="00D42D90"/>
    <w:rsid w:val="00D43B5F"/>
    <w:rsid w:val="00D50251"/>
    <w:rsid w:val="00D51ADE"/>
    <w:rsid w:val="00D52F0F"/>
    <w:rsid w:val="00D6108C"/>
    <w:rsid w:val="00D62E0F"/>
    <w:rsid w:val="00D641AA"/>
    <w:rsid w:val="00D66A56"/>
    <w:rsid w:val="00D71C48"/>
    <w:rsid w:val="00D73E7D"/>
    <w:rsid w:val="00D75A7D"/>
    <w:rsid w:val="00D809CA"/>
    <w:rsid w:val="00D85F62"/>
    <w:rsid w:val="00D9120B"/>
    <w:rsid w:val="00D95B61"/>
    <w:rsid w:val="00DA44CE"/>
    <w:rsid w:val="00DA6E03"/>
    <w:rsid w:val="00DA7333"/>
    <w:rsid w:val="00DB2AD9"/>
    <w:rsid w:val="00DB2B39"/>
    <w:rsid w:val="00DB599C"/>
    <w:rsid w:val="00DB6671"/>
    <w:rsid w:val="00DC1942"/>
    <w:rsid w:val="00DC5F5C"/>
    <w:rsid w:val="00DD3606"/>
    <w:rsid w:val="00DE3EDE"/>
    <w:rsid w:val="00DF2BA8"/>
    <w:rsid w:val="00DF4034"/>
    <w:rsid w:val="00E051E5"/>
    <w:rsid w:val="00E06AC7"/>
    <w:rsid w:val="00E06B95"/>
    <w:rsid w:val="00E110EA"/>
    <w:rsid w:val="00E123CB"/>
    <w:rsid w:val="00E14FA9"/>
    <w:rsid w:val="00E205CE"/>
    <w:rsid w:val="00E20F02"/>
    <w:rsid w:val="00E2223B"/>
    <w:rsid w:val="00E236D0"/>
    <w:rsid w:val="00E34167"/>
    <w:rsid w:val="00E3421E"/>
    <w:rsid w:val="00E365F8"/>
    <w:rsid w:val="00E367CD"/>
    <w:rsid w:val="00E508AD"/>
    <w:rsid w:val="00E5136E"/>
    <w:rsid w:val="00E5208D"/>
    <w:rsid w:val="00E52313"/>
    <w:rsid w:val="00E53D29"/>
    <w:rsid w:val="00E554AF"/>
    <w:rsid w:val="00E56EC1"/>
    <w:rsid w:val="00E5786C"/>
    <w:rsid w:val="00E60466"/>
    <w:rsid w:val="00E61661"/>
    <w:rsid w:val="00E62978"/>
    <w:rsid w:val="00E64B11"/>
    <w:rsid w:val="00E66C5C"/>
    <w:rsid w:val="00E741AD"/>
    <w:rsid w:val="00E757D3"/>
    <w:rsid w:val="00E81228"/>
    <w:rsid w:val="00E8175A"/>
    <w:rsid w:val="00E81A91"/>
    <w:rsid w:val="00E8478D"/>
    <w:rsid w:val="00E8757F"/>
    <w:rsid w:val="00E92B8B"/>
    <w:rsid w:val="00E94974"/>
    <w:rsid w:val="00E95812"/>
    <w:rsid w:val="00E95948"/>
    <w:rsid w:val="00EA339A"/>
    <w:rsid w:val="00EB445A"/>
    <w:rsid w:val="00EC1352"/>
    <w:rsid w:val="00EC21AF"/>
    <w:rsid w:val="00EC3185"/>
    <w:rsid w:val="00EC3B66"/>
    <w:rsid w:val="00EC4512"/>
    <w:rsid w:val="00EC4817"/>
    <w:rsid w:val="00ED4882"/>
    <w:rsid w:val="00ED4D6D"/>
    <w:rsid w:val="00EE42D9"/>
    <w:rsid w:val="00EE6640"/>
    <w:rsid w:val="00EE67B3"/>
    <w:rsid w:val="00EF11AC"/>
    <w:rsid w:val="00F015C5"/>
    <w:rsid w:val="00F03F1D"/>
    <w:rsid w:val="00F0500F"/>
    <w:rsid w:val="00F0780D"/>
    <w:rsid w:val="00F116AB"/>
    <w:rsid w:val="00F11837"/>
    <w:rsid w:val="00F13205"/>
    <w:rsid w:val="00F16257"/>
    <w:rsid w:val="00F32B10"/>
    <w:rsid w:val="00F34BA5"/>
    <w:rsid w:val="00F40057"/>
    <w:rsid w:val="00F4187F"/>
    <w:rsid w:val="00F45BA3"/>
    <w:rsid w:val="00F544BA"/>
    <w:rsid w:val="00F55E06"/>
    <w:rsid w:val="00F578F3"/>
    <w:rsid w:val="00F638C5"/>
    <w:rsid w:val="00F64256"/>
    <w:rsid w:val="00F72F01"/>
    <w:rsid w:val="00F816E3"/>
    <w:rsid w:val="00F90892"/>
    <w:rsid w:val="00F92B2C"/>
    <w:rsid w:val="00F93048"/>
    <w:rsid w:val="00FA0B99"/>
    <w:rsid w:val="00FA41C4"/>
    <w:rsid w:val="00FA79F7"/>
    <w:rsid w:val="00FB50A8"/>
    <w:rsid w:val="00FC0DBE"/>
    <w:rsid w:val="00FC4AE5"/>
    <w:rsid w:val="00FC5782"/>
    <w:rsid w:val="00FD4587"/>
    <w:rsid w:val="00FE3F74"/>
    <w:rsid w:val="00FE4A2D"/>
    <w:rsid w:val="00FF0CC9"/>
    <w:rsid w:val="00FF1CB3"/>
    <w:rsid w:val="00FF5931"/>
    <w:rsid w:val="00FF6DC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ACFF01F"/>
  <w15:docId w15:val="{A40FC114-BA06-4319-B0D2-0B9F1E7F6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semiHidden/>
    <w:qFormat/>
    <w:rsid w:val="00832CF7"/>
    <w:pPr>
      <w:spacing w:before="160" w:line="260" w:lineRule="exact"/>
    </w:pPr>
    <w:rPr>
      <w:rFonts w:ascii="Trebuchet MS" w:hAnsi="Trebuchet MS"/>
      <w:sz w:val="19"/>
      <w:lang w:val="en-AU"/>
    </w:rPr>
  </w:style>
  <w:style w:type="paragraph" w:styleId="Heading1">
    <w:name w:val="heading 1"/>
    <w:next w:val="Text"/>
    <w:qFormat/>
    <w:rsid w:val="00405E3C"/>
    <w:pPr>
      <w:keepNext/>
      <w:spacing w:after="360"/>
      <w:outlineLvl w:val="0"/>
    </w:pPr>
    <w:rPr>
      <w:rFonts w:ascii="Arial" w:hAnsi="Arial" w:cs="Tahoma"/>
      <w:color w:val="000000"/>
      <w:kern w:val="28"/>
      <w:sz w:val="56"/>
      <w:szCs w:val="56"/>
      <w:lang w:val="en-AU"/>
    </w:rPr>
  </w:style>
  <w:style w:type="paragraph" w:styleId="Heading2">
    <w:name w:val="heading 2"/>
    <w:next w:val="Text"/>
    <w:qFormat/>
    <w:rsid w:val="00405E3C"/>
    <w:pPr>
      <w:keepNext/>
      <w:spacing w:before="360"/>
      <w:ind w:right="-369"/>
      <w:outlineLvl w:val="1"/>
    </w:pPr>
    <w:rPr>
      <w:rFonts w:ascii="Arial" w:hAnsi="Arial" w:cs="Tahoma"/>
      <w:sz w:val="28"/>
      <w:lang w:val="en-AU"/>
    </w:rPr>
  </w:style>
  <w:style w:type="paragraph" w:styleId="Heading3">
    <w:name w:val="heading 3"/>
    <w:next w:val="Text"/>
    <w:link w:val="Heading3Char"/>
    <w:qFormat/>
    <w:rsid w:val="00405E3C"/>
    <w:pPr>
      <w:spacing w:before="280" w:line="320" w:lineRule="exact"/>
      <w:outlineLvl w:val="2"/>
    </w:pPr>
    <w:rPr>
      <w:rFonts w:ascii="Arial" w:hAnsi="Arial" w:cs="Tahoma"/>
      <w:color w:val="000000"/>
      <w:sz w:val="24"/>
      <w:lang w:val="en-AU"/>
    </w:rPr>
  </w:style>
  <w:style w:type="paragraph" w:styleId="Heading4">
    <w:name w:val="heading 4"/>
    <w:next w:val="Text"/>
    <w:qFormat/>
    <w:rsid w:val="00405E3C"/>
    <w:pPr>
      <w:spacing w:before="240"/>
      <w:outlineLvl w:val="3"/>
    </w:pPr>
    <w:rPr>
      <w:rFonts w:ascii="Arial" w:hAnsi="Arial"/>
      <w:i/>
      <w:sz w:val="24"/>
      <w:lang w:val="en-AU"/>
    </w:rPr>
  </w:style>
  <w:style w:type="paragraph" w:styleId="Heading5">
    <w:name w:val="heading 5"/>
    <w:basedOn w:val="Normal"/>
    <w:next w:val="Normal"/>
    <w:qFormat/>
    <w:rsid w:val="007037A4"/>
    <w:pPr>
      <w:keepNext/>
      <w:outlineLvl w:val="4"/>
    </w:pPr>
    <w:rPr>
      <w:rFonts w:ascii="Tahoma" w:hAnsi="Tahoma"/>
      <w:b/>
    </w:rPr>
  </w:style>
  <w:style w:type="paragraph" w:styleId="Heading6">
    <w:name w:val="heading 6"/>
    <w:basedOn w:val="Normal"/>
    <w:next w:val="Normal"/>
    <w:qFormat/>
    <w:rsid w:val="007037A4"/>
    <w:pPr>
      <w:keepNext/>
      <w:ind w:left="2977"/>
      <w:outlineLvl w:val="5"/>
    </w:pPr>
    <w:rPr>
      <w:rFonts w:ascii="Tahoma" w:hAnsi="Tahoma"/>
      <w:sz w:val="20"/>
    </w:rPr>
  </w:style>
  <w:style w:type="paragraph" w:styleId="Heading7">
    <w:name w:val="heading 7"/>
    <w:basedOn w:val="Normal"/>
    <w:next w:val="Normal"/>
    <w:qFormat/>
    <w:rsid w:val="007037A4"/>
    <w:pPr>
      <w:keepNext/>
      <w:jc w:val="center"/>
      <w:outlineLvl w:val="6"/>
    </w:pPr>
    <w:rPr>
      <w:rFonts w:ascii="Tahoma" w:hAnsi="Tahoma"/>
      <w:spacing w:val="20"/>
      <w:sz w:val="20"/>
    </w:rPr>
  </w:style>
  <w:style w:type="paragraph" w:styleId="Heading8">
    <w:name w:val="heading 8"/>
    <w:basedOn w:val="Normal"/>
    <w:next w:val="Normal"/>
    <w:qFormat/>
    <w:rsid w:val="007037A4"/>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link w:val="TextChar"/>
    <w:uiPriority w:val="99"/>
    <w:qFormat/>
    <w:rsid w:val="0048643A"/>
    <w:pPr>
      <w:spacing w:before="160" w:line="300" w:lineRule="exact"/>
      <w:ind w:right="-1"/>
    </w:pPr>
    <w:rPr>
      <w:rFonts w:ascii="Trebuchet MS" w:hAnsi="Trebuchet MS"/>
      <w:sz w:val="19"/>
      <w:lang w:val="en-AU"/>
    </w:rPr>
  </w:style>
  <w:style w:type="character" w:customStyle="1" w:styleId="TextChar">
    <w:name w:val="Text Char"/>
    <w:basedOn w:val="DefaultParagraphFont"/>
    <w:link w:val="Text"/>
    <w:uiPriority w:val="99"/>
    <w:rsid w:val="0048643A"/>
    <w:rPr>
      <w:rFonts w:ascii="Trebuchet MS" w:hAnsi="Trebuchet MS"/>
      <w:sz w:val="19"/>
      <w:lang w:val="en-AU"/>
    </w:rPr>
  </w:style>
  <w:style w:type="character" w:styleId="PageNumber">
    <w:name w:val="page number"/>
    <w:basedOn w:val="DefaultParagraphFont"/>
    <w:rsid w:val="00457C3A"/>
    <w:rPr>
      <w:rFonts w:ascii="Arial" w:hAnsi="Arial"/>
      <w:sz w:val="18"/>
    </w:rPr>
  </w:style>
  <w:style w:type="paragraph" w:styleId="Footer">
    <w:name w:val="footer"/>
    <w:basedOn w:val="Normal"/>
    <w:rsid w:val="00457C3A"/>
    <w:pPr>
      <w:tabs>
        <w:tab w:val="right" w:pos="8505"/>
      </w:tabs>
      <w:spacing w:before="0"/>
    </w:pPr>
    <w:rPr>
      <w:rFonts w:ascii="Arial" w:hAnsi="Arial"/>
      <w:sz w:val="17"/>
      <w:szCs w:val="17"/>
    </w:rPr>
  </w:style>
  <w:style w:type="paragraph" w:styleId="TOC1">
    <w:name w:val="toc 1"/>
    <w:uiPriority w:val="39"/>
    <w:rsid w:val="00C053D5"/>
    <w:pPr>
      <w:tabs>
        <w:tab w:val="right" w:pos="6804"/>
      </w:tabs>
      <w:spacing w:before="120" w:line="300" w:lineRule="exact"/>
      <w:ind w:right="1984"/>
    </w:pPr>
    <w:rPr>
      <w:rFonts w:ascii="Trebuchet MS" w:hAnsi="Trebuchet MS"/>
      <w:noProof/>
      <w:color w:val="000000"/>
      <w:sz w:val="19"/>
      <w:szCs w:val="19"/>
      <w:lang w:val="en-AU"/>
    </w:rPr>
  </w:style>
  <w:style w:type="paragraph" w:styleId="TOC2">
    <w:name w:val="toc 2"/>
    <w:basedOn w:val="Normal"/>
    <w:next w:val="Normal"/>
    <w:uiPriority w:val="39"/>
    <w:rsid w:val="004E7227"/>
    <w:pPr>
      <w:tabs>
        <w:tab w:val="right" w:pos="6804"/>
      </w:tabs>
      <w:spacing w:before="20" w:after="20" w:line="300" w:lineRule="exact"/>
      <w:ind w:left="284"/>
    </w:pPr>
    <w:rPr>
      <w:noProof/>
      <w:color w:val="000000"/>
      <w:sz w:val="18"/>
      <w:szCs w:val="18"/>
    </w:rPr>
  </w:style>
  <w:style w:type="paragraph" w:customStyle="1" w:styleId="tabletitle">
    <w:name w:val="tabletitle"/>
    <w:next w:val="Text"/>
    <w:rsid w:val="00405E3C"/>
    <w:pPr>
      <w:spacing w:before="360" w:after="80"/>
      <w:ind w:left="851" w:hanging="851"/>
    </w:pPr>
    <w:rPr>
      <w:rFonts w:ascii="Arial" w:hAnsi="Arial"/>
      <w:b/>
      <w:sz w:val="17"/>
      <w:lang w:val="en-AU"/>
    </w:rPr>
  </w:style>
  <w:style w:type="paragraph" w:customStyle="1" w:styleId="Tabletext">
    <w:name w:val="Table text"/>
    <w:next w:val="Text"/>
    <w:rsid w:val="00A10A6B"/>
    <w:pPr>
      <w:spacing w:before="40" w:after="40"/>
    </w:pPr>
    <w:rPr>
      <w:rFonts w:ascii="Arial" w:hAnsi="Arial"/>
      <w:sz w:val="16"/>
      <w:lang w:val="en-AU"/>
    </w:rPr>
  </w:style>
  <w:style w:type="paragraph" w:customStyle="1" w:styleId="Tablehead1">
    <w:name w:val="Tablehead1"/>
    <w:rsid w:val="005C2FCF"/>
    <w:pPr>
      <w:spacing w:before="80" w:after="80"/>
    </w:pPr>
    <w:rPr>
      <w:rFonts w:ascii="Arial" w:hAnsi="Arial"/>
      <w:b/>
      <w:sz w:val="17"/>
      <w:lang w:val="en-AU"/>
    </w:rPr>
  </w:style>
  <w:style w:type="paragraph" w:styleId="Quote">
    <w:name w:val="Quote"/>
    <w:basedOn w:val="Text"/>
    <w:qFormat/>
    <w:rsid w:val="009C22BE"/>
    <w:pPr>
      <w:tabs>
        <w:tab w:val="right" w:pos="7853"/>
      </w:tabs>
      <w:spacing w:before="80"/>
      <w:ind w:left="567" w:right="652"/>
    </w:pPr>
    <w:rPr>
      <w:sz w:val="17"/>
    </w:rPr>
  </w:style>
  <w:style w:type="paragraph" w:customStyle="1" w:styleId="References">
    <w:name w:val="References"/>
    <w:rsid w:val="00123B5C"/>
    <w:pPr>
      <w:spacing w:before="80"/>
      <w:ind w:left="284" w:right="-369" w:hanging="284"/>
    </w:pPr>
    <w:rPr>
      <w:rFonts w:ascii="Trebuchet MS" w:hAnsi="Trebuchet MS"/>
      <w:sz w:val="18"/>
      <w:lang w:val="en-AU"/>
    </w:rPr>
  </w:style>
  <w:style w:type="paragraph" w:customStyle="1" w:styleId="Tablehead2">
    <w:name w:val="Tablehead2"/>
    <w:basedOn w:val="Tablehead1"/>
    <w:rsid w:val="00A10A6B"/>
    <w:pPr>
      <w:tabs>
        <w:tab w:val="left" w:pos="992"/>
      </w:tabs>
      <w:spacing w:before="20" w:after="20"/>
    </w:pPr>
    <w:rPr>
      <w:b w:val="0"/>
    </w:rPr>
  </w:style>
  <w:style w:type="paragraph" w:customStyle="1" w:styleId="Tablehead3">
    <w:name w:val="Tablehead3"/>
    <w:basedOn w:val="Tablehead2"/>
    <w:rsid w:val="005C2FCF"/>
    <w:rPr>
      <w:i/>
    </w:rPr>
  </w:style>
  <w:style w:type="paragraph" w:styleId="TableofFigures">
    <w:name w:val="table of figures"/>
    <w:basedOn w:val="TOC1"/>
    <w:next w:val="Normal"/>
    <w:uiPriority w:val="99"/>
    <w:rsid w:val="008923B6"/>
    <w:pPr>
      <w:tabs>
        <w:tab w:val="left" w:pos="284"/>
      </w:tabs>
      <w:spacing w:before="80"/>
      <w:ind w:left="425" w:right="1985" w:hanging="425"/>
    </w:pPr>
  </w:style>
  <w:style w:type="paragraph" w:customStyle="1" w:styleId="Imprint">
    <w:name w:val="Imprint"/>
    <w:basedOn w:val="Normal"/>
    <w:rsid w:val="009E231A"/>
    <w:pPr>
      <w:spacing w:line="260" w:lineRule="atLeast"/>
    </w:pPr>
    <w:rPr>
      <w:sz w:val="16"/>
    </w:rPr>
  </w:style>
  <w:style w:type="paragraph" w:customStyle="1" w:styleId="Figuretitle">
    <w:name w:val="Figuretitle"/>
    <w:basedOn w:val="tabletitle"/>
    <w:rsid w:val="005C2FCF"/>
  </w:style>
  <w:style w:type="paragraph" w:customStyle="1" w:styleId="Dotpoint1">
    <w:name w:val="Dotpoint1"/>
    <w:rsid w:val="0048643A"/>
    <w:pPr>
      <w:numPr>
        <w:numId w:val="26"/>
      </w:numPr>
      <w:tabs>
        <w:tab w:val="left" w:pos="284"/>
      </w:tabs>
      <w:spacing w:before="120" w:line="300" w:lineRule="exact"/>
      <w:ind w:left="284" w:hanging="284"/>
    </w:pPr>
    <w:rPr>
      <w:rFonts w:ascii="Trebuchet MS" w:hAnsi="Trebuchet MS"/>
      <w:color w:val="000000"/>
      <w:sz w:val="19"/>
      <w:lang w:val="en-AU"/>
    </w:rPr>
  </w:style>
  <w:style w:type="paragraph" w:customStyle="1" w:styleId="Dotpoint2">
    <w:name w:val="Dotpoint2"/>
    <w:basedOn w:val="Dotpoint1"/>
    <w:rsid w:val="005C277E"/>
    <w:pPr>
      <w:numPr>
        <w:numId w:val="27"/>
      </w:numPr>
      <w:tabs>
        <w:tab w:val="clear" w:pos="284"/>
        <w:tab w:val="left" w:pos="567"/>
      </w:tabs>
      <w:ind w:left="568" w:hanging="284"/>
    </w:pPr>
  </w:style>
  <w:style w:type="paragraph" w:customStyle="1" w:styleId="NumberedListContinuing">
    <w:name w:val="NumberedListContinuing"/>
    <w:rsid w:val="00520315"/>
    <w:pPr>
      <w:numPr>
        <w:numId w:val="33"/>
      </w:numPr>
      <w:spacing w:before="120" w:line="300" w:lineRule="exact"/>
    </w:pPr>
    <w:rPr>
      <w:rFonts w:ascii="Trebuchet MS" w:hAnsi="Trebuchet MS"/>
      <w:sz w:val="19"/>
      <w:lang w:val="en-AU" w:eastAsia="en-AU"/>
    </w:rPr>
  </w:style>
  <w:style w:type="paragraph" w:customStyle="1" w:styleId="Source">
    <w:name w:val="Source"/>
    <w:rsid w:val="00B57CC9"/>
    <w:pPr>
      <w:spacing w:before="40"/>
      <w:ind w:left="567" w:hanging="567"/>
    </w:pPr>
    <w:rPr>
      <w:rFonts w:ascii="Arial" w:hAnsi="Arial"/>
      <w:sz w:val="15"/>
      <w:lang w:val="en-AU"/>
    </w:rPr>
  </w:style>
  <w:style w:type="paragraph" w:styleId="FootnoteText">
    <w:name w:val="footnote text"/>
    <w:basedOn w:val="Text"/>
    <w:link w:val="FootnoteTextChar"/>
    <w:rsid w:val="00B2410F"/>
    <w:pPr>
      <w:tabs>
        <w:tab w:val="left" w:pos="1418"/>
      </w:tabs>
      <w:spacing w:before="360" w:line="220" w:lineRule="exact"/>
      <w:ind w:left="170" w:right="0" w:hanging="170"/>
    </w:pPr>
    <w:rPr>
      <w:sz w:val="16"/>
    </w:rPr>
  </w:style>
  <w:style w:type="paragraph" w:styleId="NormalWeb">
    <w:name w:val="Normal (Web)"/>
    <w:basedOn w:val="Normal"/>
    <w:uiPriority w:val="1"/>
    <w:semiHidden/>
    <w:rsid w:val="009058B5"/>
    <w:pPr>
      <w:spacing w:before="100" w:beforeAutospacing="1" w:after="240"/>
    </w:pPr>
    <w:rPr>
      <w:sz w:val="18"/>
      <w:szCs w:val="18"/>
    </w:rPr>
  </w:style>
  <w:style w:type="paragraph" w:customStyle="1" w:styleId="PublicationTitle">
    <w:name w:val="Publication Title"/>
    <w:qFormat/>
    <w:rsid w:val="00405E3C"/>
    <w:pPr>
      <w:spacing w:before="1200" w:after="840"/>
      <w:ind w:left="2552"/>
    </w:pPr>
    <w:rPr>
      <w:rFonts w:ascii="Arial" w:hAnsi="Arial" w:cs="Tahoma"/>
      <w:color w:val="000000"/>
      <w:kern w:val="28"/>
      <w:sz w:val="56"/>
      <w:szCs w:val="56"/>
      <w:lang w:val="en-AU"/>
    </w:rPr>
  </w:style>
  <w:style w:type="paragraph" w:styleId="TOC3">
    <w:name w:val="toc 3"/>
    <w:basedOn w:val="TOC2"/>
    <w:next w:val="Normal"/>
    <w:autoRedefine/>
    <w:semiHidden/>
    <w:unhideWhenUsed/>
    <w:rsid w:val="00FA79F7"/>
    <w:pPr>
      <w:ind w:left="440"/>
    </w:pPr>
  </w:style>
  <w:style w:type="paragraph" w:styleId="TOC4">
    <w:name w:val="toc 4"/>
    <w:basedOn w:val="TOC3"/>
    <w:next w:val="Normal"/>
    <w:autoRedefine/>
    <w:semiHidden/>
    <w:unhideWhenUsed/>
    <w:rsid w:val="005C2FCF"/>
    <w:pPr>
      <w:ind w:left="660"/>
    </w:pPr>
  </w:style>
  <w:style w:type="paragraph" w:styleId="BalloonText">
    <w:name w:val="Balloon Text"/>
    <w:basedOn w:val="Normal"/>
    <w:link w:val="BalloonTextChar"/>
    <w:uiPriority w:val="99"/>
    <w:semiHidden/>
    <w:rsid w:val="00A73318"/>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7A4"/>
    <w:rPr>
      <w:rFonts w:ascii="Tahoma" w:hAnsi="Tahoma" w:cs="Tahoma"/>
      <w:sz w:val="16"/>
      <w:szCs w:val="16"/>
      <w:lang w:val="en-AU"/>
    </w:rPr>
  </w:style>
  <w:style w:type="table" w:styleId="TableGrid">
    <w:name w:val="Table Grid"/>
    <w:basedOn w:val="TableNormal"/>
    <w:uiPriority w:val="59"/>
    <w:rsid w:val="001508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rsid w:val="007037A4"/>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7037A4"/>
    <w:rPr>
      <w:rFonts w:ascii="Trebuchet MS" w:hAnsi="Trebuchet MS"/>
      <w:sz w:val="19"/>
      <w:lang w:val="en-AU"/>
    </w:rPr>
  </w:style>
  <w:style w:type="character" w:customStyle="1" w:styleId="Heading3Char">
    <w:name w:val="Heading 3 Char"/>
    <w:basedOn w:val="DefaultParagraphFont"/>
    <w:link w:val="Heading3"/>
    <w:rsid w:val="00405E3C"/>
    <w:rPr>
      <w:rFonts w:ascii="Arial" w:hAnsi="Arial" w:cs="Tahoma"/>
      <w:color w:val="000000"/>
      <w:sz w:val="24"/>
      <w:lang w:val="en-AU"/>
    </w:rPr>
  </w:style>
  <w:style w:type="character" w:styleId="Hyperlink">
    <w:name w:val="Hyperlink"/>
    <w:basedOn w:val="DefaultParagraphFont"/>
    <w:unhideWhenUsed/>
    <w:rsid w:val="007037A4"/>
    <w:rPr>
      <w:rFonts w:ascii="Trebuchet MS" w:hAnsi="Trebuchet MS"/>
      <w:color w:val="auto"/>
      <w:sz w:val="19"/>
      <w:u w:val="none"/>
    </w:rPr>
  </w:style>
  <w:style w:type="paragraph" w:styleId="ListParagraph">
    <w:name w:val="List Paragraph"/>
    <w:basedOn w:val="Normal"/>
    <w:uiPriority w:val="34"/>
    <w:semiHidden/>
    <w:qFormat/>
    <w:rsid w:val="007037A4"/>
    <w:pPr>
      <w:ind w:left="720"/>
      <w:contextualSpacing/>
    </w:pPr>
  </w:style>
  <w:style w:type="paragraph" w:styleId="BodyText">
    <w:name w:val="Body Text"/>
    <w:basedOn w:val="Normal"/>
    <w:link w:val="BodyTextChar"/>
    <w:rsid w:val="00FE3F74"/>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E3F74"/>
    <w:rPr>
      <w:b/>
      <w:lang w:eastAsia="ko-KR"/>
    </w:rPr>
  </w:style>
  <w:style w:type="paragraph" w:styleId="BodyText2">
    <w:name w:val="Body Text 2"/>
    <w:basedOn w:val="Normal"/>
    <w:link w:val="BodyText2Char"/>
    <w:rsid w:val="00FE3F74"/>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E3F74"/>
    <w:rPr>
      <w:sz w:val="22"/>
      <w:lang w:eastAsia="ko-KR"/>
    </w:rPr>
  </w:style>
  <w:style w:type="paragraph" w:styleId="BodyTextIndent">
    <w:name w:val="Body Text Indent"/>
    <w:basedOn w:val="Normal"/>
    <w:link w:val="BodyTextIndentChar"/>
    <w:rsid w:val="00C77DC6"/>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C77DC6"/>
    <w:rPr>
      <w:sz w:val="22"/>
      <w:lang w:val="en-AU" w:eastAsia="en-AU"/>
    </w:rPr>
  </w:style>
  <w:style w:type="paragraph" w:customStyle="1" w:styleId="Authors">
    <w:name w:val="Authors"/>
    <w:qFormat/>
    <w:rsid w:val="00405E3C"/>
    <w:pPr>
      <w:ind w:left="2552" w:right="-1"/>
    </w:pPr>
    <w:rPr>
      <w:rFonts w:ascii="Arial" w:hAnsi="Arial" w:cs="Tahoma"/>
      <w:sz w:val="28"/>
      <w:lang w:val="en-AU"/>
    </w:rPr>
  </w:style>
  <w:style w:type="paragraph" w:customStyle="1" w:styleId="Contents">
    <w:name w:val="Contents"/>
    <w:qFormat/>
    <w:rsid w:val="00405E3C"/>
    <w:pPr>
      <w:spacing w:after="360"/>
    </w:pPr>
    <w:rPr>
      <w:rFonts w:ascii="Arial" w:hAnsi="Arial" w:cs="Tahoma"/>
      <w:color w:val="000000"/>
      <w:kern w:val="28"/>
      <w:sz w:val="56"/>
      <w:szCs w:val="56"/>
      <w:lang w:val="en-AU"/>
    </w:rPr>
  </w:style>
  <w:style w:type="paragraph" w:customStyle="1" w:styleId="Abouttheresearchpubtitle">
    <w:name w:val="About the research pub title"/>
    <w:qFormat/>
    <w:rsid w:val="00F93048"/>
    <w:pPr>
      <w:spacing w:before="360"/>
    </w:pPr>
    <w:rPr>
      <w:rFonts w:ascii="Tahoma" w:hAnsi="Tahoma" w:cs="Tahoma"/>
      <w:i/>
      <w:sz w:val="28"/>
      <w:lang w:val="en-AU"/>
    </w:rPr>
  </w:style>
  <w:style w:type="paragraph" w:customStyle="1" w:styleId="Abouttheresearch">
    <w:name w:val="About the research"/>
    <w:uiPriority w:val="1"/>
    <w:qFormat/>
    <w:rsid w:val="0049453B"/>
    <w:rPr>
      <w:rFonts w:ascii="Tahoma" w:hAnsi="Tahoma" w:cs="Tahoma"/>
      <w:color w:val="000000"/>
      <w:kern w:val="28"/>
      <w:sz w:val="56"/>
      <w:szCs w:val="56"/>
      <w:lang w:val="en-AU"/>
    </w:rPr>
  </w:style>
  <w:style w:type="paragraph" w:customStyle="1" w:styleId="Keymessages">
    <w:name w:val="Key messages"/>
    <w:uiPriority w:val="1"/>
    <w:qFormat/>
    <w:rsid w:val="0049453B"/>
    <w:pPr>
      <w:spacing w:before="360"/>
    </w:pPr>
    <w:rPr>
      <w:rFonts w:ascii="Tahoma" w:hAnsi="Tahoma" w:cs="Tahoma"/>
      <w:sz w:val="28"/>
      <w:lang w:val="en-AU"/>
    </w:rPr>
  </w:style>
  <w:style w:type="paragraph" w:customStyle="1" w:styleId="Organisation">
    <w:name w:val="Organisation"/>
    <w:basedOn w:val="Authors"/>
    <w:uiPriority w:val="1"/>
    <w:qFormat/>
    <w:rsid w:val="00940830"/>
    <w:pPr>
      <w:spacing w:before="120"/>
      <w:ind w:right="0"/>
    </w:pPr>
    <w:rPr>
      <w:sz w:val="24"/>
    </w:rPr>
  </w:style>
  <w:style w:type="character" w:styleId="FollowedHyperlink">
    <w:name w:val="FollowedHyperlink"/>
    <w:basedOn w:val="DefaultParagraphFont"/>
    <w:uiPriority w:val="99"/>
    <w:semiHidden/>
    <w:rsid w:val="00E95812"/>
    <w:rPr>
      <w:color w:val="800080" w:themeColor="followedHyperlink"/>
      <w:u w:val="single"/>
    </w:rPr>
  </w:style>
  <w:style w:type="character" w:styleId="UnresolvedMention">
    <w:name w:val="Unresolved Mention"/>
    <w:basedOn w:val="DefaultParagraphFont"/>
    <w:uiPriority w:val="99"/>
    <w:semiHidden/>
    <w:unhideWhenUsed/>
    <w:rsid w:val="00BD5EE0"/>
    <w:rPr>
      <w:color w:val="808080"/>
      <w:shd w:val="clear" w:color="auto" w:fill="E6E6E6"/>
    </w:rPr>
  </w:style>
  <w:style w:type="paragraph" w:customStyle="1" w:styleId="KeyPoints">
    <w:name w:val="KeyPoints"/>
    <w:basedOn w:val="Normal"/>
    <w:uiPriority w:val="1"/>
    <w:qFormat/>
    <w:rsid w:val="001F7E01"/>
    <w:pPr>
      <w:numPr>
        <w:numId w:val="35"/>
      </w:numPr>
      <w:pBdr>
        <w:left w:val="single" w:sz="8" w:space="4" w:color="auto"/>
      </w:pBdr>
      <w:spacing w:before="0" w:line="300" w:lineRule="exact"/>
    </w:pPr>
    <w:rPr>
      <w:rFonts w:cs="Arial"/>
      <w:szCs w:val="17"/>
    </w:rPr>
  </w:style>
  <w:style w:type="character" w:customStyle="1" w:styleId="FootnoteTextChar">
    <w:name w:val="Footnote Text Char"/>
    <w:basedOn w:val="DefaultParagraphFont"/>
    <w:link w:val="FootnoteText"/>
    <w:rsid w:val="00B43B9C"/>
    <w:rPr>
      <w:rFonts w:ascii="Trebuchet MS" w:hAnsi="Trebuchet MS"/>
      <w:sz w:val="16"/>
      <w:lang w:val="en-AU"/>
    </w:rPr>
  </w:style>
  <w:style w:type="character" w:styleId="FootnoteReference">
    <w:name w:val="footnote reference"/>
    <w:basedOn w:val="DefaultParagraphFont"/>
    <w:uiPriority w:val="99"/>
    <w:rsid w:val="00B43B9C"/>
    <w:rPr>
      <w:vertAlign w:val="superscript"/>
    </w:rPr>
  </w:style>
  <w:style w:type="table" w:styleId="PlainTable2">
    <w:name w:val="Plain Table 2"/>
    <w:basedOn w:val="TableNormal"/>
    <w:uiPriority w:val="42"/>
    <w:rsid w:val="00D66A56"/>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CommentReference">
    <w:name w:val="annotation reference"/>
    <w:basedOn w:val="DefaultParagraphFont"/>
    <w:uiPriority w:val="99"/>
    <w:semiHidden/>
    <w:unhideWhenUsed/>
    <w:rsid w:val="00E5136E"/>
    <w:rPr>
      <w:sz w:val="16"/>
      <w:szCs w:val="16"/>
    </w:rPr>
  </w:style>
  <w:style w:type="paragraph" w:styleId="CommentText">
    <w:name w:val="annotation text"/>
    <w:basedOn w:val="Normal"/>
    <w:link w:val="CommentTextChar"/>
    <w:uiPriority w:val="99"/>
    <w:unhideWhenUsed/>
    <w:rsid w:val="00E5136E"/>
    <w:pPr>
      <w:spacing w:line="240" w:lineRule="auto"/>
    </w:pPr>
    <w:rPr>
      <w:sz w:val="20"/>
    </w:rPr>
  </w:style>
  <w:style w:type="character" w:customStyle="1" w:styleId="CommentTextChar">
    <w:name w:val="Comment Text Char"/>
    <w:basedOn w:val="DefaultParagraphFont"/>
    <w:link w:val="CommentText"/>
    <w:uiPriority w:val="99"/>
    <w:rsid w:val="00E5136E"/>
    <w:rPr>
      <w:rFonts w:ascii="Trebuchet MS" w:hAnsi="Trebuchet MS"/>
      <w:lang w:val="en-AU"/>
    </w:rPr>
  </w:style>
  <w:style w:type="paragraph" w:styleId="CommentSubject">
    <w:name w:val="annotation subject"/>
    <w:basedOn w:val="CommentText"/>
    <w:next w:val="CommentText"/>
    <w:link w:val="CommentSubjectChar"/>
    <w:uiPriority w:val="99"/>
    <w:semiHidden/>
    <w:unhideWhenUsed/>
    <w:rsid w:val="00E5136E"/>
    <w:rPr>
      <w:b/>
      <w:bCs/>
    </w:rPr>
  </w:style>
  <w:style w:type="character" w:customStyle="1" w:styleId="CommentSubjectChar">
    <w:name w:val="Comment Subject Char"/>
    <w:basedOn w:val="CommentTextChar"/>
    <w:link w:val="CommentSubject"/>
    <w:uiPriority w:val="99"/>
    <w:semiHidden/>
    <w:rsid w:val="00E5136E"/>
    <w:rPr>
      <w:rFonts w:ascii="Trebuchet MS" w:hAnsi="Trebuchet MS"/>
      <w:b/>
      <w:bCs/>
      <w:lang w:val="en-AU"/>
    </w:rPr>
  </w:style>
  <w:style w:type="paragraph" w:styleId="Revision">
    <w:name w:val="Revision"/>
    <w:hidden/>
    <w:uiPriority w:val="99"/>
    <w:semiHidden/>
    <w:rsid w:val="00F015C5"/>
    <w:rPr>
      <w:rFonts w:ascii="Trebuchet MS" w:hAnsi="Trebuchet MS"/>
      <w:sz w:val="19"/>
      <w:lang w:val="en-AU"/>
    </w:rPr>
  </w:style>
  <w:style w:type="character" w:styleId="Strong">
    <w:name w:val="Strong"/>
    <w:uiPriority w:val="22"/>
    <w:qFormat/>
    <w:rsid w:val="006C227D"/>
    <w:rPr>
      <w:b/>
      <w:bCs/>
    </w:rPr>
  </w:style>
  <w:style w:type="character" w:styleId="Emphasis">
    <w:name w:val="Emphasis"/>
    <w:basedOn w:val="DefaultParagraphFont"/>
    <w:uiPriority w:val="20"/>
    <w:qFormat/>
    <w:rsid w:val="006C227D"/>
    <w:rPr>
      <w:i/>
      <w:iCs/>
    </w:rPr>
  </w:style>
  <w:style w:type="paragraph" w:styleId="BodyTextFirstIndent2">
    <w:name w:val="Body Text First Indent 2"/>
    <w:basedOn w:val="Normal"/>
    <w:link w:val="BodyTextFirstIndent2Char"/>
    <w:uiPriority w:val="99"/>
    <w:semiHidden/>
    <w:rsid w:val="006C227D"/>
    <w:pPr>
      <w:ind w:left="360" w:firstLine="360"/>
    </w:pPr>
  </w:style>
  <w:style w:type="character" w:customStyle="1" w:styleId="BodyTextFirstIndent2Char">
    <w:name w:val="Body Text First Indent 2 Char"/>
    <w:basedOn w:val="BodyTextIndentChar"/>
    <w:link w:val="BodyTextFirstIndent2"/>
    <w:uiPriority w:val="99"/>
    <w:semiHidden/>
    <w:rsid w:val="006C227D"/>
    <w:rPr>
      <w:rFonts w:ascii="Trebuchet MS" w:hAnsi="Trebuchet MS"/>
      <w:sz w:val="19"/>
      <w:lang w:val="en-AU" w:eastAsia="en-AU"/>
    </w:rPr>
  </w:style>
  <w:style w:type="paragraph" w:customStyle="1" w:styleId="TableText0">
    <w:name w:val="Table Text"/>
    <w:basedOn w:val="Normal"/>
    <w:autoRedefine/>
    <w:qFormat/>
    <w:rsid w:val="00157F0A"/>
    <w:pPr>
      <w:spacing w:before="120" w:after="120" w:line="240" w:lineRule="auto"/>
      <w:jc w:val="center"/>
    </w:pPr>
    <w:rPr>
      <w:rFonts w:ascii="Arial" w:eastAsia="Calibri" w:hAnsi="Arial" w:cs="Arial"/>
      <w:b/>
      <w:bCs/>
      <w:color w:val="000000" w:themeColor="text1"/>
      <w:sz w:val="16"/>
      <w:szCs w:val="16"/>
    </w:rPr>
  </w:style>
  <w:style w:type="table" w:customStyle="1" w:styleId="NCVERTable5">
    <w:name w:val="NCVER Table5"/>
    <w:basedOn w:val="TableNormal"/>
    <w:uiPriority w:val="99"/>
    <w:rsid w:val="006C227D"/>
    <w:pPr>
      <w:jc w:val="both"/>
    </w:pPr>
    <w:rPr>
      <w:rFonts w:ascii="Arial" w:eastAsia="Calibri" w:hAnsi="Arial"/>
      <w:sz w:val="17"/>
    </w:rPr>
    <w:tblPr>
      <w:tblStyleRowBandSize w:val="1"/>
      <w:tblBorders>
        <w:top w:val="single" w:sz="4" w:space="0" w:color="auto"/>
        <w:bottom w:val="single" w:sz="4" w:space="0" w:color="auto"/>
      </w:tblBorders>
      <w:tblCellMar>
        <w:top w:w="57" w:type="dxa"/>
        <w:bottom w:w="57" w:type="dxa"/>
      </w:tblCellMar>
    </w:tblPr>
    <w:tblStylePr w:type="firstRow">
      <w:rPr>
        <w:b/>
      </w:rPr>
      <w:tblPr/>
      <w:tcPr>
        <w:tcBorders>
          <w:top w:val="single" w:sz="4" w:space="0" w:color="auto"/>
          <w:left w:val="nil"/>
          <w:bottom w:val="single" w:sz="4" w:space="0" w:color="auto"/>
          <w:right w:val="nil"/>
          <w:insideH w:val="nil"/>
          <w:insideV w:val="nil"/>
          <w:tl2br w:val="nil"/>
          <w:tr2bl w:val="nil"/>
        </w:tcBorders>
      </w:tcPr>
    </w:tblStylePr>
    <w:tblStylePr w:type="lastRow">
      <w:rPr>
        <w:b/>
      </w:rPr>
      <w:tblPr/>
      <w:tcPr>
        <w:tcBorders>
          <w:top w:val="single" w:sz="4" w:space="0" w:color="auto"/>
          <w:left w:val="nil"/>
          <w:bottom w:val="single" w:sz="4" w:space="0" w:color="auto"/>
          <w:right w:val="nil"/>
          <w:insideH w:val="nil"/>
          <w:insideV w:val="nil"/>
          <w:tl2br w:val="nil"/>
          <w:tr2bl w:val="nil"/>
        </w:tcBorders>
      </w:tcPr>
    </w:tblStylePr>
    <w:tblStylePr w:type="firstCol">
      <w:rPr>
        <w:b/>
      </w:rPr>
    </w:tblStylePr>
    <w:tblStylePr w:type="lastCol">
      <w:rPr>
        <w:b/>
      </w:rPr>
    </w:tblStylePr>
    <w:tblStylePr w:type="band1Horz">
      <w:tblPr/>
      <w:tcPr>
        <w:tcBorders>
          <w:top w:val="single" w:sz="4" w:space="0" w:color="A6A6A6"/>
          <w:left w:val="nil"/>
          <w:bottom w:val="single" w:sz="4" w:space="0" w:color="A6A6A6"/>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35173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lsay.edu.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ncver@ncver.edu.au" TargetMode="External"/><Relationship Id="rId17" Type="http://schemas.openxmlformats.org/officeDocument/2006/relationships/hyperlink" Target="http://www.lsay.edu.au" TargetMode="External"/><Relationship Id="rId2" Type="http://schemas.openxmlformats.org/officeDocument/2006/relationships/numbering" Target="numbering.xml"/><Relationship Id="rId16" Type="http://schemas.openxmlformats.org/officeDocument/2006/relationships/hyperlink" Target="mailto:ncver@ncver.edu.au" TargetMode="External"/><Relationship Id="rId20" Type="http://schemas.openxmlformats.org/officeDocument/2006/relationships/hyperlink" Target="https://www.weforum.org/reports/towards-a-reskilling-revolu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yperlink" Target="https://www.ncver.edu.au" TargetMode="External"/><Relationship Id="rId19" Type="http://schemas.openxmlformats.org/officeDocument/2006/relationships/hyperlink" Target="https://www.abs.gov.au/ausstats/abs@.nsf/mf/1700.0" TargetMode="External"/><Relationship Id="rId4" Type="http://schemas.openxmlformats.org/officeDocument/2006/relationships/settings" Target="settings.xml"/><Relationship Id="rId9" Type="http://schemas.openxmlformats.org/officeDocument/2006/relationships/hyperlink" Target="https://www.ncver.edu.au" TargetMode="External"/><Relationship Id="rId14" Type="http://schemas.openxmlformats.org/officeDocument/2006/relationships/image" Target="media/image3.emf"/><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nationalskillscommission.gov.au/our-work/jobs-and-education-data-infrastructure-jed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9BFD1-1664-4904-96CC-0273DCB8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NCVERNormal.dotm</Template>
  <TotalTime>2</TotalTime>
  <Pages>22</Pages>
  <Words>8039</Words>
  <Characters>45827</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UQ</Company>
  <LinksUpToDate>false</LinksUpToDate>
  <CharactersWithSpaces>53759</CharactersWithSpaces>
  <SharedDoc>false</SharedDoc>
  <HLinks>
    <vt:vector size="156" baseType="variant">
      <vt:variant>
        <vt:i4>1769533</vt:i4>
      </vt:variant>
      <vt:variant>
        <vt:i4>150</vt:i4>
      </vt:variant>
      <vt:variant>
        <vt:i4>0</vt:i4>
      </vt:variant>
      <vt:variant>
        <vt:i4>5</vt:i4>
      </vt:variant>
      <vt:variant>
        <vt:lpwstr>http://www.dius.gov.uk/research</vt:lpwstr>
      </vt:variant>
      <vt:variant>
        <vt:lpwstr/>
      </vt:variant>
      <vt:variant>
        <vt:i4>7667763</vt:i4>
      </vt:variant>
      <vt:variant>
        <vt:i4>147</vt:i4>
      </vt:variant>
      <vt:variant>
        <vt:i4>0</vt:i4>
      </vt:variant>
      <vt:variant>
        <vt:i4>5</vt:i4>
      </vt:variant>
      <vt:variant>
        <vt:lpwstr>http://www.skope.ac.uk/PressReseaseDetails.asp?ReleaseID=5</vt:lpwstr>
      </vt:variant>
      <vt:variant>
        <vt:lpwstr/>
      </vt:variant>
      <vt:variant>
        <vt:i4>3932169</vt:i4>
      </vt:variant>
      <vt:variant>
        <vt:i4>144</vt:i4>
      </vt:variant>
      <vt:variant>
        <vt:i4>0</vt:i4>
      </vt:variant>
      <vt:variant>
        <vt:i4>5</vt:i4>
      </vt:variant>
      <vt:variant>
        <vt:lpwstr>http://www.trainingvillage.gr/etv/Projects_Networks/Skillsnet/Work/w_view.asp</vt:lpwstr>
      </vt:variant>
      <vt:variant>
        <vt:lpwstr/>
      </vt:variant>
      <vt:variant>
        <vt:i4>1769594</vt:i4>
      </vt:variant>
      <vt:variant>
        <vt:i4>141</vt:i4>
      </vt:variant>
      <vt:variant>
        <vt:i4>0</vt:i4>
      </vt:variant>
      <vt:variant>
        <vt:i4>5</vt:i4>
      </vt:variant>
      <vt:variant>
        <vt:lpwstr>http://www.hlst.heacademy.ac.uk/projects/r4 sheehan summary</vt:lpwstr>
      </vt:variant>
      <vt:variant>
        <vt:lpwstr/>
      </vt:variant>
      <vt:variant>
        <vt:i4>2162778</vt:i4>
      </vt:variant>
      <vt:variant>
        <vt:i4>138</vt:i4>
      </vt:variant>
      <vt:variant>
        <vt:i4>0</vt:i4>
      </vt:variant>
      <vt:variant>
        <vt:i4>5</vt:i4>
      </vt:variant>
      <vt:variant>
        <vt:lpwstr>http://heerd.open.ac.uk/1653/</vt:lpwstr>
      </vt:variant>
      <vt:variant>
        <vt:lpwstr/>
      </vt:variant>
      <vt:variant>
        <vt:i4>852014</vt:i4>
      </vt:variant>
      <vt:variant>
        <vt:i4>135</vt:i4>
      </vt:variant>
      <vt:variant>
        <vt:i4>0</vt:i4>
      </vt:variant>
      <vt:variant>
        <vt:i4>5</vt:i4>
      </vt:variant>
      <vt:variant>
        <vt:lpwstr>http://www.trainingvillage.gr/erv/Projects_Network/ResearchLab</vt:lpwstr>
      </vt:variant>
      <vt:variant>
        <vt:lpwstr/>
      </vt:variant>
      <vt:variant>
        <vt:i4>2162711</vt:i4>
      </vt:variant>
      <vt:variant>
        <vt:i4>132</vt:i4>
      </vt:variant>
      <vt:variant>
        <vt:i4>0</vt:i4>
      </vt:variant>
      <vt:variant>
        <vt:i4>5</vt:i4>
      </vt:variant>
      <vt:variant>
        <vt:lpwstr>http://www.innovative-apprenticeship.net/</vt:lpwstr>
      </vt:variant>
      <vt:variant>
        <vt:lpwstr/>
      </vt:variant>
      <vt:variant>
        <vt:i4>1900580</vt:i4>
      </vt:variant>
      <vt:variant>
        <vt:i4>129</vt:i4>
      </vt:variant>
      <vt:variant>
        <vt:i4>0</vt:i4>
      </vt:variant>
      <vt:variant>
        <vt:i4>5</vt:i4>
      </vt:variant>
      <vt:variant>
        <vt:lpwstr>http://ec.europa.eu/growthandjobs/pdf/illustrated-version_en.pdf</vt:lpwstr>
      </vt:variant>
      <vt:variant>
        <vt:lpwstr/>
      </vt:variant>
      <vt:variant>
        <vt:i4>2162711</vt:i4>
      </vt:variant>
      <vt:variant>
        <vt:i4>126</vt:i4>
      </vt:variant>
      <vt:variant>
        <vt:i4>0</vt:i4>
      </vt:variant>
      <vt:variant>
        <vt:i4>5</vt:i4>
      </vt:variant>
      <vt:variant>
        <vt:lpwstr>http://www.innovative-apprenticeship.net/</vt:lpwstr>
      </vt:variant>
      <vt:variant>
        <vt:lpwstr/>
      </vt:variant>
      <vt:variant>
        <vt:i4>7667818</vt:i4>
      </vt:variant>
      <vt:variant>
        <vt:i4>123</vt:i4>
      </vt:variant>
      <vt:variant>
        <vt:i4>0</vt:i4>
      </vt:variant>
      <vt:variant>
        <vt:i4>5</vt:i4>
      </vt:variant>
      <vt:variant>
        <vt:lpwstr>http://www.trainingvillage.gr/etc/Upload/Information_resources/Bookshop/489C18E</vt:lpwstr>
      </vt:variant>
      <vt:variant>
        <vt:lpwstr/>
      </vt:variant>
      <vt:variant>
        <vt:i4>6815769</vt:i4>
      </vt:variant>
      <vt:variant>
        <vt:i4>120</vt:i4>
      </vt:variant>
      <vt:variant>
        <vt:i4>0</vt:i4>
      </vt:variant>
      <vt:variant>
        <vt:i4>5</vt:i4>
      </vt:variant>
      <vt:variant>
        <vt:lpwstr>http://www.excellence.qia.org.uk/</vt:lpwstr>
      </vt:variant>
      <vt:variant>
        <vt:lpwstr/>
      </vt:variant>
      <vt:variant>
        <vt:i4>4456465</vt:i4>
      </vt:variant>
      <vt:variant>
        <vt:i4>117</vt:i4>
      </vt:variant>
      <vt:variant>
        <vt:i4>0</vt:i4>
      </vt:variant>
      <vt:variant>
        <vt:i4>5</vt:i4>
      </vt:variant>
      <vt:variant>
        <vt:lpwstr>http://www.surrey.ac.uk/sceptre/ResourcesandlinkstosupportPT.htm</vt:lpwstr>
      </vt:variant>
      <vt:variant>
        <vt:lpwstr/>
      </vt:variant>
      <vt:variant>
        <vt:i4>2031671</vt:i4>
      </vt:variant>
      <vt:variant>
        <vt:i4>114</vt:i4>
      </vt:variant>
      <vt:variant>
        <vt:i4>0</vt:i4>
      </vt:variant>
      <vt:variant>
        <vt:i4>5</vt:i4>
      </vt:variant>
      <vt:variant>
        <vt:lpwstr>http://www.lifelonglearning.org.uk/</vt:lpwstr>
      </vt:variant>
      <vt:variant>
        <vt:lpwstr/>
      </vt:variant>
      <vt:variant>
        <vt:i4>196633</vt:i4>
      </vt:variant>
      <vt:variant>
        <vt:i4>111</vt:i4>
      </vt:variant>
      <vt:variant>
        <vt:i4>0</vt:i4>
      </vt:variant>
      <vt:variant>
        <vt:i4>5</vt:i4>
      </vt:variant>
      <vt:variant>
        <vt:lpwstr>http://www.ccrc.tc.columbia.edu/</vt:lpwstr>
      </vt:variant>
      <vt:variant>
        <vt:lpwstr/>
      </vt:variant>
      <vt:variant>
        <vt:i4>7274497</vt:i4>
      </vt:variant>
      <vt:variant>
        <vt:i4>108</vt:i4>
      </vt:variant>
      <vt:variant>
        <vt:i4>0</vt:i4>
      </vt:variant>
      <vt:variant>
        <vt:i4>5</vt:i4>
      </vt:variant>
      <vt:variant>
        <vt:lpwstr>http://www.icvet.edu.au/resources/vet_pedagogy.htm</vt:lpwstr>
      </vt:variant>
      <vt:variant>
        <vt:lpwstr/>
      </vt:variant>
      <vt:variant>
        <vt:i4>3866698</vt:i4>
      </vt:variant>
      <vt:variant>
        <vt:i4>105</vt:i4>
      </vt:variant>
      <vt:variant>
        <vt:i4>0</vt:i4>
      </vt:variant>
      <vt:variant>
        <vt:i4>5</vt:i4>
      </vt:variant>
      <vt:variant>
        <vt:lpwstr>http://www.skillsdevelopment.org/</vt:lpwstr>
      </vt:variant>
      <vt:variant>
        <vt:lpwstr/>
      </vt:variant>
      <vt:variant>
        <vt:i4>5242960</vt:i4>
      </vt:variant>
      <vt:variant>
        <vt:i4>102</vt:i4>
      </vt:variant>
      <vt:variant>
        <vt:i4>0</vt:i4>
      </vt:variant>
      <vt:variant>
        <vt:i4>5</vt:i4>
      </vt:variant>
      <vt:variant>
        <vt:lpwstr>http://www.vts.intute.ac.uk/</vt:lpwstr>
      </vt:variant>
      <vt:variant>
        <vt:lpwstr/>
      </vt:variant>
      <vt:variant>
        <vt:i4>786471</vt:i4>
      </vt:variant>
      <vt:variant>
        <vt:i4>99</vt:i4>
      </vt:variant>
      <vt:variant>
        <vt:i4>0</vt:i4>
      </vt:variant>
      <vt:variant>
        <vt:i4>5</vt:i4>
      </vt:variant>
      <vt:variant>
        <vt:lpwstr>http://www.diploma-support.com/</vt:lpwstr>
      </vt:variant>
      <vt:variant>
        <vt:lpwstr/>
      </vt:variant>
      <vt:variant>
        <vt:i4>2949164</vt:i4>
      </vt:variant>
      <vt:variant>
        <vt:i4>96</vt:i4>
      </vt:variant>
      <vt:variant>
        <vt:i4>0</vt:i4>
      </vt:variant>
      <vt:variant>
        <vt:i4>5</vt:i4>
      </vt:variant>
      <vt:variant>
        <vt:lpwstr>http://excellence.qia.org.uk/vlsp0</vt:lpwstr>
      </vt:variant>
      <vt:variant>
        <vt:lpwstr/>
      </vt:variant>
      <vt:variant>
        <vt:i4>3080193</vt:i4>
      </vt:variant>
      <vt:variant>
        <vt:i4>93</vt:i4>
      </vt:variant>
      <vt:variant>
        <vt:i4>0</vt:i4>
      </vt:variant>
      <vt:variant>
        <vt:i4>5</vt:i4>
      </vt:variant>
      <vt:variant>
        <vt:lpwstr>http://www.nationalconstructioncollege.co.uk/</vt:lpwstr>
      </vt:variant>
      <vt:variant>
        <vt:lpwstr/>
      </vt:variant>
      <vt:variant>
        <vt:i4>2818063</vt:i4>
      </vt:variant>
      <vt:variant>
        <vt:i4>90</vt:i4>
      </vt:variant>
      <vt:variant>
        <vt:i4>0</vt:i4>
      </vt:variant>
      <vt:variant>
        <vt:i4>5</vt:i4>
      </vt:variant>
      <vt:variant>
        <vt:lpwstr>http://www.nln.ac.uk/</vt:lpwstr>
      </vt:variant>
      <vt:variant>
        <vt:lpwstr/>
      </vt:variant>
      <vt:variant>
        <vt:i4>1376273</vt:i4>
      </vt:variant>
      <vt:variant>
        <vt:i4>87</vt:i4>
      </vt:variant>
      <vt:variant>
        <vt:i4>0</vt:i4>
      </vt:variant>
      <vt:variant>
        <vt:i4>5</vt:i4>
      </vt:variant>
      <vt:variant>
        <vt:lpwstr>&lt;http://www.knewledge.at</vt:lpwstr>
      </vt:variant>
      <vt:variant>
        <vt:lpwstr/>
      </vt:variant>
      <vt:variant>
        <vt:i4>7929868</vt:i4>
      </vt:variant>
      <vt:variant>
        <vt:i4>84</vt:i4>
      </vt:variant>
      <vt:variant>
        <vt:i4>0</vt:i4>
      </vt:variant>
      <vt:variant>
        <vt:i4>5</vt:i4>
      </vt:variant>
      <vt:variant>
        <vt:lpwstr>&lt;http://www.skillnets.com</vt:lpwstr>
      </vt:variant>
      <vt:variant>
        <vt:lpwstr/>
      </vt:variant>
      <vt:variant>
        <vt:i4>3014696</vt:i4>
      </vt:variant>
      <vt:variant>
        <vt:i4>81</vt:i4>
      </vt:variant>
      <vt:variant>
        <vt:i4>0</vt:i4>
      </vt:variant>
      <vt:variant>
        <vt:i4>5</vt:i4>
      </vt:variant>
      <vt:variant>
        <vt:lpwstr>http://www.tektra.com/</vt:lpwstr>
      </vt:variant>
      <vt:variant>
        <vt:lpwstr/>
      </vt:variant>
      <vt:variant>
        <vt:i4>4915204</vt:i4>
      </vt:variant>
      <vt:variant>
        <vt:i4>0</vt:i4>
      </vt:variant>
      <vt:variant>
        <vt:i4>0</vt:i4>
      </vt:variant>
      <vt:variant>
        <vt:i4>5</vt:i4>
      </vt:variant>
      <vt:variant>
        <vt:lpwstr>http://www.voced.edu.au/</vt:lpwstr>
      </vt:variant>
      <vt:variant>
        <vt:lpwstr/>
      </vt:variant>
      <vt:variant>
        <vt:i4>1966137</vt:i4>
      </vt:variant>
      <vt:variant>
        <vt:i4>-1</vt:i4>
      </vt:variant>
      <vt:variant>
        <vt:i4>1033</vt:i4>
      </vt:variant>
      <vt:variant>
        <vt:i4>1</vt:i4>
      </vt:variant>
      <vt:variant>
        <vt:lpwstr>ncver right tab_mono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Shafiq Rahman</dc:creator>
  <cp:lastModifiedBy>Katrina Matheos</cp:lastModifiedBy>
  <cp:revision>3</cp:revision>
  <cp:lastPrinted>2021-04-12T05:31:00Z</cp:lastPrinted>
  <dcterms:created xsi:type="dcterms:W3CDTF">2021-05-25T01:53:00Z</dcterms:created>
  <dcterms:modified xsi:type="dcterms:W3CDTF">2021-05-27T04:52:00Z</dcterms:modified>
</cp:coreProperties>
</file>