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DC95A" w14:textId="77777777" w:rsidR="00D9094A" w:rsidRPr="009E2BBE" w:rsidRDefault="00D9094A" w:rsidP="00D9094A">
      <w:pPr>
        <w:pStyle w:val="PublicationTitle"/>
      </w:pPr>
      <w:bookmarkStart w:id="0" w:name="_Toc296423677"/>
      <w:bookmarkStart w:id="1" w:name="_Toc296497508"/>
      <w:bookmarkStart w:id="2" w:name="_Toc401914074"/>
      <w:bookmarkStart w:id="3" w:name="_Toc402786550"/>
      <w:bookmarkStart w:id="4" w:name="_Toc52288649"/>
      <w:bookmarkStart w:id="5" w:name="_Toc54177129"/>
      <w:bookmarkStart w:id="6" w:name="_Toc54688757"/>
      <w:bookmarkStart w:id="7" w:name="_Toc65741341"/>
      <w:bookmarkStart w:id="8" w:name="_Toc98394872"/>
      <w:r w:rsidRPr="009E2BBE">
        <w:rPr>
          <w:noProof/>
          <w:lang w:eastAsia="en-AU"/>
        </w:rPr>
        <w:drawing>
          <wp:anchor distT="0" distB="0" distL="114300" distR="114300" simplePos="0" relativeHeight="251709440" behindDoc="0" locked="0" layoutInCell="1" allowOverlap="1" wp14:anchorId="6AE72168" wp14:editId="0FC0D690">
            <wp:simplePos x="0" y="0"/>
            <wp:positionH relativeFrom="column">
              <wp:posOffset>1337945</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p w14:paraId="05723EFE" w14:textId="67395C2D" w:rsidR="00D9094A" w:rsidRPr="009E2BBE" w:rsidRDefault="00D9094A" w:rsidP="00D9094A">
      <w:pPr>
        <w:pStyle w:val="PublicationTitle"/>
        <w:spacing w:before="1600"/>
      </w:pPr>
      <w:r w:rsidRPr="009E2BBE">
        <w:tab/>
        <w:t xml:space="preserve">International models to </w:t>
      </w:r>
      <w:r w:rsidRPr="009E2BBE">
        <w:tab/>
        <w:t xml:space="preserve">streamline VET </w:t>
      </w:r>
      <w:r w:rsidRPr="009E2BBE">
        <w:tab/>
        <w:t>qualifications: case studies</w:t>
      </w:r>
    </w:p>
    <w:p w14:paraId="0AE739B8" w14:textId="1E921AF8" w:rsidR="00D9094A" w:rsidRPr="009E2BBE" w:rsidRDefault="00D9094A" w:rsidP="00D9094A">
      <w:pPr>
        <w:pStyle w:val="Authors"/>
      </w:pPr>
      <w:bookmarkStart w:id="9" w:name="_Toc296423678"/>
      <w:bookmarkStart w:id="10" w:name="_Toc296497509"/>
      <w:r w:rsidRPr="009E2BBE">
        <w:tab/>
        <w:t>Bridget Wibrow &amp; Joanne Waugh</w:t>
      </w:r>
    </w:p>
    <w:p w14:paraId="3E43B006" w14:textId="26FF0553" w:rsidR="00D9094A" w:rsidRPr="009E2BBE" w:rsidRDefault="00D9094A" w:rsidP="00D9094A">
      <w:pPr>
        <w:pStyle w:val="Organisation"/>
      </w:pPr>
      <w:r w:rsidRPr="009E2BBE">
        <w:tab/>
      </w:r>
      <w:r w:rsidRPr="009E2BBE">
        <w:tab/>
        <w:t xml:space="preserve">   </w:t>
      </w:r>
      <w:bookmarkEnd w:id="9"/>
      <w:bookmarkEnd w:id="10"/>
      <w:r w:rsidRPr="009E2BBE">
        <w:tab/>
      </w:r>
      <w:r w:rsidRPr="009E2BBE">
        <w:rPr>
          <w:color w:val="auto"/>
        </w:rPr>
        <w:t>NCVER</w:t>
      </w:r>
    </w:p>
    <w:p w14:paraId="45C4A0F5" w14:textId="67EB9468" w:rsidR="00D9094A" w:rsidRPr="009E2BBE" w:rsidRDefault="00D9094A" w:rsidP="00D9094A">
      <w:pPr>
        <w:pStyle w:val="Organisation"/>
      </w:pPr>
      <w:r w:rsidRPr="009E2BBE">
        <w:rPr>
          <w:noProof/>
          <w:lang w:eastAsia="en-AU"/>
        </w:rPr>
        <mc:AlternateContent>
          <mc:Choice Requires="wps">
            <w:drawing>
              <wp:anchor distT="0" distB="0" distL="114300" distR="114300" simplePos="0" relativeHeight="251707392" behindDoc="0" locked="0" layoutInCell="1" allowOverlap="1" wp14:anchorId="649F9E42" wp14:editId="26E9DCCD">
                <wp:simplePos x="0" y="0"/>
                <wp:positionH relativeFrom="column">
                  <wp:posOffset>1363345</wp:posOffset>
                </wp:positionH>
                <wp:positionV relativeFrom="margin">
                  <wp:posOffset>5907405</wp:posOffset>
                </wp:positionV>
                <wp:extent cx="3825875" cy="2360930"/>
                <wp:effectExtent l="0" t="0" r="0" b="127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C6AA2" w14:textId="77777777" w:rsidR="00784BED" w:rsidRDefault="00784BED" w:rsidP="00D9094A">
                            <w:pPr>
                              <w:pStyle w:val="Imprint"/>
                            </w:pPr>
                          </w:p>
                          <w:p w14:paraId="0493894B" w14:textId="26F54B20" w:rsidR="00784BED" w:rsidRPr="00B57CC9" w:rsidRDefault="00784BED" w:rsidP="00D9094A">
                            <w:pPr>
                              <w:pStyle w:val="Text"/>
                              <w:shd w:val="clear" w:color="auto" w:fill="000000" w:themeFill="text1"/>
                            </w:pPr>
                            <w:r w:rsidRPr="000C1642">
                              <w:t xml:space="preserve">This document was produced by the author(s) based on their research for the report </w:t>
                            </w:r>
                            <w:r>
                              <w:rPr>
                                <w:i/>
                              </w:rPr>
                              <w:t xml:space="preserve">Vocational qualification development: lessons from </w:t>
                            </w:r>
                            <w:proofErr w:type="gramStart"/>
                            <w:r>
                              <w:rPr>
                                <w:i/>
                              </w:rPr>
                              <w:t>overseas</w:t>
                            </w:r>
                            <w:r w:rsidRPr="000C1642">
                              <w:t>, and</w:t>
                            </w:r>
                            <w:proofErr w:type="gramEnd"/>
                            <w:r w:rsidRPr="000C1642">
                              <w:t xml:space="preserve"> is an added resource for further information. The report is available on NCVER’s </w:t>
                            </w:r>
                            <w:r>
                              <w:t>Portal: &lt;</w:t>
                            </w:r>
                            <w:hyperlink r:id="rId9" w:history="1">
                              <w:r w:rsidRPr="00241AFF">
                                <w:rPr>
                                  <w:rStyle w:val="Hyperlink"/>
                                </w:rPr>
                                <w:t>http://www.ncver.edu.au</w:t>
                              </w:r>
                            </w:hyperlink>
                            <w:r>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F9E42" id="_x0000_t202" coordsize="21600,21600" o:spt="202" path="m,l,21600r21600,l21600,xe">
                <v:stroke joinstyle="miter"/>
                <v:path gradientshapeok="t" o:connecttype="rect"/>
              </v:shapetype>
              <v:shape id="Text Box 10" o:spid="_x0000_s1026" type="#_x0000_t202" style="position:absolute;margin-left:107.35pt;margin-top:465.15pt;width:301.25pt;height:18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4G9QEAAMkDAAAOAAAAZHJzL2Uyb0RvYy54bWysU9tu2zAMfR+wfxD0vjjXNjXiFF2LDgO6&#10;C9DuA2hZjoXZokYpsbuvHyWnaba9DXsRJJI+POeQ3lwPXSsOmrxBW8jZZCqFtgorY3eF/PZ0/24t&#10;hQ9gK2jR6kI+ay+vt2/fbHqX6zk22FaaBINYn/eukE0ILs8yrxrdgZ+g05aTNVIHgZ+0yyqCntG7&#10;NptPpxdZj1Q5QqW95+jdmJTbhF/XWoUvde11EG0hmVtIJ6WzjGe23UC+I3CNUUca8A8sOjCWm56g&#10;7iCA2JP5C6ozitBjHSYKuwzr2iidNLCa2fQPNY8NOJ20sDnenWzy/w9WfT58JWEqnt1SCgsdz+hJ&#10;D0G8x0HMkj+98zmXPTouDAPHuTZp9e4B1XcvLN42YHf6hgj7RkPF/GbR2ezs0zgRn/sIUvafsOI+&#10;sA+YgIaaumge2yEYnef0fJpN5KI4uFjPV+vLlRSKc/PFxfRqkdhlkL987siHDxo7ES+FJB5+gofD&#10;gw+RDuQvJbGbxXvTtmkBWvtbgAtjJNGPjEfuYSgHro4ySqyeWQjhuE+8/3xpkH5K0fMuFdL/2ANp&#10;KdqPls24mi2XcfnSY7m6nPODzjPleQasYqhCllKM19swLuzekdk13Gm03+ING1ibJO2V1ZE370tS&#10;fNztuJDn71T1+gdufwEAAP//AwBQSwMEFAAGAAgAAAAhAGdrKFjgAAAADAEAAA8AAABkcnMvZG93&#10;bnJldi54bWxMj0FOwzAQRfdI3MEaJHbUdhLRksapUKHLilI4gB27SSC2o9hpktszrGA5+k//vyl2&#10;s+3I1Qyh9U4AXzEgxlVet64W8PlxeNgACVE6LTvvjIDFBNiVtzeFzLWf3Lu5nmNNsMSFXApoYuxz&#10;SkPVGCvDyvfGYXbxg5URz6GmepATltuOJow9UitbhwuN7M2+MdX3ebQCXk9qURn/OmQvbFH6bTru&#10;q/EoxP3d/LwFEs0c/2D41Ud1KNFJ+dHpQDoBCc/WiAp4SlkKBIkNXydAFKIpSzjQsqD/nyh/AAAA&#10;//8DAFBLAQItABQABgAIAAAAIQC2gziS/gAAAOEBAAATAAAAAAAAAAAAAAAAAAAAAABbQ29udGVu&#10;dF9UeXBlc10ueG1sUEsBAi0AFAAGAAgAAAAhADj9If/WAAAAlAEAAAsAAAAAAAAAAAAAAAAALwEA&#10;AF9yZWxzLy5yZWxzUEsBAi0AFAAGAAgAAAAhADDJTgb1AQAAyQMAAA4AAAAAAAAAAAAAAAAALgIA&#10;AGRycy9lMm9Eb2MueG1sUEsBAi0AFAAGAAgAAAAhAGdrKFjgAAAADAEAAA8AAAAAAAAAAAAAAAAA&#10;TwQAAGRycy9kb3ducmV2LnhtbFBLBQYAAAAABAAEAPMAAABcBQAAAAA=&#10;" filled="f" stroked="f">
                <v:textbox>
                  <w:txbxContent>
                    <w:p w14:paraId="0EFC6AA2" w14:textId="77777777" w:rsidR="00784BED" w:rsidRDefault="00784BED" w:rsidP="00D9094A">
                      <w:pPr>
                        <w:pStyle w:val="Imprint"/>
                      </w:pPr>
                    </w:p>
                    <w:p w14:paraId="0493894B" w14:textId="26F54B20" w:rsidR="00784BED" w:rsidRPr="00B57CC9" w:rsidRDefault="00784BED" w:rsidP="00D9094A">
                      <w:pPr>
                        <w:pStyle w:val="Text"/>
                        <w:shd w:val="clear" w:color="auto" w:fill="000000" w:themeFill="text1"/>
                      </w:pPr>
                      <w:r w:rsidRPr="000C1642">
                        <w:t xml:space="preserve">This document was produced by the author(s) based on their research for the report </w:t>
                      </w:r>
                      <w:r>
                        <w:rPr>
                          <w:i/>
                        </w:rPr>
                        <w:t xml:space="preserve">Vocational qualification development: lessons from </w:t>
                      </w:r>
                      <w:proofErr w:type="gramStart"/>
                      <w:r>
                        <w:rPr>
                          <w:i/>
                        </w:rPr>
                        <w:t>overseas</w:t>
                      </w:r>
                      <w:r w:rsidRPr="000C1642">
                        <w:t>, and</w:t>
                      </w:r>
                      <w:proofErr w:type="gramEnd"/>
                      <w:r w:rsidRPr="000C1642">
                        <w:t xml:space="preserve"> is an added resource for further information. The report is available on NCVER’s </w:t>
                      </w:r>
                      <w:r>
                        <w:t>Portal: &lt;</w:t>
                      </w:r>
                      <w:hyperlink r:id="rId10" w:history="1">
                        <w:r w:rsidRPr="00241AFF">
                          <w:rPr>
                            <w:rStyle w:val="Hyperlink"/>
                          </w:rPr>
                          <w:t>http://www.ncver.edu.au</w:t>
                        </w:r>
                      </w:hyperlink>
                      <w:r>
                        <w:t xml:space="preserve">&gt;.  </w:t>
                      </w:r>
                    </w:p>
                  </w:txbxContent>
                </v:textbox>
                <w10:wrap anchory="margin"/>
              </v:shape>
            </w:pict>
          </mc:Fallback>
        </mc:AlternateContent>
      </w:r>
    </w:p>
    <w:p w14:paraId="235FBB7C" w14:textId="514F3D32" w:rsidR="00D9094A" w:rsidRPr="009E2BBE" w:rsidRDefault="00D9094A" w:rsidP="00D9094A">
      <w:pPr>
        <w:pStyle w:val="Text"/>
        <w:ind w:left="2552"/>
      </w:pPr>
    </w:p>
    <w:p w14:paraId="2AA84DC7" w14:textId="77777777" w:rsidR="00D9094A" w:rsidRPr="009E2BBE" w:rsidRDefault="00D9094A" w:rsidP="00D9094A">
      <w:pPr>
        <w:pStyle w:val="Text"/>
        <w:ind w:left="2552"/>
      </w:pPr>
    </w:p>
    <w:p w14:paraId="15BC9AF2" w14:textId="77777777" w:rsidR="00D9094A" w:rsidRPr="009E2BBE" w:rsidRDefault="00D9094A" w:rsidP="00D9094A">
      <w:pPr>
        <w:pStyle w:val="Text"/>
        <w:ind w:left="2552"/>
      </w:pPr>
    </w:p>
    <w:p w14:paraId="7F90EC9C" w14:textId="77777777" w:rsidR="00D9094A" w:rsidRPr="009E2BBE" w:rsidRDefault="00D9094A" w:rsidP="00D9094A">
      <w:pPr>
        <w:pStyle w:val="Text"/>
        <w:ind w:left="2552"/>
      </w:pPr>
    </w:p>
    <w:p w14:paraId="75D20D70" w14:textId="77777777" w:rsidR="00D9094A" w:rsidRPr="009E2BBE" w:rsidRDefault="00D9094A" w:rsidP="00D9094A">
      <w:pPr>
        <w:pStyle w:val="Text"/>
        <w:ind w:left="2552"/>
      </w:pPr>
    </w:p>
    <w:p w14:paraId="165A69C4" w14:textId="77777777" w:rsidR="00D9094A" w:rsidRPr="009E2BBE" w:rsidRDefault="00D9094A" w:rsidP="00D9094A">
      <w:pPr>
        <w:pStyle w:val="Text"/>
        <w:ind w:left="2552"/>
      </w:pPr>
    </w:p>
    <w:p w14:paraId="25984338" w14:textId="77777777" w:rsidR="00D9094A" w:rsidRPr="009E2BBE" w:rsidRDefault="00D9094A" w:rsidP="00D9094A">
      <w:pPr>
        <w:pStyle w:val="Text"/>
        <w:ind w:left="2552"/>
      </w:pPr>
    </w:p>
    <w:p w14:paraId="02A16DA8" w14:textId="77777777" w:rsidR="00D9094A" w:rsidRPr="009E2BBE" w:rsidRDefault="00D9094A" w:rsidP="00D9094A">
      <w:pPr>
        <w:pStyle w:val="Heading3"/>
        <w:ind w:left="2552" w:right="-1"/>
      </w:pPr>
      <w:r w:rsidRPr="009E2BBE">
        <w:softHyphen/>
      </w:r>
    </w:p>
    <w:p w14:paraId="006781B7" w14:textId="77777777" w:rsidR="00D9094A" w:rsidRPr="009E2BBE" w:rsidRDefault="00D9094A" w:rsidP="00D9094A">
      <w:pPr>
        <w:pStyle w:val="Heading3"/>
        <w:ind w:right="-1"/>
      </w:pPr>
    </w:p>
    <w:p w14:paraId="29825495" w14:textId="1C082B08" w:rsidR="00D9094A" w:rsidRPr="009E2BBE" w:rsidRDefault="00D9094A" w:rsidP="00D9094A">
      <w:pPr>
        <w:pStyle w:val="Heading3"/>
        <w:ind w:right="-1"/>
      </w:pPr>
      <w:r w:rsidRPr="009E2BBE">
        <w:lastRenderedPageBreak/>
        <w:t>Publisher’s note</w:t>
      </w:r>
    </w:p>
    <w:p w14:paraId="4904472E" w14:textId="77777777" w:rsidR="00D9094A" w:rsidRPr="009E2BBE" w:rsidRDefault="00D9094A" w:rsidP="00D9094A">
      <w:pPr>
        <w:pStyle w:val="Imprint"/>
      </w:pPr>
      <w:r w:rsidRPr="009E2BBE">
        <w:t>The views and opinions expressed in this document are those of NCVER and do not necessarily reflect the views of the Australian Government and state and territory governments. Any errors and omissions are the responsibility of the author(s).</w:t>
      </w:r>
    </w:p>
    <w:p w14:paraId="442B8B59" w14:textId="77777777" w:rsidR="00D9094A" w:rsidRPr="009E2BBE" w:rsidRDefault="00D9094A" w:rsidP="00D9094A">
      <w:pPr>
        <w:pStyle w:val="Imprint"/>
      </w:pPr>
    </w:p>
    <w:p w14:paraId="558DB4CA" w14:textId="77777777" w:rsidR="00D9094A" w:rsidRPr="009E2BBE" w:rsidRDefault="00D9094A" w:rsidP="00D9094A">
      <w:pPr>
        <w:pStyle w:val="Imprint"/>
      </w:pPr>
    </w:p>
    <w:p w14:paraId="385D92F5" w14:textId="77777777" w:rsidR="00D9094A" w:rsidRPr="009E2BBE" w:rsidRDefault="00D9094A" w:rsidP="00D9094A">
      <w:pPr>
        <w:pStyle w:val="Imprint"/>
      </w:pPr>
    </w:p>
    <w:p w14:paraId="78DB9838" w14:textId="77777777" w:rsidR="00D9094A" w:rsidRPr="009E2BBE" w:rsidRDefault="00D9094A" w:rsidP="00D9094A">
      <w:pPr>
        <w:pStyle w:val="Imprint"/>
      </w:pPr>
    </w:p>
    <w:p w14:paraId="1B6B86AB" w14:textId="77777777" w:rsidR="00D9094A" w:rsidRPr="009E2BBE" w:rsidRDefault="00D9094A" w:rsidP="00D9094A">
      <w:pPr>
        <w:pStyle w:val="Imprint"/>
      </w:pPr>
    </w:p>
    <w:p w14:paraId="071A1E60" w14:textId="77777777" w:rsidR="00D9094A" w:rsidRPr="009E2BBE" w:rsidRDefault="00D9094A" w:rsidP="00D9094A">
      <w:pPr>
        <w:pStyle w:val="Imprint"/>
      </w:pPr>
    </w:p>
    <w:p w14:paraId="100BEA99" w14:textId="77777777" w:rsidR="00D9094A" w:rsidRPr="009E2BBE" w:rsidRDefault="00D9094A" w:rsidP="00D9094A">
      <w:pPr>
        <w:pStyle w:val="Imprint"/>
      </w:pPr>
    </w:p>
    <w:p w14:paraId="34339905" w14:textId="77777777" w:rsidR="00D9094A" w:rsidRPr="009E2BBE" w:rsidRDefault="00D9094A" w:rsidP="00D9094A">
      <w:pPr>
        <w:pStyle w:val="Imprint"/>
      </w:pPr>
    </w:p>
    <w:p w14:paraId="3A821974" w14:textId="77777777" w:rsidR="00D9094A" w:rsidRPr="009E2BBE" w:rsidRDefault="00D9094A" w:rsidP="00D9094A">
      <w:pPr>
        <w:pStyle w:val="Text"/>
      </w:pPr>
    </w:p>
    <w:p w14:paraId="2C17394E" w14:textId="77777777" w:rsidR="00D9094A" w:rsidRPr="009E2BBE" w:rsidRDefault="00D9094A" w:rsidP="00D9094A">
      <w:pPr>
        <w:pStyle w:val="Text"/>
      </w:pPr>
    </w:p>
    <w:p w14:paraId="11FE27BA" w14:textId="77777777" w:rsidR="00D9094A" w:rsidRPr="009E2BBE" w:rsidRDefault="00D9094A" w:rsidP="00D9094A">
      <w:pPr>
        <w:pStyle w:val="Text"/>
      </w:pPr>
    </w:p>
    <w:p w14:paraId="5E46BB7F" w14:textId="115805FF" w:rsidR="00D9094A" w:rsidRPr="009E2BBE" w:rsidRDefault="00D9094A" w:rsidP="00D9094A">
      <w:pPr>
        <w:pStyle w:val="Text"/>
      </w:pPr>
    </w:p>
    <w:p w14:paraId="5A93E86D" w14:textId="78EAB0C5" w:rsidR="00D9094A" w:rsidRPr="009E2BBE" w:rsidRDefault="00D9094A" w:rsidP="00D9094A">
      <w:pPr>
        <w:pStyle w:val="Text"/>
      </w:pPr>
      <w:r w:rsidRPr="009E2BBE">
        <w:rPr>
          <w:noProof/>
          <w:kern w:val="28"/>
          <w:lang w:eastAsia="en-AU"/>
        </w:rPr>
        <mc:AlternateContent>
          <mc:Choice Requires="wps">
            <w:drawing>
              <wp:anchor distT="0" distB="0" distL="114300" distR="114300" simplePos="0" relativeHeight="251708416" behindDoc="0" locked="0" layoutInCell="1" allowOverlap="1" wp14:anchorId="0F3EE60A" wp14:editId="183140D5">
                <wp:simplePos x="0" y="0"/>
                <wp:positionH relativeFrom="column">
                  <wp:posOffset>-3810</wp:posOffset>
                </wp:positionH>
                <wp:positionV relativeFrom="margin">
                  <wp:posOffset>4214494</wp:posOffset>
                </wp:positionV>
                <wp:extent cx="5682615" cy="5019675"/>
                <wp:effectExtent l="0" t="0" r="0"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01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6BDD1" w14:textId="31167E66" w:rsidR="00784BED" w:rsidRPr="00A021FC" w:rsidRDefault="00784BED" w:rsidP="00D9094A">
                            <w:pPr>
                              <w:pStyle w:val="Imprint"/>
                              <w:rPr>
                                <w:b/>
                              </w:rPr>
                            </w:pPr>
                            <w:r w:rsidRPr="00A021FC">
                              <w:rPr>
                                <w:b/>
                              </w:rPr>
                              <w:t xml:space="preserve">© </w:t>
                            </w:r>
                            <w:r w:rsidRPr="00D2274F">
                              <w:rPr>
                                <w:b/>
                              </w:rPr>
                              <w:t>Commonwealth of Australia</w:t>
                            </w:r>
                            <w:r w:rsidRPr="00A021FC">
                              <w:rPr>
                                <w:b/>
                              </w:rPr>
                              <w:t xml:space="preserve">, </w:t>
                            </w:r>
                            <w:r>
                              <w:rPr>
                                <w:b/>
                              </w:rPr>
                              <w:t>2021</w:t>
                            </w:r>
                          </w:p>
                          <w:p w14:paraId="3CACBDEA" w14:textId="77777777" w:rsidR="00784BED" w:rsidRDefault="00784BED" w:rsidP="00D9094A">
                            <w:pPr>
                              <w:pStyle w:val="Imprint"/>
                              <w:rPr>
                                <w:sz w:val="20"/>
                              </w:rPr>
                            </w:pPr>
                            <w:r w:rsidRPr="00E80270">
                              <w:rPr>
                                <w:noProof/>
                                <w:sz w:val="20"/>
                                <w:lang w:eastAsia="en-AU"/>
                              </w:rPr>
                              <w:drawing>
                                <wp:inline distT="0" distB="0" distL="0" distR="0" wp14:anchorId="2FDFAF94" wp14:editId="335F89D2">
                                  <wp:extent cx="850265" cy="302895"/>
                                  <wp:effectExtent l="19050" t="0" r="6985" b="0"/>
                                  <wp:docPr id="15"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49FE7C52" w14:textId="77777777" w:rsidR="00784BED" w:rsidRDefault="00784BED" w:rsidP="00D9094A">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42F4261D" w14:textId="77777777" w:rsidR="00784BED" w:rsidRPr="001D321A" w:rsidRDefault="00784BED" w:rsidP="00D9094A">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2B66F596" w14:textId="77777777" w:rsidR="00784BED" w:rsidRDefault="00784BED" w:rsidP="00D9094A">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27E8472C" w14:textId="5839807C" w:rsidR="00784BED" w:rsidRPr="00A021FC" w:rsidRDefault="00784BED" w:rsidP="00D9094A">
                            <w:pPr>
                              <w:pStyle w:val="Imprint"/>
                            </w:pPr>
                            <w:r w:rsidRPr="00A021FC">
                              <w:t xml:space="preserve">This document should be attributed as </w:t>
                            </w:r>
                            <w:r w:rsidRPr="00D9094A">
                              <w:t xml:space="preserve">Wibrow, B &amp; Waugh, J 2021, </w:t>
                            </w:r>
                            <w:r w:rsidRPr="00D9094A">
                              <w:rPr>
                                <w:i/>
                              </w:rPr>
                              <w:t>International models to streamline VET qualifications: case studies,</w:t>
                            </w:r>
                            <w:r w:rsidRPr="00D9094A">
                              <w:t xml:space="preserve"> NCVER, Adelaide.</w:t>
                            </w:r>
                            <w:r>
                              <w:t xml:space="preserve"> </w:t>
                            </w:r>
                          </w:p>
                          <w:p w14:paraId="14FF27FF" w14:textId="6529AAE3" w:rsidR="00784BED" w:rsidRPr="001D321A" w:rsidRDefault="00784BED" w:rsidP="00D9094A">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Department of Education</w:t>
                            </w:r>
                            <w:r>
                              <w:t>, Skills and Employment</w:t>
                            </w:r>
                            <w:r w:rsidRPr="001D321A">
                              <w:t xml:space="preserve">. </w:t>
                            </w:r>
                          </w:p>
                          <w:p w14:paraId="1BAE2048" w14:textId="77777777" w:rsidR="00784BED" w:rsidRPr="00D42A61" w:rsidRDefault="00784BED" w:rsidP="00D9094A">
                            <w:pPr>
                              <w:pStyle w:val="Imprint"/>
                              <w:rPr>
                                <w:color w:val="000000"/>
                              </w:rPr>
                            </w:pPr>
                            <w:r w:rsidRPr="00D42A61">
                              <w:rPr>
                                <w:color w:val="000000"/>
                              </w:rPr>
                              <w:t>Published by NCVER, ABN 87 007 967 311</w:t>
                            </w:r>
                          </w:p>
                          <w:p w14:paraId="021917F1" w14:textId="77777777" w:rsidR="00784BED" w:rsidRPr="00D42A61" w:rsidRDefault="00784BED" w:rsidP="00D9094A">
                            <w:pPr>
                              <w:pStyle w:val="Imprint"/>
                              <w:rPr>
                                <w:color w:val="000000"/>
                              </w:rPr>
                            </w:pPr>
                            <w:proofErr w:type="gramStart"/>
                            <w:r w:rsidRPr="00D42A61">
                              <w:rPr>
                                <w:color w:val="000000"/>
                              </w:rPr>
                              <w:t xml:space="preserve">Level </w:t>
                            </w:r>
                            <w:r>
                              <w:rPr>
                                <w:color w:val="000000"/>
                              </w:rPr>
                              <w:t xml:space="preserve"> 5</w:t>
                            </w:r>
                            <w:proofErr w:type="gramEnd"/>
                            <w:r>
                              <w:rPr>
                                <w:color w:val="000000"/>
                              </w:rPr>
                              <w:t>, 60 Light Square</w:t>
                            </w:r>
                            <w:r w:rsidRPr="00D42A61">
                              <w:rPr>
                                <w:color w:val="000000"/>
                              </w:rPr>
                              <w:t>, Adelaide, SA 5000</w:t>
                            </w:r>
                            <w:r w:rsidRPr="00D42A61">
                              <w:rPr>
                                <w:color w:val="000000"/>
                              </w:rPr>
                              <w:br/>
                              <w:t>PO Box 8288 Station Arcade, Adelaide SA 5000, Australia</w:t>
                            </w:r>
                          </w:p>
                          <w:p w14:paraId="17B82B5B" w14:textId="77777777" w:rsidR="00784BED" w:rsidRDefault="00784BED" w:rsidP="00D9094A">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Pr="00D42A61">
                                <w:rPr>
                                  <w:rStyle w:val="Hyperlink"/>
                                </w:rPr>
                                <w:t>ncver@ncver.edu.au</w:t>
                              </w:r>
                            </w:hyperlink>
                            <w:r w:rsidRPr="00D42A61">
                              <w:rPr>
                                <w:color w:val="000000"/>
                              </w:rPr>
                              <w:t xml:space="preserve">     </w:t>
                            </w:r>
                          </w:p>
                          <w:p w14:paraId="0F63FB62" w14:textId="77777777" w:rsidR="00784BED" w:rsidRPr="00D42A61" w:rsidRDefault="00784BED" w:rsidP="00D9094A">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FB0899">
                              <w:rPr>
                                <w:color w:val="000000"/>
                                <w:szCs w:val="16"/>
                              </w:rPr>
                              <w:t>&lt;</w:t>
                            </w:r>
                            <w:proofErr w:type="gramEnd"/>
                            <w:hyperlink r:id="rId13" w:history="1">
                              <w:r w:rsidRPr="00FB0899">
                                <w:rPr>
                                  <w:rStyle w:val="Hyperlink"/>
                                  <w:sz w:val="16"/>
                                  <w:szCs w:val="16"/>
                                </w:rPr>
                                <w:t>https://www.lsay.edu.au</w:t>
                              </w:r>
                            </w:hyperlink>
                            <w:r w:rsidRPr="00FB0899">
                              <w:rPr>
                                <w:color w:val="000000"/>
                                <w:szCs w:val="16"/>
                              </w:rPr>
                              <w:t>&gt;</w:t>
                            </w:r>
                          </w:p>
                          <w:p w14:paraId="09AFA75C" w14:textId="77777777" w:rsidR="00784BED" w:rsidRPr="00D42A61" w:rsidRDefault="00784BED" w:rsidP="00D9094A">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73371AF2" wp14:editId="2411B811">
                                  <wp:extent cx="123825" cy="1428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56CF2B48" wp14:editId="64BC517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32B43636" w14:textId="77777777" w:rsidR="00784BED" w:rsidRPr="00D42A61" w:rsidRDefault="00784BED" w:rsidP="00D9094A">
                            <w:pPr>
                              <w:pStyle w:val="Imprint"/>
                            </w:pPr>
                          </w:p>
                          <w:p w14:paraId="46907B86" w14:textId="77777777" w:rsidR="00784BED" w:rsidRPr="006A702B" w:rsidRDefault="00784BED" w:rsidP="00D9094A"/>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F3EE60A" id="Text Box 22" o:spid="_x0000_s1027" type="#_x0000_t202" style="position:absolute;margin-left:-.3pt;margin-top:331.85pt;width:447.45pt;height:39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59gEAAM8DAAAOAAAAZHJzL2Uyb0RvYy54bWysU9tu2zAMfR+wfxD0vjg2Yrc14hRdiw4D&#10;ugvQ7gNkWY6F2aJGKbGzrx8lp2m2vRV9EcSLDs8hqfX1NPRsr9BpMBVPF0vOlJHQaLOt+I+n+w+X&#10;nDkvTCN6MKriB+X49eb9u/VoS5VBB32jkBGIceVoK955b8skcbJTg3ALsMpQsAUchCcTt0mDYiT0&#10;oU+y5bJIRsDGIkjlHHnv5iDfRPy2VdJ/a1unPOsrTtx8PDGedTiTzVqUWxS20/JIQ7yCxSC0oaIn&#10;qDvhBduh/g9q0BLBQesXEoYE2lZLFTWQmnT5j5rHTlgVtVBznD21yb0drPy6/45MNxUvODNioBE9&#10;qcmzjzCxLAvtGa0rKevRUp6fyE9jjlKdfQD50zEDt50wW3WDCGOnREP00vAyOXs647gAUo9foKE6&#10;YuchAk0tDqF31A1G6DSmw2k0gYskZ15cZkWacyYpli/Tq+IijzVE+fzcovOfFAwsXCqONPsIL/YP&#10;zgc6onxOCdUM3Ou+j/PvzV8OSgyeSD8wnrn7qZ5io6K2IK2G5kB6EOatol9Alw7wN2cjbVTF3a+d&#10;QMVZ/9lQT67S1SqsYDRW+UVGBp5H6vOIMJKgKl5zNl9v/by2O4t621GleQoGbqiPrY4KX1gd6dPW&#10;ROHHDQ9reW7HrJd/uPkDAAD//wMAUEsDBBQABgAIAAAAIQCOIWg+3wAAAAoBAAAPAAAAZHJzL2Rv&#10;d25yZXYueG1sTI9BTsMwEEX3SNzBGiR2rdPWhBLiVKjQZVUoHMCOhyQQj6PYaZLbY1awHP2n/9/k&#10;u8m27IK9bxxJWC0TYEilMw1VEj7eD4stMB8UGdU6QgkzetgV11e5yowb6Q0v51CxWEI+UxLqELqM&#10;c1/WaJVfug4pZp+utyrEs6+46dUYy23L10mScqsaigu16nBfY/l9HqyEl1c9a7H6OojnZNbmNB73&#10;5XCU8vZmenoEFnAKfzD86kd1KKKTdgMZz1oJizSCEtJ0cw8s5tsHsQGmIyjuxBp4kfP/LxQ/AAAA&#10;//8DAFBLAQItABQABgAIAAAAIQC2gziS/gAAAOEBAAATAAAAAAAAAAAAAAAAAAAAAABbQ29udGVu&#10;dF9UeXBlc10ueG1sUEsBAi0AFAAGAAgAAAAhADj9If/WAAAAlAEAAAsAAAAAAAAAAAAAAAAALwEA&#10;AF9yZWxzLy5yZWxzUEsBAi0AFAAGAAgAAAAhACoP4vn2AQAAzwMAAA4AAAAAAAAAAAAAAAAALgIA&#10;AGRycy9lMm9Eb2MueG1sUEsBAi0AFAAGAAgAAAAhAI4haD7fAAAACgEAAA8AAAAAAAAAAAAAAAAA&#10;UAQAAGRycy9kb3ducmV2LnhtbFBLBQYAAAAABAAEAPMAAABcBQAAAAA=&#10;" filled="f" stroked="f">
                <v:textbox>
                  <w:txbxContent>
                    <w:p w14:paraId="2B06BDD1" w14:textId="31167E66" w:rsidR="00784BED" w:rsidRPr="00A021FC" w:rsidRDefault="00784BED" w:rsidP="00D9094A">
                      <w:pPr>
                        <w:pStyle w:val="Imprint"/>
                        <w:rPr>
                          <w:b/>
                        </w:rPr>
                      </w:pPr>
                      <w:r w:rsidRPr="00A021FC">
                        <w:rPr>
                          <w:b/>
                        </w:rPr>
                        <w:t xml:space="preserve">© </w:t>
                      </w:r>
                      <w:r w:rsidRPr="00D2274F">
                        <w:rPr>
                          <w:b/>
                        </w:rPr>
                        <w:t>Commonwealth of Australia</w:t>
                      </w:r>
                      <w:r w:rsidRPr="00A021FC">
                        <w:rPr>
                          <w:b/>
                        </w:rPr>
                        <w:t xml:space="preserve">, </w:t>
                      </w:r>
                      <w:r>
                        <w:rPr>
                          <w:b/>
                        </w:rPr>
                        <w:t>2021</w:t>
                      </w:r>
                    </w:p>
                    <w:p w14:paraId="3CACBDEA" w14:textId="77777777" w:rsidR="00784BED" w:rsidRDefault="00784BED" w:rsidP="00D9094A">
                      <w:pPr>
                        <w:pStyle w:val="Imprint"/>
                        <w:rPr>
                          <w:sz w:val="20"/>
                        </w:rPr>
                      </w:pPr>
                      <w:r w:rsidRPr="00E80270">
                        <w:rPr>
                          <w:noProof/>
                          <w:sz w:val="20"/>
                          <w:lang w:eastAsia="en-AU"/>
                        </w:rPr>
                        <w:drawing>
                          <wp:inline distT="0" distB="0" distL="0" distR="0" wp14:anchorId="2FDFAF94" wp14:editId="335F89D2">
                            <wp:extent cx="850265" cy="302895"/>
                            <wp:effectExtent l="19050" t="0" r="6985" b="0"/>
                            <wp:docPr id="15"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6"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49FE7C52" w14:textId="77777777" w:rsidR="00784BED" w:rsidRDefault="00784BED" w:rsidP="00D9094A">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42F4261D" w14:textId="77777777" w:rsidR="00784BED" w:rsidRPr="001D321A" w:rsidRDefault="00784BED" w:rsidP="00D9094A">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2B66F596" w14:textId="77777777" w:rsidR="00784BED" w:rsidRDefault="00784BED" w:rsidP="00D9094A">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27E8472C" w14:textId="5839807C" w:rsidR="00784BED" w:rsidRPr="00A021FC" w:rsidRDefault="00784BED" w:rsidP="00D9094A">
                      <w:pPr>
                        <w:pStyle w:val="Imprint"/>
                      </w:pPr>
                      <w:r w:rsidRPr="00A021FC">
                        <w:t xml:space="preserve">This document should be attributed as </w:t>
                      </w:r>
                      <w:r w:rsidRPr="00D9094A">
                        <w:t xml:space="preserve">Wibrow, B &amp; Waugh, J 2021, </w:t>
                      </w:r>
                      <w:r w:rsidRPr="00D9094A">
                        <w:rPr>
                          <w:i/>
                        </w:rPr>
                        <w:t>International models to streamline VET qualifications: case studies,</w:t>
                      </w:r>
                      <w:r w:rsidRPr="00D9094A">
                        <w:t xml:space="preserve"> NCVER, Adelaide.</w:t>
                      </w:r>
                      <w:r>
                        <w:t xml:space="preserve"> </w:t>
                      </w:r>
                    </w:p>
                    <w:p w14:paraId="14FF27FF" w14:textId="6529AAE3" w:rsidR="00784BED" w:rsidRPr="001D321A" w:rsidRDefault="00784BED" w:rsidP="00D9094A">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Department of Education</w:t>
                      </w:r>
                      <w:r>
                        <w:t>, Skills and Employment</w:t>
                      </w:r>
                      <w:r w:rsidRPr="001D321A">
                        <w:t xml:space="preserve">. </w:t>
                      </w:r>
                    </w:p>
                    <w:p w14:paraId="1BAE2048" w14:textId="77777777" w:rsidR="00784BED" w:rsidRPr="00D42A61" w:rsidRDefault="00784BED" w:rsidP="00D9094A">
                      <w:pPr>
                        <w:pStyle w:val="Imprint"/>
                        <w:rPr>
                          <w:color w:val="000000"/>
                        </w:rPr>
                      </w:pPr>
                      <w:r w:rsidRPr="00D42A61">
                        <w:rPr>
                          <w:color w:val="000000"/>
                        </w:rPr>
                        <w:t>Published by NCVER, ABN 87 007 967 311</w:t>
                      </w:r>
                    </w:p>
                    <w:p w14:paraId="021917F1" w14:textId="77777777" w:rsidR="00784BED" w:rsidRPr="00D42A61" w:rsidRDefault="00784BED" w:rsidP="00D9094A">
                      <w:pPr>
                        <w:pStyle w:val="Imprint"/>
                        <w:rPr>
                          <w:color w:val="000000"/>
                        </w:rPr>
                      </w:pPr>
                      <w:proofErr w:type="gramStart"/>
                      <w:r w:rsidRPr="00D42A61">
                        <w:rPr>
                          <w:color w:val="000000"/>
                        </w:rPr>
                        <w:t xml:space="preserve">Level </w:t>
                      </w:r>
                      <w:r>
                        <w:rPr>
                          <w:color w:val="000000"/>
                        </w:rPr>
                        <w:t xml:space="preserve"> 5</w:t>
                      </w:r>
                      <w:proofErr w:type="gramEnd"/>
                      <w:r>
                        <w:rPr>
                          <w:color w:val="000000"/>
                        </w:rPr>
                        <w:t>, 60 Light Square</w:t>
                      </w:r>
                      <w:r w:rsidRPr="00D42A61">
                        <w:rPr>
                          <w:color w:val="000000"/>
                        </w:rPr>
                        <w:t>, Adelaide, SA 5000</w:t>
                      </w:r>
                      <w:r w:rsidRPr="00D42A61">
                        <w:rPr>
                          <w:color w:val="000000"/>
                        </w:rPr>
                        <w:br/>
                        <w:t>PO Box 8288 Station Arcade, Adelaide SA 5000, Australia</w:t>
                      </w:r>
                    </w:p>
                    <w:p w14:paraId="17B82B5B" w14:textId="77777777" w:rsidR="00784BED" w:rsidRDefault="00784BED" w:rsidP="00D9094A">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7" w:history="1">
                        <w:r w:rsidRPr="00D42A61">
                          <w:rPr>
                            <w:rStyle w:val="Hyperlink"/>
                          </w:rPr>
                          <w:t>ncver@ncver.edu.au</w:t>
                        </w:r>
                      </w:hyperlink>
                      <w:r w:rsidRPr="00D42A61">
                        <w:rPr>
                          <w:color w:val="000000"/>
                        </w:rPr>
                        <w:t xml:space="preserve">     </w:t>
                      </w:r>
                    </w:p>
                    <w:p w14:paraId="0F63FB62" w14:textId="77777777" w:rsidR="00784BED" w:rsidRPr="00D42A61" w:rsidRDefault="00784BED" w:rsidP="00D9094A">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FB0899">
                        <w:rPr>
                          <w:color w:val="000000"/>
                          <w:szCs w:val="16"/>
                        </w:rPr>
                        <w:t>&lt;</w:t>
                      </w:r>
                      <w:proofErr w:type="gramEnd"/>
                      <w:hyperlink r:id="rId18" w:history="1">
                        <w:r w:rsidRPr="00FB0899">
                          <w:rPr>
                            <w:rStyle w:val="Hyperlink"/>
                            <w:sz w:val="16"/>
                            <w:szCs w:val="16"/>
                          </w:rPr>
                          <w:t>https://www.lsay.edu.au</w:t>
                        </w:r>
                      </w:hyperlink>
                      <w:r w:rsidRPr="00FB0899">
                        <w:rPr>
                          <w:color w:val="000000"/>
                          <w:szCs w:val="16"/>
                        </w:rPr>
                        <w:t>&gt;</w:t>
                      </w:r>
                    </w:p>
                    <w:p w14:paraId="09AFA75C" w14:textId="77777777" w:rsidR="00784BED" w:rsidRPr="00D42A61" w:rsidRDefault="00784BED" w:rsidP="00D9094A">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73371AF2" wp14:editId="2411B811">
                            <wp:extent cx="123825" cy="1428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56CF2B48" wp14:editId="64BC517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32B43636" w14:textId="77777777" w:rsidR="00784BED" w:rsidRPr="00D42A61" w:rsidRDefault="00784BED" w:rsidP="00D9094A">
                      <w:pPr>
                        <w:pStyle w:val="Imprint"/>
                      </w:pPr>
                    </w:p>
                    <w:p w14:paraId="46907B86" w14:textId="77777777" w:rsidR="00784BED" w:rsidRPr="006A702B" w:rsidRDefault="00784BED" w:rsidP="00D9094A"/>
                  </w:txbxContent>
                </v:textbox>
                <w10:wrap anchory="margin"/>
              </v:shape>
            </w:pict>
          </mc:Fallback>
        </mc:AlternateContent>
      </w:r>
    </w:p>
    <w:p w14:paraId="77489003" w14:textId="77777777" w:rsidR="00D9094A" w:rsidRPr="009E2BBE" w:rsidRDefault="00D9094A" w:rsidP="00D9094A">
      <w:pPr>
        <w:pStyle w:val="Text"/>
      </w:pPr>
    </w:p>
    <w:p w14:paraId="35C9AAF1" w14:textId="77777777" w:rsidR="00D9094A" w:rsidRPr="009E2BBE" w:rsidRDefault="00D9094A" w:rsidP="00D9094A">
      <w:pPr>
        <w:pStyle w:val="Contents"/>
      </w:pPr>
    </w:p>
    <w:p w14:paraId="14AFB01A" w14:textId="77777777" w:rsidR="00D9094A" w:rsidRPr="009E2BBE" w:rsidRDefault="00D9094A" w:rsidP="00D9094A">
      <w:pPr>
        <w:pStyle w:val="Contents"/>
      </w:pPr>
    </w:p>
    <w:p w14:paraId="3303930A" w14:textId="77777777" w:rsidR="00D9094A" w:rsidRPr="009E2BBE" w:rsidRDefault="00D9094A" w:rsidP="00D9094A">
      <w:pPr>
        <w:pStyle w:val="Contents"/>
        <w:sectPr w:rsidR="00D9094A" w:rsidRPr="009E2BBE" w:rsidSect="00D9094A">
          <w:footerReference w:type="default" r:id="rId21"/>
          <w:pgSz w:w="11907" w:h="16840" w:code="9"/>
          <w:pgMar w:top="1418" w:right="1701" w:bottom="1134" w:left="1418" w:header="709" w:footer="556" w:gutter="0"/>
          <w:cols w:space="708"/>
          <w:docGrid w:linePitch="360"/>
        </w:sectPr>
      </w:pPr>
    </w:p>
    <w:p w14:paraId="180A293C" w14:textId="665CF058" w:rsidR="00EB0AD7" w:rsidRPr="009E2BBE" w:rsidRDefault="00EB0AD7" w:rsidP="00EB0AD7">
      <w:pPr>
        <w:pStyle w:val="Contents"/>
      </w:pPr>
      <w:bookmarkStart w:id="11" w:name="_Toc98394880"/>
      <w:bookmarkStart w:id="12" w:name="_Toc296423683"/>
      <w:bookmarkStart w:id="13" w:name="_Toc296497514"/>
      <w:bookmarkStart w:id="14" w:name="_Toc495748330"/>
      <w:bookmarkStart w:id="15" w:name="_Toc495810630"/>
      <w:bookmarkStart w:id="16" w:name="_Toc6031787"/>
      <w:bookmarkStart w:id="17" w:name="_Toc6031844"/>
      <w:bookmarkEnd w:id="2"/>
      <w:bookmarkEnd w:id="3"/>
      <w:bookmarkEnd w:id="4"/>
      <w:bookmarkEnd w:id="5"/>
      <w:bookmarkEnd w:id="6"/>
      <w:bookmarkEnd w:id="7"/>
      <w:bookmarkEnd w:id="8"/>
      <w:r w:rsidRPr="009E2BBE">
        <w:lastRenderedPageBreak/>
        <w:t>Contents</w:t>
      </w:r>
      <w:bookmarkEnd w:id="11"/>
      <w:bookmarkEnd w:id="12"/>
      <w:bookmarkEnd w:id="13"/>
    </w:p>
    <w:p w14:paraId="58DC9E5D" w14:textId="77777777" w:rsidR="006714BE" w:rsidRPr="009E2BBE" w:rsidRDefault="006714BE">
      <w:pPr>
        <w:pStyle w:val="TOC1"/>
        <w:rPr>
          <w:rFonts w:ascii="Avant Garde" w:hAnsi="Avant Garde"/>
          <w:noProof w:val="0"/>
        </w:rPr>
      </w:pPr>
    </w:p>
    <w:p w14:paraId="5F86EB78" w14:textId="51B3BC7A" w:rsidR="00EA3747" w:rsidRPr="009E2BBE" w:rsidRDefault="00AF5CBC" w:rsidP="00A73094">
      <w:pPr>
        <w:pStyle w:val="TOC1"/>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rFonts w:ascii="Avant Garde" w:hAnsi="Avant Garde"/>
          <w:noProof w:val="0"/>
        </w:rPr>
        <w:fldChar w:fldCharType="begin"/>
      </w:r>
      <w:r w:rsidR="00EB0AD7" w:rsidRPr="009E2BBE">
        <w:rPr>
          <w:rFonts w:ascii="Avant Garde" w:hAnsi="Avant Garde"/>
          <w:noProof w:val="0"/>
        </w:rPr>
        <w:instrText xml:space="preserve"> TOC \o "1-2" </w:instrText>
      </w:r>
      <w:r w:rsidRPr="009E2BBE">
        <w:rPr>
          <w:rFonts w:ascii="Avant Garde" w:hAnsi="Avant Garde"/>
          <w:noProof w:val="0"/>
        </w:rPr>
        <w:fldChar w:fldCharType="separate"/>
      </w:r>
      <w:r w:rsidR="00EA3747" w:rsidRPr="009E2BBE">
        <w:rPr>
          <w:noProof w:val="0"/>
        </w:rPr>
        <w:t>Overview</w:t>
      </w:r>
      <w:r w:rsidR="00EA3747" w:rsidRPr="009E2BBE">
        <w:rPr>
          <w:noProof w:val="0"/>
        </w:rPr>
        <w:tab/>
      </w:r>
      <w:r w:rsidR="00EA3747" w:rsidRPr="009E2BBE">
        <w:rPr>
          <w:noProof w:val="0"/>
        </w:rPr>
        <w:fldChar w:fldCharType="begin"/>
      </w:r>
      <w:r w:rsidR="00EA3747" w:rsidRPr="009E2BBE">
        <w:rPr>
          <w:noProof w:val="0"/>
        </w:rPr>
        <w:instrText xml:space="preserve"> PAGEREF _Toc65741345 \h </w:instrText>
      </w:r>
      <w:r w:rsidR="00EA3747" w:rsidRPr="009E2BBE">
        <w:rPr>
          <w:noProof w:val="0"/>
        </w:rPr>
      </w:r>
      <w:r w:rsidR="00EA3747" w:rsidRPr="009E2BBE">
        <w:rPr>
          <w:noProof w:val="0"/>
        </w:rPr>
        <w:fldChar w:fldCharType="separate"/>
      </w:r>
      <w:r w:rsidR="00EA3747" w:rsidRPr="009E2BBE">
        <w:rPr>
          <w:noProof w:val="0"/>
        </w:rPr>
        <w:t>4</w:t>
      </w:r>
      <w:r w:rsidR="00EA3747" w:rsidRPr="009E2BBE">
        <w:rPr>
          <w:noProof w:val="0"/>
        </w:rPr>
        <w:fldChar w:fldCharType="end"/>
      </w:r>
    </w:p>
    <w:p w14:paraId="56044717" w14:textId="3DBAE8DF"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Key findings</w:t>
      </w:r>
      <w:r w:rsidRPr="009E2BBE">
        <w:rPr>
          <w:noProof w:val="0"/>
        </w:rPr>
        <w:tab/>
      </w:r>
      <w:r w:rsidRPr="009E2BBE">
        <w:rPr>
          <w:noProof w:val="0"/>
        </w:rPr>
        <w:fldChar w:fldCharType="begin"/>
      </w:r>
      <w:r w:rsidRPr="009E2BBE">
        <w:rPr>
          <w:noProof w:val="0"/>
        </w:rPr>
        <w:instrText xml:space="preserve"> PAGEREF _Toc65741346 \h </w:instrText>
      </w:r>
      <w:r w:rsidRPr="009E2BBE">
        <w:rPr>
          <w:noProof w:val="0"/>
        </w:rPr>
      </w:r>
      <w:r w:rsidRPr="009E2BBE">
        <w:rPr>
          <w:noProof w:val="0"/>
        </w:rPr>
        <w:fldChar w:fldCharType="separate"/>
      </w:r>
      <w:r w:rsidRPr="009E2BBE">
        <w:rPr>
          <w:noProof w:val="0"/>
        </w:rPr>
        <w:t>4</w:t>
      </w:r>
      <w:r w:rsidRPr="009E2BBE">
        <w:rPr>
          <w:noProof w:val="0"/>
        </w:rPr>
        <w:fldChar w:fldCharType="end"/>
      </w:r>
    </w:p>
    <w:p w14:paraId="7D2817CA" w14:textId="22203208" w:rsidR="00EA3747" w:rsidRPr="009E2BBE" w:rsidRDefault="00EA3747" w:rsidP="00A73094">
      <w:pPr>
        <w:pStyle w:val="TOC1"/>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Comparing qualification development</w:t>
      </w:r>
      <w:r w:rsidRPr="009E2BBE">
        <w:rPr>
          <w:noProof w:val="0"/>
        </w:rPr>
        <w:tab/>
      </w:r>
      <w:r w:rsidRPr="009E2BBE">
        <w:rPr>
          <w:noProof w:val="0"/>
        </w:rPr>
        <w:fldChar w:fldCharType="begin"/>
      </w:r>
      <w:r w:rsidRPr="009E2BBE">
        <w:rPr>
          <w:noProof w:val="0"/>
        </w:rPr>
        <w:instrText xml:space="preserve"> PAGEREF _Toc65741347 \h </w:instrText>
      </w:r>
      <w:r w:rsidRPr="009E2BBE">
        <w:rPr>
          <w:noProof w:val="0"/>
        </w:rPr>
      </w:r>
      <w:r w:rsidRPr="009E2BBE">
        <w:rPr>
          <w:noProof w:val="0"/>
        </w:rPr>
        <w:fldChar w:fldCharType="separate"/>
      </w:r>
      <w:r w:rsidRPr="009E2BBE">
        <w:rPr>
          <w:noProof w:val="0"/>
        </w:rPr>
        <w:t>8</w:t>
      </w:r>
      <w:r w:rsidRPr="009E2BBE">
        <w:rPr>
          <w:noProof w:val="0"/>
        </w:rPr>
        <w:fldChar w:fldCharType="end"/>
      </w:r>
    </w:p>
    <w:p w14:paraId="0625A9CE" w14:textId="2D6B8AC7"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The development process</w:t>
      </w:r>
      <w:r w:rsidRPr="009E2BBE">
        <w:rPr>
          <w:noProof w:val="0"/>
        </w:rPr>
        <w:tab/>
      </w:r>
      <w:r w:rsidRPr="009E2BBE">
        <w:rPr>
          <w:noProof w:val="0"/>
        </w:rPr>
        <w:fldChar w:fldCharType="begin"/>
      </w:r>
      <w:r w:rsidRPr="009E2BBE">
        <w:rPr>
          <w:noProof w:val="0"/>
        </w:rPr>
        <w:instrText xml:space="preserve"> PAGEREF _Toc65741348 \h </w:instrText>
      </w:r>
      <w:r w:rsidRPr="009E2BBE">
        <w:rPr>
          <w:noProof w:val="0"/>
        </w:rPr>
      </w:r>
      <w:r w:rsidRPr="009E2BBE">
        <w:rPr>
          <w:noProof w:val="0"/>
        </w:rPr>
        <w:fldChar w:fldCharType="separate"/>
      </w:r>
      <w:r w:rsidRPr="009E2BBE">
        <w:rPr>
          <w:noProof w:val="0"/>
        </w:rPr>
        <w:t>8</w:t>
      </w:r>
      <w:r w:rsidRPr="009E2BBE">
        <w:rPr>
          <w:noProof w:val="0"/>
        </w:rPr>
        <w:fldChar w:fldCharType="end"/>
      </w:r>
    </w:p>
    <w:p w14:paraId="6DEFFC68" w14:textId="1F237D49"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Stakeholders involved</w:t>
      </w:r>
      <w:r w:rsidRPr="009E2BBE">
        <w:rPr>
          <w:noProof w:val="0"/>
        </w:rPr>
        <w:tab/>
      </w:r>
      <w:r w:rsidRPr="009E2BBE">
        <w:rPr>
          <w:noProof w:val="0"/>
        </w:rPr>
        <w:fldChar w:fldCharType="begin"/>
      </w:r>
      <w:r w:rsidRPr="009E2BBE">
        <w:rPr>
          <w:noProof w:val="0"/>
        </w:rPr>
        <w:instrText xml:space="preserve"> PAGEREF _Toc65741349 \h </w:instrText>
      </w:r>
      <w:r w:rsidRPr="009E2BBE">
        <w:rPr>
          <w:noProof w:val="0"/>
        </w:rPr>
      </w:r>
      <w:r w:rsidRPr="009E2BBE">
        <w:rPr>
          <w:noProof w:val="0"/>
        </w:rPr>
        <w:fldChar w:fldCharType="separate"/>
      </w:r>
      <w:r w:rsidRPr="009E2BBE">
        <w:rPr>
          <w:noProof w:val="0"/>
        </w:rPr>
        <w:t>10</w:t>
      </w:r>
      <w:r w:rsidRPr="009E2BBE">
        <w:rPr>
          <w:noProof w:val="0"/>
        </w:rPr>
        <w:fldChar w:fldCharType="end"/>
      </w:r>
    </w:p>
    <w:p w14:paraId="2AB300F1" w14:textId="2C4C6BA4"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Speed-to-market</w:t>
      </w:r>
      <w:r w:rsidRPr="009E2BBE">
        <w:rPr>
          <w:noProof w:val="0"/>
        </w:rPr>
        <w:tab/>
      </w:r>
      <w:r w:rsidRPr="009E2BBE">
        <w:rPr>
          <w:noProof w:val="0"/>
        </w:rPr>
        <w:fldChar w:fldCharType="begin"/>
      </w:r>
      <w:r w:rsidRPr="009E2BBE">
        <w:rPr>
          <w:noProof w:val="0"/>
        </w:rPr>
        <w:instrText xml:space="preserve"> PAGEREF _Toc65741350 \h </w:instrText>
      </w:r>
      <w:r w:rsidRPr="009E2BBE">
        <w:rPr>
          <w:noProof w:val="0"/>
        </w:rPr>
      </w:r>
      <w:r w:rsidRPr="009E2BBE">
        <w:rPr>
          <w:noProof w:val="0"/>
        </w:rPr>
        <w:fldChar w:fldCharType="separate"/>
      </w:r>
      <w:r w:rsidRPr="009E2BBE">
        <w:rPr>
          <w:noProof w:val="0"/>
        </w:rPr>
        <w:t>11</w:t>
      </w:r>
      <w:r w:rsidRPr="009E2BBE">
        <w:rPr>
          <w:noProof w:val="0"/>
        </w:rPr>
        <w:fldChar w:fldCharType="end"/>
      </w:r>
    </w:p>
    <w:p w14:paraId="3037EB67" w14:textId="0598AC90"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Other ways to address emerging skill needs</w:t>
      </w:r>
      <w:r w:rsidRPr="009E2BBE">
        <w:rPr>
          <w:noProof w:val="0"/>
        </w:rPr>
        <w:tab/>
      </w:r>
      <w:r w:rsidRPr="009E2BBE">
        <w:rPr>
          <w:noProof w:val="0"/>
        </w:rPr>
        <w:fldChar w:fldCharType="begin"/>
      </w:r>
      <w:r w:rsidRPr="009E2BBE">
        <w:rPr>
          <w:noProof w:val="0"/>
        </w:rPr>
        <w:instrText xml:space="preserve"> PAGEREF _Toc65741351 \h </w:instrText>
      </w:r>
      <w:r w:rsidRPr="009E2BBE">
        <w:rPr>
          <w:noProof w:val="0"/>
        </w:rPr>
      </w:r>
      <w:r w:rsidRPr="009E2BBE">
        <w:rPr>
          <w:noProof w:val="0"/>
        </w:rPr>
        <w:fldChar w:fldCharType="separate"/>
      </w:r>
      <w:r w:rsidRPr="009E2BBE">
        <w:rPr>
          <w:noProof w:val="0"/>
        </w:rPr>
        <w:t>12</w:t>
      </w:r>
      <w:r w:rsidRPr="009E2BBE">
        <w:rPr>
          <w:noProof w:val="0"/>
        </w:rPr>
        <w:fldChar w:fldCharType="end"/>
      </w:r>
    </w:p>
    <w:p w14:paraId="6C4E9DB1" w14:textId="51E40EDE" w:rsidR="00EA3747" w:rsidRPr="009E2BBE" w:rsidRDefault="00EA3747" w:rsidP="00A73094">
      <w:pPr>
        <w:pStyle w:val="TOC1"/>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Australia</w:t>
      </w:r>
      <w:r w:rsidRPr="009E2BBE">
        <w:rPr>
          <w:noProof w:val="0"/>
        </w:rPr>
        <w:tab/>
      </w:r>
      <w:r w:rsidRPr="009E2BBE">
        <w:rPr>
          <w:noProof w:val="0"/>
        </w:rPr>
        <w:fldChar w:fldCharType="begin"/>
      </w:r>
      <w:r w:rsidRPr="009E2BBE">
        <w:rPr>
          <w:noProof w:val="0"/>
        </w:rPr>
        <w:instrText xml:space="preserve"> PAGEREF _Toc65741352 \h </w:instrText>
      </w:r>
      <w:r w:rsidRPr="009E2BBE">
        <w:rPr>
          <w:noProof w:val="0"/>
        </w:rPr>
      </w:r>
      <w:r w:rsidRPr="009E2BBE">
        <w:rPr>
          <w:noProof w:val="0"/>
        </w:rPr>
        <w:fldChar w:fldCharType="separate"/>
      </w:r>
      <w:r w:rsidRPr="009E2BBE">
        <w:rPr>
          <w:noProof w:val="0"/>
        </w:rPr>
        <w:t>14</w:t>
      </w:r>
      <w:r w:rsidRPr="009E2BBE">
        <w:rPr>
          <w:noProof w:val="0"/>
        </w:rPr>
        <w:fldChar w:fldCharType="end"/>
      </w:r>
    </w:p>
    <w:p w14:paraId="1F046FE3" w14:textId="638102B4"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Overview</w:t>
      </w:r>
      <w:r w:rsidRPr="009E2BBE">
        <w:rPr>
          <w:noProof w:val="0"/>
        </w:rPr>
        <w:tab/>
      </w:r>
      <w:r w:rsidRPr="009E2BBE">
        <w:rPr>
          <w:noProof w:val="0"/>
        </w:rPr>
        <w:fldChar w:fldCharType="begin"/>
      </w:r>
      <w:r w:rsidRPr="009E2BBE">
        <w:rPr>
          <w:noProof w:val="0"/>
        </w:rPr>
        <w:instrText xml:space="preserve"> PAGEREF _Toc65741353 \h </w:instrText>
      </w:r>
      <w:r w:rsidRPr="009E2BBE">
        <w:rPr>
          <w:noProof w:val="0"/>
        </w:rPr>
      </w:r>
      <w:r w:rsidRPr="009E2BBE">
        <w:rPr>
          <w:noProof w:val="0"/>
        </w:rPr>
        <w:fldChar w:fldCharType="separate"/>
      </w:r>
      <w:r w:rsidRPr="009E2BBE">
        <w:rPr>
          <w:noProof w:val="0"/>
        </w:rPr>
        <w:t>14</w:t>
      </w:r>
      <w:r w:rsidRPr="009E2BBE">
        <w:rPr>
          <w:noProof w:val="0"/>
        </w:rPr>
        <w:fldChar w:fldCharType="end"/>
      </w:r>
    </w:p>
    <w:p w14:paraId="08451030" w14:textId="3F1EE57F"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Current vocational qualification development process</w:t>
      </w:r>
      <w:r w:rsidRPr="009E2BBE">
        <w:rPr>
          <w:noProof w:val="0"/>
        </w:rPr>
        <w:tab/>
      </w:r>
      <w:r w:rsidRPr="009E2BBE">
        <w:rPr>
          <w:noProof w:val="0"/>
        </w:rPr>
        <w:fldChar w:fldCharType="begin"/>
      </w:r>
      <w:r w:rsidRPr="009E2BBE">
        <w:rPr>
          <w:noProof w:val="0"/>
        </w:rPr>
        <w:instrText xml:space="preserve"> PAGEREF _Toc65741354 \h </w:instrText>
      </w:r>
      <w:r w:rsidRPr="009E2BBE">
        <w:rPr>
          <w:noProof w:val="0"/>
        </w:rPr>
      </w:r>
      <w:r w:rsidRPr="009E2BBE">
        <w:rPr>
          <w:noProof w:val="0"/>
        </w:rPr>
        <w:fldChar w:fldCharType="separate"/>
      </w:r>
      <w:r w:rsidRPr="009E2BBE">
        <w:rPr>
          <w:noProof w:val="0"/>
        </w:rPr>
        <w:t>14</w:t>
      </w:r>
      <w:r w:rsidRPr="009E2BBE">
        <w:rPr>
          <w:noProof w:val="0"/>
        </w:rPr>
        <w:fldChar w:fldCharType="end"/>
      </w:r>
    </w:p>
    <w:p w14:paraId="5C8AC82B" w14:textId="17A64785"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Qualification design</w:t>
      </w:r>
      <w:r w:rsidRPr="009E2BBE">
        <w:rPr>
          <w:noProof w:val="0"/>
        </w:rPr>
        <w:tab/>
      </w:r>
      <w:r w:rsidRPr="009E2BBE">
        <w:rPr>
          <w:noProof w:val="0"/>
        </w:rPr>
        <w:fldChar w:fldCharType="begin"/>
      </w:r>
      <w:r w:rsidRPr="009E2BBE">
        <w:rPr>
          <w:noProof w:val="0"/>
        </w:rPr>
        <w:instrText xml:space="preserve"> PAGEREF _Toc65741355 \h </w:instrText>
      </w:r>
      <w:r w:rsidRPr="009E2BBE">
        <w:rPr>
          <w:noProof w:val="0"/>
        </w:rPr>
      </w:r>
      <w:r w:rsidRPr="009E2BBE">
        <w:rPr>
          <w:noProof w:val="0"/>
        </w:rPr>
        <w:fldChar w:fldCharType="separate"/>
      </w:r>
      <w:r w:rsidRPr="009E2BBE">
        <w:rPr>
          <w:noProof w:val="0"/>
        </w:rPr>
        <w:t>17</w:t>
      </w:r>
      <w:r w:rsidRPr="009E2BBE">
        <w:rPr>
          <w:noProof w:val="0"/>
        </w:rPr>
        <w:fldChar w:fldCharType="end"/>
      </w:r>
    </w:p>
    <w:p w14:paraId="532E0571" w14:textId="3DB09606" w:rsidR="00EA3747" w:rsidRPr="009E2BBE" w:rsidRDefault="00EA3747" w:rsidP="00A73094">
      <w:pPr>
        <w:pStyle w:val="TOC1"/>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Canada</w:t>
      </w:r>
      <w:r w:rsidRPr="009E2BBE">
        <w:rPr>
          <w:noProof w:val="0"/>
        </w:rPr>
        <w:tab/>
      </w:r>
      <w:r w:rsidRPr="009E2BBE">
        <w:rPr>
          <w:noProof w:val="0"/>
        </w:rPr>
        <w:fldChar w:fldCharType="begin"/>
      </w:r>
      <w:r w:rsidRPr="009E2BBE">
        <w:rPr>
          <w:noProof w:val="0"/>
        </w:rPr>
        <w:instrText xml:space="preserve"> PAGEREF _Toc65741356 \h </w:instrText>
      </w:r>
      <w:r w:rsidRPr="009E2BBE">
        <w:rPr>
          <w:noProof w:val="0"/>
        </w:rPr>
      </w:r>
      <w:r w:rsidRPr="009E2BBE">
        <w:rPr>
          <w:noProof w:val="0"/>
        </w:rPr>
        <w:fldChar w:fldCharType="separate"/>
      </w:r>
      <w:r w:rsidRPr="009E2BBE">
        <w:rPr>
          <w:noProof w:val="0"/>
        </w:rPr>
        <w:t>18</w:t>
      </w:r>
      <w:r w:rsidRPr="009E2BBE">
        <w:rPr>
          <w:noProof w:val="0"/>
        </w:rPr>
        <w:fldChar w:fldCharType="end"/>
      </w:r>
    </w:p>
    <w:p w14:paraId="2793A881" w14:textId="39B9347F"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Overview</w:t>
      </w:r>
      <w:r w:rsidRPr="009E2BBE">
        <w:rPr>
          <w:noProof w:val="0"/>
        </w:rPr>
        <w:tab/>
      </w:r>
      <w:r w:rsidRPr="009E2BBE">
        <w:rPr>
          <w:noProof w:val="0"/>
        </w:rPr>
        <w:fldChar w:fldCharType="begin"/>
      </w:r>
      <w:r w:rsidRPr="009E2BBE">
        <w:rPr>
          <w:noProof w:val="0"/>
        </w:rPr>
        <w:instrText xml:space="preserve"> PAGEREF _Toc65741357 \h </w:instrText>
      </w:r>
      <w:r w:rsidRPr="009E2BBE">
        <w:rPr>
          <w:noProof w:val="0"/>
        </w:rPr>
      </w:r>
      <w:r w:rsidRPr="009E2BBE">
        <w:rPr>
          <w:noProof w:val="0"/>
        </w:rPr>
        <w:fldChar w:fldCharType="separate"/>
      </w:r>
      <w:r w:rsidRPr="009E2BBE">
        <w:rPr>
          <w:noProof w:val="0"/>
        </w:rPr>
        <w:t>18</w:t>
      </w:r>
      <w:r w:rsidRPr="009E2BBE">
        <w:rPr>
          <w:noProof w:val="0"/>
        </w:rPr>
        <w:fldChar w:fldCharType="end"/>
      </w:r>
    </w:p>
    <w:p w14:paraId="66B41848" w14:textId="5C505AA1"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Current vocational qualification development process</w:t>
      </w:r>
      <w:r w:rsidRPr="009E2BBE">
        <w:rPr>
          <w:noProof w:val="0"/>
        </w:rPr>
        <w:tab/>
      </w:r>
      <w:r w:rsidRPr="009E2BBE">
        <w:rPr>
          <w:noProof w:val="0"/>
        </w:rPr>
        <w:fldChar w:fldCharType="begin"/>
      </w:r>
      <w:r w:rsidRPr="009E2BBE">
        <w:rPr>
          <w:noProof w:val="0"/>
        </w:rPr>
        <w:instrText xml:space="preserve"> PAGEREF _Toc65741358 \h </w:instrText>
      </w:r>
      <w:r w:rsidRPr="009E2BBE">
        <w:rPr>
          <w:noProof w:val="0"/>
        </w:rPr>
      </w:r>
      <w:r w:rsidRPr="009E2BBE">
        <w:rPr>
          <w:noProof w:val="0"/>
        </w:rPr>
        <w:fldChar w:fldCharType="separate"/>
      </w:r>
      <w:r w:rsidRPr="009E2BBE">
        <w:rPr>
          <w:noProof w:val="0"/>
        </w:rPr>
        <w:t>18</w:t>
      </w:r>
      <w:r w:rsidRPr="009E2BBE">
        <w:rPr>
          <w:noProof w:val="0"/>
        </w:rPr>
        <w:fldChar w:fldCharType="end"/>
      </w:r>
    </w:p>
    <w:p w14:paraId="26145D92" w14:textId="0CAD7E25"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Qualification design</w:t>
      </w:r>
      <w:r w:rsidRPr="009E2BBE">
        <w:rPr>
          <w:noProof w:val="0"/>
        </w:rPr>
        <w:tab/>
      </w:r>
      <w:r w:rsidRPr="009E2BBE">
        <w:rPr>
          <w:noProof w:val="0"/>
        </w:rPr>
        <w:fldChar w:fldCharType="begin"/>
      </w:r>
      <w:r w:rsidRPr="009E2BBE">
        <w:rPr>
          <w:noProof w:val="0"/>
        </w:rPr>
        <w:instrText xml:space="preserve"> PAGEREF _Toc65741359 \h </w:instrText>
      </w:r>
      <w:r w:rsidRPr="009E2BBE">
        <w:rPr>
          <w:noProof w:val="0"/>
        </w:rPr>
      </w:r>
      <w:r w:rsidRPr="009E2BBE">
        <w:rPr>
          <w:noProof w:val="0"/>
        </w:rPr>
        <w:fldChar w:fldCharType="separate"/>
      </w:r>
      <w:r w:rsidRPr="009E2BBE">
        <w:rPr>
          <w:noProof w:val="0"/>
        </w:rPr>
        <w:t>21</w:t>
      </w:r>
      <w:r w:rsidRPr="009E2BBE">
        <w:rPr>
          <w:noProof w:val="0"/>
        </w:rPr>
        <w:fldChar w:fldCharType="end"/>
      </w:r>
    </w:p>
    <w:p w14:paraId="76567497" w14:textId="710FC7F8"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Review of qualification development process</w:t>
      </w:r>
      <w:r w:rsidRPr="009E2BBE">
        <w:rPr>
          <w:noProof w:val="0"/>
        </w:rPr>
        <w:tab/>
      </w:r>
      <w:r w:rsidRPr="009E2BBE">
        <w:rPr>
          <w:noProof w:val="0"/>
        </w:rPr>
        <w:fldChar w:fldCharType="begin"/>
      </w:r>
      <w:r w:rsidRPr="009E2BBE">
        <w:rPr>
          <w:noProof w:val="0"/>
        </w:rPr>
        <w:instrText xml:space="preserve"> PAGEREF _Toc65741360 \h </w:instrText>
      </w:r>
      <w:r w:rsidRPr="009E2BBE">
        <w:rPr>
          <w:noProof w:val="0"/>
        </w:rPr>
      </w:r>
      <w:r w:rsidRPr="009E2BBE">
        <w:rPr>
          <w:noProof w:val="0"/>
        </w:rPr>
        <w:fldChar w:fldCharType="separate"/>
      </w:r>
      <w:r w:rsidRPr="009E2BBE">
        <w:rPr>
          <w:noProof w:val="0"/>
        </w:rPr>
        <w:t>22</w:t>
      </w:r>
      <w:r w:rsidRPr="009E2BBE">
        <w:rPr>
          <w:noProof w:val="0"/>
        </w:rPr>
        <w:fldChar w:fldCharType="end"/>
      </w:r>
    </w:p>
    <w:p w14:paraId="6DC3BACA" w14:textId="36F4B113"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Other Canadian systems of interest</w:t>
      </w:r>
      <w:r w:rsidRPr="009E2BBE">
        <w:rPr>
          <w:noProof w:val="0"/>
        </w:rPr>
        <w:tab/>
      </w:r>
      <w:r w:rsidRPr="009E2BBE">
        <w:rPr>
          <w:noProof w:val="0"/>
        </w:rPr>
        <w:fldChar w:fldCharType="begin"/>
      </w:r>
      <w:r w:rsidRPr="009E2BBE">
        <w:rPr>
          <w:noProof w:val="0"/>
        </w:rPr>
        <w:instrText xml:space="preserve"> PAGEREF _Toc65741361 \h </w:instrText>
      </w:r>
      <w:r w:rsidRPr="009E2BBE">
        <w:rPr>
          <w:noProof w:val="0"/>
        </w:rPr>
      </w:r>
      <w:r w:rsidRPr="009E2BBE">
        <w:rPr>
          <w:noProof w:val="0"/>
        </w:rPr>
        <w:fldChar w:fldCharType="separate"/>
      </w:r>
      <w:r w:rsidRPr="009E2BBE">
        <w:rPr>
          <w:noProof w:val="0"/>
        </w:rPr>
        <w:t>22</w:t>
      </w:r>
      <w:r w:rsidRPr="009E2BBE">
        <w:rPr>
          <w:noProof w:val="0"/>
        </w:rPr>
        <w:fldChar w:fldCharType="end"/>
      </w:r>
    </w:p>
    <w:p w14:paraId="08E1D3FE" w14:textId="56924903" w:rsidR="00EA3747" w:rsidRPr="009E2BBE" w:rsidRDefault="00EA3747" w:rsidP="00A73094">
      <w:pPr>
        <w:pStyle w:val="TOC1"/>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Finland</w:t>
      </w:r>
      <w:r w:rsidRPr="009E2BBE">
        <w:rPr>
          <w:noProof w:val="0"/>
        </w:rPr>
        <w:tab/>
      </w:r>
      <w:r w:rsidRPr="009E2BBE">
        <w:rPr>
          <w:noProof w:val="0"/>
        </w:rPr>
        <w:fldChar w:fldCharType="begin"/>
      </w:r>
      <w:r w:rsidRPr="009E2BBE">
        <w:rPr>
          <w:noProof w:val="0"/>
        </w:rPr>
        <w:instrText xml:space="preserve"> PAGEREF _Toc65741362 \h </w:instrText>
      </w:r>
      <w:r w:rsidRPr="009E2BBE">
        <w:rPr>
          <w:noProof w:val="0"/>
        </w:rPr>
      </w:r>
      <w:r w:rsidRPr="009E2BBE">
        <w:rPr>
          <w:noProof w:val="0"/>
        </w:rPr>
        <w:fldChar w:fldCharType="separate"/>
      </w:r>
      <w:r w:rsidRPr="009E2BBE">
        <w:rPr>
          <w:noProof w:val="0"/>
        </w:rPr>
        <w:t>25</w:t>
      </w:r>
      <w:r w:rsidRPr="009E2BBE">
        <w:rPr>
          <w:noProof w:val="0"/>
        </w:rPr>
        <w:fldChar w:fldCharType="end"/>
      </w:r>
    </w:p>
    <w:p w14:paraId="5A8E6D72" w14:textId="528DA38A"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Overview</w:t>
      </w:r>
      <w:r w:rsidRPr="009E2BBE">
        <w:rPr>
          <w:noProof w:val="0"/>
        </w:rPr>
        <w:tab/>
      </w:r>
      <w:r w:rsidRPr="009E2BBE">
        <w:rPr>
          <w:noProof w:val="0"/>
        </w:rPr>
        <w:fldChar w:fldCharType="begin"/>
      </w:r>
      <w:r w:rsidRPr="009E2BBE">
        <w:rPr>
          <w:noProof w:val="0"/>
        </w:rPr>
        <w:instrText xml:space="preserve"> PAGEREF _Toc65741363 \h </w:instrText>
      </w:r>
      <w:r w:rsidRPr="009E2BBE">
        <w:rPr>
          <w:noProof w:val="0"/>
        </w:rPr>
      </w:r>
      <w:r w:rsidRPr="009E2BBE">
        <w:rPr>
          <w:noProof w:val="0"/>
        </w:rPr>
        <w:fldChar w:fldCharType="separate"/>
      </w:r>
      <w:r w:rsidRPr="009E2BBE">
        <w:rPr>
          <w:noProof w:val="0"/>
        </w:rPr>
        <w:t>25</w:t>
      </w:r>
      <w:r w:rsidRPr="009E2BBE">
        <w:rPr>
          <w:noProof w:val="0"/>
        </w:rPr>
        <w:fldChar w:fldCharType="end"/>
      </w:r>
    </w:p>
    <w:p w14:paraId="250994C5" w14:textId="3DECF650"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Current vocational qualification development process</w:t>
      </w:r>
      <w:r w:rsidRPr="009E2BBE">
        <w:rPr>
          <w:noProof w:val="0"/>
        </w:rPr>
        <w:tab/>
      </w:r>
      <w:r w:rsidRPr="009E2BBE">
        <w:rPr>
          <w:noProof w:val="0"/>
        </w:rPr>
        <w:fldChar w:fldCharType="begin"/>
      </w:r>
      <w:r w:rsidRPr="009E2BBE">
        <w:rPr>
          <w:noProof w:val="0"/>
        </w:rPr>
        <w:instrText xml:space="preserve"> PAGEREF _Toc65741364 \h </w:instrText>
      </w:r>
      <w:r w:rsidRPr="009E2BBE">
        <w:rPr>
          <w:noProof w:val="0"/>
        </w:rPr>
      </w:r>
      <w:r w:rsidRPr="009E2BBE">
        <w:rPr>
          <w:noProof w:val="0"/>
        </w:rPr>
        <w:fldChar w:fldCharType="separate"/>
      </w:r>
      <w:r w:rsidRPr="009E2BBE">
        <w:rPr>
          <w:noProof w:val="0"/>
        </w:rPr>
        <w:t>25</w:t>
      </w:r>
      <w:r w:rsidRPr="009E2BBE">
        <w:rPr>
          <w:noProof w:val="0"/>
        </w:rPr>
        <w:fldChar w:fldCharType="end"/>
      </w:r>
    </w:p>
    <w:p w14:paraId="7B9D01AF" w14:textId="3918E4C6"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Qualification design</w:t>
      </w:r>
      <w:r w:rsidRPr="009E2BBE">
        <w:rPr>
          <w:noProof w:val="0"/>
        </w:rPr>
        <w:tab/>
      </w:r>
      <w:r w:rsidRPr="009E2BBE">
        <w:rPr>
          <w:noProof w:val="0"/>
        </w:rPr>
        <w:fldChar w:fldCharType="begin"/>
      </w:r>
      <w:r w:rsidRPr="009E2BBE">
        <w:rPr>
          <w:noProof w:val="0"/>
        </w:rPr>
        <w:instrText xml:space="preserve"> PAGEREF _Toc65741365 \h </w:instrText>
      </w:r>
      <w:r w:rsidRPr="009E2BBE">
        <w:rPr>
          <w:noProof w:val="0"/>
        </w:rPr>
      </w:r>
      <w:r w:rsidRPr="009E2BBE">
        <w:rPr>
          <w:noProof w:val="0"/>
        </w:rPr>
        <w:fldChar w:fldCharType="separate"/>
      </w:r>
      <w:r w:rsidRPr="009E2BBE">
        <w:rPr>
          <w:noProof w:val="0"/>
        </w:rPr>
        <w:t>26</w:t>
      </w:r>
      <w:r w:rsidRPr="009E2BBE">
        <w:rPr>
          <w:noProof w:val="0"/>
        </w:rPr>
        <w:fldChar w:fldCharType="end"/>
      </w:r>
    </w:p>
    <w:p w14:paraId="515698A6" w14:textId="22797626"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Review of qualification development process</w:t>
      </w:r>
      <w:r w:rsidRPr="009E2BBE">
        <w:rPr>
          <w:noProof w:val="0"/>
        </w:rPr>
        <w:tab/>
      </w:r>
      <w:r w:rsidRPr="009E2BBE">
        <w:rPr>
          <w:noProof w:val="0"/>
        </w:rPr>
        <w:fldChar w:fldCharType="begin"/>
      </w:r>
      <w:r w:rsidRPr="009E2BBE">
        <w:rPr>
          <w:noProof w:val="0"/>
        </w:rPr>
        <w:instrText xml:space="preserve"> PAGEREF _Toc65741366 \h </w:instrText>
      </w:r>
      <w:r w:rsidRPr="009E2BBE">
        <w:rPr>
          <w:noProof w:val="0"/>
        </w:rPr>
      </w:r>
      <w:r w:rsidRPr="009E2BBE">
        <w:rPr>
          <w:noProof w:val="0"/>
        </w:rPr>
        <w:fldChar w:fldCharType="separate"/>
      </w:r>
      <w:r w:rsidRPr="009E2BBE">
        <w:rPr>
          <w:noProof w:val="0"/>
        </w:rPr>
        <w:t>27</w:t>
      </w:r>
      <w:r w:rsidRPr="009E2BBE">
        <w:rPr>
          <w:noProof w:val="0"/>
        </w:rPr>
        <w:fldChar w:fldCharType="end"/>
      </w:r>
    </w:p>
    <w:p w14:paraId="022AFEBC" w14:textId="1A887A6A" w:rsidR="00EA3747" w:rsidRPr="009E2BBE" w:rsidRDefault="00EA3747" w:rsidP="00A73094">
      <w:pPr>
        <w:pStyle w:val="TOC1"/>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New Zealand</w:t>
      </w:r>
      <w:r w:rsidRPr="009E2BBE">
        <w:rPr>
          <w:noProof w:val="0"/>
        </w:rPr>
        <w:tab/>
      </w:r>
      <w:r w:rsidRPr="009E2BBE">
        <w:rPr>
          <w:noProof w:val="0"/>
        </w:rPr>
        <w:fldChar w:fldCharType="begin"/>
      </w:r>
      <w:r w:rsidRPr="009E2BBE">
        <w:rPr>
          <w:noProof w:val="0"/>
        </w:rPr>
        <w:instrText xml:space="preserve"> PAGEREF _Toc65741367 \h </w:instrText>
      </w:r>
      <w:r w:rsidRPr="009E2BBE">
        <w:rPr>
          <w:noProof w:val="0"/>
        </w:rPr>
      </w:r>
      <w:r w:rsidRPr="009E2BBE">
        <w:rPr>
          <w:noProof w:val="0"/>
        </w:rPr>
        <w:fldChar w:fldCharType="separate"/>
      </w:r>
      <w:r w:rsidRPr="009E2BBE">
        <w:rPr>
          <w:noProof w:val="0"/>
        </w:rPr>
        <w:t>28</w:t>
      </w:r>
      <w:r w:rsidRPr="009E2BBE">
        <w:rPr>
          <w:noProof w:val="0"/>
        </w:rPr>
        <w:fldChar w:fldCharType="end"/>
      </w:r>
    </w:p>
    <w:p w14:paraId="467B3163" w14:textId="0BD8FC95"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Overview</w:t>
      </w:r>
      <w:r w:rsidRPr="009E2BBE">
        <w:rPr>
          <w:noProof w:val="0"/>
        </w:rPr>
        <w:tab/>
      </w:r>
      <w:r w:rsidRPr="009E2BBE">
        <w:rPr>
          <w:noProof w:val="0"/>
        </w:rPr>
        <w:fldChar w:fldCharType="begin"/>
      </w:r>
      <w:r w:rsidRPr="009E2BBE">
        <w:rPr>
          <w:noProof w:val="0"/>
        </w:rPr>
        <w:instrText xml:space="preserve"> PAGEREF _Toc65741368 \h </w:instrText>
      </w:r>
      <w:r w:rsidRPr="009E2BBE">
        <w:rPr>
          <w:noProof w:val="0"/>
        </w:rPr>
      </w:r>
      <w:r w:rsidRPr="009E2BBE">
        <w:rPr>
          <w:noProof w:val="0"/>
        </w:rPr>
        <w:fldChar w:fldCharType="separate"/>
      </w:r>
      <w:r w:rsidRPr="009E2BBE">
        <w:rPr>
          <w:noProof w:val="0"/>
        </w:rPr>
        <w:t>28</w:t>
      </w:r>
      <w:r w:rsidRPr="009E2BBE">
        <w:rPr>
          <w:noProof w:val="0"/>
        </w:rPr>
        <w:fldChar w:fldCharType="end"/>
      </w:r>
    </w:p>
    <w:p w14:paraId="7F227A8E" w14:textId="4C664701"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Current vocational qualification development process</w:t>
      </w:r>
      <w:r w:rsidRPr="009E2BBE">
        <w:rPr>
          <w:noProof w:val="0"/>
        </w:rPr>
        <w:tab/>
      </w:r>
      <w:r w:rsidRPr="009E2BBE">
        <w:rPr>
          <w:noProof w:val="0"/>
        </w:rPr>
        <w:fldChar w:fldCharType="begin"/>
      </w:r>
      <w:r w:rsidRPr="009E2BBE">
        <w:rPr>
          <w:noProof w:val="0"/>
        </w:rPr>
        <w:instrText xml:space="preserve"> PAGEREF _Toc65741369 \h </w:instrText>
      </w:r>
      <w:r w:rsidRPr="009E2BBE">
        <w:rPr>
          <w:noProof w:val="0"/>
        </w:rPr>
      </w:r>
      <w:r w:rsidRPr="009E2BBE">
        <w:rPr>
          <w:noProof w:val="0"/>
        </w:rPr>
        <w:fldChar w:fldCharType="separate"/>
      </w:r>
      <w:r w:rsidRPr="009E2BBE">
        <w:rPr>
          <w:noProof w:val="0"/>
        </w:rPr>
        <w:t>28</w:t>
      </w:r>
      <w:r w:rsidRPr="009E2BBE">
        <w:rPr>
          <w:noProof w:val="0"/>
        </w:rPr>
        <w:fldChar w:fldCharType="end"/>
      </w:r>
    </w:p>
    <w:p w14:paraId="68C49763" w14:textId="48EFEFDA"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Qualification design</w:t>
      </w:r>
      <w:r w:rsidRPr="009E2BBE">
        <w:rPr>
          <w:noProof w:val="0"/>
        </w:rPr>
        <w:tab/>
      </w:r>
      <w:r w:rsidRPr="009E2BBE">
        <w:rPr>
          <w:noProof w:val="0"/>
        </w:rPr>
        <w:fldChar w:fldCharType="begin"/>
      </w:r>
      <w:r w:rsidRPr="009E2BBE">
        <w:rPr>
          <w:noProof w:val="0"/>
        </w:rPr>
        <w:instrText xml:space="preserve"> PAGEREF _Toc65741370 \h </w:instrText>
      </w:r>
      <w:r w:rsidRPr="009E2BBE">
        <w:rPr>
          <w:noProof w:val="0"/>
        </w:rPr>
      </w:r>
      <w:r w:rsidRPr="009E2BBE">
        <w:rPr>
          <w:noProof w:val="0"/>
        </w:rPr>
        <w:fldChar w:fldCharType="separate"/>
      </w:r>
      <w:r w:rsidRPr="009E2BBE">
        <w:rPr>
          <w:noProof w:val="0"/>
        </w:rPr>
        <w:t>31</w:t>
      </w:r>
      <w:r w:rsidRPr="009E2BBE">
        <w:rPr>
          <w:noProof w:val="0"/>
        </w:rPr>
        <w:fldChar w:fldCharType="end"/>
      </w:r>
    </w:p>
    <w:p w14:paraId="58F0B044" w14:textId="5A0CE397"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Review of qualification development process</w:t>
      </w:r>
      <w:r w:rsidRPr="009E2BBE">
        <w:rPr>
          <w:noProof w:val="0"/>
        </w:rPr>
        <w:tab/>
      </w:r>
      <w:r w:rsidRPr="009E2BBE">
        <w:rPr>
          <w:noProof w:val="0"/>
        </w:rPr>
        <w:fldChar w:fldCharType="begin"/>
      </w:r>
      <w:r w:rsidRPr="009E2BBE">
        <w:rPr>
          <w:noProof w:val="0"/>
        </w:rPr>
        <w:instrText xml:space="preserve"> PAGEREF _Toc65741371 \h </w:instrText>
      </w:r>
      <w:r w:rsidRPr="009E2BBE">
        <w:rPr>
          <w:noProof w:val="0"/>
        </w:rPr>
      </w:r>
      <w:r w:rsidRPr="009E2BBE">
        <w:rPr>
          <w:noProof w:val="0"/>
        </w:rPr>
        <w:fldChar w:fldCharType="separate"/>
      </w:r>
      <w:r w:rsidRPr="009E2BBE">
        <w:rPr>
          <w:noProof w:val="0"/>
        </w:rPr>
        <w:t>32</w:t>
      </w:r>
      <w:r w:rsidRPr="009E2BBE">
        <w:rPr>
          <w:noProof w:val="0"/>
        </w:rPr>
        <w:fldChar w:fldCharType="end"/>
      </w:r>
    </w:p>
    <w:p w14:paraId="24A711D9" w14:textId="6EAE75C3" w:rsidR="00EA3747" w:rsidRPr="009E2BBE" w:rsidRDefault="00EA3747" w:rsidP="00A73094">
      <w:pPr>
        <w:pStyle w:val="TOC1"/>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Singapore</w:t>
      </w:r>
      <w:r w:rsidRPr="009E2BBE">
        <w:rPr>
          <w:noProof w:val="0"/>
        </w:rPr>
        <w:tab/>
      </w:r>
      <w:r w:rsidRPr="009E2BBE">
        <w:rPr>
          <w:noProof w:val="0"/>
        </w:rPr>
        <w:fldChar w:fldCharType="begin"/>
      </w:r>
      <w:r w:rsidRPr="009E2BBE">
        <w:rPr>
          <w:noProof w:val="0"/>
        </w:rPr>
        <w:instrText xml:space="preserve"> PAGEREF _Toc65741372 \h </w:instrText>
      </w:r>
      <w:r w:rsidRPr="009E2BBE">
        <w:rPr>
          <w:noProof w:val="0"/>
        </w:rPr>
      </w:r>
      <w:r w:rsidRPr="009E2BBE">
        <w:rPr>
          <w:noProof w:val="0"/>
        </w:rPr>
        <w:fldChar w:fldCharType="separate"/>
      </w:r>
      <w:r w:rsidRPr="009E2BBE">
        <w:rPr>
          <w:noProof w:val="0"/>
        </w:rPr>
        <w:t>33</w:t>
      </w:r>
      <w:r w:rsidRPr="009E2BBE">
        <w:rPr>
          <w:noProof w:val="0"/>
        </w:rPr>
        <w:fldChar w:fldCharType="end"/>
      </w:r>
    </w:p>
    <w:p w14:paraId="38646FF3" w14:textId="64E1B414"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Overview</w:t>
      </w:r>
      <w:r w:rsidRPr="009E2BBE">
        <w:rPr>
          <w:noProof w:val="0"/>
        </w:rPr>
        <w:tab/>
      </w:r>
      <w:r w:rsidRPr="009E2BBE">
        <w:rPr>
          <w:noProof w:val="0"/>
        </w:rPr>
        <w:fldChar w:fldCharType="begin"/>
      </w:r>
      <w:r w:rsidRPr="009E2BBE">
        <w:rPr>
          <w:noProof w:val="0"/>
        </w:rPr>
        <w:instrText xml:space="preserve"> PAGEREF _Toc65741373 \h </w:instrText>
      </w:r>
      <w:r w:rsidRPr="009E2BBE">
        <w:rPr>
          <w:noProof w:val="0"/>
        </w:rPr>
      </w:r>
      <w:r w:rsidRPr="009E2BBE">
        <w:rPr>
          <w:noProof w:val="0"/>
        </w:rPr>
        <w:fldChar w:fldCharType="separate"/>
      </w:r>
      <w:r w:rsidRPr="009E2BBE">
        <w:rPr>
          <w:noProof w:val="0"/>
        </w:rPr>
        <w:t>33</w:t>
      </w:r>
      <w:r w:rsidRPr="009E2BBE">
        <w:rPr>
          <w:noProof w:val="0"/>
        </w:rPr>
        <w:fldChar w:fldCharType="end"/>
      </w:r>
    </w:p>
    <w:p w14:paraId="00278703" w14:textId="4D697CEF"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Current vocational qualification development process</w:t>
      </w:r>
      <w:r w:rsidRPr="009E2BBE">
        <w:rPr>
          <w:noProof w:val="0"/>
        </w:rPr>
        <w:tab/>
      </w:r>
      <w:r w:rsidRPr="009E2BBE">
        <w:rPr>
          <w:noProof w:val="0"/>
        </w:rPr>
        <w:fldChar w:fldCharType="begin"/>
      </w:r>
      <w:r w:rsidRPr="009E2BBE">
        <w:rPr>
          <w:noProof w:val="0"/>
        </w:rPr>
        <w:instrText xml:space="preserve"> PAGEREF _Toc65741374 \h </w:instrText>
      </w:r>
      <w:r w:rsidRPr="009E2BBE">
        <w:rPr>
          <w:noProof w:val="0"/>
        </w:rPr>
      </w:r>
      <w:r w:rsidRPr="009E2BBE">
        <w:rPr>
          <w:noProof w:val="0"/>
        </w:rPr>
        <w:fldChar w:fldCharType="separate"/>
      </w:r>
      <w:r w:rsidRPr="009E2BBE">
        <w:rPr>
          <w:noProof w:val="0"/>
        </w:rPr>
        <w:t>33</w:t>
      </w:r>
      <w:r w:rsidRPr="009E2BBE">
        <w:rPr>
          <w:noProof w:val="0"/>
        </w:rPr>
        <w:fldChar w:fldCharType="end"/>
      </w:r>
    </w:p>
    <w:p w14:paraId="07732761" w14:textId="1A85C96D"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Qualification design</w:t>
      </w:r>
      <w:r w:rsidRPr="009E2BBE">
        <w:rPr>
          <w:noProof w:val="0"/>
        </w:rPr>
        <w:tab/>
      </w:r>
      <w:r w:rsidRPr="009E2BBE">
        <w:rPr>
          <w:noProof w:val="0"/>
        </w:rPr>
        <w:fldChar w:fldCharType="begin"/>
      </w:r>
      <w:r w:rsidRPr="009E2BBE">
        <w:rPr>
          <w:noProof w:val="0"/>
        </w:rPr>
        <w:instrText xml:space="preserve"> PAGEREF _Toc65741375 \h </w:instrText>
      </w:r>
      <w:r w:rsidRPr="009E2BBE">
        <w:rPr>
          <w:noProof w:val="0"/>
        </w:rPr>
      </w:r>
      <w:r w:rsidRPr="009E2BBE">
        <w:rPr>
          <w:noProof w:val="0"/>
        </w:rPr>
        <w:fldChar w:fldCharType="separate"/>
      </w:r>
      <w:r w:rsidRPr="009E2BBE">
        <w:rPr>
          <w:noProof w:val="0"/>
        </w:rPr>
        <w:t>34</w:t>
      </w:r>
      <w:r w:rsidRPr="009E2BBE">
        <w:rPr>
          <w:noProof w:val="0"/>
        </w:rPr>
        <w:fldChar w:fldCharType="end"/>
      </w:r>
    </w:p>
    <w:p w14:paraId="67BA6AEF" w14:textId="1B6B7F0F"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Review of qualification development process</w:t>
      </w:r>
      <w:r w:rsidRPr="009E2BBE">
        <w:rPr>
          <w:noProof w:val="0"/>
        </w:rPr>
        <w:tab/>
      </w:r>
      <w:r w:rsidRPr="009E2BBE">
        <w:rPr>
          <w:noProof w:val="0"/>
        </w:rPr>
        <w:fldChar w:fldCharType="begin"/>
      </w:r>
      <w:r w:rsidRPr="009E2BBE">
        <w:rPr>
          <w:noProof w:val="0"/>
        </w:rPr>
        <w:instrText xml:space="preserve"> PAGEREF _Toc65741376 \h </w:instrText>
      </w:r>
      <w:r w:rsidRPr="009E2BBE">
        <w:rPr>
          <w:noProof w:val="0"/>
        </w:rPr>
      </w:r>
      <w:r w:rsidRPr="009E2BBE">
        <w:rPr>
          <w:noProof w:val="0"/>
        </w:rPr>
        <w:fldChar w:fldCharType="separate"/>
      </w:r>
      <w:r w:rsidRPr="009E2BBE">
        <w:rPr>
          <w:noProof w:val="0"/>
        </w:rPr>
        <w:t>35</w:t>
      </w:r>
      <w:r w:rsidRPr="009E2BBE">
        <w:rPr>
          <w:noProof w:val="0"/>
        </w:rPr>
        <w:fldChar w:fldCharType="end"/>
      </w:r>
    </w:p>
    <w:p w14:paraId="75A551F7" w14:textId="779DBF3D" w:rsidR="00EA3747" w:rsidRPr="009E2BBE" w:rsidRDefault="00EA3747" w:rsidP="00A73094">
      <w:pPr>
        <w:pStyle w:val="TOC1"/>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South Africa</w:t>
      </w:r>
      <w:r w:rsidRPr="009E2BBE">
        <w:rPr>
          <w:noProof w:val="0"/>
        </w:rPr>
        <w:tab/>
      </w:r>
      <w:r w:rsidRPr="009E2BBE">
        <w:rPr>
          <w:noProof w:val="0"/>
        </w:rPr>
        <w:fldChar w:fldCharType="begin"/>
      </w:r>
      <w:r w:rsidRPr="009E2BBE">
        <w:rPr>
          <w:noProof w:val="0"/>
        </w:rPr>
        <w:instrText xml:space="preserve"> PAGEREF _Toc65741377 \h </w:instrText>
      </w:r>
      <w:r w:rsidRPr="009E2BBE">
        <w:rPr>
          <w:noProof w:val="0"/>
        </w:rPr>
      </w:r>
      <w:r w:rsidRPr="009E2BBE">
        <w:rPr>
          <w:noProof w:val="0"/>
        </w:rPr>
        <w:fldChar w:fldCharType="separate"/>
      </w:r>
      <w:r w:rsidRPr="009E2BBE">
        <w:rPr>
          <w:noProof w:val="0"/>
        </w:rPr>
        <w:t>36</w:t>
      </w:r>
      <w:r w:rsidRPr="009E2BBE">
        <w:rPr>
          <w:noProof w:val="0"/>
        </w:rPr>
        <w:fldChar w:fldCharType="end"/>
      </w:r>
    </w:p>
    <w:p w14:paraId="62466B03" w14:textId="7F1A6412"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Overview</w:t>
      </w:r>
      <w:r w:rsidRPr="009E2BBE">
        <w:rPr>
          <w:noProof w:val="0"/>
        </w:rPr>
        <w:tab/>
      </w:r>
      <w:r w:rsidRPr="009E2BBE">
        <w:rPr>
          <w:noProof w:val="0"/>
        </w:rPr>
        <w:fldChar w:fldCharType="begin"/>
      </w:r>
      <w:r w:rsidRPr="009E2BBE">
        <w:rPr>
          <w:noProof w:val="0"/>
        </w:rPr>
        <w:instrText xml:space="preserve"> PAGEREF _Toc65741378 \h </w:instrText>
      </w:r>
      <w:r w:rsidRPr="009E2BBE">
        <w:rPr>
          <w:noProof w:val="0"/>
        </w:rPr>
      </w:r>
      <w:r w:rsidRPr="009E2BBE">
        <w:rPr>
          <w:noProof w:val="0"/>
        </w:rPr>
        <w:fldChar w:fldCharType="separate"/>
      </w:r>
      <w:r w:rsidRPr="009E2BBE">
        <w:rPr>
          <w:noProof w:val="0"/>
        </w:rPr>
        <w:t>36</w:t>
      </w:r>
      <w:r w:rsidRPr="009E2BBE">
        <w:rPr>
          <w:noProof w:val="0"/>
        </w:rPr>
        <w:fldChar w:fldCharType="end"/>
      </w:r>
    </w:p>
    <w:p w14:paraId="42843CB7" w14:textId="1E10B068"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Current vocational qualification development process</w:t>
      </w:r>
      <w:r w:rsidRPr="009E2BBE">
        <w:rPr>
          <w:noProof w:val="0"/>
        </w:rPr>
        <w:tab/>
      </w:r>
      <w:r w:rsidRPr="009E2BBE">
        <w:rPr>
          <w:noProof w:val="0"/>
        </w:rPr>
        <w:fldChar w:fldCharType="begin"/>
      </w:r>
      <w:r w:rsidRPr="009E2BBE">
        <w:rPr>
          <w:noProof w:val="0"/>
        </w:rPr>
        <w:instrText xml:space="preserve"> PAGEREF _Toc65741379 \h </w:instrText>
      </w:r>
      <w:r w:rsidRPr="009E2BBE">
        <w:rPr>
          <w:noProof w:val="0"/>
        </w:rPr>
      </w:r>
      <w:r w:rsidRPr="009E2BBE">
        <w:rPr>
          <w:noProof w:val="0"/>
        </w:rPr>
        <w:fldChar w:fldCharType="separate"/>
      </w:r>
      <w:r w:rsidRPr="009E2BBE">
        <w:rPr>
          <w:noProof w:val="0"/>
        </w:rPr>
        <w:t>36</w:t>
      </w:r>
      <w:r w:rsidRPr="009E2BBE">
        <w:rPr>
          <w:noProof w:val="0"/>
        </w:rPr>
        <w:fldChar w:fldCharType="end"/>
      </w:r>
    </w:p>
    <w:p w14:paraId="6619FE29" w14:textId="4DC383BE"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Qualification design</w:t>
      </w:r>
      <w:r w:rsidRPr="009E2BBE">
        <w:rPr>
          <w:noProof w:val="0"/>
        </w:rPr>
        <w:tab/>
      </w:r>
      <w:r w:rsidRPr="009E2BBE">
        <w:rPr>
          <w:noProof w:val="0"/>
        </w:rPr>
        <w:fldChar w:fldCharType="begin"/>
      </w:r>
      <w:r w:rsidRPr="009E2BBE">
        <w:rPr>
          <w:noProof w:val="0"/>
        </w:rPr>
        <w:instrText xml:space="preserve"> PAGEREF _Toc65741380 \h </w:instrText>
      </w:r>
      <w:r w:rsidRPr="009E2BBE">
        <w:rPr>
          <w:noProof w:val="0"/>
        </w:rPr>
      </w:r>
      <w:r w:rsidRPr="009E2BBE">
        <w:rPr>
          <w:noProof w:val="0"/>
        </w:rPr>
        <w:fldChar w:fldCharType="separate"/>
      </w:r>
      <w:r w:rsidRPr="009E2BBE">
        <w:rPr>
          <w:noProof w:val="0"/>
        </w:rPr>
        <w:t>39</w:t>
      </w:r>
      <w:r w:rsidRPr="009E2BBE">
        <w:rPr>
          <w:noProof w:val="0"/>
        </w:rPr>
        <w:fldChar w:fldCharType="end"/>
      </w:r>
    </w:p>
    <w:p w14:paraId="0E386841" w14:textId="507FC8C4"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Rationalisation of qualifications</w:t>
      </w:r>
      <w:r w:rsidRPr="009E2BBE">
        <w:rPr>
          <w:noProof w:val="0"/>
        </w:rPr>
        <w:tab/>
      </w:r>
      <w:r w:rsidRPr="009E2BBE">
        <w:rPr>
          <w:noProof w:val="0"/>
        </w:rPr>
        <w:fldChar w:fldCharType="begin"/>
      </w:r>
      <w:r w:rsidRPr="009E2BBE">
        <w:rPr>
          <w:noProof w:val="0"/>
        </w:rPr>
        <w:instrText xml:space="preserve"> PAGEREF _Toc65741381 \h </w:instrText>
      </w:r>
      <w:r w:rsidRPr="009E2BBE">
        <w:rPr>
          <w:noProof w:val="0"/>
        </w:rPr>
      </w:r>
      <w:r w:rsidRPr="009E2BBE">
        <w:rPr>
          <w:noProof w:val="0"/>
        </w:rPr>
        <w:fldChar w:fldCharType="separate"/>
      </w:r>
      <w:r w:rsidRPr="009E2BBE">
        <w:rPr>
          <w:noProof w:val="0"/>
        </w:rPr>
        <w:t>40</w:t>
      </w:r>
      <w:r w:rsidRPr="009E2BBE">
        <w:rPr>
          <w:noProof w:val="0"/>
        </w:rPr>
        <w:fldChar w:fldCharType="end"/>
      </w:r>
    </w:p>
    <w:p w14:paraId="250434AC" w14:textId="7C3B4E57"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Review of qualification development process</w:t>
      </w:r>
      <w:r w:rsidRPr="009E2BBE">
        <w:rPr>
          <w:noProof w:val="0"/>
        </w:rPr>
        <w:tab/>
      </w:r>
      <w:r w:rsidRPr="009E2BBE">
        <w:rPr>
          <w:noProof w:val="0"/>
        </w:rPr>
        <w:fldChar w:fldCharType="begin"/>
      </w:r>
      <w:r w:rsidRPr="009E2BBE">
        <w:rPr>
          <w:noProof w:val="0"/>
        </w:rPr>
        <w:instrText xml:space="preserve"> PAGEREF _Toc65741382 \h </w:instrText>
      </w:r>
      <w:r w:rsidRPr="009E2BBE">
        <w:rPr>
          <w:noProof w:val="0"/>
        </w:rPr>
      </w:r>
      <w:r w:rsidRPr="009E2BBE">
        <w:rPr>
          <w:noProof w:val="0"/>
        </w:rPr>
        <w:fldChar w:fldCharType="separate"/>
      </w:r>
      <w:r w:rsidRPr="009E2BBE">
        <w:rPr>
          <w:noProof w:val="0"/>
        </w:rPr>
        <w:t>41</w:t>
      </w:r>
      <w:r w:rsidRPr="009E2BBE">
        <w:rPr>
          <w:noProof w:val="0"/>
        </w:rPr>
        <w:fldChar w:fldCharType="end"/>
      </w:r>
    </w:p>
    <w:p w14:paraId="2D6560A9" w14:textId="16F4E0CD" w:rsidR="00EA3747" w:rsidRPr="009E2BBE" w:rsidRDefault="00EA3747" w:rsidP="00A73094">
      <w:pPr>
        <w:pStyle w:val="TOC1"/>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lastRenderedPageBreak/>
        <w:t>United Kingdom</w:t>
      </w:r>
      <w:r w:rsidRPr="009E2BBE">
        <w:rPr>
          <w:noProof w:val="0"/>
        </w:rPr>
        <w:tab/>
      </w:r>
      <w:r w:rsidRPr="009E2BBE">
        <w:rPr>
          <w:noProof w:val="0"/>
        </w:rPr>
        <w:fldChar w:fldCharType="begin"/>
      </w:r>
      <w:r w:rsidRPr="009E2BBE">
        <w:rPr>
          <w:noProof w:val="0"/>
        </w:rPr>
        <w:instrText xml:space="preserve"> PAGEREF _Toc65741383 \h </w:instrText>
      </w:r>
      <w:r w:rsidRPr="009E2BBE">
        <w:rPr>
          <w:noProof w:val="0"/>
        </w:rPr>
      </w:r>
      <w:r w:rsidRPr="009E2BBE">
        <w:rPr>
          <w:noProof w:val="0"/>
        </w:rPr>
        <w:fldChar w:fldCharType="separate"/>
      </w:r>
      <w:r w:rsidRPr="009E2BBE">
        <w:rPr>
          <w:noProof w:val="0"/>
        </w:rPr>
        <w:t>42</w:t>
      </w:r>
      <w:r w:rsidRPr="009E2BBE">
        <w:rPr>
          <w:noProof w:val="0"/>
        </w:rPr>
        <w:fldChar w:fldCharType="end"/>
      </w:r>
    </w:p>
    <w:p w14:paraId="2539F363" w14:textId="768CC8E1"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Overview</w:t>
      </w:r>
      <w:r w:rsidRPr="009E2BBE">
        <w:rPr>
          <w:noProof w:val="0"/>
        </w:rPr>
        <w:tab/>
      </w:r>
      <w:r w:rsidRPr="009E2BBE">
        <w:rPr>
          <w:noProof w:val="0"/>
        </w:rPr>
        <w:fldChar w:fldCharType="begin"/>
      </w:r>
      <w:r w:rsidRPr="009E2BBE">
        <w:rPr>
          <w:noProof w:val="0"/>
        </w:rPr>
        <w:instrText xml:space="preserve"> PAGEREF _Toc65741384 \h </w:instrText>
      </w:r>
      <w:r w:rsidRPr="009E2BBE">
        <w:rPr>
          <w:noProof w:val="0"/>
        </w:rPr>
      </w:r>
      <w:r w:rsidRPr="009E2BBE">
        <w:rPr>
          <w:noProof w:val="0"/>
        </w:rPr>
        <w:fldChar w:fldCharType="separate"/>
      </w:r>
      <w:r w:rsidRPr="009E2BBE">
        <w:rPr>
          <w:noProof w:val="0"/>
        </w:rPr>
        <w:t>42</w:t>
      </w:r>
      <w:r w:rsidRPr="009E2BBE">
        <w:rPr>
          <w:noProof w:val="0"/>
        </w:rPr>
        <w:fldChar w:fldCharType="end"/>
      </w:r>
    </w:p>
    <w:p w14:paraId="3B3AD516" w14:textId="6391B8E2"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England</w:t>
      </w:r>
      <w:r w:rsidRPr="009E2BBE">
        <w:rPr>
          <w:noProof w:val="0"/>
        </w:rPr>
        <w:tab/>
      </w:r>
      <w:r w:rsidRPr="009E2BBE">
        <w:rPr>
          <w:noProof w:val="0"/>
        </w:rPr>
        <w:fldChar w:fldCharType="begin"/>
      </w:r>
      <w:r w:rsidRPr="009E2BBE">
        <w:rPr>
          <w:noProof w:val="0"/>
        </w:rPr>
        <w:instrText xml:space="preserve"> PAGEREF _Toc65741385 \h </w:instrText>
      </w:r>
      <w:r w:rsidRPr="009E2BBE">
        <w:rPr>
          <w:noProof w:val="0"/>
        </w:rPr>
      </w:r>
      <w:r w:rsidRPr="009E2BBE">
        <w:rPr>
          <w:noProof w:val="0"/>
        </w:rPr>
        <w:fldChar w:fldCharType="separate"/>
      </w:r>
      <w:r w:rsidRPr="009E2BBE">
        <w:rPr>
          <w:noProof w:val="0"/>
        </w:rPr>
        <w:t>42</w:t>
      </w:r>
      <w:r w:rsidRPr="009E2BBE">
        <w:rPr>
          <w:noProof w:val="0"/>
        </w:rPr>
        <w:fldChar w:fldCharType="end"/>
      </w:r>
    </w:p>
    <w:p w14:paraId="5B0D88B4" w14:textId="1BC98055"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Scotland</w:t>
      </w:r>
      <w:r w:rsidRPr="009E2BBE">
        <w:rPr>
          <w:noProof w:val="0"/>
        </w:rPr>
        <w:tab/>
      </w:r>
      <w:r w:rsidRPr="009E2BBE">
        <w:rPr>
          <w:noProof w:val="0"/>
        </w:rPr>
        <w:fldChar w:fldCharType="begin"/>
      </w:r>
      <w:r w:rsidRPr="009E2BBE">
        <w:rPr>
          <w:noProof w:val="0"/>
        </w:rPr>
        <w:instrText xml:space="preserve"> PAGEREF _Toc65741386 \h </w:instrText>
      </w:r>
      <w:r w:rsidRPr="009E2BBE">
        <w:rPr>
          <w:noProof w:val="0"/>
        </w:rPr>
      </w:r>
      <w:r w:rsidRPr="009E2BBE">
        <w:rPr>
          <w:noProof w:val="0"/>
        </w:rPr>
        <w:fldChar w:fldCharType="separate"/>
      </w:r>
      <w:r w:rsidRPr="009E2BBE">
        <w:rPr>
          <w:noProof w:val="0"/>
        </w:rPr>
        <w:t>44</w:t>
      </w:r>
      <w:r w:rsidRPr="009E2BBE">
        <w:rPr>
          <w:noProof w:val="0"/>
        </w:rPr>
        <w:fldChar w:fldCharType="end"/>
      </w:r>
    </w:p>
    <w:p w14:paraId="314247D2" w14:textId="3B187345"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Northern Ireland and Wales</w:t>
      </w:r>
      <w:r w:rsidRPr="009E2BBE">
        <w:rPr>
          <w:noProof w:val="0"/>
        </w:rPr>
        <w:tab/>
      </w:r>
      <w:r w:rsidRPr="009E2BBE">
        <w:rPr>
          <w:noProof w:val="0"/>
        </w:rPr>
        <w:fldChar w:fldCharType="begin"/>
      </w:r>
      <w:r w:rsidRPr="009E2BBE">
        <w:rPr>
          <w:noProof w:val="0"/>
        </w:rPr>
        <w:instrText xml:space="preserve"> PAGEREF _Toc65741387 \h </w:instrText>
      </w:r>
      <w:r w:rsidRPr="009E2BBE">
        <w:rPr>
          <w:noProof w:val="0"/>
        </w:rPr>
      </w:r>
      <w:r w:rsidRPr="009E2BBE">
        <w:rPr>
          <w:noProof w:val="0"/>
        </w:rPr>
        <w:fldChar w:fldCharType="separate"/>
      </w:r>
      <w:r w:rsidRPr="009E2BBE">
        <w:rPr>
          <w:noProof w:val="0"/>
        </w:rPr>
        <w:t>47</w:t>
      </w:r>
      <w:r w:rsidRPr="009E2BBE">
        <w:rPr>
          <w:noProof w:val="0"/>
        </w:rPr>
        <w:fldChar w:fldCharType="end"/>
      </w:r>
    </w:p>
    <w:p w14:paraId="56CA0261" w14:textId="41D4CCAB" w:rsidR="00EA3747" w:rsidRPr="009E2BBE" w:rsidRDefault="00EA3747" w:rsidP="00A73094">
      <w:pPr>
        <w:pStyle w:val="TOC1"/>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United States</w:t>
      </w:r>
      <w:r w:rsidRPr="009E2BBE">
        <w:rPr>
          <w:noProof w:val="0"/>
        </w:rPr>
        <w:tab/>
      </w:r>
      <w:r w:rsidRPr="009E2BBE">
        <w:rPr>
          <w:noProof w:val="0"/>
        </w:rPr>
        <w:fldChar w:fldCharType="begin"/>
      </w:r>
      <w:r w:rsidRPr="009E2BBE">
        <w:rPr>
          <w:noProof w:val="0"/>
        </w:rPr>
        <w:instrText xml:space="preserve"> PAGEREF _Toc65741388 \h </w:instrText>
      </w:r>
      <w:r w:rsidRPr="009E2BBE">
        <w:rPr>
          <w:noProof w:val="0"/>
        </w:rPr>
      </w:r>
      <w:r w:rsidRPr="009E2BBE">
        <w:rPr>
          <w:noProof w:val="0"/>
        </w:rPr>
        <w:fldChar w:fldCharType="separate"/>
      </w:r>
      <w:r w:rsidRPr="009E2BBE">
        <w:rPr>
          <w:noProof w:val="0"/>
        </w:rPr>
        <w:t>49</w:t>
      </w:r>
      <w:r w:rsidRPr="009E2BBE">
        <w:rPr>
          <w:noProof w:val="0"/>
        </w:rPr>
        <w:fldChar w:fldCharType="end"/>
      </w:r>
    </w:p>
    <w:p w14:paraId="1ECA1AD5" w14:textId="29B3312E"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Overview</w:t>
      </w:r>
      <w:r w:rsidRPr="009E2BBE">
        <w:rPr>
          <w:noProof w:val="0"/>
        </w:rPr>
        <w:tab/>
      </w:r>
      <w:r w:rsidRPr="009E2BBE">
        <w:rPr>
          <w:noProof w:val="0"/>
        </w:rPr>
        <w:fldChar w:fldCharType="begin"/>
      </w:r>
      <w:r w:rsidRPr="009E2BBE">
        <w:rPr>
          <w:noProof w:val="0"/>
        </w:rPr>
        <w:instrText xml:space="preserve"> PAGEREF _Toc65741389 \h </w:instrText>
      </w:r>
      <w:r w:rsidRPr="009E2BBE">
        <w:rPr>
          <w:noProof w:val="0"/>
        </w:rPr>
      </w:r>
      <w:r w:rsidRPr="009E2BBE">
        <w:rPr>
          <w:noProof w:val="0"/>
        </w:rPr>
        <w:fldChar w:fldCharType="separate"/>
      </w:r>
      <w:r w:rsidRPr="009E2BBE">
        <w:rPr>
          <w:noProof w:val="0"/>
        </w:rPr>
        <w:t>49</w:t>
      </w:r>
      <w:r w:rsidRPr="009E2BBE">
        <w:rPr>
          <w:noProof w:val="0"/>
        </w:rPr>
        <w:fldChar w:fldCharType="end"/>
      </w:r>
    </w:p>
    <w:p w14:paraId="4A741DD1" w14:textId="2D19834E" w:rsidR="00EA3747" w:rsidRPr="009E2BBE" w:rsidRDefault="00EA3747" w:rsidP="00A73094">
      <w:pPr>
        <w:pStyle w:val="TOC2"/>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CTE qualification development in California Community Colleges</w:t>
      </w:r>
      <w:r w:rsidRPr="009E2BBE">
        <w:rPr>
          <w:noProof w:val="0"/>
        </w:rPr>
        <w:tab/>
      </w:r>
      <w:r w:rsidRPr="009E2BBE">
        <w:rPr>
          <w:noProof w:val="0"/>
        </w:rPr>
        <w:fldChar w:fldCharType="begin"/>
      </w:r>
      <w:r w:rsidRPr="009E2BBE">
        <w:rPr>
          <w:noProof w:val="0"/>
        </w:rPr>
        <w:instrText xml:space="preserve"> PAGEREF _Toc65741390 \h </w:instrText>
      </w:r>
      <w:r w:rsidRPr="009E2BBE">
        <w:rPr>
          <w:noProof w:val="0"/>
        </w:rPr>
      </w:r>
      <w:r w:rsidRPr="009E2BBE">
        <w:rPr>
          <w:noProof w:val="0"/>
        </w:rPr>
        <w:fldChar w:fldCharType="separate"/>
      </w:r>
      <w:r w:rsidRPr="009E2BBE">
        <w:rPr>
          <w:noProof w:val="0"/>
        </w:rPr>
        <w:t>49</w:t>
      </w:r>
      <w:r w:rsidRPr="009E2BBE">
        <w:rPr>
          <w:noProof w:val="0"/>
        </w:rPr>
        <w:fldChar w:fldCharType="end"/>
      </w:r>
    </w:p>
    <w:p w14:paraId="63A8BCDB" w14:textId="4CE887D1" w:rsidR="00EA3747" w:rsidRPr="009E2BBE" w:rsidRDefault="00EA3747" w:rsidP="00A73094">
      <w:pPr>
        <w:pStyle w:val="TOC1"/>
        <w:tabs>
          <w:tab w:val="clear" w:pos="6804"/>
          <w:tab w:val="right" w:pos="8931"/>
        </w:tabs>
        <w:ind w:right="-1"/>
        <w:rPr>
          <w:rFonts w:asciiTheme="minorHAnsi" w:eastAsiaTheme="minorEastAsia" w:hAnsiTheme="minorHAnsi" w:cstheme="minorBidi"/>
          <w:noProof w:val="0"/>
          <w:color w:val="auto"/>
          <w:sz w:val="22"/>
          <w:szCs w:val="22"/>
          <w:lang w:eastAsia="en-AU"/>
        </w:rPr>
      </w:pPr>
      <w:r w:rsidRPr="009E2BBE">
        <w:rPr>
          <w:noProof w:val="0"/>
        </w:rPr>
        <w:t>References</w:t>
      </w:r>
      <w:r w:rsidRPr="009E2BBE">
        <w:rPr>
          <w:noProof w:val="0"/>
        </w:rPr>
        <w:tab/>
      </w:r>
      <w:r w:rsidRPr="009E2BBE">
        <w:rPr>
          <w:noProof w:val="0"/>
        </w:rPr>
        <w:fldChar w:fldCharType="begin"/>
      </w:r>
      <w:r w:rsidRPr="009E2BBE">
        <w:rPr>
          <w:noProof w:val="0"/>
        </w:rPr>
        <w:instrText xml:space="preserve"> PAGEREF _Toc65741391 \h </w:instrText>
      </w:r>
      <w:r w:rsidRPr="009E2BBE">
        <w:rPr>
          <w:noProof w:val="0"/>
        </w:rPr>
      </w:r>
      <w:r w:rsidRPr="009E2BBE">
        <w:rPr>
          <w:noProof w:val="0"/>
        </w:rPr>
        <w:fldChar w:fldCharType="separate"/>
      </w:r>
      <w:r w:rsidRPr="009E2BBE">
        <w:rPr>
          <w:noProof w:val="0"/>
        </w:rPr>
        <w:t>51</w:t>
      </w:r>
      <w:r w:rsidRPr="009E2BBE">
        <w:rPr>
          <w:noProof w:val="0"/>
        </w:rPr>
        <w:fldChar w:fldCharType="end"/>
      </w:r>
    </w:p>
    <w:p w14:paraId="6FC6B0DD" w14:textId="5B6206E8" w:rsidR="00EB0AD7" w:rsidRPr="009E2BBE" w:rsidRDefault="00AF5CBC" w:rsidP="00A73094">
      <w:pPr>
        <w:pStyle w:val="Text"/>
        <w:tabs>
          <w:tab w:val="right" w:pos="8931"/>
        </w:tabs>
      </w:pPr>
      <w:r w:rsidRPr="009E2BBE">
        <w:fldChar w:fldCharType="end"/>
      </w:r>
    </w:p>
    <w:p w14:paraId="347C03B3" w14:textId="174FC502" w:rsidR="00E811C3" w:rsidRPr="009E2BBE" w:rsidRDefault="00E811C3" w:rsidP="00D479EA">
      <w:pPr>
        <w:pStyle w:val="Text"/>
      </w:pPr>
      <w:r w:rsidRPr="009E2BBE">
        <w:br w:type="page"/>
      </w:r>
    </w:p>
    <w:p w14:paraId="14A6B5C8" w14:textId="08FAEA2B" w:rsidR="006714BE" w:rsidRPr="009E2BBE" w:rsidRDefault="002D5112" w:rsidP="004C630C">
      <w:pPr>
        <w:pStyle w:val="Heading1"/>
      </w:pPr>
      <w:bookmarkStart w:id="18" w:name="_Toc65741345"/>
      <w:bookmarkStart w:id="19" w:name="_Toc401914082"/>
      <w:r w:rsidRPr="009E2BBE">
        <w:t>Overview</w:t>
      </w:r>
      <w:bookmarkEnd w:id="18"/>
    </w:p>
    <w:p w14:paraId="315DFF83" w14:textId="3191FD1F" w:rsidR="004701DA" w:rsidRPr="009E2BBE" w:rsidRDefault="00927556" w:rsidP="004701DA">
      <w:pPr>
        <w:pStyle w:val="Text"/>
      </w:pPr>
      <w:r w:rsidRPr="009E2BBE">
        <w:t xml:space="preserve">A priority of the Australian </w:t>
      </w:r>
      <w:r w:rsidR="007C71B1" w:rsidRPr="009E2BBE">
        <w:t>s</w:t>
      </w:r>
      <w:r w:rsidR="005765FC" w:rsidRPr="009E2BBE">
        <w:t xml:space="preserve">kills </w:t>
      </w:r>
      <w:r w:rsidR="007C71B1" w:rsidRPr="009E2BBE">
        <w:t>m</w:t>
      </w:r>
      <w:r w:rsidR="005765FC" w:rsidRPr="009E2BBE">
        <w:t xml:space="preserve">inisters </w:t>
      </w:r>
      <w:r w:rsidRPr="009E2BBE">
        <w:t>is to s</w:t>
      </w:r>
      <w:r w:rsidR="004701DA" w:rsidRPr="009E2BBE">
        <w:t>treamlin</w:t>
      </w:r>
      <w:r w:rsidRPr="009E2BBE">
        <w:t>e</w:t>
      </w:r>
      <w:r w:rsidR="004701DA" w:rsidRPr="009E2BBE">
        <w:t xml:space="preserve"> the </w:t>
      </w:r>
      <w:r w:rsidRPr="009E2BBE">
        <w:t xml:space="preserve">national </w:t>
      </w:r>
      <w:r w:rsidR="004701DA" w:rsidRPr="009E2BBE">
        <w:t xml:space="preserve">vocational education and training (VET) system </w:t>
      </w:r>
      <w:r w:rsidR="00DE06BE" w:rsidRPr="009E2BBE">
        <w:t>so that it can better respond to the needs of industry</w:t>
      </w:r>
      <w:r w:rsidR="004701DA" w:rsidRPr="009E2BBE">
        <w:t xml:space="preserve">. </w:t>
      </w:r>
      <w:r w:rsidR="0050428D" w:rsidRPr="009E2BBE">
        <w:t xml:space="preserve">As the Australian Industry Skills Committee </w:t>
      </w:r>
      <w:r w:rsidR="00AF4B88" w:rsidRPr="009E2BBE">
        <w:t xml:space="preserve">(AISC) </w:t>
      </w:r>
      <w:r w:rsidR="0050428D" w:rsidRPr="009E2BBE">
        <w:t>notes, this involves</w:t>
      </w:r>
      <w:r w:rsidR="004701DA" w:rsidRPr="009E2BBE">
        <w:t xml:space="preserve"> three elements:</w:t>
      </w:r>
    </w:p>
    <w:p w14:paraId="00B4DB79" w14:textId="5FA40FA5" w:rsidR="004701DA" w:rsidRPr="009E2BBE" w:rsidRDefault="00A26B8A" w:rsidP="004701DA">
      <w:pPr>
        <w:pStyle w:val="Dotpoint10"/>
      </w:pPr>
      <w:r w:rsidRPr="009E2BBE">
        <w:t>‘</w:t>
      </w:r>
      <w:r w:rsidR="004701DA" w:rsidRPr="009E2BBE">
        <w:t xml:space="preserve">Identification: </w:t>
      </w:r>
      <w:r w:rsidR="00DE06BE" w:rsidRPr="009E2BBE">
        <w:t>I</w:t>
      </w:r>
      <w:r w:rsidR="004701DA" w:rsidRPr="009E2BBE">
        <w:t>mproved identification of changing skill needs, and better prioritisation of effort for national qualifications</w:t>
      </w:r>
    </w:p>
    <w:p w14:paraId="2155EC44" w14:textId="7BC7DB66" w:rsidR="004701DA" w:rsidRPr="009E2BBE" w:rsidRDefault="004701DA" w:rsidP="004701DA">
      <w:pPr>
        <w:pStyle w:val="Dotpoint10"/>
      </w:pPr>
      <w:r w:rsidRPr="009E2BBE">
        <w:t>Development: Faster development of qualifications in response to industry needs</w:t>
      </w:r>
    </w:p>
    <w:p w14:paraId="6E0C059F" w14:textId="43260BE8" w:rsidR="004701DA" w:rsidRPr="009E2BBE" w:rsidRDefault="004701DA" w:rsidP="004701DA">
      <w:pPr>
        <w:pStyle w:val="Dotpoint10"/>
      </w:pPr>
      <w:r w:rsidRPr="009E2BBE">
        <w:t>Delivery: Increased support for training providers in the delivery of high-quality training and responding to changing skill needs</w:t>
      </w:r>
      <w:r w:rsidR="00A26B8A" w:rsidRPr="009E2BBE">
        <w:t>’</w:t>
      </w:r>
      <w:r w:rsidRPr="009E2BBE">
        <w:t xml:space="preserve"> (</w:t>
      </w:r>
      <w:r w:rsidR="00EA1818" w:rsidRPr="009E2BBE">
        <w:t>Australian Industry Skills Committee</w:t>
      </w:r>
      <w:r w:rsidRPr="009E2BBE">
        <w:t xml:space="preserve"> 2020</w:t>
      </w:r>
      <w:r w:rsidR="006941D4" w:rsidRPr="009E2BBE">
        <w:t>a</w:t>
      </w:r>
      <w:r w:rsidR="00DE06BE" w:rsidRPr="009E2BBE">
        <w:t>).</w:t>
      </w:r>
    </w:p>
    <w:p w14:paraId="40781C87" w14:textId="6EB378CF" w:rsidR="00DE06BE" w:rsidRPr="009E2BBE" w:rsidRDefault="00DE06BE" w:rsidP="00DE06BE">
      <w:pPr>
        <w:pStyle w:val="Text"/>
      </w:pPr>
      <w:r w:rsidRPr="009E2BBE">
        <w:t xml:space="preserve">This project is focused on the second element </w:t>
      </w:r>
      <w:r w:rsidR="004A13E8" w:rsidRPr="009E2BBE">
        <w:t>—</w:t>
      </w:r>
      <w:r w:rsidRPr="009E2BBE">
        <w:t xml:space="preserve"> faster development of qualifications. It looks at the vocational </w:t>
      </w:r>
      <w:r w:rsidR="00EA3747" w:rsidRPr="009E2BBE">
        <w:t xml:space="preserve">qualification development </w:t>
      </w:r>
      <w:r w:rsidRPr="009E2BBE">
        <w:t xml:space="preserve">processes in different countries to see how they compare </w:t>
      </w:r>
      <w:r w:rsidR="00927556" w:rsidRPr="009E2BBE">
        <w:t>with</w:t>
      </w:r>
      <w:r w:rsidRPr="009E2BBE">
        <w:t xml:space="preserve"> Australia in terms of timeframe, </w:t>
      </w:r>
      <w:r w:rsidR="00CE44F1" w:rsidRPr="009E2BBE">
        <w:t xml:space="preserve">the </w:t>
      </w:r>
      <w:r w:rsidRPr="009E2BBE">
        <w:t>stakeholders or bodies involved</w:t>
      </w:r>
      <w:r w:rsidR="000178B6" w:rsidRPr="009E2BBE">
        <w:t>,</w:t>
      </w:r>
      <w:r w:rsidRPr="009E2BBE">
        <w:t xml:space="preserve"> and qualification design. </w:t>
      </w:r>
      <w:r w:rsidR="00660777" w:rsidRPr="009E2BBE">
        <w:t xml:space="preserve">For the purposes of this project, the focus has been on the training package development process in Australia and not </w:t>
      </w:r>
      <w:r w:rsidR="000178B6" w:rsidRPr="009E2BBE">
        <w:t xml:space="preserve">on </w:t>
      </w:r>
      <w:r w:rsidR="00660777" w:rsidRPr="009E2BBE">
        <w:t xml:space="preserve">accredited courses. </w:t>
      </w:r>
      <w:r w:rsidR="004A13E8" w:rsidRPr="009E2BBE">
        <w:t>This project</w:t>
      </w:r>
      <w:r w:rsidRPr="009E2BBE">
        <w:t xml:space="preserve"> builds on previous work </w:t>
      </w:r>
      <w:r w:rsidR="00FA2324" w:rsidRPr="009E2BBE">
        <w:t>in which</w:t>
      </w:r>
      <w:r w:rsidRPr="009E2BBE">
        <w:t xml:space="preserve"> international models </w:t>
      </w:r>
      <w:r w:rsidR="00FA2324" w:rsidRPr="009E2BBE">
        <w:t>for</w:t>
      </w:r>
      <w:r w:rsidRPr="009E2BBE">
        <w:t xml:space="preserve"> rationalis</w:t>
      </w:r>
      <w:r w:rsidR="00FA2324" w:rsidRPr="009E2BBE">
        <w:t>ing</w:t>
      </w:r>
      <w:r w:rsidRPr="009E2BBE">
        <w:t xml:space="preserve"> VET qualifications</w:t>
      </w:r>
      <w:r w:rsidR="00FA2324" w:rsidRPr="009E2BBE">
        <w:t xml:space="preserve"> were explored</w:t>
      </w:r>
      <w:r w:rsidRPr="009E2BBE">
        <w:t xml:space="preserve"> (Wibrow &amp; Waugh 2020). </w:t>
      </w:r>
      <w:r w:rsidR="00A73C55" w:rsidRPr="009E2BBE">
        <w:t xml:space="preserve">Each country </w:t>
      </w:r>
      <w:r w:rsidR="000178B6" w:rsidRPr="009E2BBE">
        <w:t xml:space="preserve">in this study </w:t>
      </w:r>
      <w:r w:rsidR="00A73C55" w:rsidRPr="009E2BBE">
        <w:t xml:space="preserve">was chosen for a different reason, such as their similarity to Australia or to </w:t>
      </w:r>
      <w:r w:rsidR="00690C21" w:rsidRPr="009E2BBE">
        <w:t>identify</w:t>
      </w:r>
      <w:r w:rsidR="00374500" w:rsidRPr="009E2BBE">
        <w:t xml:space="preserve"> whether</w:t>
      </w:r>
      <w:r w:rsidR="00A73C55" w:rsidRPr="009E2BBE">
        <w:t xml:space="preserve"> the differences between systems may lead to more streamlined processes, for example</w:t>
      </w:r>
      <w:r w:rsidR="00374500" w:rsidRPr="009E2BBE">
        <w:t>,</w:t>
      </w:r>
      <w:r w:rsidR="00A73C55" w:rsidRPr="009E2BBE">
        <w:t xml:space="preserve"> the introduction of broad-based qualifications in Finland.</w:t>
      </w:r>
    </w:p>
    <w:p w14:paraId="6AF450A8" w14:textId="486E0E69" w:rsidR="00614C5C" w:rsidRPr="009E2BBE" w:rsidRDefault="00614C5C" w:rsidP="00DE06BE">
      <w:pPr>
        <w:pStyle w:val="Text"/>
      </w:pPr>
      <w:r w:rsidRPr="009E2BBE">
        <w:t xml:space="preserve">The information contained in the case studies is based on desktop-based research </w:t>
      </w:r>
      <w:r w:rsidR="00AC424B" w:rsidRPr="009E2BBE">
        <w:t>examining</w:t>
      </w:r>
      <w:r w:rsidRPr="009E2BBE">
        <w:t xml:space="preserve"> the </w:t>
      </w:r>
      <w:r w:rsidR="00EA3747" w:rsidRPr="009E2BBE">
        <w:t>qualification development process</w:t>
      </w:r>
      <w:r w:rsidRPr="009E2BBE">
        <w:t xml:space="preserve"> in several countries. The level of </w:t>
      </w:r>
      <w:r w:rsidR="00CE44F1" w:rsidRPr="009E2BBE">
        <w:t xml:space="preserve">publicly available </w:t>
      </w:r>
      <w:r w:rsidRPr="009E2BBE">
        <w:t xml:space="preserve">detail on processes varies for each country. The desktop-based research has been supplemented by contacting individuals within relevant agencies overseas but, </w:t>
      </w:r>
      <w:r w:rsidR="00ED5A4F" w:rsidRPr="009E2BBE">
        <w:t>overall</w:t>
      </w:r>
      <w:r w:rsidRPr="009E2BBE">
        <w:t>, this</w:t>
      </w:r>
      <w:r w:rsidR="00CE44F1" w:rsidRPr="009E2BBE">
        <w:t xml:space="preserve"> approach</w:t>
      </w:r>
      <w:r w:rsidRPr="009E2BBE">
        <w:t xml:space="preserve"> </w:t>
      </w:r>
      <w:r w:rsidR="00CE44F1" w:rsidRPr="009E2BBE">
        <w:t xml:space="preserve">had limited </w:t>
      </w:r>
      <w:r w:rsidRPr="009E2BBE">
        <w:t>success.</w:t>
      </w:r>
    </w:p>
    <w:p w14:paraId="620BD7C4" w14:textId="3219AC07" w:rsidR="006E17AC" w:rsidRPr="009E2BBE" w:rsidRDefault="006E17AC" w:rsidP="00DE06BE">
      <w:pPr>
        <w:pStyle w:val="Text"/>
      </w:pPr>
      <w:r w:rsidRPr="009E2BBE">
        <w:t xml:space="preserve">The key findings from this research are presented below and are followed by a discussion of the similarities and differences between the development process in Australia and the </w:t>
      </w:r>
      <w:r w:rsidR="005A7A0E" w:rsidRPr="009E2BBE">
        <w:t>comparison</w:t>
      </w:r>
      <w:r w:rsidRPr="009E2BBE">
        <w:t xml:space="preserve"> countries. Detailed information on each country is then presented thereafter.</w:t>
      </w:r>
    </w:p>
    <w:p w14:paraId="28AF29E1" w14:textId="6F869053" w:rsidR="002D5112" w:rsidRPr="009E2BBE" w:rsidRDefault="002D5112" w:rsidP="002D5112">
      <w:pPr>
        <w:pStyle w:val="Heading2"/>
      </w:pPr>
      <w:bookmarkStart w:id="20" w:name="_Toc65741346"/>
      <w:r w:rsidRPr="009E2BBE">
        <w:t>Key findings</w:t>
      </w:r>
      <w:bookmarkEnd w:id="20"/>
      <w:r w:rsidRPr="009E2BBE">
        <w:t xml:space="preserve"> </w:t>
      </w:r>
    </w:p>
    <w:p w14:paraId="47F72656" w14:textId="11E9B311" w:rsidR="00ED5A4F" w:rsidRPr="009E2BBE" w:rsidRDefault="00ED5A4F" w:rsidP="00A4628F">
      <w:pPr>
        <w:pStyle w:val="Text"/>
      </w:pPr>
      <w:r w:rsidRPr="009E2BBE">
        <w:t xml:space="preserve">The </w:t>
      </w:r>
      <w:r w:rsidR="00EA3747" w:rsidRPr="009E2BBE">
        <w:t>vocational qualification development</w:t>
      </w:r>
      <w:r w:rsidRPr="009E2BBE">
        <w:t xml:space="preserve"> used</w:t>
      </w:r>
      <w:r w:rsidR="00A6377F" w:rsidRPr="009E2BBE">
        <w:t xml:space="preserve"> in the selected</w:t>
      </w:r>
      <w:r w:rsidRPr="009E2BBE">
        <w:t xml:space="preserve"> overseas </w:t>
      </w:r>
      <w:r w:rsidR="00A6377F" w:rsidRPr="009E2BBE">
        <w:t xml:space="preserve">countries </w:t>
      </w:r>
      <w:r w:rsidRPr="009E2BBE">
        <w:t xml:space="preserve">are comparable </w:t>
      </w:r>
      <w:r w:rsidR="000178B6" w:rsidRPr="009E2BBE">
        <w:t>with</w:t>
      </w:r>
      <w:r w:rsidRPr="009E2BBE">
        <w:t xml:space="preserve"> the current process in Australia, in that they involve similar </w:t>
      </w:r>
      <w:r w:rsidR="003A01F5" w:rsidRPr="009E2BBE">
        <w:t xml:space="preserve">committee </w:t>
      </w:r>
      <w:r w:rsidRPr="009E2BBE">
        <w:t>membership</w:t>
      </w:r>
      <w:r w:rsidR="00C36539" w:rsidRPr="009E2BBE">
        <w:t xml:space="preserve"> </w:t>
      </w:r>
      <w:r w:rsidR="006B5782" w:rsidRPr="009E2BBE">
        <w:t xml:space="preserve">(although </w:t>
      </w:r>
      <w:r w:rsidR="00C36539" w:rsidRPr="009E2BBE">
        <w:t>with greater input from educators</w:t>
      </w:r>
      <w:r w:rsidR="006B5782" w:rsidRPr="009E2BBE">
        <w:t>)</w:t>
      </w:r>
      <w:r w:rsidRPr="009E2BBE">
        <w:t xml:space="preserve">, </w:t>
      </w:r>
      <w:r w:rsidR="00CE44F1" w:rsidRPr="009E2BBE">
        <w:t>development duration</w:t>
      </w:r>
      <w:r w:rsidRPr="009E2BBE">
        <w:t xml:space="preserve"> (</w:t>
      </w:r>
      <w:r w:rsidR="000178B6" w:rsidRPr="009E2BBE">
        <w:t>one</w:t>
      </w:r>
      <w:r w:rsidRPr="009E2BBE">
        <w:t xml:space="preserve"> to </w:t>
      </w:r>
      <w:r w:rsidR="000178B6" w:rsidRPr="009E2BBE">
        <w:t>two</w:t>
      </w:r>
      <w:r w:rsidRPr="009E2BBE">
        <w:t xml:space="preserve"> years) and qualification documentation.</w:t>
      </w:r>
      <w:r w:rsidR="008D34ED" w:rsidRPr="009E2BBE">
        <w:t xml:space="preserve"> Based on this</w:t>
      </w:r>
      <w:r w:rsidR="006B5782" w:rsidRPr="009E2BBE">
        <w:t xml:space="preserve"> similarity</w:t>
      </w:r>
      <w:r w:rsidR="00CE44F1" w:rsidRPr="009E2BBE">
        <w:t>,</w:t>
      </w:r>
      <w:r w:rsidR="008D34ED" w:rsidRPr="009E2BBE">
        <w:t xml:space="preserve"> it is difficult to suggest a specific model as ideal to examine more thoroughly for streamlining purposes.</w:t>
      </w:r>
    </w:p>
    <w:p w14:paraId="36E4743E" w14:textId="5CE74139" w:rsidR="00ED5ECB" w:rsidRPr="009E2BBE" w:rsidRDefault="00ED5ECB" w:rsidP="00ED5ECB">
      <w:pPr>
        <w:pStyle w:val="Dotpoint10"/>
      </w:pPr>
      <w:r w:rsidRPr="009E2BBE">
        <w:t xml:space="preserve">The </w:t>
      </w:r>
      <w:r w:rsidR="00EA3747" w:rsidRPr="009E2BBE">
        <w:t>vocational qualification development</w:t>
      </w:r>
      <w:r w:rsidRPr="009E2BBE">
        <w:t xml:space="preserve"> overseas did not appear to </w:t>
      </w:r>
      <w:r w:rsidR="00F71A2D" w:rsidRPr="009E2BBE">
        <w:t xml:space="preserve">differ by qualification level or industry area. </w:t>
      </w:r>
    </w:p>
    <w:p w14:paraId="7C4F4AF0" w14:textId="17E3A0F1" w:rsidR="008D34ED" w:rsidRPr="009E2BBE" w:rsidRDefault="008D34ED" w:rsidP="00A4628F">
      <w:pPr>
        <w:pStyle w:val="Dotpoint10"/>
      </w:pPr>
      <w:r w:rsidRPr="009E2BBE">
        <w:t xml:space="preserve">The membership of advisory bodies and committees involved in the development of qualifications overseas </w:t>
      </w:r>
      <w:r w:rsidR="0006503F" w:rsidRPr="009E2BBE">
        <w:t>—</w:t>
      </w:r>
      <w:r w:rsidRPr="009E2BBE">
        <w:t xml:space="preserve"> bodies </w:t>
      </w:r>
      <w:r w:rsidR="004E1A61" w:rsidRPr="009E2BBE">
        <w:t xml:space="preserve">with a similar role </w:t>
      </w:r>
      <w:r w:rsidRPr="009E2BBE">
        <w:t>to Australia</w:t>
      </w:r>
      <w:r w:rsidR="00A26B8A" w:rsidRPr="009E2BBE">
        <w:t>’</w:t>
      </w:r>
      <w:r w:rsidRPr="009E2BBE">
        <w:t xml:space="preserve">s </w:t>
      </w:r>
      <w:r w:rsidR="00842393" w:rsidRPr="009E2BBE">
        <w:t xml:space="preserve">industry reference committees </w:t>
      </w:r>
      <w:r w:rsidRPr="009E2BBE">
        <w:t xml:space="preserve">(IRCs) </w:t>
      </w:r>
      <w:r w:rsidR="004A13E8" w:rsidRPr="009E2BBE">
        <w:t>—</w:t>
      </w:r>
      <w:r w:rsidRPr="009E2BBE">
        <w:t xml:space="preserve"> tend</w:t>
      </w:r>
      <w:r w:rsidR="00D630C8" w:rsidRPr="009E2BBE">
        <w:t>s</w:t>
      </w:r>
      <w:r w:rsidRPr="009E2BBE">
        <w:t xml:space="preserve"> to consist of employers, </w:t>
      </w:r>
      <w:proofErr w:type="gramStart"/>
      <w:r w:rsidRPr="009E2BBE">
        <w:t>employees</w:t>
      </w:r>
      <w:proofErr w:type="gramEnd"/>
      <w:r w:rsidRPr="009E2BBE">
        <w:t xml:space="preserve"> and educators. Membership is generally for a term of three or four years, with a limit of around nine to </w:t>
      </w:r>
      <w:r w:rsidR="00D630C8" w:rsidRPr="009E2BBE">
        <w:t>12</w:t>
      </w:r>
      <w:r w:rsidRPr="009E2BBE">
        <w:t xml:space="preserve"> members. The emphasis on the involvement of educators and training providers during the </w:t>
      </w:r>
      <w:r w:rsidR="00EA3747" w:rsidRPr="009E2BBE">
        <w:t xml:space="preserve">qualification development </w:t>
      </w:r>
      <w:r w:rsidRPr="009E2BBE">
        <w:t xml:space="preserve">stage is to ensure that what is being proposed in training products </w:t>
      </w:r>
      <w:r w:rsidR="00A4628F" w:rsidRPr="009E2BBE">
        <w:t>can</w:t>
      </w:r>
      <w:r w:rsidRPr="009E2BBE">
        <w:t xml:space="preserve"> be practically delivered</w:t>
      </w:r>
      <w:r w:rsidR="00A4628F" w:rsidRPr="009E2BBE">
        <w:t xml:space="preserve"> by providers</w:t>
      </w:r>
      <w:r w:rsidRPr="009E2BBE">
        <w:t xml:space="preserve">. </w:t>
      </w:r>
    </w:p>
    <w:p w14:paraId="6AC9BAD5" w14:textId="2E1A53AD" w:rsidR="00A4628F" w:rsidRPr="009E2BBE" w:rsidRDefault="00A4628F" w:rsidP="00A4628F">
      <w:pPr>
        <w:pStyle w:val="Dotpoint2"/>
      </w:pPr>
      <w:r w:rsidRPr="009E2BBE">
        <w:t>Some countries, such as South Africa, ha</w:t>
      </w:r>
      <w:r w:rsidR="00E165DF" w:rsidRPr="009E2BBE">
        <w:t>ve</w:t>
      </w:r>
      <w:r w:rsidRPr="009E2BBE">
        <w:t xml:space="preserve"> clear guidelines regarding the removal of members with low or no participation. </w:t>
      </w:r>
      <w:r w:rsidR="00E165DF" w:rsidRPr="009E2BBE">
        <w:t>In South Africa attendance and participation at all meetings is recorded and reported to the quality council. If it appears that certain groups are being under</w:t>
      </w:r>
      <w:r w:rsidR="00890908" w:rsidRPr="009E2BBE">
        <w:t>-</w:t>
      </w:r>
      <w:r w:rsidR="00E165DF" w:rsidRPr="009E2BBE">
        <w:t xml:space="preserve">represented due to poor participation, then these members are replaced. </w:t>
      </w:r>
      <w:r w:rsidR="00CE44F1" w:rsidRPr="009E2BBE">
        <w:t xml:space="preserve">Canada </w:t>
      </w:r>
      <w:r w:rsidR="00E165DF" w:rsidRPr="009E2BBE">
        <w:t xml:space="preserve">has </w:t>
      </w:r>
      <w:r w:rsidR="00CE44F1" w:rsidRPr="009E2BBE">
        <w:t xml:space="preserve">requirements to provide </w:t>
      </w:r>
      <w:r w:rsidR="00E165DF" w:rsidRPr="009E2BBE">
        <w:t>digital</w:t>
      </w:r>
      <w:r w:rsidR="00CE44F1" w:rsidRPr="009E2BBE">
        <w:t xml:space="preserve"> access to the</w:t>
      </w:r>
      <w:r w:rsidR="00B36DE9" w:rsidRPr="009E2BBE">
        <w:t xml:space="preserve"> apprenticeship standards</w:t>
      </w:r>
      <w:r w:rsidR="00CE44F1" w:rsidRPr="009E2BBE">
        <w:t xml:space="preserve"> development process, </w:t>
      </w:r>
      <w:r w:rsidR="00162D8C" w:rsidRPr="009E2BBE">
        <w:t>for example,</w:t>
      </w:r>
      <w:r w:rsidR="00E165DF" w:rsidRPr="009E2BBE">
        <w:t xml:space="preserve"> </w:t>
      </w:r>
      <w:r w:rsidR="00890908" w:rsidRPr="009E2BBE">
        <w:t xml:space="preserve">video </w:t>
      </w:r>
      <w:r w:rsidR="00E165DF" w:rsidRPr="009E2BBE">
        <w:t>meeting</w:t>
      </w:r>
      <w:r w:rsidR="00CE44F1" w:rsidRPr="009E2BBE">
        <w:t xml:space="preserve"> attendance</w:t>
      </w:r>
      <w:r w:rsidR="00E165DF" w:rsidRPr="009E2BBE">
        <w:t xml:space="preserve">, </w:t>
      </w:r>
      <w:r w:rsidR="00CE44F1" w:rsidRPr="009E2BBE">
        <w:t>to promote accessibility for all stakeholders</w:t>
      </w:r>
      <w:r w:rsidR="00E165DF" w:rsidRPr="009E2BBE">
        <w:t>.</w:t>
      </w:r>
    </w:p>
    <w:p w14:paraId="34C40E85" w14:textId="4EEEDDF4" w:rsidR="00FC79DD" w:rsidRPr="009E2BBE" w:rsidRDefault="00FC79DD" w:rsidP="00861EFE">
      <w:pPr>
        <w:pStyle w:val="Dotpoint10"/>
      </w:pPr>
      <w:r w:rsidRPr="009E2BBE">
        <w:t>In some countries, such as Canada, New Zealand and Scotland, educational institutions have a greater role in developing qualifications than currently in Australia</w:t>
      </w:r>
      <w:r w:rsidR="00861EFE" w:rsidRPr="009E2BBE">
        <w:t>, in some cases driving the review work</w:t>
      </w:r>
      <w:r w:rsidRPr="009E2BBE">
        <w:t xml:space="preserve">. </w:t>
      </w:r>
      <w:r w:rsidR="00861EFE" w:rsidRPr="009E2BBE">
        <w:t>In</w:t>
      </w:r>
      <w:r w:rsidRPr="009E2BBE">
        <w:t xml:space="preserve"> Australia</w:t>
      </w:r>
      <w:r w:rsidR="00C20780" w:rsidRPr="009E2BBE">
        <w:t xml:space="preserve"> the current industry</w:t>
      </w:r>
      <w:r w:rsidR="002756FF" w:rsidRPr="009E2BBE">
        <w:t>-</w:t>
      </w:r>
      <w:r w:rsidR="00C20780" w:rsidRPr="009E2BBE">
        <w:t>led process with the IRC model</w:t>
      </w:r>
      <w:r w:rsidR="00835551" w:rsidRPr="009E2BBE">
        <w:t xml:space="preserve"> </w:t>
      </w:r>
      <w:r w:rsidR="000178B6" w:rsidRPr="009E2BBE">
        <w:t>appears</w:t>
      </w:r>
      <w:r w:rsidR="00861EFE" w:rsidRPr="009E2BBE">
        <w:t xml:space="preserve"> to have </w:t>
      </w:r>
      <w:r w:rsidR="00582840" w:rsidRPr="009E2BBE">
        <w:t xml:space="preserve">resulted </w:t>
      </w:r>
      <w:r w:rsidR="00F24AB8" w:rsidRPr="009E2BBE">
        <w:t>in</w:t>
      </w:r>
      <w:r w:rsidR="00861EFE" w:rsidRPr="009E2BBE">
        <w:t xml:space="preserve"> the impression that</w:t>
      </w:r>
      <w:r w:rsidR="00835551" w:rsidRPr="009E2BBE">
        <w:t xml:space="preserve"> VET providers </w:t>
      </w:r>
      <w:r w:rsidR="00F97DF8" w:rsidRPr="009E2BBE">
        <w:t>have a limited role</w:t>
      </w:r>
      <w:r w:rsidR="00835551" w:rsidRPr="009E2BBE">
        <w:t xml:space="preserve"> in the development of qualifications, although they are consulted on draft training products</w:t>
      </w:r>
      <w:r w:rsidR="00C20780" w:rsidRPr="009E2BBE">
        <w:t>.</w:t>
      </w:r>
      <w:r w:rsidR="00343521" w:rsidRPr="009E2BBE">
        <w:t xml:space="preserve"> </w:t>
      </w:r>
      <w:r w:rsidR="00861EFE" w:rsidRPr="009E2BBE">
        <w:t xml:space="preserve">Improving the visibility of </w:t>
      </w:r>
      <w:r w:rsidR="00343521" w:rsidRPr="009E2BBE">
        <w:t>VET providers</w:t>
      </w:r>
      <w:r w:rsidR="00A26B8A" w:rsidRPr="009E2BBE">
        <w:t>’</w:t>
      </w:r>
      <w:r w:rsidR="00861EFE" w:rsidRPr="009E2BBE">
        <w:t xml:space="preserve"> contribution to</w:t>
      </w:r>
      <w:r w:rsidR="00343521" w:rsidRPr="009E2BBE">
        <w:t xml:space="preserve"> the development of qualifications </w:t>
      </w:r>
      <w:r w:rsidR="00861EFE" w:rsidRPr="009E2BBE">
        <w:t xml:space="preserve">may </w:t>
      </w:r>
      <w:r w:rsidR="00343521" w:rsidRPr="009E2BBE">
        <w:t xml:space="preserve">help </w:t>
      </w:r>
      <w:r w:rsidR="00861EFE" w:rsidRPr="009E2BBE">
        <w:t>perceptions about educator involvement</w:t>
      </w:r>
      <w:r w:rsidR="00343521" w:rsidRPr="009E2BBE">
        <w:t>.</w:t>
      </w:r>
      <w:r w:rsidRPr="009E2BBE">
        <w:t xml:space="preserve"> </w:t>
      </w:r>
    </w:p>
    <w:p w14:paraId="5E2E0F46" w14:textId="12A203C3" w:rsidR="00527088" w:rsidRPr="009E2BBE" w:rsidRDefault="00861EFE" w:rsidP="00B4715C">
      <w:pPr>
        <w:pStyle w:val="Dotpoint10"/>
      </w:pPr>
      <w:bookmarkStart w:id="21" w:name="_Hlk52284847"/>
      <w:r w:rsidRPr="009E2BBE">
        <w:t>T</w:t>
      </w:r>
      <w:r w:rsidR="00527088" w:rsidRPr="009E2BBE">
        <w:t xml:space="preserve">he overall timeframe for </w:t>
      </w:r>
      <w:r w:rsidR="00C20780" w:rsidRPr="009E2BBE">
        <w:t xml:space="preserve">qualification </w:t>
      </w:r>
      <w:r w:rsidR="00527088" w:rsidRPr="009E2BBE">
        <w:t xml:space="preserve">development </w:t>
      </w:r>
      <w:r w:rsidR="004A7CE8" w:rsidRPr="009E2BBE">
        <w:t>in most countries seems</w:t>
      </w:r>
      <w:r w:rsidR="00527088" w:rsidRPr="009E2BBE">
        <w:t xml:space="preserve"> similar to </w:t>
      </w:r>
      <w:r w:rsidR="00F54CD5" w:rsidRPr="009E2BBE">
        <w:t>that</w:t>
      </w:r>
      <w:r w:rsidRPr="009E2BBE">
        <w:t xml:space="preserve"> </w:t>
      </w:r>
      <w:r w:rsidR="00812A3F" w:rsidRPr="009E2BBE">
        <w:t>desired in Australia</w:t>
      </w:r>
      <w:r w:rsidR="004A7CE8" w:rsidRPr="009E2BBE">
        <w:t xml:space="preserve"> (</w:t>
      </w:r>
      <w:r w:rsidR="00F54CD5" w:rsidRPr="009E2BBE">
        <w:t>one to two</w:t>
      </w:r>
      <w:r w:rsidR="004A7CE8" w:rsidRPr="009E2BBE">
        <w:t xml:space="preserve"> years)</w:t>
      </w:r>
      <w:r w:rsidRPr="009E2BBE">
        <w:t>. However</w:t>
      </w:r>
      <w:r w:rsidR="00527088" w:rsidRPr="009E2BBE">
        <w:t xml:space="preserve">, a breakdown of the time taken for each step in the </w:t>
      </w:r>
      <w:r w:rsidR="00EA3747" w:rsidRPr="009E2BBE">
        <w:t xml:space="preserve">qualification development </w:t>
      </w:r>
      <w:r w:rsidR="00527088" w:rsidRPr="009E2BBE">
        <w:t xml:space="preserve">process is not publicly available for </w:t>
      </w:r>
      <w:r w:rsidR="004A7CE8" w:rsidRPr="009E2BBE">
        <w:t xml:space="preserve">all the </w:t>
      </w:r>
      <w:r w:rsidR="00527088" w:rsidRPr="009E2BBE">
        <w:t xml:space="preserve">countries </w:t>
      </w:r>
      <w:r w:rsidRPr="009E2BBE">
        <w:t>examined</w:t>
      </w:r>
      <w:r w:rsidR="008666C4" w:rsidRPr="009E2BBE">
        <w:t>;</w:t>
      </w:r>
      <w:r w:rsidR="004A7CE8" w:rsidRPr="009E2BBE">
        <w:t xml:space="preserve"> </w:t>
      </w:r>
      <w:r w:rsidR="00527088" w:rsidRPr="009E2BBE">
        <w:t>therefore</w:t>
      </w:r>
      <w:r w:rsidR="008666C4" w:rsidRPr="009E2BBE">
        <w:t>,</w:t>
      </w:r>
      <w:r w:rsidR="00527088" w:rsidRPr="009E2BBE">
        <w:t xml:space="preserve"> </w:t>
      </w:r>
      <w:r w:rsidRPr="009E2BBE">
        <w:t>which stages take up more</w:t>
      </w:r>
      <w:r w:rsidR="00527088" w:rsidRPr="009E2BBE">
        <w:t xml:space="preserve"> time internationally</w:t>
      </w:r>
      <w:r w:rsidR="008666C4" w:rsidRPr="009E2BBE">
        <w:t xml:space="preserve"> is unknown</w:t>
      </w:r>
      <w:r w:rsidR="00527088" w:rsidRPr="009E2BBE">
        <w:t xml:space="preserve">. </w:t>
      </w:r>
      <w:r w:rsidRPr="009E2BBE">
        <w:t xml:space="preserve">Only </w:t>
      </w:r>
      <w:r w:rsidR="004A7CE8" w:rsidRPr="009E2BBE">
        <w:t>New Zealand</w:t>
      </w:r>
      <w:r w:rsidR="004C0925" w:rsidRPr="009E2BBE">
        <w:t xml:space="preserve"> and South Africa </w:t>
      </w:r>
      <w:r w:rsidRPr="009E2BBE">
        <w:t>had</w:t>
      </w:r>
      <w:r w:rsidR="00527088" w:rsidRPr="009E2BBE">
        <w:t xml:space="preserve"> </w:t>
      </w:r>
      <w:r w:rsidR="00F506F9" w:rsidRPr="009E2BBE">
        <w:t xml:space="preserve">any </w:t>
      </w:r>
      <w:r w:rsidR="00527088" w:rsidRPr="009E2BBE">
        <w:t>information available</w:t>
      </w:r>
      <w:r w:rsidR="004A7CE8" w:rsidRPr="009E2BBE">
        <w:t xml:space="preserve">, </w:t>
      </w:r>
      <w:r w:rsidR="004C0925" w:rsidRPr="009E2BBE">
        <w:t xml:space="preserve">with New Zealand </w:t>
      </w:r>
      <w:r w:rsidR="00864B97" w:rsidRPr="009E2BBE">
        <w:t>indicating</w:t>
      </w:r>
      <w:r w:rsidR="00F506F9" w:rsidRPr="009E2BBE">
        <w:t xml:space="preserve"> </w:t>
      </w:r>
      <w:r w:rsidR="004A7CE8" w:rsidRPr="009E2BBE">
        <w:t>a</w:t>
      </w:r>
      <w:r w:rsidR="00F506F9" w:rsidRPr="009E2BBE">
        <w:t xml:space="preserve"> suggested</w:t>
      </w:r>
      <w:r w:rsidR="004A7CE8" w:rsidRPr="009E2BBE">
        <w:t xml:space="preserve"> </w:t>
      </w:r>
      <w:r w:rsidR="00864B97" w:rsidRPr="009E2BBE">
        <w:t>five</w:t>
      </w:r>
      <w:r w:rsidR="004A7CE8" w:rsidRPr="009E2BBE">
        <w:t xml:space="preserve">-month </w:t>
      </w:r>
      <w:r w:rsidR="00F506F9" w:rsidRPr="009E2BBE">
        <w:t xml:space="preserve">qualification review </w:t>
      </w:r>
      <w:r w:rsidR="004A7CE8" w:rsidRPr="009E2BBE">
        <w:t>timeline</w:t>
      </w:r>
      <w:r w:rsidR="004C0925" w:rsidRPr="009E2BBE">
        <w:t xml:space="preserve"> and South Africa a potential </w:t>
      </w:r>
      <w:r w:rsidR="00864B97" w:rsidRPr="009E2BBE">
        <w:t>four</w:t>
      </w:r>
      <w:r w:rsidR="0084433B" w:rsidRPr="009E2BBE">
        <w:t>-month</w:t>
      </w:r>
      <w:r w:rsidR="004C0925" w:rsidRPr="009E2BBE">
        <w:t xml:space="preserve"> lead time before qualification development can begin (with initial approval and scoping meeting)</w:t>
      </w:r>
      <w:r w:rsidR="00527088" w:rsidRPr="009E2BBE">
        <w:t>.</w:t>
      </w:r>
    </w:p>
    <w:p w14:paraId="0C3FEA64" w14:textId="3CC5BF65" w:rsidR="002533DD" w:rsidRPr="009E2BBE" w:rsidRDefault="002533DD" w:rsidP="00F71A2D">
      <w:pPr>
        <w:pStyle w:val="Dotpoint10"/>
      </w:pPr>
      <w:r w:rsidRPr="009E2BBE">
        <w:t>The numerous points for consultation</w:t>
      </w:r>
      <w:r w:rsidR="00861EFE" w:rsidRPr="009E2BBE">
        <w:t>, validation</w:t>
      </w:r>
      <w:r w:rsidRPr="009E2BBE">
        <w:t xml:space="preserve"> and quality assurance in the Australian </w:t>
      </w:r>
      <w:r w:rsidR="004A13E8" w:rsidRPr="009E2BBE">
        <w:t xml:space="preserve">training package </w:t>
      </w:r>
      <w:r w:rsidRPr="009E2BBE">
        <w:t>product</w:t>
      </w:r>
      <w:r w:rsidR="006E40EA" w:rsidRPr="009E2BBE">
        <w:t>-</w:t>
      </w:r>
      <w:r w:rsidRPr="009E2BBE">
        <w:t>development process can contribute to the length of time</w:t>
      </w:r>
      <w:r w:rsidR="00767837" w:rsidRPr="009E2BBE">
        <w:t xml:space="preserve"> for qualification development</w:t>
      </w:r>
      <w:r w:rsidR="00861EFE" w:rsidRPr="009E2BBE">
        <w:t>. This seems to be driven by the need to achieve consensus from multiple jurisdictions</w:t>
      </w:r>
      <w:r w:rsidR="000178B6" w:rsidRPr="009E2BBE">
        <w:t>,</w:t>
      </w:r>
      <w:r w:rsidR="00861EFE" w:rsidRPr="009E2BBE">
        <w:t xml:space="preserve"> as well as stakeholders</w:t>
      </w:r>
      <w:r w:rsidRPr="009E2BBE">
        <w:t>. Scotland appears to have a single step in its development process for consultation and another for quality assurance</w:t>
      </w:r>
      <w:r w:rsidR="00724239" w:rsidRPr="009E2BBE">
        <w:t>; an</w:t>
      </w:r>
      <w:r w:rsidR="00861EFE" w:rsidRPr="009E2BBE">
        <w:t xml:space="preserve"> examination of how they achieve this may reveal efficiencies</w:t>
      </w:r>
      <w:r w:rsidRPr="009E2BBE">
        <w:t>.</w:t>
      </w:r>
    </w:p>
    <w:p w14:paraId="2566E8D6" w14:textId="0C35D4FE" w:rsidR="00F71A2D" w:rsidRPr="009E2BBE" w:rsidRDefault="00F71A2D" w:rsidP="00B4715C">
      <w:pPr>
        <w:pStyle w:val="Dotpoint10"/>
      </w:pPr>
      <w:r w:rsidRPr="009E2BBE">
        <w:t>When submitting qualifications for approval, it is standard practice across the countries examined for evidence of consultations</w:t>
      </w:r>
      <w:r w:rsidR="00CE44F1" w:rsidRPr="009E2BBE">
        <w:t xml:space="preserve"> to be included in the documentation</w:t>
      </w:r>
      <w:r w:rsidRPr="009E2BBE">
        <w:t xml:space="preserve">, including </w:t>
      </w:r>
      <w:r w:rsidR="00890908" w:rsidRPr="009E2BBE">
        <w:t xml:space="preserve">the </w:t>
      </w:r>
      <w:r w:rsidRPr="009E2BBE">
        <w:t xml:space="preserve">stakeholders involved, </w:t>
      </w:r>
      <w:r w:rsidR="00890908" w:rsidRPr="009E2BBE">
        <w:t xml:space="preserve">the </w:t>
      </w:r>
      <w:r w:rsidRPr="009E2BBE">
        <w:t>feedback received and how it was addressed</w:t>
      </w:r>
      <w:r w:rsidR="00CE44F1" w:rsidRPr="009E2BBE">
        <w:t>.</w:t>
      </w:r>
      <w:r w:rsidRPr="009E2BBE">
        <w:t xml:space="preserve"> This is </w:t>
      </w:r>
      <w:r w:rsidR="00EF0EB9" w:rsidRPr="009E2BBE">
        <w:t xml:space="preserve">also </w:t>
      </w:r>
      <w:r w:rsidRPr="009E2BBE">
        <w:t>the case in Australia.</w:t>
      </w:r>
    </w:p>
    <w:p w14:paraId="48F03306" w14:textId="738A108C" w:rsidR="00161A80" w:rsidRPr="009E2BBE" w:rsidRDefault="00767837" w:rsidP="00161A80">
      <w:pPr>
        <w:pStyle w:val="Dotpoint10"/>
      </w:pPr>
      <w:r w:rsidRPr="009E2BBE">
        <w:t>In many of the countries examined, the body or organisation with the final approval of a qualification is also the regulatory body of vocational qualifications in that country, such as the South African Qualifications Authority</w:t>
      </w:r>
      <w:r w:rsidR="00325A16" w:rsidRPr="009E2BBE">
        <w:t xml:space="preserve"> (</w:t>
      </w:r>
      <w:r w:rsidR="000178B6" w:rsidRPr="009E2BBE">
        <w:t xml:space="preserve">SAQA; </w:t>
      </w:r>
      <w:r w:rsidR="00FC286F" w:rsidRPr="009E2BBE">
        <w:t>following</w:t>
      </w:r>
      <w:r w:rsidR="00325A16" w:rsidRPr="009E2BBE">
        <w:t xml:space="preserve"> approval </w:t>
      </w:r>
      <w:r w:rsidR="00FC286F" w:rsidRPr="009E2BBE">
        <w:t xml:space="preserve">from </w:t>
      </w:r>
      <w:r w:rsidR="00325A16" w:rsidRPr="009E2BBE">
        <w:t>the Quality Council of Trades and Occupations</w:t>
      </w:r>
      <w:r w:rsidR="002B3E5E" w:rsidRPr="009E2BBE">
        <w:t xml:space="preserve"> [QCTO]</w:t>
      </w:r>
      <w:r w:rsidR="00325A16" w:rsidRPr="009E2BBE">
        <w:t>)</w:t>
      </w:r>
      <w:r w:rsidR="00C20780" w:rsidRPr="009E2BBE">
        <w:t>,</w:t>
      </w:r>
      <w:r w:rsidRPr="009E2BBE">
        <w:t xml:space="preserve"> </w:t>
      </w:r>
      <w:r w:rsidR="00FA48B9" w:rsidRPr="009E2BBE">
        <w:t>the Scottish Qualifications Authority (</w:t>
      </w:r>
      <w:r w:rsidRPr="009E2BBE">
        <w:t>SQA</w:t>
      </w:r>
      <w:r w:rsidR="00FA48B9" w:rsidRPr="009E2BBE">
        <w:t>)</w:t>
      </w:r>
      <w:r w:rsidRPr="009E2BBE">
        <w:t xml:space="preserve"> </w:t>
      </w:r>
      <w:r w:rsidR="00FA48B9" w:rsidRPr="009E2BBE">
        <w:t>a</w:t>
      </w:r>
      <w:r w:rsidRPr="009E2BBE">
        <w:t>ccreditation in Scotland</w:t>
      </w:r>
      <w:r w:rsidR="00C20780" w:rsidRPr="009E2BBE">
        <w:t xml:space="preserve"> and </w:t>
      </w:r>
      <w:r w:rsidR="00861EFE" w:rsidRPr="009E2BBE">
        <w:t xml:space="preserve">the </w:t>
      </w:r>
      <w:r w:rsidR="00C20780" w:rsidRPr="009E2BBE">
        <w:t>N</w:t>
      </w:r>
      <w:r w:rsidR="008F0EB8" w:rsidRPr="009E2BBE">
        <w:t>ew Zealand Qualifications Authority (NZQA)</w:t>
      </w:r>
      <w:r w:rsidR="00C20780" w:rsidRPr="009E2BBE">
        <w:t xml:space="preserve"> in New Zealand</w:t>
      </w:r>
      <w:r w:rsidRPr="00110362">
        <w:t xml:space="preserve">. In Australia, </w:t>
      </w:r>
      <w:r w:rsidR="00110362">
        <w:t>a recommendation to approve</w:t>
      </w:r>
      <w:r w:rsidR="00110362" w:rsidRPr="00110362">
        <w:t xml:space="preserve"> </w:t>
      </w:r>
      <w:r w:rsidRPr="00110362">
        <w:t>is given by an industry-led body, the Australian Industry and Skills Committee, with final endorsement</w:t>
      </w:r>
      <w:r w:rsidR="00861EFE" w:rsidRPr="00110362">
        <w:t xml:space="preserve"> given</w:t>
      </w:r>
      <w:r w:rsidRPr="00110362">
        <w:t xml:space="preserve"> by the </w:t>
      </w:r>
      <w:r w:rsidR="009F42FD" w:rsidRPr="00110362">
        <w:t>skills ministers</w:t>
      </w:r>
      <w:r w:rsidRPr="00110362">
        <w:t>. England appears to be the only other country with an industry-led body approving vocational qualifications.</w:t>
      </w:r>
    </w:p>
    <w:p w14:paraId="2BCCF5EA" w14:textId="2490D6BE" w:rsidR="0000575E" w:rsidRPr="009E2BBE" w:rsidRDefault="0000575E" w:rsidP="00B4715C">
      <w:pPr>
        <w:pStyle w:val="Dotpoint10"/>
      </w:pPr>
      <w:r w:rsidRPr="009E2BBE">
        <w:t>When assessing the need for a new qualification or changes to an existing qualification, many countries</w:t>
      </w:r>
      <w:r w:rsidR="00325A16" w:rsidRPr="009E2BBE">
        <w:t>, including Australia,</w:t>
      </w:r>
      <w:r w:rsidRPr="009E2BBE">
        <w:t xml:space="preserve"> </w:t>
      </w:r>
      <w:r w:rsidR="009F42FD" w:rsidRPr="009E2BBE">
        <w:t>determine</w:t>
      </w:r>
      <w:r w:rsidRPr="009E2BBE">
        <w:t xml:space="preserve"> whether the new qualification will duplicate a</w:t>
      </w:r>
      <w:r w:rsidR="00890908" w:rsidRPr="009E2BBE">
        <w:t>n existing</w:t>
      </w:r>
      <w:r w:rsidRPr="009E2BBE">
        <w:t xml:space="preserve"> qualification or replace a qualification. This usually needs to be addressed in </w:t>
      </w:r>
      <w:r w:rsidR="00F14C83" w:rsidRPr="009E2BBE">
        <w:t>an initial</w:t>
      </w:r>
      <w:r w:rsidR="00CE44F1" w:rsidRPr="009E2BBE">
        <w:t xml:space="preserve"> </w:t>
      </w:r>
      <w:r w:rsidR="00F14C83" w:rsidRPr="009E2BBE">
        <w:t xml:space="preserve">request to update or add a </w:t>
      </w:r>
      <w:r w:rsidRPr="009E2BBE">
        <w:t>qualification</w:t>
      </w:r>
      <w:r w:rsidR="00710DBB" w:rsidRPr="009E2BBE">
        <w:t>; f</w:t>
      </w:r>
      <w:r w:rsidRPr="009E2BBE">
        <w:t>or example</w:t>
      </w:r>
      <w:r w:rsidR="00890908" w:rsidRPr="009E2BBE">
        <w:t>, see</w:t>
      </w:r>
      <w:r w:rsidRPr="009E2BBE">
        <w:t xml:space="preserve"> New Zealand</w:t>
      </w:r>
      <w:r w:rsidR="00A26B8A" w:rsidRPr="009E2BBE">
        <w:t>’</w:t>
      </w:r>
      <w:r w:rsidR="00710DBB" w:rsidRPr="009E2BBE">
        <w:t>s</w:t>
      </w:r>
      <w:r w:rsidRPr="009E2BBE">
        <w:t xml:space="preserve"> and South Africa</w:t>
      </w:r>
      <w:r w:rsidR="00A26B8A" w:rsidRPr="009E2BBE">
        <w:t>’</w:t>
      </w:r>
      <w:r w:rsidR="00861EFE" w:rsidRPr="009E2BBE">
        <w:t>s processes</w:t>
      </w:r>
      <w:r w:rsidRPr="009E2BBE">
        <w:t>.</w:t>
      </w:r>
    </w:p>
    <w:p w14:paraId="3D86070C" w14:textId="63AD3E91" w:rsidR="00527088" w:rsidRPr="009E2BBE" w:rsidRDefault="00F64926" w:rsidP="00B4715C">
      <w:pPr>
        <w:pStyle w:val="Dotpoint10"/>
      </w:pPr>
      <w:r w:rsidRPr="009E2BBE">
        <w:t xml:space="preserve">Once a qualification is approved, the review period </w:t>
      </w:r>
      <w:r w:rsidR="00F14C83" w:rsidRPr="009E2BBE">
        <w:t xml:space="preserve">varies </w:t>
      </w:r>
      <w:r w:rsidRPr="009E2BBE">
        <w:t xml:space="preserve">between countries. New Zealand, South Africa and England approve qualifications for a period of </w:t>
      </w:r>
      <w:r w:rsidR="000D71B1" w:rsidRPr="009E2BBE">
        <w:t>five</w:t>
      </w:r>
      <w:r w:rsidRPr="009E2BBE">
        <w:t xml:space="preserve"> years, and they are reviewed before this period expires. </w:t>
      </w:r>
      <w:r w:rsidR="00F14C83" w:rsidRPr="009E2BBE">
        <w:t xml:space="preserve">Ontario </w:t>
      </w:r>
      <w:r w:rsidRPr="009E2BBE">
        <w:t xml:space="preserve">reviews </w:t>
      </w:r>
      <w:r w:rsidR="00890908" w:rsidRPr="009E2BBE">
        <w:t xml:space="preserve">its </w:t>
      </w:r>
      <w:r w:rsidRPr="009E2BBE">
        <w:t xml:space="preserve">qualifications every year and Finland has ongoing reviews, although the process is unclear. Wales has undertaken a series </w:t>
      </w:r>
      <w:r w:rsidR="00F14C83" w:rsidRPr="009E2BBE">
        <w:t xml:space="preserve">of </w:t>
      </w:r>
      <w:r w:rsidRPr="009E2BBE">
        <w:t>sector reviews</w:t>
      </w:r>
      <w:r w:rsidR="000D71B1" w:rsidRPr="009E2BBE">
        <w:t>,</w:t>
      </w:r>
      <w:r w:rsidRPr="009E2BBE">
        <w:t xml:space="preserve"> and changes to qualifications may occur as a result.</w:t>
      </w:r>
      <w:r w:rsidR="00325A16" w:rsidRPr="009E2BBE">
        <w:t xml:space="preserve"> </w:t>
      </w:r>
    </w:p>
    <w:p w14:paraId="42DEE984" w14:textId="084636D7" w:rsidR="00555DD7" w:rsidRPr="009E2BBE" w:rsidRDefault="00F14C83" w:rsidP="00555DD7">
      <w:pPr>
        <w:pStyle w:val="Dotpoint2"/>
      </w:pPr>
      <w:r w:rsidRPr="009E2BBE">
        <w:t xml:space="preserve">Commonly, examining </w:t>
      </w:r>
      <w:r w:rsidR="00555DD7" w:rsidRPr="009E2BBE">
        <w:t>enrolment and completion</w:t>
      </w:r>
      <w:r w:rsidRPr="009E2BBE">
        <w:t xml:space="preserve"> data for </w:t>
      </w:r>
      <w:r w:rsidR="00555DD7" w:rsidRPr="009E2BBE">
        <w:t>qualifications</w:t>
      </w:r>
      <w:r w:rsidRPr="009E2BBE">
        <w:t xml:space="preserve"> is part of the review process</w:t>
      </w:r>
      <w:r w:rsidR="00555DD7" w:rsidRPr="009E2BBE">
        <w:t xml:space="preserve">. If a qualification has had no or low enrolments for a period of two years or more (in most </w:t>
      </w:r>
      <w:r w:rsidRPr="009E2BBE">
        <w:t>countries</w:t>
      </w:r>
      <w:r w:rsidR="00555DD7" w:rsidRPr="009E2BBE">
        <w:t>)</w:t>
      </w:r>
      <w:r w:rsidR="000D71B1" w:rsidRPr="009E2BBE">
        <w:t>,</w:t>
      </w:r>
      <w:r w:rsidR="00555DD7" w:rsidRPr="009E2BBE">
        <w:t xml:space="preserve"> then it is recommended that the qualification </w:t>
      </w:r>
      <w:r w:rsidR="00EC640C" w:rsidRPr="009E2BBE">
        <w:t>be</w:t>
      </w:r>
      <w:r w:rsidR="007B3FA6" w:rsidRPr="009E2BBE">
        <w:t xml:space="preserve"> </w:t>
      </w:r>
      <w:r w:rsidR="00555DD7" w:rsidRPr="009E2BBE">
        <w:t xml:space="preserve">deregistered. </w:t>
      </w:r>
      <w:r w:rsidR="00890908" w:rsidRPr="009E2BBE">
        <w:t>For example, in</w:t>
      </w:r>
      <w:r w:rsidR="00555DD7" w:rsidRPr="009E2BBE">
        <w:t xml:space="preserve"> Scotland reviews</w:t>
      </w:r>
      <w:r w:rsidR="00873676" w:rsidRPr="009E2BBE">
        <w:t xml:space="preserve"> of qualification uptake</w:t>
      </w:r>
      <w:r w:rsidR="00555DD7" w:rsidRPr="009E2BBE">
        <w:t xml:space="preserve"> </w:t>
      </w:r>
      <w:r w:rsidRPr="009E2BBE">
        <w:t xml:space="preserve">are undertaken </w:t>
      </w:r>
      <w:r w:rsidR="00555DD7" w:rsidRPr="009E2BBE">
        <w:t>every six months.</w:t>
      </w:r>
    </w:p>
    <w:p w14:paraId="591F1BC5" w14:textId="43FBAE03" w:rsidR="00F71A2D" w:rsidRPr="009E2BBE" w:rsidRDefault="00F64926" w:rsidP="00B4715C">
      <w:pPr>
        <w:pStyle w:val="Dotpoint10"/>
      </w:pPr>
      <w:r w:rsidRPr="009E2BBE">
        <w:t xml:space="preserve">Most countries tend to have vocational qualifications that are tied to occupational standards or occupational codes, which closely link qualifications to particular occupations. </w:t>
      </w:r>
      <w:r w:rsidR="00861EFE" w:rsidRPr="009E2BBE">
        <w:t xml:space="preserve">Qualifications in Ontario, Singapore and Finland are linked to clusters of occupations that reflect the make-up of groups established expressly to inform the </w:t>
      </w:r>
      <w:r w:rsidR="00EA3747" w:rsidRPr="009E2BBE">
        <w:t>qualification development process</w:t>
      </w:r>
      <w:r w:rsidR="00861EFE" w:rsidRPr="009E2BBE">
        <w:t xml:space="preserve">. </w:t>
      </w:r>
      <w:r w:rsidR="002B6A64" w:rsidRPr="009E2BBE">
        <w:t>In the United Kingdom, qualifications are based on these separate occupational standards</w:t>
      </w:r>
      <w:r w:rsidR="00644277" w:rsidRPr="009E2BBE">
        <w:t>,</w:t>
      </w:r>
      <w:r w:rsidR="002B6A64" w:rsidRPr="009E2BBE">
        <w:t xml:space="preserve"> whereas in South Africa and New Zealand the occupational standards are part of the qualification and inform </w:t>
      </w:r>
      <w:r w:rsidR="002B3E5E" w:rsidRPr="009E2BBE">
        <w:t xml:space="preserve">the </w:t>
      </w:r>
      <w:r w:rsidR="002B6A64" w:rsidRPr="009E2BBE">
        <w:t xml:space="preserve">curriculum. </w:t>
      </w:r>
      <w:r w:rsidR="00861EFE" w:rsidRPr="009E2BBE">
        <w:t>It is unclear how having occupational standards linked to training standards may</w:t>
      </w:r>
      <w:r w:rsidR="00AE5AEF" w:rsidRPr="009E2BBE">
        <w:t xml:space="preserve"> have an</w:t>
      </w:r>
      <w:r w:rsidR="00861EFE" w:rsidRPr="009E2BBE">
        <w:t xml:space="preserve"> impact </w:t>
      </w:r>
      <w:r w:rsidR="00AE5AEF" w:rsidRPr="009E2BBE">
        <w:t xml:space="preserve">on </w:t>
      </w:r>
      <w:r w:rsidR="00861EFE" w:rsidRPr="009E2BBE">
        <w:t>development timelines in these countries</w:t>
      </w:r>
      <w:r w:rsidR="00DD6CE8" w:rsidRPr="009E2BBE">
        <w:t xml:space="preserve">. </w:t>
      </w:r>
      <w:r w:rsidR="00EA3747" w:rsidRPr="009E2BBE">
        <w:t>The Australian experience suggests that industry seeks a level of detail in occupational standards that can be difficult to reconcile with the development of broadly applicable training standards</w:t>
      </w:r>
      <w:r w:rsidR="00DD6CE8" w:rsidRPr="009E2BBE">
        <w:t>.</w:t>
      </w:r>
      <w:r w:rsidR="00861EFE" w:rsidRPr="009E2BBE">
        <w:t xml:space="preserve"> </w:t>
      </w:r>
    </w:p>
    <w:p w14:paraId="25E37B23" w14:textId="7F5DFA0D" w:rsidR="00B579FC" w:rsidRPr="009E2BBE" w:rsidRDefault="00B579FC" w:rsidP="00B4715C">
      <w:pPr>
        <w:pStyle w:val="Dotpoint10"/>
      </w:pPr>
      <w:r w:rsidRPr="009E2BBE">
        <w:t>Pathways between school, VET and higher education overseas are facilitated mo</w:t>
      </w:r>
      <w:r w:rsidR="001173C6" w:rsidRPr="009E2BBE">
        <w:t>st</w:t>
      </w:r>
      <w:r w:rsidRPr="009E2BBE">
        <w:t xml:space="preserve"> </w:t>
      </w:r>
      <w:r w:rsidR="001173C6" w:rsidRPr="009E2BBE">
        <w:t xml:space="preserve">often through </w:t>
      </w:r>
      <w:r w:rsidRPr="009E2BBE">
        <w:t xml:space="preserve">system design, such as </w:t>
      </w:r>
      <w:r w:rsidR="001173C6" w:rsidRPr="009E2BBE">
        <w:t>mapping the</w:t>
      </w:r>
      <w:r w:rsidRPr="009E2BBE">
        <w:t xml:space="preserve"> qualification framework </w:t>
      </w:r>
      <w:r w:rsidR="001173C6" w:rsidRPr="009E2BBE">
        <w:t>to</w:t>
      </w:r>
      <w:r w:rsidRPr="009E2BBE">
        <w:t xml:space="preserve"> vocational pathways </w:t>
      </w:r>
      <w:r w:rsidR="001173C6" w:rsidRPr="009E2BBE">
        <w:t>and secondary school certifications</w:t>
      </w:r>
      <w:r w:rsidRPr="009E2BBE">
        <w:t>, rather than through qualification design</w:t>
      </w:r>
      <w:r w:rsidR="001C6514" w:rsidRPr="009E2BBE">
        <w:t xml:space="preserve">, </w:t>
      </w:r>
      <w:r w:rsidR="008B2492" w:rsidRPr="009E2BBE">
        <w:t>as</w:t>
      </w:r>
      <w:r w:rsidR="001C6514" w:rsidRPr="009E2BBE">
        <w:t xml:space="preserve"> is the current practice in Australia</w:t>
      </w:r>
      <w:r w:rsidRPr="009E2BBE">
        <w:t>.</w:t>
      </w:r>
    </w:p>
    <w:bookmarkEnd w:id="21"/>
    <w:p w14:paraId="454CF970" w14:textId="04ADD518" w:rsidR="00E601A7" w:rsidRPr="009E2BBE" w:rsidRDefault="00AD0611" w:rsidP="000B006E">
      <w:pPr>
        <w:pStyle w:val="Dotpoint10"/>
      </w:pPr>
      <w:r w:rsidRPr="009E2BBE">
        <w:t xml:space="preserve">Ensuring quality and meeting the needs of myriad stakeholders </w:t>
      </w:r>
      <w:r w:rsidR="00E601A7" w:rsidRPr="009E2BBE">
        <w:t>drive</w:t>
      </w:r>
      <w:r w:rsidRPr="009E2BBE">
        <w:t xml:space="preserve"> processes in Australia and overseas</w:t>
      </w:r>
      <w:r w:rsidR="00E601A7" w:rsidRPr="009E2BBE">
        <w:t xml:space="preserve"> — appropriate goals that any effort to streamline qualification development must consider</w:t>
      </w:r>
      <w:r w:rsidRPr="009E2BBE">
        <w:t>.</w:t>
      </w:r>
      <w:r w:rsidR="00B579FC" w:rsidRPr="009E2BBE">
        <w:t xml:space="preserve"> If the purpose </w:t>
      </w:r>
      <w:r w:rsidR="00E601A7" w:rsidRPr="009E2BBE">
        <w:t xml:space="preserve">of </w:t>
      </w:r>
      <w:r w:rsidR="00B579FC" w:rsidRPr="009E2BBE">
        <w:t xml:space="preserve">streamlining </w:t>
      </w:r>
      <w:r w:rsidR="001173C6" w:rsidRPr="009E2BBE">
        <w:t xml:space="preserve">is to improve </w:t>
      </w:r>
      <w:r w:rsidR="00277970" w:rsidRPr="009E2BBE">
        <w:t xml:space="preserve">skilling agility, other </w:t>
      </w:r>
      <w:r w:rsidR="00373686" w:rsidRPr="009E2BBE">
        <w:t xml:space="preserve">training products </w:t>
      </w:r>
      <w:r w:rsidRPr="009E2BBE">
        <w:t xml:space="preserve">may better address the need to respond rapidly to </w:t>
      </w:r>
      <w:r w:rsidR="004A13E8" w:rsidRPr="009E2BBE">
        <w:t xml:space="preserve">changing </w:t>
      </w:r>
      <w:r w:rsidRPr="009E2BBE">
        <w:t>skill</w:t>
      </w:r>
      <w:r w:rsidR="004A13E8" w:rsidRPr="009E2BBE">
        <w:t>s</w:t>
      </w:r>
      <w:r w:rsidRPr="009E2BBE">
        <w:t xml:space="preserve"> needs</w:t>
      </w:r>
      <w:r w:rsidR="00DD6CE8" w:rsidRPr="009E2BBE">
        <w:t xml:space="preserve"> while qualification are developed</w:t>
      </w:r>
      <w:r w:rsidRPr="009E2BBE">
        <w:t xml:space="preserve">, </w:t>
      </w:r>
      <w:r w:rsidR="000B006E" w:rsidRPr="009E2BBE">
        <w:t>such as</w:t>
      </w:r>
      <w:r w:rsidR="006F08C1" w:rsidRPr="009E2BBE">
        <w:t xml:space="preserve"> accredited courses</w:t>
      </w:r>
      <w:r w:rsidR="0063682D" w:rsidRPr="009E2BBE">
        <w:t xml:space="preserve"> or</w:t>
      </w:r>
      <w:r w:rsidR="000B006E" w:rsidRPr="009E2BBE">
        <w:t xml:space="preserve"> skill sets. </w:t>
      </w:r>
      <w:r w:rsidR="006F08C1" w:rsidRPr="009E2BBE">
        <w:t>The development process of these</w:t>
      </w:r>
      <w:r w:rsidR="004A13E8" w:rsidRPr="009E2BBE">
        <w:t xml:space="preserve"> products</w:t>
      </w:r>
      <w:r w:rsidR="006F08C1" w:rsidRPr="009E2BBE">
        <w:t xml:space="preserve"> i</w:t>
      </w:r>
      <w:r w:rsidR="004A13E8" w:rsidRPr="009E2BBE">
        <w:t>n</w:t>
      </w:r>
      <w:r w:rsidR="006F08C1" w:rsidRPr="009E2BBE">
        <w:t xml:space="preserve"> Australia still involves stakeholder </w:t>
      </w:r>
      <w:r w:rsidR="008B2DEB" w:rsidRPr="009E2BBE">
        <w:t>consultation but</w:t>
      </w:r>
      <w:r w:rsidR="006F08C1" w:rsidRPr="009E2BBE">
        <w:t xml:space="preserve"> </w:t>
      </w:r>
      <w:r w:rsidR="00E601A7" w:rsidRPr="009E2BBE">
        <w:t xml:space="preserve">tends to take </w:t>
      </w:r>
      <w:r w:rsidR="006F08C1" w:rsidRPr="009E2BBE">
        <w:t>less time than change</w:t>
      </w:r>
      <w:r w:rsidR="00E601A7" w:rsidRPr="009E2BBE">
        <w:t>s</w:t>
      </w:r>
      <w:r w:rsidR="006F08C1" w:rsidRPr="009E2BBE">
        <w:t xml:space="preserve"> to </w:t>
      </w:r>
      <w:r w:rsidR="00E601A7" w:rsidRPr="009E2BBE">
        <w:t xml:space="preserve">training packages, </w:t>
      </w:r>
      <w:r w:rsidR="006F08C1" w:rsidRPr="009E2BBE">
        <w:t xml:space="preserve">allowing them to be delivered more quickly. </w:t>
      </w:r>
      <w:r w:rsidR="00325A16" w:rsidRPr="009E2BBE">
        <w:t>These training products should still sit alongside training packages.</w:t>
      </w:r>
    </w:p>
    <w:p w14:paraId="5CAAF0D3" w14:textId="42B0FEE9" w:rsidR="00F1430C" w:rsidRPr="009E2BBE" w:rsidRDefault="000B006E" w:rsidP="008B2DEB">
      <w:pPr>
        <w:pStyle w:val="Dotpoint2"/>
      </w:pPr>
      <w:r w:rsidRPr="009E2BBE">
        <w:t xml:space="preserve">While not </w:t>
      </w:r>
      <w:r w:rsidR="00AD0611" w:rsidRPr="009E2BBE">
        <w:t>closely examined</w:t>
      </w:r>
      <w:r w:rsidRPr="009E2BBE">
        <w:t xml:space="preserve"> in this project, </w:t>
      </w:r>
      <w:r w:rsidR="00873676" w:rsidRPr="009E2BBE">
        <w:t xml:space="preserve">vocational </w:t>
      </w:r>
      <w:r w:rsidRPr="009E2BBE">
        <w:t xml:space="preserve">qualifications in </w:t>
      </w:r>
      <w:r w:rsidR="00A23F50" w:rsidRPr="009E2BBE">
        <w:t>t</w:t>
      </w:r>
      <w:r w:rsidRPr="009E2BBE">
        <w:t>he Netherlands consist of optional modules</w:t>
      </w:r>
      <w:r w:rsidR="00493FFE" w:rsidRPr="009E2BBE">
        <w:t>,</w:t>
      </w:r>
      <w:r w:rsidRPr="009E2BBE">
        <w:t xml:space="preserve"> jointly developed by companies and education institutions</w:t>
      </w:r>
      <w:r w:rsidR="00A23F50" w:rsidRPr="009E2BBE">
        <w:t>, which</w:t>
      </w:r>
      <w:r w:rsidRPr="009E2BBE">
        <w:t xml:space="preserve"> </w:t>
      </w:r>
      <w:r w:rsidR="00AD0611" w:rsidRPr="009E2BBE">
        <w:t>can</w:t>
      </w:r>
      <w:r w:rsidRPr="009E2BBE">
        <w:t xml:space="preserve"> be </w:t>
      </w:r>
      <w:r w:rsidR="001F627F" w:rsidRPr="009E2BBE">
        <w:t xml:space="preserve">revised </w:t>
      </w:r>
      <w:r w:rsidRPr="009E2BBE">
        <w:t xml:space="preserve">every three months and delivered </w:t>
      </w:r>
      <w:r w:rsidR="00AD0611" w:rsidRPr="009E2BBE">
        <w:t xml:space="preserve">to </w:t>
      </w:r>
      <w:r w:rsidRPr="009E2BBE">
        <w:t>students immediately</w:t>
      </w:r>
      <w:r w:rsidR="00133490" w:rsidRPr="009E2BBE">
        <w:t>,</w:t>
      </w:r>
      <w:r w:rsidRPr="009E2BBE">
        <w:t xml:space="preserve"> </w:t>
      </w:r>
      <w:r w:rsidR="00925826" w:rsidRPr="009E2BBE">
        <w:t xml:space="preserve">thus reacting </w:t>
      </w:r>
      <w:r w:rsidR="00133490" w:rsidRPr="009E2BBE">
        <w:t>rapidly</w:t>
      </w:r>
      <w:r w:rsidR="00925826" w:rsidRPr="009E2BBE">
        <w:t xml:space="preserve"> to changing skill needs</w:t>
      </w:r>
      <w:r w:rsidR="00E601A7" w:rsidRPr="009E2BBE">
        <w:t xml:space="preserve"> </w:t>
      </w:r>
      <w:r w:rsidRPr="009E2BBE">
        <w:t xml:space="preserve">(Wibrow &amp; Waugh 2020). </w:t>
      </w:r>
      <w:r w:rsidR="00325A16" w:rsidRPr="009E2BBE">
        <w:t>Finland also has a modular approach to training.</w:t>
      </w:r>
    </w:p>
    <w:p w14:paraId="25CC2F5F" w14:textId="77777777" w:rsidR="00C20780" w:rsidRPr="009E2BBE" w:rsidRDefault="00C20780" w:rsidP="004E1A61">
      <w:pPr>
        <w:pStyle w:val="Heading3"/>
      </w:pPr>
      <w:r w:rsidRPr="009E2BBE">
        <w:t>Observations</w:t>
      </w:r>
    </w:p>
    <w:p w14:paraId="1A9419DC" w14:textId="4B36FF0E" w:rsidR="00F50AE1" w:rsidRPr="009E2BBE" w:rsidRDefault="00133490" w:rsidP="00F50AE1">
      <w:pPr>
        <w:pStyle w:val="Text"/>
      </w:pPr>
      <w:r w:rsidRPr="009E2BBE">
        <w:t xml:space="preserve">A comparison of </w:t>
      </w:r>
      <w:r w:rsidR="00F50AE1" w:rsidRPr="009E2BBE">
        <w:t xml:space="preserve">international </w:t>
      </w:r>
      <w:r w:rsidR="00EA3747" w:rsidRPr="009E2BBE">
        <w:t>vocational qualification development</w:t>
      </w:r>
      <w:r w:rsidR="00F50AE1" w:rsidRPr="009E2BBE">
        <w:t xml:space="preserve"> </w:t>
      </w:r>
      <w:r w:rsidRPr="009E2BBE">
        <w:t>prompts</w:t>
      </w:r>
      <w:r w:rsidR="00F50AE1" w:rsidRPr="009E2BBE">
        <w:t xml:space="preserve"> some observations:</w:t>
      </w:r>
    </w:p>
    <w:p w14:paraId="73F1AD9E" w14:textId="472EBE27" w:rsidR="00C20780" w:rsidRPr="009E2BBE" w:rsidRDefault="00DD6CE8" w:rsidP="00F50AE1">
      <w:pPr>
        <w:pStyle w:val="Dotpoint10"/>
      </w:pPr>
      <w:r w:rsidRPr="009E2BBE">
        <w:t>In some countries, e</w:t>
      </w:r>
      <w:r w:rsidR="00F50AE1" w:rsidRPr="009E2BBE">
        <w:t xml:space="preserve">ducators and educational institutions play a </w:t>
      </w:r>
      <w:r w:rsidRPr="009E2BBE">
        <w:t xml:space="preserve">leading </w:t>
      </w:r>
      <w:r w:rsidR="00F50AE1" w:rsidRPr="009E2BBE">
        <w:t xml:space="preserve">role in qualification development. They are more readily involved in the actual development process, </w:t>
      </w:r>
      <w:r w:rsidR="00C60F6B" w:rsidRPr="009E2BBE">
        <w:t>for example,</w:t>
      </w:r>
      <w:r w:rsidR="00F50AE1" w:rsidRPr="009E2BBE">
        <w:t xml:space="preserve"> on expert groups, and they are included in stakeholder consultations. </w:t>
      </w:r>
      <w:r w:rsidR="00C20780" w:rsidRPr="009E2BBE">
        <w:t>This begs the question</w:t>
      </w:r>
      <w:r w:rsidR="00C60F6B" w:rsidRPr="009E2BBE">
        <w:t>:</w:t>
      </w:r>
      <w:r w:rsidR="00C20780" w:rsidRPr="009E2BBE">
        <w:t xml:space="preserve"> </w:t>
      </w:r>
      <w:r w:rsidR="002728C6" w:rsidRPr="009E2BBE">
        <w:t xml:space="preserve">how could </w:t>
      </w:r>
      <w:r w:rsidR="003B62C8" w:rsidRPr="009E2BBE">
        <w:t>transparent</w:t>
      </w:r>
      <w:r w:rsidR="002728C6" w:rsidRPr="009E2BBE">
        <w:t xml:space="preserve"> and meaningful con</w:t>
      </w:r>
      <w:r w:rsidR="00C20780" w:rsidRPr="009E2BBE">
        <w:t>sultation with VET providers and trainer</w:t>
      </w:r>
      <w:r w:rsidR="002728C6" w:rsidRPr="009E2BBE">
        <w:t xml:space="preserve"> expert representatives work</w:t>
      </w:r>
      <w:r w:rsidR="00C20780" w:rsidRPr="009E2BBE">
        <w:t xml:space="preserve"> in Australia</w:t>
      </w:r>
      <w:r w:rsidR="002728C6" w:rsidRPr="009E2BBE">
        <w:t>n</w:t>
      </w:r>
      <w:r w:rsidR="00C20780" w:rsidRPr="009E2BBE">
        <w:t xml:space="preserve"> training package development?</w:t>
      </w:r>
    </w:p>
    <w:p w14:paraId="12838500" w14:textId="14E0EF80" w:rsidR="00F50AE1" w:rsidRPr="009E2BBE" w:rsidRDefault="00F50AE1" w:rsidP="00F50AE1">
      <w:pPr>
        <w:pStyle w:val="Dotpoint10"/>
      </w:pPr>
      <w:r w:rsidRPr="009E2BBE">
        <w:t xml:space="preserve">The regulator in Australia, </w:t>
      </w:r>
      <w:r w:rsidR="00F412CC" w:rsidRPr="009E2BBE">
        <w:t>the Australian Skills Quality Authority (</w:t>
      </w:r>
      <w:r w:rsidRPr="009E2BBE">
        <w:t>ASQA</w:t>
      </w:r>
      <w:r w:rsidR="00F412CC" w:rsidRPr="009E2BBE">
        <w:t>)</w:t>
      </w:r>
      <w:r w:rsidRPr="009E2BBE">
        <w:t xml:space="preserve">, has a limited role in the </w:t>
      </w:r>
      <w:r w:rsidR="005C0E87" w:rsidRPr="009E2BBE">
        <w:t xml:space="preserve">approval </w:t>
      </w:r>
      <w:r w:rsidRPr="009E2BBE">
        <w:t>of training packages, whereas regulators overseas tend to have the final approval of qualifications. Should ASQA</w:t>
      </w:r>
      <w:r w:rsidR="002728C6" w:rsidRPr="009E2BBE">
        <w:t>, already the approving body for accredited courses,</w:t>
      </w:r>
      <w:r w:rsidRPr="009E2BBE">
        <w:t xml:space="preserve"> be more involved in the </w:t>
      </w:r>
      <w:r w:rsidR="005C0E87" w:rsidRPr="009E2BBE">
        <w:t xml:space="preserve">approval </w:t>
      </w:r>
      <w:r w:rsidRPr="009E2BBE">
        <w:t>of training package qualifications?</w:t>
      </w:r>
    </w:p>
    <w:p w14:paraId="52F63BB8" w14:textId="5202EA93" w:rsidR="000754B1" w:rsidRPr="009E2BBE" w:rsidRDefault="00F50AE1" w:rsidP="00430639">
      <w:pPr>
        <w:pStyle w:val="Dotpoint10"/>
      </w:pPr>
      <w:r w:rsidRPr="009E2BBE">
        <w:t>Since this work was undertaken</w:t>
      </w:r>
      <w:r w:rsidR="00E96463" w:rsidRPr="009E2BBE">
        <w:t>,</w:t>
      </w:r>
      <w:r w:rsidRPr="009E2BBE">
        <w:t xml:space="preserve"> during the second half of 2020, changes have been announced to </w:t>
      </w:r>
      <w:r w:rsidR="002728C6" w:rsidRPr="009E2BBE">
        <w:t xml:space="preserve">the </w:t>
      </w:r>
      <w:r w:rsidR="00EA3747" w:rsidRPr="009E2BBE">
        <w:t>qualification development process</w:t>
      </w:r>
      <w:r w:rsidRPr="009E2BBE">
        <w:t xml:space="preserve"> in Australia.</w:t>
      </w:r>
      <w:r w:rsidR="00472100" w:rsidRPr="009E2BBE">
        <w:t xml:space="preserve"> </w:t>
      </w:r>
      <w:r w:rsidRPr="009E2BBE">
        <w:t xml:space="preserve">The findings from these </w:t>
      </w:r>
      <w:r w:rsidR="00472100" w:rsidRPr="009E2BBE">
        <w:t>international comparisons provide support for this direction.</w:t>
      </w:r>
    </w:p>
    <w:p w14:paraId="05FCB55F" w14:textId="77777777" w:rsidR="00A26DDC" w:rsidRPr="009E2BBE" w:rsidRDefault="00A26DDC">
      <w:pPr>
        <w:spacing w:before="0" w:line="240" w:lineRule="auto"/>
        <w:rPr>
          <w:rFonts w:ascii="Arial" w:hAnsi="Arial" w:cs="Tahoma"/>
          <w:color w:val="000000"/>
          <w:sz w:val="24"/>
        </w:rPr>
      </w:pPr>
      <w:r w:rsidRPr="009E2BBE">
        <w:br w:type="page"/>
      </w:r>
    </w:p>
    <w:p w14:paraId="555FDD4E" w14:textId="271FB202" w:rsidR="00C20780" w:rsidRPr="009E2BBE" w:rsidRDefault="00C20780" w:rsidP="004E1A61">
      <w:pPr>
        <w:pStyle w:val="Heading3"/>
      </w:pPr>
      <w:r w:rsidRPr="009E2BBE">
        <w:t>Opportunities</w:t>
      </w:r>
    </w:p>
    <w:p w14:paraId="67B49E41" w14:textId="48D9C92A" w:rsidR="00472100" w:rsidRPr="009E2BBE" w:rsidRDefault="00CD2115" w:rsidP="00472100">
      <w:pPr>
        <w:pStyle w:val="Text"/>
      </w:pPr>
      <w:r w:rsidRPr="009E2BBE">
        <w:t>O</w:t>
      </w:r>
      <w:r w:rsidR="00472100" w:rsidRPr="009E2BBE">
        <w:t xml:space="preserve">pportunities to improve the efficiency of the Australian VET </w:t>
      </w:r>
      <w:r w:rsidR="00EA3747" w:rsidRPr="009E2BBE">
        <w:t>qualification development process</w:t>
      </w:r>
      <w:r w:rsidR="00472100" w:rsidRPr="009E2BBE">
        <w:t xml:space="preserve"> have </w:t>
      </w:r>
      <w:r w:rsidRPr="009E2BBE">
        <w:t xml:space="preserve">been revealed through comparison </w:t>
      </w:r>
      <w:r w:rsidR="003B678F" w:rsidRPr="009E2BBE">
        <w:t>with</w:t>
      </w:r>
      <w:r w:rsidRPr="009E2BBE">
        <w:t xml:space="preserve"> other systems. However, it must be noted that the federated system in Australia does </w:t>
      </w:r>
      <w:r w:rsidR="0073593C" w:rsidRPr="009E2BBE">
        <w:t xml:space="preserve">inform </w:t>
      </w:r>
      <w:r w:rsidRPr="009E2BBE">
        <w:t xml:space="preserve">some of the </w:t>
      </w:r>
      <w:r w:rsidR="008A66AE" w:rsidRPr="009E2BBE">
        <w:t xml:space="preserve">duplicated processes </w:t>
      </w:r>
      <w:r w:rsidRPr="009E2BBE">
        <w:t xml:space="preserve">observed. </w:t>
      </w:r>
      <w:r w:rsidR="004B2B73" w:rsidRPr="009E2BBE">
        <w:t>O</w:t>
      </w:r>
      <w:r w:rsidRPr="009E2BBE">
        <w:t>ther countries with a similar federation of state</w:t>
      </w:r>
      <w:r w:rsidR="008A66AE" w:rsidRPr="009E2BBE">
        <w:t>-</w:t>
      </w:r>
      <w:r w:rsidRPr="009E2BBE">
        <w:t>level jurisdictions, for example</w:t>
      </w:r>
      <w:r w:rsidR="00330B1B" w:rsidRPr="009E2BBE">
        <w:t>,</w:t>
      </w:r>
      <w:r w:rsidRPr="009E2BBE">
        <w:t xml:space="preserve"> the United States and Canada, have </w:t>
      </w:r>
      <w:r w:rsidR="0073593C" w:rsidRPr="009E2BBE">
        <w:t xml:space="preserve">very limited </w:t>
      </w:r>
      <w:r w:rsidRPr="009E2BBE">
        <w:t xml:space="preserve">national training systems in place. Even so, </w:t>
      </w:r>
      <w:r w:rsidR="00423C3B" w:rsidRPr="009E2BBE">
        <w:t xml:space="preserve">the following are </w:t>
      </w:r>
      <w:r w:rsidRPr="009E2BBE">
        <w:t xml:space="preserve">areas with potential </w:t>
      </w:r>
      <w:r w:rsidR="00423C3B" w:rsidRPr="009E2BBE">
        <w:t>for streamlining</w:t>
      </w:r>
      <w:r w:rsidRPr="009E2BBE">
        <w:t>:</w:t>
      </w:r>
    </w:p>
    <w:p w14:paraId="42D8A0E9" w14:textId="3B169886" w:rsidR="005C0E87" w:rsidRDefault="00A357C5" w:rsidP="005C0E87">
      <w:pPr>
        <w:pStyle w:val="Dotpoint10"/>
      </w:pPr>
      <w:r>
        <w:t>The Australian model has</w:t>
      </w:r>
      <w:r w:rsidR="005C0E87" w:rsidRPr="009E2BBE">
        <w:t xml:space="preserve"> multiple steps for consultation (four) and during the </w:t>
      </w:r>
      <w:r w:rsidR="00EA3747" w:rsidRPr="009E2BBE">
        <w:t>qualification development process</w:t>
      </w:r>
      <w:r w:rsidR="00761CED" w:rsidRPr="009E2BBE">
        <w:t>,</w:t>
      </w:r>
      <w:r w:rsidR="005C0E87" w:rsidRPr="009E2BBE">
        <w:t xml:space="preserve"> reflecting the need to build stakeholder </w:t>
      </w:r>
      <w:r w:rsidR="00931B40">
        <w:t xml:space="preserve">consensus in a federated system. </w:t>
      </w:r>
      <w:r w:rsidR="00931B40" w:rsidRPr="00931B40">
        <w:t xml:space="preserve">The </w:t>
      </w:r>
      <w:r w:rsidR="00931B40">
        <w:t xml:space="preserve">publicly available </w:t>
      </w:r>
      <w:r w:rsidR="00931B40" w:rsidRPr="00931B40">
        <w:t xml:space="preserve">literature </w:t>
      </w:r>
      <w:r w:rsidR="00931B40">
        <w:t xml:space="preserve">did not </w:t>
      </w:r>
      <w:r w:rsidR="005F4E17">
        <w:t>document the efficiency or effectiveness of each stage within the development process</w:t>
      </w:r>
      <w:r w:rsidR="00931B40">
        <w:t>. F</w:t>
      </w:r>
      <w:r w:rsidR="00931B40" w:rsidRPr="00931B40">
        <w:t xml:space="preserve">urther research that examines </w:t>
      </w:r>
      <w:r w:rsidR="005F4E17">
        <w:t xml:space="preserve">how </w:t>
      </w:r>
      <w:r w:rsidR="00931B40" w:rsidRPr="00931B40">
        <w:t xml:space="preserve">the </w:t>
      </w:r>
      <w:r w:rsidR="00CD7E53">
        <w:t>collaborative and conflict resolution practices</w:t>
      </w:r>
      <w:r w:rsidR="00931B40">
        <w:t xml:space="preserve"> of the various development and consultation groups</w:t>
      </w:r>
      <w:r w:rsidR="00931B40" w:rsidRPr="00931B40">
        <w:t xml:space="preserve"> </w:t>
      </w:r>
      <w:r w:rsidR="00931B40">
        <w:t>may lead</w:t>
      </w:r>
      <w:r w:rsidR="00931B40" w:rsidRPr="00931B40">
        <w:t xml:space="preserve"> to development delays would be informative.</w:t>
      </w:r>
    </w:p>
    <w:p w14:paraId="0BA1E550" w14:textId="5FA86FA6" w:rsidR="005C0E87" w:rsidRDefault="005C0E87" w:rsidP="00CD0C24">
      <w:pPr>
        <w:pStyle w:val="Dotpoint10"/>
      </w:pPr>
      <w:r w:rsidRPr="009E2BBE">
        <w:t xml:space="preserve">Many of the countries investigated only have one stage for approval, which is delegated to a particular organisation with authority, such as the regulator or an industry-led body that approves qualifications related to its own sector. </w:t>
      </w:r>
      <w:r w:rsidRPr="00040B14">
        <w:t xml:space="preserve">In Australia, </w:t>
      </w:r>
      <w:r w:rsidR="00110362">
        <w:t>t</w:t>
      </w:r>
      <w:r w:rsidR="00110362" w:rsidRPr="00CD0C24">
        <w:t>he case for endorsement is reviewed by state and territory governments and</w:t>
      </w:r>
      <w:r w:rsidR="00110362" w:rsidRPr="00110362">
        <w:t xml:space="preserve"> the Commonwealth Government, after which the AISC approves cases for endorsement to progress to skills</w:t>
      </w:r>
      <w:r w:rsidR="00110362" w:rsidRPr="00F27A86">
        <w:t xml:space="preserve"> ministers.</w:t>
      </w:r>
      <w:r w:rsidR="00110362">
        <w:t xml:space="preserve"> I</w:t>
      </w:r>
      <w:r w:rsidRPr="00040B14">
        <w:t xml:space="preserve">mplementation of new or updated qualifications </w:t>
      </w:r>
      <w:r w:rsidR="00450DB8" w:rsidRPr="00040B14">
        <w:t xml:space="preserve">proceeds </w:t>
      </w:r>
      <w:r w:rsidRPr="00040B14">
        <w:t>only after final approval from the skills ministers</w:t>
      </w:r>
      <w:r w:rsidR="00CD0C24" w:rsidRPr="00040B14">
        <w:t>.</w:t>
      </w:r>
      <w:r w:rsidRPr="009E2BBE">
        <w:t xml:space="preserve"> In countries where a similar federation of state</w:t>
      </w:r>
      <w:r w:rsidR="00EA3791" w:rsidRPr="009E2BBE">
        <w:t>-</w:t>
      </w:r>
      <w:r w:rsidRPr="009E2BBE">
        <w:t>level jurisdictions exists, attempts to set national training standard are limited to key trade occupations</w:t>
      </w:r>
      <w:r w:rsidR="003B62C8" w:rsidRPr="009E2BBE">
        <w:t xml:space="preserve">. </w:t>
      </w:r>
      <w:r w:rsidRPr="009E2BBE">
        <w:t>However, the value of occupational mobility in Australia makes it important for the system to consider where efficiencies can be made rather than moving away from national accreditation.</w:t>
      </w:r>
    </w:p>
    <w:p w14:paraId="5CE6D94B" w14:textId="5BD02678" w:rsidR="005C0E87" w:rsidRPr="009E2BBE" w:rsidRDefault="005C0E87" w:rsidP="005C0E87">
      <w:pPr>
        <w:pStyle w:val="Dotpoint10"/>
      </w:pPr>
      <w:r w:rsidRPr="009E2BBE">
        <w:t xml:space="preserve">Although not related to the </w:t>
      </w:r>
      <w:r w:rsidR="00EF67F4" w:rsidRPr="009E2BBE">
        <w:t xml:space="preserve">desktop review of the </w:t>
      </w:r>
      <w:r w:rsidRPr="009E2BBE">
        <w:t xml:space="preserve">literature, a COVID-19 subcommittee of </w:t>
      </w:r>
      <w:r w:rsidR="00EB34A8" w:rsidRPr="009E2BBE">
        <w:t xml:space="preserve">the </w:t>
      </w:r>
      <w:r w:rsidRPr="009E2BBE">
        <w:t xml:space="preserve">AISC was set up April 2020 to </w:t>
      </w:r>
      <w:r w:rsidR="00A26B8A" w:rsidRPr="009E2BBE">
        <w:t>‘</w:t>
      </w:r>
      <w:r w:rsidRPr="009E2BBE">
        <w:t>enable short-term and urgent adjustments to be made rapidly to qualifications</w:t>
      </w:r>
      <w:r w:rsidR="00A26B8A" w:rsidRPr="009E2BBE">
        <w:t>’</w:t>
      </w:r>
      <w:r w:rsidRPr="009E2BBE">
        <w:t xml:space="preserve"> (p.1). </w:t>
      </w:r>
      <w:r w:rsidR="00784BED">
        <w:t>If proven efficacious, a</w:t>
      </w:r>
      <w:r w:rsidR="007B6269" w:rsidRPr="009E2BBE">
        <w:t xml:space="preserve">n investigation of how that rapid process worked effectively could inform efficiency gains in the business-as-usual approval process </w:t>
      </w:r>
      <w:r w:rsidRPr="009E2BBE">
        <w:t xml:space="preserve">(Council of Australian Governments Skills Council 2020). </w:t>
      </w:r>
    </w:p>
    <w:p w14:paraId="10C77E1E" w14:textId="77777777" w:rsidR="00430639" w:rsidRPr="009E2BBE" w:rsidRDefault="00430639" w:rsidP="001A6366">
      <w:pPr>
        <w:pStyle w:val="Dotpoint10"/>
        <w:numPr>
          <w:ilvl w:val="0"/>
          <w:numId w:val="0"/>
        </w:numPr>
      </w:pPr>
    </w:p>
    <w:p w14:paraId="02D89038" w14:textId="1D049F4C" w:rsidR="002D5112" w:rsidRPr="009E2BBE" w:rsidRDefault="002D5112" w:rsidP="00430639">
      <w:pPr>
        <w:pStyle w:val="Heading3"/>
      </w:pPr>
      <w:r w:rsidRPr="009E2BBE">
        <w:br w:type="page"/>
      </w:r>
    </w:p>
    <w:p w14:paraId="2ED7C5F2" w14:textId="294F7C7D" w:rsidR="000A478F" w:rsidRPr="009E2BBE" w:rsidRDefault="00B36DE9" w:rsidP="009A4862">
      <w:pPr>
        <w:pStyle w:val="Heading1"/>
      </w:pPr>
      <w:bookmarkStart w:id="22" w:name="_Toc65741347"/>
      <w:r w:rsidRPr="009E2BBE">
        <w:t>Comparing</w:t>
      </w:r>
      <w:r w:rsidR="005C0795" w:rsidRPr="009E2BBE">
        <w:t xml:space="preserve"> </w:t>
      </w:r>
      <w:r w:rsidR="00EA3747" w:rsidRPr="009E2BBE">
        <w:t>qualification development</w:t>
      </w:r>
      <w:bookmarkEnd w:id="22"/>
    </w:p>
    <w:p w14:paraId="36A2AF43" w14:textId="69678141" w:rsidR="00416712" w:rsidRPr="009E2BBE" w:rsidRDefault="005C0795" w:rsidP="005C0795">
      <w:pPr>
        <w:pStyle w:val="Text"/>
      </w:pPr>
      <w:r w:rsidRPr="009E2BBE">
        <w:t xml:space="preserve">This section provides a comparison of aspects of the </w:t>
      </w:r>
      <w:r w:rsidR="00F50AE1" w:rsidRPr="009E2BBE">
        <w:t xml:space="preserve">VET </w:t>
      </w:r>
      <w:r w:rsidR="00EA3747" w:rsidRPr="009E2BBE">
        <w:t>qualification development</w:t>
      </w:r>
      <w:r w:rsidRPr="009E2BBE">
        <w:t xml:space="preserve"> </w:t>
      </w:r>
      <w:r w:rsidR="005D77A3" w:rsidRPr="009E2BBE">
        <w:t>of</w:t>
      </w:r>
      <w:r w:rsidRPr="009E2BBE">
        <w:t xml:space="preserve"> Australia and a selection of other countries. This may help to focus </w:t>
      </w:r>
      <w:r w:rsidR="00D305AC" w:rsidRPr="009E2BBE">
        <w:t xml:space="preserve">the direction of </w:t>
      </w:r>
      <w:r w:rsidRPr="009E2BBE">
        <w:t xml:space="preserve">any future work </w:t>
      </w:r>
      <w:r w:rsidR="00D305AC" w:rsidRPr="009E2BBE">
        <w:t>in this area.</w:t>
      </w:r>
      <w:r w:rsidR="0046678D" w:rsidRPr="009E2BBE">
        <w:t xml:space="preserve"> Detailed information on the development processes of the different countries examined </w:t>
      </w:r>
      <w:r w:rsidR="00B36DE9" w:rsidRPr="009E2BBE">
        <w:t xml:space="preserve">is </w:t>
      </w:r>
      <w:r w:rsidR="0046678D" w:rsidRPr="009E2BBE">
        <w:t>presented in the subsequent sections.</w:t>
      </w:r>
    </w:p>
    <w:p w14:paraId="42E31697" w14:textId="1EB6CE23" w:rsidR="00416712" w:rsidRPr="009E2BBE" w:rsidRDefault="002020CA" w:rsidP="005C0795">
      <w:pPr>
        <w:pStyle w:val="Text"/>
      </w:pPr>
      <w:r w:rsidRPr="009E2BBE">
        <w:t>For the purposes of this project, the focus is on the training package</w:t>
      </w:r>
      <w:r w:rsidR="00FA2C13" w:rsidRPr="009E2BBE">
        <w:t>-</w:t>
      </w:r>
      <w:r w:rsidRPr="009E2BBE">
        <w:t xml:space="preserve">development process and not accredited courses, although accredited courses are </w:t>
      </w:r>
      <w:r w:rsidR="00A72AE2" w:rsidRPr="009E2BBE">
        <w:t>referenced where relevant</w:t>
      </w:r>
      <w:r w:rsidRPr="009E2BBE">
        <w:t xml:space="preserve">. </w:t>
      </w:r>
      <w:r w:rsidR="00A72AE2" w:rsidRPr="009E2BBE">
        <w:fldChar w:fldCharType="begin"/>
      </w:r>
      <w:r w:rsidR="00A72AE2" w:rsidRPr="009E2BBE">
        <w:instrText xml:space="preserve"> REF _Ref58838787 \h </w:instrText>
      </w:r>
      <w:r w:rsidR="00A72AE2" w:rsidRPr="009E2BBE">
        <w:fldChar w:fldCharType="separate"/>
      </w:r>
      <w:r w:rsidR="00AF4B88" w:rsidRPr="009E2BBE">
        <w:t>Figure 1</w:t>
      </w:r>
      <w:r w:rsidR="00A72AE2" w:rsidRPr="009E2BBE">
        <w:fldChar w:fldCharType="end"/>
      </w:r>
      <w:r w:rsidR="00A72AE2" w:rsidRPr="009E2BBE">
        <w:t xml:space="preserve"> </w:t>
      </w:r>
      <w:r w:rsidR="00416712" w:rsidRPr="009E2BBE">
        <w:t xml:space="preserve">provides a snapshot of the main steps in the </w:t>
      </w:r>
      <w:r w:rsidR="00B36DE9" w:rsidRPr="009E2BBE">
        <w:t>training package</w:t>
      </w:r>
      <w:r w:rsidR="00E82484" w:rsidRPr="009E2BBE">
        <w:t>-</w:t>
      </w:r>
      <w:r w:rsidR="00416712" w:rsidRPr="009E2BBE">
        <w:t xml:space="preserve">development process in Australia. </w:t>
      </w:r>
    </w:p>
    <w:p w14:paraId="47663748" w14:textId="145ADBE7" w:rsidR="00A72AE2" w:rsidRPr="009E2BBE" w:rsidRDefault="00A72AE2" w:rsidP="00A72AE2">
      <w:pPr>
        <w:pStyle w:val="Figuretitle"/>
      </w:pPr>
      <w:bookmarkStart w:id="23" w:name="_Ref58838787"/>
      <w:r w:rsidRPr="009E2BBE">
        <w:t xml:space="preserve">Figure </w:t>
      </w:r>
      <w:r w:rsidRPr="009E2BBE">
        <w:fldChar w:fldCharType="begin"/>
      </w:r>
      <w:r w:rsidRPr="009E2BBE">
        <w:instrText xml:space="preserve"> SEQ Figure \* ARABIC </w:instrText>
      </w:r>
      <w:r w:rsidRPr="009E2BBE">
        <w:fldChar w:fldCharType="separate"/>
      </w:r>
      <w:r w:rsidR="00AF4B88" w:rsidRPr="009E2BBE">
        <w:t>1</w:t>
      </w:r>
      <w:r w:rsidRPr="009E2BBE">
        <w:fldChar w:fldCharType="end"/>
      </w:r>
      <w:bookmarkEnd w:id="23"/>
      <w:r w:rsidRPr="009E2BBE">
        <w:tab/>
        <w:t>Training package development</w:t>
      </w:r>
      <w:r w:rsidR="001E0B8C" w:rsidRPr="009E2BBE">
        <w:t>-</w:t>
      </w:r>
      <w:r w:rsidRPr="009E2BBE">
        <w:t>process in Australia</w:t>
      </w:r>
    </w:p>
    <w:p w14:paraId="1460F599" w14:textId="17E02A47" w:rsidR="00416712" w:rsidRPr="009E2BBE" w:rsidRDefault="008B2DEB" w:rsidP="00416712">
      <w:pPr>
        <w:pStyle w:val="Figuretitle"/>
      </w:pPr>
      <w:r w:rsidRPr="009E2BBE">
        <w:rPr>
          <w:noProof/>
          <w:color w:val="FFFFFF" w:themeColor="background1"/>
          <w:sz w:val="4"/>
          <w:szCs w:val="4"/>
          <w:lang w:eastAsia="en-AU"/>
        </w:rPr>
        <w:drawing>
          <wp:inline distT="0" distB="0" distL="0" distR="0" wp14:anchorId="0DC2AEA0" wp14:editId="2B644547">
            <wp:extent cx="5760085" cy="11859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085" cy="1185974"/>
                    </a:xfrm>
                    <a:prstGeom prst="rect">
                      <a:avLst/>
                    </a:prstGeom>
                    <a:noFill/>
                  </pic:spPr>
                </pic:pic>
              </a:graphicData>
            </a:graphic>
          </wp:inline>
        </w:drawing>
      </w:r>
    </w:p>
    <w:p w14:paraId="3E68B81F" w14:textId="1A914771" w:rsidR="00416712" w:rsidRPr="009E2BBE" w:rsidRDefault="00416712" w:rsidP="00416712">
      <w:pPr>
        <w:pStyle w:val="Source"/>
      </w:pPr>
      <w:r w:rsidRPr="009E2BBE">
        <w:t xml:space="preserve">Source: </w:t>
      </w:r>
      <w:r w:rsidR="00EB34A8" w:rsidRPr="009E2BBE">
        <w:t xml:space="preserve">Australian Industry Skills Committee </w:t>
      </w:r>
      <w:r w:rsidR="00F2740B" w:rsidRPr="009E2BBE">
        <w:t>(</w:t>
      </w:r>
      <w:r w:rsidRPr="009E2BBE">
        <w:t>2019b, p</w:t>
      </w:r>
      <w:r w:rsidR="00E82484" w:rsidRPr="009E2BBE">
        <w:t>.</w:t>
      </w:r>
      <w:r w:rsidRPr="009E2BBE">
        <w:t>14</w:t>
      </w:r>
      <w:r w:rsidR="00F2740B" w:rsidRPr="009E2BBE">
        <w:t>)</w:t>
      </w:r>
      <w:r w:rsidR="00E82484" w:rsidRPr="009E2BBE">
        <w:t>.</w:t>
      </w:r>
    </w:p>
    <w:p w14:paraId="7B2E5582" w14:textId="62031EE7" w:rsidR="002862D7" w:rsidRPr="009E2BBE" w:rsidRDefault="002862D7" w:rsidP="002862D7">
      <w:pPr>
        <w:pStyle w:val="Text"/>
      </w:pPr>
      <w:r w:rsidRPr="009E2BBE">
        <w:t>This is similar to most of the processes examined in the project</w:t>
      </w:r>
      <w:r w:rsidR="003E4AD9" w:rsidRPr="009E2BBE">
        <w:t>,</w:t>
      </w:r>
      <w:r w:rsidRPr="009E2BBE">
        <w:t xml:space="preserve"> where</w:t>
      </w:r>
      <w:r w:rsidR="003E4AD9" w:rsidRPr="009E2BBE">
        <w:t>by</w:t>
      </w:r>
      <w:r w:rsidRPr="009E2BBE">
        <w:t xml:space="preserve"> standard</w:t>
      </w:r>
      <w:r w:rsidR="00A72AE2" w:rsidRPr="009E2BBE">
        <w:t>s</w:t>
      </w:r>
      <w:r w:rsidRPr="009E2BBE">
        <w:t xml:space="preserve"> for training (similar to training packages)</w:t>
      </w:r>
      <w:r w:rsidR="00A72AE2" w:rsidRPr="009E2BBE">
        <w:t xml:space="preserve"> are developed first,</w:t>
      </w:r>
      <w:r w:rsidRPr="009E2BBE">
        <w:t xml:space="preserve"> with curriculum </w:t>
      </w:r>
      <w:r w:rsidR="00A72AE2" w:rsidRPr="009E2BBE">
        <w:t>subsequently</w:t>
      </w:r>
      <w:r w:rsidRPr="009E2BBE">
        <w:t xml:space="preserve"> developed </w:t>
      </w:r>
      <w:r w:rsidR="00A72AE2" w:rsidRPr="009E2BBE">
        <w:t>independently</w:t>
      </w:r>
      <w:r w:rsidRPr="009E2BBE">
        <w:t xml:space="preserve"> by </w:t>
      </w:r>
      <w:r w:rsidR="00A72AE2" w:rsidRPr="009E2BBE">
        <w:t xml:space="preserve">training </w:t>
      </w:r>
      <w:r w:rsidRPr="009E2BBE">
        <w:t>providers.</w:t>
      </w:r>
    </w:p>
    <w:p w14:paraId="152EC503" w14:textId="0F5641FE" w:rsidR="000A478F" w:rsidRPr="009E2BBE" w:rsidRDefault="00BF748F" w:rsidP="009A4862">
      <w:pPr>
        <w:pStyle w:val="Heading2"/>
      </w:pPr>
      <w:bookmarkStart w:id="24" w:name="_Toc65741348"/>
      <w:r w:rsidRPr="009E2BBE">
        <w:t>The development</w:t>
      </w:r>
      <w:r w:rsidR="00404C98" w:rsidRPr="009E2BBE">
        <w:t xml:space="preserve"> </w:t>
      </w:r>
      <w:proofErr w:type="gramStart"/>
      <w:r w:rsidR="00404C98" w:rsidRPr="009E2BBE">
        <w:t>process</w:t>
      </w:r>
      <w:bookmarkEnd w:id="24"/>
      <w:proofErr w:type="gramEnd"/>
    </w:p>
    <w:p w14:paraId="67543B3C" w14:textId="2FD7C732" w:rsidR="00C91C62" w:rsidRPr="009E2BBE" w:rsidRDefault="00D305AC" w:rsidP="00D305AC">
      <w:pPr>
        <w:pStyle w:val="Heading3"/>
      </w:pPr>
      <w:r w:rsidRPr="009E2BBE">
        <w:t>Identifying the need for change</w:t>
      </w:r>
      <w:r w:rsidR="0072349A" w:rsidRPr="009E2BBE">
        <w:t>s to qualifications</w:t>
      </w:r>
    </w:p>
    <w:p w14:paraId="315C91CD" w14:textId="1DBBB5F2" w:rsidR="001A33C6" w:rsidRPr="009E2BBE" w:rsidRDefault="00ED2986" w:rsidP="00060385">
      <w:pPr>
        <w:pStyle w:val="Text"/>
      </w:pPr>
      <w:r w:rsidRPr="009E2BBE">
        <w:t xml:space="preserve">Industry </w:t>
      </w:r>
      <w:r w:rsidR="003E4AD9" w:rsidRPr="009E2BBE">
        <w:t xml:space="preserve">reference committees </w:t>
      </w:r>
      <w:r w:rsidRPr="009E2BBE">
        <w:t>(IRCs)</w:t>
      </w:r>
      <w:r w:rsidR="00F76F46" w:rsidRPr="009E2BBE">
        <w:t xml:space="preserve"> have a key role to play in identifying the skill and training needs of industry. </w:t>
      </w:r>
      <w:r w:rsidR="001A33C6" w:rsidRPr="009E2BBE">
        <w:t xml:space="preserve">The main avenue for identifying changes to </w:t>
      </w:r>
      <w:r w:rsidR="00CC218D" w:rsidRPr="009E2BBE">
        <w:t xml:space="preserve">training packages </w:t>
      </w:r>
      <w:r w:rsidR="001A33C6" w:rsidRPr="009E2BBE">
        <w:t xml:space="preserve">in Australia is </w:t>
      </w:r>
      <w:r w:rsidR="00F76F46" w:rsidRPr="009E2BBE">
        <w:t>through their</w:t>
      </w:r>
      <w:r w:rsidR="001A33C6" w:rsidRPr="009E2BBE">
        <w:t xml:space="preserve"> IRC </w:t>
      </w:r>
      <w:r w:rsidR="003E4AD9" w:rsidRPr="009E2BBE">
        <w:t>skill forecasts and proposed schedules of work</w:t>
      </w:r>
      <w:r w:rsidR="00D332AA" w:rsidRPr="009E2BBE">
        <w:t xml:space="preserve">. </w:t>
      </w:r>
      <w:r w:rsidR="005C0E87" w:rsidRPr="009E2BBE">
        <w:t>Other activity that might initiate change include regulatory changes,</w:t>
      </w:r>
      <w:r w:rsidR="00D332AA" w:rsidRPr="009E2BBE">
        <w:t xml:space="preserve"> submitting a </w:t>
      </w:r>
      <w:r w:rsidR="003E4AD9" w:rsidRPr="009E2BBE">
        <w:t xml:space="preserve">case for change </w:t>
      </w:r>
      <w:r w:rsidR="00D332AA" w:rsidRPr="009E2BBE">
        <w:t>to the Australian Industry and Skills Committee</w:t>
      </w:r>
      <w:r w:rsidR="00104D8F" w:rsidRPr="009E2BBE">
        <w:t xml:space="preserve">, </w:t>
      </w:r>
      <w:r w:rsidR="00D332AA" w:rsidRPr="009E2BBE">
        <w:t xml:space="preserve">an industry proposal to </w:t>
      </w:r>
      <w:r w:rsidR="00EB34A8" w:rsidRPr="009E2BBE">
        <w:t xml:space="preserve">the </w:t>
      </w:r>
      <w:r w:rsidR="00D332AA" w:rsidRPr="009E2BBE">
        <w:t>AISC</w:t>
      </w:r>
      <w:r w:rsidR="00104D8F" w:rsidRPr="009E2BBE">
        <w:t>,</w:t>
      </w:r>
      <w:r w:rsidR="00D332AA" w:rsidRPr="009E2BBE">
        <w:t xml:space="preserve"> or strategic directives from </w:t>
      </w:r>
      <w:r w:rsidR="005C0E87" w:rsidRPr="009E2BBE">
        <w:t>the skills mini</w:t>
      </w:r>
      <w:r w:rsidR="00047444" w:rsidRPr="009E2BBE">
        <w:t>sters</w:t>
      </w:r>
      <w:r w:rsidR="00D332AA" w:rsidRPr="009E2BBE">
        <w:t xml:space="preserve"> or </w:t>
      </w:r>
      <w:r w:rsidR="008D40B1" w:rsidRPr="009E2BBE">
        <w:t xml:space="preserve">the </w:t>
      </w:r>
      <w:r w:rsidR="00D332AA" w:rsidRPr="009E2BBE">
        <w:t>AISC (</w:t>
      </w:r>
      <w:r w:rsidR="00EB34A8" w:rsidRPr="009E2BBE">
        <w:t>Australian Industry Skills Committee</w:t>
      </w:r>
      <w:r w:rsidR="00D332AA" w:rsidRPr="009E2BBE">
        <w:t xml:space="preserve"> 2019b). </w:t>
      </w:r>
    </w:p>
    <w:p w14:paraId="0E9DC064" w14:textId="63E30402" w:rsidR="0072349A" w:rsidRPr="009E2BBE" w:rsidRDefault="002B0FF7" w:rsidP="00060385">
      <w:pPr>
        <w:pStyle w:val="Text"/>
      </w:pPr>
      <w:r w:rsidRPr="009E2BBE">
        <w:t>In other countries i</w:t>
      </w:r>
      <w:r w:rsidR="00104D8F" w:rsidRPr="009E2BBE">
        <w:t>ndustry often drives the identification of the</w:t>
      </w:r>
      <w:r w:rsidR="0072349A" w:rsidRPr="009E2BBE">
        <w:t xml:space="preserve"> need for changes to qualifications</w:t>
      </w:r>
      <w:r w:rsidR="00867236" w:rsidRPr="009E2BBE">
        <w:t>; f</w:t>
      </w:r>
      <w:r w:rsidR="0072349A" w:rsidRPr="009E2BBE">
        <w:t>or example, in Finland</w:t>
      </w:r>
      <w:r w:rsidR="00E85871" w:rsidRPr="009E2BBE">
        <w:t>,</w:t>
      </w:r>
      <w:r w:rsidR="0072349A" w:rsidRPr="009E2BBE">
        <w:t xml:space="preserve"> Singapore</w:t>
      </w:r>
      <w:r w:rsidR="00E85871" w:rsidRPr="009E2BBE">
        <w:t xml:space="preserve"> and the United Kingdom</w:t>
      </w:r>
      <w:r w:rsidR="00B36DE9" w:rsidRPr="009E2BBE">
        <w:t>,</w:t>
      </w:r>
      <w:r w:rsidR="0072349A" w:rsidRPr="009E2BBE">
        <w:t xml:space="preserve"> </w:t>
      </w:r>
      <w:r w:rsidR="00104D8F" w:rsidRPr="009E2BBE">
        <w:t>review decisions are</w:t>
      </w:r>
      <w:r w:rsidR="0072349A" w:rsidRPr="009E2BBE">
        <w:t xml:space="preserve"> based on industry demand or changing skill needs in the labour market</w:t>
      </w:r>
      <w:r w:rsidR="00E85871" w:rsidRPr="009E2BBE">
        <w:t>, identified through skills</w:t>
      </w:r>
      <w:r w:rsidR="00E31913" w:rsidRPr="009E2BBE">
        <w:t>-</w:t>
      </w:r>
      <w:r w:rsidR="00E85871" w:rsidRPr="009E2BBE">
        <w:t>anticipation exercises or sector reviews</w:t>
      </w:r>
      <w:r w:rsidR="0072349A" w:rsidRPr="009E2BBE">
        <w:t xml:space="preserve">. </w:t>
      </w:r>
      <w:r w:rsidR="00E71D1E" w:rsidRPr="009E2BBE">
        <w:t xml:space="preserve">In </w:t>
      </w:r>
      <w:r w:rsidR="0072349A" w:rsidRPr="009E2BBE">
        <w:t>New Zealand</w:t>
      </w:r>
      <w:r w:rsidR="00E71D1E" w:rsidRPr="009E2BBE">
        <w:t xml:space="preserve">, </w:t>
      </w:r>
      <w:r w:rsidR="00A72AE2" w:rsidRPr="009E2BBE">
        <w:t>approved developers identify the</w:t>
      </w:r>
      <w:r w:rsidR="00E71D1E" w:rsidRPr="009E2BBE">
        <w:t xml:space="preserve"> need for new qualifications through consultations with industry, </w:t>
      </w:r>
      <w:r w:rsidR="000C5406" w:rsidRPr="009E2BBE">
        <w:t xml:space="preserve">a </w:t>
      </w:r>
      <w:r w:rsidR="004103B1" w:rsidRPr="009E2BBE">
        <w:t>speci</w:t>
      </w:r>
      <w:r w:rsidR="000C5406" w:rsidRPr="009E2BBE">
        <w:t xml:space="preserve">fic </w:t>
      </w:r>
      <w:proofErr w:type="gramStart"/>
      <w:r w:rsidR="00E71D1E" w:rsidRPr="009E2BBE">
        <w:t>sector</w:t>
      </w:r>
      <w:proofErr w:type="gramEnd"/>
      <w:r w:rsidR="00E71D1E" w:rsidRPr="009E2BBE">
        <w:t xml:space="preserve"> or</w:t>
      </w:r>
      <w:r w:rsidR="000C5406" w:rsidRPr="009E2BBE">
        <w:t xml:space="preserve"> the</w:t>
      </w:r>
      <w:r w:rsidR="00E71D1E" w:rsidRPr="009E2BBE">
        <w:t xml:space="preserve"> community. </w:t>
      </w:r>
      <w:r w:rsidR="007370DB" w:rsidRPr="009E2BBE">
        <w:t xml:space="preserve">South Africa uses a different </w:t>
      </w:r>
      <w:r w:rsidR="0081254F" w:rsidRPr="009E2BBE">
        <w:t>approach</w:t>
      </w:r>
      <w:r w:rsidR="000C5406" w:rsidRPr="009E2BBE">
        <w:t xml:space="preserve"> —</w:t>
      </w:r>
      <w:r w:rsidR="007370DB" w:rsidRPr="009E2BBE">
        <w:t xml:space="preserve">any </w:t>
      </w:r>
      <w:r w:rsidR="00E71D1E" w:rsidRPr="009E2BBE">
        <w:t>person or organisation</w:t>
      </w:r>
      <w:r w:rsidR="00E85871" w:rsidRPr="009E2BBE">
        <w:t xml:space="preserve"> can </w:t>
      </w:r>
      <w:r w:rsidR="0081254F" w:rsidRPr="009E2BBE">
        <w:t>apply</w:t>
      </w:r>
      <w:r w:rsidR="00E85871" w:rsidRPr="009E2BBE">
        <w:t xml:space="preserve"> for a new qualification</w:t>
      </w:r>
      <w:r w:rsidR="00233559" w:rsidRPr="009E2BBE">
        <w:t xml:space="preserve"> —</w:t>
      </w:r>
      <w:r w:rsidR="00E85871" w:rsidRPr="009E2BBE">
        <w:t xml:space="preserve"> </w:t>
      </w:r>
      <w:r w:rsidR="007370DB" w:rsidRPr="009E2BBE">
        <w:t xml:space="preserve">while in </w:t>
      </w:r>
      <w:r w:rsidR="00E85871" w:rsidRPr="009E2BBE">
        <w:t xml:space="preserve">Ontario (a province in Canada) </w:t>
      </w:r>
      <w:r w:rsidR="00104D8F" w:rsidRPr="009E2BBE">
        <w:t>qualification</w:t>
      </w:r>
      <w:r w:rsidR="007370DB" w:rsidRPr="009E2BBE">
        <w:t xml:space="preserve"> needs </w:t>
      </w:r>
      <w:r w:rsidR="0081254F" w:rsidRPr="009E2BBE">
        <w:t xml:space="preserve">can be </w:t>
      </w:r>
      <w:r w:rsidR="007370DB" w:rsidRPr="009E2BBE">
        <w:t>identified</w:t>
      </w:r>
      <w:r w:rsidR="00E85871" w:rsidRPr="009E2BBE">
        <w:t xml:space="preserve"> by colleges.</w:t>
      </w:r>
    </w:p>
    <w:p w14:paraId="19D52283" w14:textId="64A985C3" w:rsidR="00736EFD" w:rsidRPr="009E2BBE" w:rsidRDefault="00D305AC" w:rsidP="00D305AC">
      <w:pPr>
        <w:pStyle w:val="Heading3"/>
      </w:pPr>
      <w:r w:rsidRPr="009E2BBE">
        <w:t>Avoiding duplication of qualifications</w:t>
      </w:r>
    </w:p>
    <w:p w14:paraId="2F2363EB" w14:textId="5136CC03" w:rsidR="00DD2DCE" w:rsidRPr="009E2BBE" w:rsidRDefault="00DD2DCE" w:rsidP="0046678D">
      <w:pPr>
        <w:pStyle w:val="Text"/>
      </w:pPr>
      <w:r w:rsidRPr="009E2BBE">
        <w:t xml:space="preserve">Across the countries examined, it </w:t>
      </w:r>
      <w:r w:rsidR="001A33C6" w:rsidRPr="009E2BBE">
        <w:t>is</w:t>
      </w:r>
      <w:r w:rsidRPr="009E2BBE">
        <w:t xml:space="preserve"> evident that </w:t>
      </w:r>
      <w:r w:rsidR="00233559" w:rsidRPr="009E2BBE">
        <w:t>recognising</w:t>
      </w:r>
      <w:r w:rsidRPr="009E2BBE">
        <w:t xml:space="preserve"> any potential duplication</w:t>
      </w:r>
      <w:r w:rsidR="001A33C6" w:rsidRPr="009E2BBE">
        <w:t xml:space="preserve"> is part of the process for identifying the need for a new qualification. The only country not concerned with avoiding unnecessary duplication </w:t>
      </w:r>
      <w:r w:rsidR="00E85871" w:rsidRPr="009E2BBE">
        <w:t>i</w:t>
      </w:r>
      <w:r w:rsidR="001A33C6" w:rsidRPr="009E2BBE">
        <w:t xml:space="preserve">s Singapore, </w:t>
      </w:r>
      <w:r w:rsidR="00B36DE9" w:rsidRPr="009E2BBE">
        <w:t xml:space="preserve">where </w:t>
      </w:r>
      <w:r w:rsidR="001A33C6" w:rsidRPr="009E2BBE">
        <w:t>qualifications</w:t>
      </w:r>
      <w:r w:rsidR="00B36DE9" w:rsidRPr="009E2BBE">
        <w:t xml:space="preserve"> are approved</w:t>
      </w:r>
      <w:r w:rsidR="001A33C6" w:rsidRPr="009E2BBE">
        <w:t xml:space="preserve"> as long as industry demand</w:t>
      </w:r>
      <w:r w:rsidR="007370DB" w:rsidRPr="009E2BBE">
        <w:t xml:space="preserve"> </w:t>
      </w:r>
      <w:r w:rsidR="00B36DE9" w:rsidRPr="009E2BBE">
        <w:t xml:space="preserve">is </w:t>
      </w:r>
      <w:r w:rsidR="007370DB" w:rsidRPr="009E2BBE">
        <w:t>evidenced</w:t>
      </w:r>
      <w:r w:rsidR="001A33C6" w:rsidRPr="009E2BBE">
        <w:t>.</w:t>
      </w:r>
      <w:r w:rsidR="00AE19DE" w:rsidRPr="009E2BBE">
        <w:t xml:space="preserve"> It </w:t>
      </w:r>
      <w:r w:rsidR="00A72AE2" w:rsidRPr="009E2BBE">
        <w:t>wa</w:t>
      </w:r>
      <w:r w:rsidR="00AE19DE" w:rsidRPr="009E2BBE">
        <w:t xml:space="preserve">s noted that past processes in England </w:t>
      </w:r>
      <w:r w:rsidR="00CB7C9A" w:rsidRPr="009E2BBE">
        <w:t xml:space="preserve">had </w:t>
      </w:r>
      <w:r w:rsidR="00AE19DE" w:rsidRPr="009E2BBE">
        <w:t xml:space="preserve">led to </w:t>
      </w:r>
      <w:r w:rsidR="00C33393" w:rsidRPr="009E2BBE">
        <w:t>a</w:t>
      </w:r>
      <w:r w:rsidR="00AE19DE" w:rsidRPr="009E2BBE">
        <w:t xml:space="preserve"> proliferation of </w:t>
      </w:r>
      <w:r w:rsidR="00C157CB" w:rsidRPr="009E2BBE">
        <w:t>qualifications,</w:t>
      </w:r>
      <w:r w:rsidR="00AE19DE" w:rsidRPr="009E2BBE">
        <w:t xml:space="preserve"> but this is currently being addressed with changes </w:t>
      </w:r>
      <w:r w:rsidR="00A228EE" w:rsidRPr="009E2BBE">
        <w:t>implemented in</w:t>
      </w:r>
      <w:r w:rsidR="00AE19DE" w:rsidRPr="009E2BBE">
        <w:t xml:space="preserve"> July 2020.</w:t>
      </w:r>
    </w:p>
    <w:p w14:paraId="03F6C5BF" w14:textId="356E13B0" w:rsidR="00D305AC" w:rsidRPr="009E2BBE" w:rsidRDefault="00D305AC" w:rsidP="00D305AC">
      <w:pPr>
        <w:pStyle w:val="Heading3"/>
      </w:pPr>
      <w:r w:rsidRPr="009E2BBE">
        <w:t>Leading the development process</w:t>
      </w:r>
    </w:p>
    <w:p w14:paraId="4610EE29" w14:textId="42D67D25" w:rsidR="005C0E87" w:rsidRPr="009E2BBE" w:rsidRDefault="00624AFF" w:rsidP="005C0E87">
      <w:pPr>
        <w:pStyle w:val="Text"/>
      </w:pPr>
      <w:r w:rsidRPr="009E2BBE">
        <w:t xml:space="preserve">Two models for </w:t>
      </w:r>
      <w:r w:rsidR="00EA3747" w:rsidRPr="009E2BBE">
        <w:t>qualification development</w:t>
      </w:r>
      <w:r w:rsidRPr="009E2BBE">
        <w:t xml:space="preserve"> emerged</w:t>
      </w:r>
      <w:r w:rsidR="005C0E87" w:rsidRPr="009E2BBE">
        <w:t>:</w:t>
      </w:r>
      <w:r w:rsidRPr="009E2BBE">
        <w:t xml:space="preserve"> a government-led</w:t>
      </w:r>
      <w:r w:rsidR="005C0E87" w:rsidRPr="009E2BBE">
        <w:t xml:space="preserve"> (and funded)</w:t>
      </w:r>
      <w:r w:rsidRPr="009E2BBE">
        <w:t xml:space="preserve"> approach and a stakeholder-led approach.</w:t>
      </w:r>
      <w:r w:rsidR="005C0E87" w:rsidRPr="009E2BBE">
        <w:t xml:space="preserve"> Each country</w:t>
      </w:r>
      <w:r w:rsidR="00A26B8A" w:rsidRPr="009E2BBE">
        <w:t>’</w:t>
      </w:r>
      <w:r w:rsidR="005C0E87" w:rsidRPr="009E2BBE">
        <w:t xml:space="preserve">s process is informed by a range of factors external to the VET system, such as the socio-political context, public appetite for having government steer training standards development, or industry </w:t>
      </w:r>
      <w:r w:rsidR="0036529B" w:rsidRPr="009E2BBE">
        <w:t>desire</w:t>
      </w:r>
      <w:r w:rsidR="005C0E87" w:rsidRPr="009E2BBE">
        <w:t xml:space="preserve"> for funding development themselves. </w:t>
      </w:r>
    </w:p>
    <w:p w14:paraId="78B93065" w14:textId="29596B72" w:rsidR="005B175E" w:rsidRPr="009E2BBE" w:rsidRDefault="005B175E" w:rsidP="00446944">
      <w:pPr>
        <w:pStyle w:val="Text"/>
      </w:pPr>
      <w:r w:rsidRPr="009E2BBE">
        <w:t xml:space="preserve">Finland and Singapore have government-led approaches, </w:t>
      </w:r>
      <w:r w:rsidR="00FB62DC" w:rsidRPr="009E2BBE">
        <w:t>in that</w:t>
      </w:r>
      <w:r w:rsidRPr="009E2BBE">
        <w:t xml:space="preserve"> they are heavily involved throughout the development process. In Finland, the Finnish National Agency for Education leads the development of qualifications</w:t>
      </w:r>
      <w:r w:rsidR="0036529B" w:rsidRPr="009E2BBE">
        <w:t>,</w:t>
      </w:r>
      <w:r w:rsidRPr="009E2BBE">
        <w:t xml:space="preserve"> whil</w:t>
      </w:r>
      <w:r w:rsidR="0036529B" w:rsidRPr="009E2BBE">
        <w:t>e</w:t>
      </w:r>
      <w:r w:rsidRPr="009E2BBE">
        <w:t xml:space="preserve"> in Singapore several government agencies work together through the Future of Economy Council.</w:t>
      </w:r>
    </w:p>
    <w:p w14:paraId="5EF43733" w14:textId="3BFA5AC8" w:rsidR="00446944" w:rsidRPr="009E2BBE" w:rsidRDefault="005B175E" w:rsidP="00446944">
      <w:pPr>
        <w:pStyle w:val="Text"/>
      </w:pPr>
      <w:r w:rsidRPr="009E2BBE">
        <w:t>Conversely, New Zealand, the U</w:t>
      </w:r>
      <w:r w:rsidR="00694D3B" w:rsidRPr="009E2BBE">
        <w:t>nited Kingdom</w:t>
      </w:r>
      <w:r w:rsidRPr="009E2BBE">
        <w:t xml:space="preserve"> and South Africa have</w:t>
      </w:r>
      <w:r w:rsidR="00B36DE9" w:rsidRPr="009E2BBE">
        <w:t xml:space="preserve"> a</w:t>
      </w:r>
      <w:r w:rsidR="00C65E07" w:rsidRPr="009E2BBE">
        <w:t xml:space="preserve"> stakeholder-led development process</w:t>
      </w:r>
      <w:r w:rsidR="0036529B" w:rsidRPr="009E2BBE">
        <w:t>,</w:t>
      </w:r>
      <w:r w:rsidRPr="009E2BBE">
        <w:t xml:space="preserve"> whereby </w:t>
      </w:r>
      <w:r w:rsidR="00EA3747" w:rsidRPr="009E2BBE">
        <w:t>qualification development</w:t>
      </w:r>
      <w:r w:rsidR="00A42CCE">
        <w:t xml:space="preserve"> </w:t>
      </w:r>
      <w:r w:rsidR="0050170B" w:rsidRPr="009E2BBE">
        <w:t>leaders are groups</w:t>
      </w:r>
      <w:r w:rsidR="005C0E87" w:rsidRPr="009E2BBE">
        <w:t xml:space="preserve"> not established by government</w:t>
      </w:r>
      <w:r w:rsidR="00231931" w:rsidRPr="009E2BBE">
        <w:t>; that is</w:t>
      </w:r>
      <w:r w:rsidR="00E151DB" w:rsidRPr="009E2BBE">
        <w:t xml:space="preserve"> they are</w:t>
      </w:r>
      <w:r w:rsidR="0050170B" w:rsidRPr="009E2BBE">
        <w:t xml:space="preserve"> training organis</w:t>
      </w:r>
      <w:r w:rsidR="00092492">
        <w:t>a</w:t>
      </w:r>
      <w:r w:rsidR="0050170B" w:rsidRPr="009E2BBE">
        <w:t xml:space="preserve">tions, industry representative bodies or community groups. In these systems, the role of government may be limited to outlining the qualification standards, providing development resources and/or approving </w:t>
      </w:r>
      <w:r w:rsidR="00574B06" w:rsidRPr="009E2BBE">
        <w:t xml:space="preserve">the </w:t>
      </w:r>
      <w:r w:rsidR="0050170B" w:rsidRPr="009E2BBE">
        <w:t xml:space="preserve">resultant training products. </w:t>
      </w:r>
      <w:r w:rsidR="00DE15A6" w:rsidRPr="009E2BBE">
        <w:t>In countries such as Canada and the United States</w:t>
      </w:r>
      <w:r w:rsidR="0050170B" w:rsidRPr="009E2BBE">
        <w:t>,</w:t>
      </w:r>
      <w:r w:rsidR="00DE15A6" w:rsidRPr="009E2BBE">
        <w:t xml:space="preserve"> where </w:t>
      </w:r>
      <w:r w:rsidR="00C65E07" w:rsidRPr="009E2BBE">
        <w:t>no</w:t>
      </w:r>
      <w:r w:rsidR="00DE15A6" w:rsidRPr="009E2BBE">
        <w:t xml:space="preserve"> national vocational system</w:t>
      </w:r>
      <w:r w:rsidR="00C56A08" w:rsidRPr="009E2BBE">
        <w:t xml:space="preserve"> exists</w:t>
      </w:r>
      <w:r w:rsidR="00DE15A6" w:rsidRPr="009E2BBE">
        <w:t xml:space="preserve">, qualification development is </w:t>
      </w:r>
      <w:r w:rsidR="00C65E07" w:rsidRPr="009E2BBE">
        <w:t xml:space="preserve">largely led </w:t>
      </w:r>
      <w:r w:rsidR="00DE15A6" w:rsidRPr="009E2BBE">
        <w:t>by individual colleges</w:t>
      </w:r>
      <w:r w:rsidR="00A228EE" w:rsidRPr="009E2BBE">
        <w:t xml:space="preserve"> or state/provincial governments</w:t>
      </w:r>
      <w:r w:rsidR="0085042B" w:rsidRPr="009E2BBE">
        <w:t>.</w:t>
      </w:r>
      <w:r w:rsidR="00DE15A6" w:rsidRPr="009E2BBE">
        <w:t xml:space="preserve"> (</w:t>
      </w:r>
      <w:r w:rsidR="0085042B" w:rsidRPr="009E2BBE">
        <w:t>S</w:t>
      </w:r>
      <w:r w:rsidR="00DE15A6" w:rsidRPr="009E2BBE">
        <w:t>ee Ontario and California case studies</w:t>
      </w:r>
      <w:r w:rsidR="0085042B" w:rsidRPr="009E2BBE">
        <w:t>.</w:t>
      </w:r>
      <w:r w:rsidR="00DE15A6" w:rsidRPr="009E2BBE">
        <w:t>)</w:t>
      </w:r>
      <w:r w:rsidR="005C0E87" w:rsidRPr="009E2BBE">
        <w:t xml:space="preserve"> In New Zealand developers may apply to a training</w:t>
      </w:r>
      <w:r w:rsidR="00303C52" w:rsidRPr="009E2BBE">
        <w:t>-</w:t>
      </w:r>
      <w:r w:rsidR="005C0E87" w:rsidRPr="009E2BBE">
        <w:t>development fund</w:t>
      </w:r>
      <w:r w:rsidR="0085042B" w:rsidRPr="009E2BBE">
        <w:t>,</w:t>
      </w:r>
      <w:r w:rsidR="005C0E87" w:rsidRPr="009E2BBE">
        <w:t xml:space="preserve"> provided by government, but in other countries industry or training organisations funds their own development work.</w:t>
      </w:r>
    </w:p>
    <w:p w14:paraId="67AF9D4B" w14:textId="4FEABBAF" w:rsidR="005B175E" w:rsidRPr="009E2BBE" w:rsidRDefault="005B175E" w:rsidP="00446944">
      <w:pPr>
        <w:pStyle w:val="Text"/>
      </w:pPr>
      <w:r w:rsidRPr="009E2BBE">
        <w:t>While it is sometimes perceived to be government-led, the development process in Australia is more closely aligned to the stakeholder-led model</w:t>
      </w:r>
      <w:r w:rsidR="00922CD6" w:rsidRPr="009E2BBE">
        <w:t>,</w:t>
      </w:r>
      <w:r w:rsidRPr="009E2BBE">
        <w:t xml:space="preserve"> as training package development is led by IRCs with input from</w:t>
      </w:r>
      <w:r w:rsidR="005C0E87" w:rsidRPr="009E2BBE">
        <w:t xml:space="preserve"> government-funded</w:t>
      </w:r>
      <w:r w:rsidRPr="009E2BBE">
        <w:t xml:space="preserve"> </w:t>
      </w:r>
      <w:r w:rsidR="00F5014C" w:rsidRPr="009E2BBE">
        <w:t>skills service organisations (</w:t>
      </w:r>
      <w:r w:rsidRPr="009E2BBE">
        <w:t>SSOs</w:t>
      </w:r>
      <w:r w:rsidR="00F5014C" w:rsidRPr="009E2BBE">
        <w:t>)</w:t>
      </w:r>
      <w:r w:rsidRPr="009E2BBE">
        <w:t xml:space="preserve"> and the AISC Secretariat.</w:t>
      </w:r>
    </w:p>
    <w:p w14:paraId="45173E22" w14:textId="67FEB20A" w:rsidR="00D305AC" w:rsidRPr="009E2BBE" w:rsidRDefault="00D305AC" w:rsidP="00D305AC">
      <w:pPr>
        <w:pStyle w:val="Heading3"/>
      </w:pPr>
      <w:r w:rsidRPr="009E2BBE">
        <w:t xml:space="preserve">Key </w:t>
      </w:r>
      <w:r w:rsidR="00207928" w:rsidRPr="009E2BBE">
        <w:t xml:space="preserve">process </w:t>
      </w:r>
      <w:r w:rsidRPr="009E2BBE">
        <w:t>decision points</w:t>
      </w:r>
    </w:p>
    <w:p w14:paraId="7B971BB8" w14:textId="6D6EFE8E" w:rsidR="00525E4B" w:rsidRPr="009E2BBE" w:rsidRDefault="00F5014C" w:rsidP="00525E4B">
      <w:pPr>
        <w:pStyle w:val="Text"/>
      </w:pPr>
      <w:r w:rsidRPr="009E2BBE">
        <w:t>In the Australian training package-development process, t</w:t>
      </w:r>
      <w:r w:rsidR="00525E4B" w:rsidRPr="009E2BBE">
        <w:t xml:space="preserve">here are four </w:t>
      </w:r>
      <w:r w:rsidR="00C65E07" w:rsidRPr="009E2BBE">
        <w:t>decision and approval points</w:t>
      </w:r>
      <w:r w:rsidR="00CC218D" w:rsidRPr="009E2BBE">
        <w:t xml:space="preserve"> for developers to </w:t>
      </w:r>
      <w:r w:rsidR="009B04B2" w:rsidRPr="009E2BBE">
        <w:t>pass</w:t>
      </w:r>
      <w:r w:rsidR="00525E4B" w:rsidRPr="009E2BBE">
        <w:t>:</w:t>
      </w:r>
    </w:p>
    <w:p w14:paraId="37A23D8E" w14:textId="13FB8B21" w:rsidR="00525E4B" w:rsidRPr="009E2BBE" w:rsidRDefault="00C65E07" w:rsidP="00525E4B">
      <w:pPr>
        <w:pStyle w:val="Dotpoint10"/>
      </w:pPr>
      <w:r w:rsidRPr="009E2BBE">
        <w:t>a</w:t>
      </w:r>
      <w:r w:rsidR="00525E4B" w:rsidRPr="009E2BBE">
        <w:t xml:space="preserve">pproval of the </w:t>
      </w:r>
      <w:r w:rsidR="009B04B2" w:rsidRPr="009E2BBE">
        <w:t xml:space="preserve">case for change </w:t>
      </w:r>
      <w:r w:rsidR="00525E4B" w:rsidRPr="009E2BBE">
        <w:t xml:space="preserve">by </w:t>
      </w:r>
      <w:r w:rsidR="00265260" w:rsidRPr="009E2BBE">
        <w:t xml:space="preserve">the </w:t>
      </w:r>
      <w:r w:rsidR="00525E4B" w:rsidRPr="009E2BBE">
        <w:t>AISC</w:t>
      </w:r>
    </w:p>
    <w:p w14:paraId="0184467F" w14:textId="01790FF3" w:rsidR="00A00BC9" w:rsidRPr="009E2BBE" w:rsidRDefault="00A00BC9" w:rsidP="00525E4B">
      <w:pPr>
        <w:pStyle w:val="Dotpoint10"/>
      </w:pPr>
      <w:r w:rsidRPr="009E2BBE">
        <w:t>sign</w:t>
      </w:r>
      <w:r w:rsidR="009B04B2" w:rsidRPr="009E2BBE">
        <w:t>-</w:t>
      </w:r>
      <w:r w:rsidRPr="009E2BBE">
        <w:t xml:space="preserve">off of </w:t>
      </w:r>
      <w:r w:rsidR="009B04B2" w:rsidRPr="009E2BBE">
        <w:t xml:space="preserve">activity order </w:t>
      </w:r>
      <w:r w:rsidRPr="009E2BBE">
        <w:t xml:space="preserve">by </w:t>
      </w:r>
      <w:r w:rsidR="009330D4" w:rsidRPr="009E2BBE">
        <w:t xml:space="preserve">the </w:t>
      </w:r>
      <w:r w:rsidRPr="009E2BBE">
        <w:t>AISC Secretariat</w:t>
      </w:r>
    </w:p>
    <w:p w14:paraId="698D3F44" w14:textId="41DEBE2A" w:rsidR="00525E4B" w:rsidRPr="009E2BBE" w:rsidRDefault="00C65E07" w:rsidP="00525E4B">
      <w:pPr>
        <w:pStyle w:val="Dotpoint10"/>
      </w:pPr>
      <w:r w:rsidRPr="009E2BBE">
        <w:t>a</w:t>
      </w:r>
      <w:r w:rsidR="00525E4B" w:rsidRPr="009E2BBE">
        <w:t xml:space="preserve">pproval of the </w:t>
      </w:r>
      <w:r w:rsidR="009B04B2" w:rsidRPr="009E2BBE">
        <w:t xml:space="preserve">case for endorsement </w:t>
      </w:r>
      <w:r w:rsidR="00525E4B" w:rsidRPr="009E2BBE">
        <w:t xml:space="preserve">by </w:t>
      </w:r>
      <w:r w:rsidR="00265260" w:rsidRPr="009E2BBE">
        <w:t xml:space="preserve">the </w:t>
      </w:r>
      <w:r w:rsidR="00525E4B" w:rsidRPr="009E2BBE">
        <w:t>AISC, based on recommendations from the AISC Secretariat</w:t>
      </w:r>
    </w:p>
    <w:p w14:paraId="7F47222C" w14:textId="2D08E222" w:rsidR="00525E4B" w:rsidRPr="009E2BBE" w:rsidRDefault="00C65E07" w:rsidP="00525E4B">
      <w:pPr>
        <w:pStyle w:val="Dotpoint10"/>
      </w:pPr>
      <w:r w:rsidRPr="009E2BBE">
        <w:t>f</w:t>
      </w:r>
      <w:r w:rsidR="00525E4B" w:rsidRPr="009E2BBE">
        <w:t xml:space="preserve">inal endorsement of </w:t>
      </w:r>
      <w:r w:rsidRPr="009E2BBE">
        <w:t xml:space="preserve">training package </w:t>
      </w:r>
      <w:r w:rsidR="00525E4B" w:rsidRPr="009E2BBE">
        <w:t xml:space="preserve">content by the </w:t>
      </w:r>
      <w:r w:rsidR="00A228EE" w:rsidRPr="009E2BBE">
        <w:t>s</w:t>
      </w:r>
      <w:r w:rsidR="00047444" w:rsidRPr="009E2BBE">
        <w:t xml:space="preserve">kills </w:t>
      </w:r>
      <w:r w:rsidR="00A228EE" w:rsidRPr="009E2BBE">
        <w:t>m</w:t>
      </w:r>
      <w:r w:rsidR="00047444" w:rsidRPr="009E2BBE">
        <w:t>inisters</w:t>
      </w:r>
      <w:r w:rsidR="00525E4B" w:rsidRPr="009E2BBE">
        <w:t>.</w:t>
      </w:r>
    </w:p>
    <w:p w14:paraId="1214BAD3" w14:textId="0AB34249" w:rsidR="00024B43" w:rsidRPr="009E2BBE" w:rsidRDefault="00024B43" w:rsidP="00024B43">
      <w:pPr>
        <w:pStyle w:val="Dotpoint10"/>
        <w:numPr>
          <w:ilvl w:val="0"/>
          <w:numId w:val="0"/>
        </w:numPr>
      </w:pPr>
      <w:r w:rsidRPr="009E2BBE">
        <w:t xml:space="preserve">South Africa </w:t>
      </w:r>
      <w:r w:rsidR="00CC218D" w:rsidRPr="009E2BBE">
        <w:t xml:space="preserve">also </w:t>
      </w:r>
      <w:r w:rsidRPr="009E2BBE">
        <w:t xml:space="preserve">has four </w:t>
      </w:r>
      <w:r w:rsidR="00CC218D" w:rsidRPr="009E2BBE">
        <w:t xml:space="preserve">approval </w:t>
      </w:r>
      <w:r w:rsidRPr="009E2BBE">
        <w:t xml:space="preserve">points in </w:t>
      </w:r>
      <w:r w:rsidR="009B04B2" w:rsidRPr="009E2BBE">
        <w:t>its</w:t>
      </w:r>
      <w:r w:rsidRPr="009E2BBE">
        <w:t xml:space="preserve"> process</w:t>
      </w:r>
      <w:r w:rsidR="009164C3" w:rsidRPr="009E2BBE">
        <w:t>,</w:t>
      </w:r>
      <w:r w:rsidRPr="009E2BBE">
        <w:t xml:space="preserve"> where</w:t>
      </w:r>
      <w:r w:rsidR="009164C3" w:rsidRPr="009E2BBE">
        <w:t>by</w:t>
      </w:r>
      <w:r w:rsidRPr="009E2BBE">
        <w:t xml:space="preserve"> approvals are needed before development can continue. These steps are: approval of initial application for a new qualification</w:t>
      </w:r>
      <w:r w:rsidR="009164C3" w:rsidRPr="009E2BBE">
        <w:t>;</w:t>
      </w:r>
      <w:r w:rsidRPr="009E2BBE">
        <w:t xml:space="preserve"> sign</w:t>
      </w:r>
      <w:r w:rsidR="009164C3" w:rsidRPr="009E2BBE">
        <w:t>-</w:t>
      </w:r>
      <w:r w:rsidRPr="009E2BBE">
        <w:t>of</w:t>
      </w:r>
      <w:r w:rsidR="00FD0A7B" w:rsidRPr="009E2BBE">
        <w:t>f</w:t>
      </w:r>
      <w:r w:rsidRPr="009E2BBE">
        <w:t xml:space="preserve"> </w:t>
      </w:r>
      <w:r w:rsidR="00B7777D" w:rsidRPr="009E2BBE">
        <w:t xml:space="preserve">of </w:t>
      </w:r>
      <w:r w:rsidRPr="009E2BBE">
        <w:t xml:space="preserve">the </w:t>
      </w:r>
      <w:r w:rsidR="009164C3" w:rsidRPr="009E2BBE">
        <w:t>service</w:t>
      </w:r>
      <w:r w:rsidR="00663DAD" w:rsidRPr="009E2BBE">
        <w:t>-</w:t>
      </w:r>
      <w:r w:rsidR="009164C3" w:rsidRPr="009E2BBE">
        <w:t xml:space="preserve">level agreement </w:t>
      </w:r>
      <w:r w:rsidRPr="009E2BBE">
        <w:t xml:space="preserve">by </w:t>
      </w:r>
      <w:r w:rsidR="009164C3" w:rsidRPr="009E2BBE">
        <w:t xml:space="preserve">the </w:t>
      </w:r>
      <w:r w:rsidRPr="009E2BBE">
        <w:t xml:space="preserve">Quality Council of Trades and </w:t>
      </w:r>
      <w:r w:rsidR="00FD0A7B" w:rsidRPr="009E2BBE">
        <w:t>Occupations (QCTO)</w:t>
      </w:r>
      <w:r w:rsidR="005A1362" w:rsidRPr="009E2BBE">
        <w:t>;</w:t>
      </w:r>
      <w:r w:rsidR="00FD0A7B" w:rsidRPr="009E2BBE">
        <w:t xml:space="preserve"> evaluation of the final submission of new qualifications by </w:t>
      </w:r>
      <w:r w:rsidR="0013790E" w:rsidRPr="009E2BBE">
        <w:t xml:space="preserve">the </w:t>
      </w:r>
      <w:r w:rsidR="00FD0A7B" w:rsidRPr="009E2BBE">
        <w:t>QCTO</w:t>
      </w:r>
      <w:r w:rsidR="005A1362" w:rsidRPr="009E2BBE">
        <w:t>;</w:t>
      </w:r>
      <w:r w:rsidR="00FD0A7B" w:rsidRPr="009E2BBE">
        <w:t xml:space="preserve"> and final approval to register qualification on the National Qualification Framework </w:t>
      </w:r>
      <w:r w:rsidR="0013790E" w:rsidRPr="009E2BBE">
        <w:t xml:space="preserve">(NQF) </w:t>
      </w:r>
      <w:r w:rsidR="00FD0A7B" w:rsidRPr="009E2BBE">
        <w:t>by the South African Quality Authority (SAQA).</w:t>
      </w:r>
      <w:r w:rsidR="0050170B" w:rsidRPr="009E2BBE">
        <w:t xml:space="preserve"> </w:t>
      </w:r>
      <w:r w:rsidR="00896940" w:rsidRPr="009E2BBE">
        <w:t xml:space="preserve">New Zealand has two distinct </w:t>
      </w:r>
      <w:r w:rsidR="0050170B" w:rsidRPr="009E2BBE">
        <w:t>development stages</w:t>
      </w:r>
      <w:r w:rsidR="005A1362" w:rsidRPr="009E2BBE">
        <w:t>:</w:t>
      </w:r>
      <w:r w:rsidR="00F773D7" w:rsidRPr="009E2BBE">
        <w:t xml:space="preserve"> </w:t>
      </w:r>
      <w:r w:rsidR="00207928" w:rsidRPr="009E2BBE">
        <w:t xml:space="preserve">apply to </w:t>
      </w:r>
      <w:r w:rsidR="005A1362" w:rsidRPr="009E2BBE">
        <w:t>the New Zealand Qualifications Authority (</w:t>
      </w:r>
      <w:r w:rsidR="00207928" w:rsidRPr="009E2BBE">
        <w:t>NZQA</w:t>
      </w:r>
      <w:r w:rsidR="005A1362" w:rsidRPr="009E2BBE">
        <w:t>)</w:t>
      </w:r>
      <w:r w:rsidR="00207928" w:rsidRPr="009E2BBE">
        <w:t xml:space="preserve"> for approval to develop </w:t>
      </w:r>
      <w:r w:rsidR="005A78AF" w:rsidRPr="009E2BBE">
        <w:t xml:space="preserve">a </w:t>
      </w:r>
      <w:r w:rsidR="00207928" w:rsidRPr="009E2BBE">
        <w:t xml:space="preserve">qualification and apply to NZQA for approval to list </w:t>
      </w:r>
      <w:r w:rsidR="005A78AF" w:rsidRPr="009E2BBE">
        <w:t xml:space="preserve">the </w:t>
      </w:r>
      <w:r w:rsidR="00207928" w:rsidRPr="009E2BBE">
        <w:t xml:space="preserve">qualification on </w:t>
      </w:r>
      <w:r w:rsidR="00822490" w:rsidRPr="009E2BBE">
        <w:t>the New Zealand Qualifications Framework (</w:t>
      </w:r>
      <w:r w:rsidR="00207928" w:rsidRPr="009E2BBE">
        <w:t>NZQF</w:t>
      </w:r>
      <w:r w:rsidR="00822490" w:rsidRPr="009E2BBE">
        <w:t>)</w:t>
      </w:r>
      <w:r w:rsidR="00207928" w:rsidRPr="009E2BBE">
        <w:t>. E</w:t>
      </w:r>
      <w:r w:rsidR="00896940" w:rsidRPr="009E2BBE">
        <w:t>ach</w:t>
      </w:r>
      <w:r w:rsidR="00207928" w:rsidRPr="009E2BBE">
        <w:t xml:space="preserve"> step</w:t>
      </w:r>
      <w:r w:rsidR="00896940" w:rsidRPr="009E2BBE">
        <w:t xml:space="preserve"> </w:t>
      </w:r>
      <w:r w:rsidR="00207928" w:rsidRPr="009E2BBE">
        <w:t xml:space="preserve">concludes </w:t>
      </w:r>
      <w:r w:rsidR="00896940" w:rsidRPr="009E2BBE">
        <w:t>with a decision about the suitability of the proposed qualification.</w:t>
      </w:r>
      <w:r w:rsidR="009575B6" w:rsidRPr="009E2BBE">
        <w:t xml:space="preserve"> </w:t>
      </w:r>
    </w:p>
    <w:p w14:paraId="3C6B6BC5" w14:textId="5B60AA66" w:rsidR="00FD0A7B" w:rsidRPr="009E2BBE" w:rsidRDefault="00F4769A" w:rsidP="00024B43">
      <w:pPr>
        <w:pStyle w:val="Dotpoint10"/>
        <w:numPr>
          <w:ilvl w:val="0"/>
          <w:numId w:val="0"/>
        </w:numPr>
      </w:pPr>
      <w:r w:rsidRPr="009E2BBE">
        <w:t>Some countries</w:t>
      </w:r>
      <w:r w:rsidR="00EA3747" w:rsidRPr="009E2BBE">
        <w:t>’ processes,</w:t>
      </w:r>
      <w:r w:rsidR="001B781A" w:rsidRPr="009E2BBE">
        <w:t xml:space="preserve"> such as </w:t>
      </w:r>
      <w:r w:rsidR="00EA3747" w:rsidRPr="009E2BBE">
        <w:t xml:space="preserve">those in </w:t>
      </w:r>
      <w:r w:rsidR="001B781A" w:rsidRPr="009E2BBE">
        <w:t>Finl</w:t>
      </w:r>
      <w:r w:rsidR="00EA3747" w:rsidRPr="009E2BBE">
        <w:t>a</w:t>
      </w:r>
      <w:r w:rsidR="001B781A" w:rsidRPr="009E2BBE">
        <w:t xml:space="preserve">nd, </w:t>
      </w:r>
      <w:proofErr w:type="gramStart"/>
      <w:r w:rsidR="001B781A" w:rsidRPr="009E2BBE">
        <w:t>England</w:t>
      </w:r>
      <w:proofErr w:type="gramEnd"/>
      <w:r w:rsidR="001B781A" w:rsidRPr="009E2BBE">
        <w:t xml:space="preserve"> and Scotland,</w:t>
      </w:r>
      <w:r w:rsidRPr="009E2BBE">
        <w:t xml:space="preserve"> had only </w:t>
      </w:r>
      <w:r w:rsidR="0050170B" w:rsidRPr="009E2BBE">
        <w:t>one</w:t>
      </w:r>
      <w:r w:rsidRPr="009E2BBE">
        <w:t xml:space="preserve"> final approval step rather than stage gates throughout the development process. For example, although </w:t>
      </w:r>
      <w:r w:rsidR="009575B6" w:rsidRPr="009E2BBE">
        <w:t>Ontario colleges have many evaluation and decision points in their internal development processes, the interaction with the provincial endorsing body is limited to a single submission</w:t>
      </w:r>
      <w:r w:rsidRPr="009E2BBE">
        <w:t xml:space="preserve"> </w:t>
      </w:r>
      <w:r w:rsidR="009575B6" w:rsidRPr="009E2BBE">
        <w:t xml:space="preserve">and approval from </w:t>
      </w:r>
      <w:r w:rsidRPr="009E2BBE">
        <w:t>the</w:t>
      </w:r>
      <w:r w:rsidR="009575B6" w:rsidRPr="009E2BBE">
        <w:t xml:space="preserve"> </w:t>
      </w:r>
      <w:r w:rsidR="00D77E0E" w:rsidRPr="009E2BBE">
        <w:t>Credentials Validation Service</w:t>
      </w:r>
      <w:r w:rsidR="004E3024" w:rsidRPr="009E2BBE">
        <w:t xml:space="preserve"> (CVS)</w:t>
      </w:r>
      <w:r w:rsidR="009575B6" w:rsidRPr="009E2BBE">
        <w:t>.</w:t>
      </w:r>
      <w:r w:rsidR="00BD4781" w:rsidRPr="009E2BBE">
        <w:t xml:space="preserve"> </w:t>
      </w:r>
      <w:r w:rsidRPr="009E2BBE">
        <w:t>I</w:t>
      </w:r>
      <w:r w:rsidR="00896940" w:rsidRPr="009E2BBE">
        <w:t>n Australia</w:t>
      </w:r>
      <w:r w:rsidRPr="009E2BBE">
        <w:t xml:space="preserve">, </w:t>
      </w:r>
      <w:r w:rsidR="005070AF" w:rsidRPr="009E2BBE">
        <w:t xml:space="preserve">there are </w:t>
      </w:r>
      <w:r w:rsidR="00896940" w:rsidRPr="009E2BBE">
        <w:t>two final approval</w:t>
      </w:r>
      <w:r w:rsidR="005070AF" w:rsidRPr="009E2BBE">
        <w:t xml:space="preserve"> stages</w:t>
      </w:r>
      <w:r w:rsidR="00896940" w:rsidRPr="009E2BBE">
        <w:t xml:space="preserve">, one </w:t>
      </w:r>
      <w:r w:rsidR="009575B6" w:rsidRPr="009E2BBE">
        <w:t xml:space="preserve">to </w:t>
      </w:r>
      <w:r w:rsidR="005070AF" w:rsidRPr="009E2BBE">
        <w:t xml:space="preserve">recommend endorsement </w:t>
      </w:r>
      <w:r w:rsidR="00896940" w:rsidRPr="009E2BBE">
        <w:t>from the AISC and</w:t>
      </w:r>
      <w:r w:rsidR="005070AF" w:rsidRPr="009E2BBE">
        <w:t xml:space="preserve"> then</w:t>
      </w:r>
      <w:r w:rsidR="00896940" w:rsidRPr="009E2BBE">
        <w:t xml:space="preserve"> </w:t>
      </w:r>
      <w:r w:rsidR="00161A80" w:rsidRPr="009E2BBE">
        <w:t>endorsement</w:t>
      </w:r>
      <w:r w:rsidR="009575B6" w:rsidRPr="009E2BBE">
        <w:t xml:space="preserve"> </w:t>
      </w:r>
      <w:r w:rsidR="00896940" w:rsidRPr="009E2BBE">
        <w:t xml:space="preserve">from the </w:t>
      </w:r>
      <w:r w:rsidR="00A228EE" w:rsidRPr="009E2BBE">
        <w:t>s</w:t>
      </w:r>
      <w:r w:rsidR="00047444" w:rsidRPr="009E2BBE">
        <w:t xml:space="preserve">kills </w:t>
      </w:r>
      <w:r w:rsidR="00A228EE" w:rsidRPr="009E2BBE">
        <w:t>m</w:t>
      </w:r>
      <w:r w:rsidR="00047444" w:rsidRPr="009E2BBE">
        <w:t>inisters</w:t>
      </w:r>
      <w:r w:rsidRPr="009E2BBE">
        <w:t>.</w:t>
      </w:r>
      <w:r w:rsidR="00896940" w:rsidRPr="009E2BBE">
        <w:t xml:space="preserve"> </w:t>
      </w:r>
      <w:r w:rsidRPr="009E2BBE">
        <w:t>T</w:t>
      </w:r>
      <w:r w:rsidR="00896940" w:rsidRPr="009E2BBE">
        <w:t xml:space="preserve">his </w:t>
      </w:r>
      <w:r w:rsidRPr="009E2BBE">
        <w:t>second</w:t>
      </w:r>
      <w:r w:rsidR="00896940" w:rsidRPr="009E2BBE">
        <w:t xml:space="preserve"> approval</w:t>
      </w:r>
      <w:r w:rsidR="005070AF" w:rsidRPr="009E2BBE">
        <w:t xml:space="preserve"> stage</w:t>
      </w:r>
      <w:r w:rsidR="00896940" w:rsidRPr="009E2BBE">
        <w:t xml:space="preserve"> </w:t>
      </w:r>
      <w:r w:rsidR="005070AF" w:rsidRPr="009E2BBE">
        <w:t xml:space="preserve">prior to implementation </w:t>
      </w:r>
      <w:r w:rsidR="00896940" w:rsidRPr="009E2BBE">
        <w:t xml:space="preserve">is </w:t>
      </w:r>
      <w:r w:rsidR="009575B6" w:rsidRPr="009E2BBE">
        <w:t xml:space="preserve">not found in </w:t>
      </w:r>
      <w:r w:rsidR="00BF748F" w:rsidRPr="009E2BBE">
        <w:t xml:space="preserve">most </w:t>
      </w:r>
      <w:r w:rsidR="009575B6" w:rsidRPr="009E2BBE">
        <w:t>other countries</w:t>
      </w:r>
      <w:r w:rsidR="00BF748F" w:rsidRPr="009E2BBE">
        <w:t xml:space="preserve"> </w:t>
      </w:r>
      <w:r w:rsidR="00DB0CD9">
        <w:t xml:space="preserve">and </w:t>
      </w:r>
      <w:proofErr w:type="gramStart"/>
      <w:r w:rsidR="00DB0CD9">
        <w:t>is a reflection of</w:t>
      </w:r>
      <w:proofErr w:type="gramEnd"/>
      <w:r w:rsidR="00DB0CD9">
        <w:t xml:space="preserve"> our federated system</w:t>
      </w:r>
      <w:r w:rsidR="00896940" w:rsidRPr="009E2BBE">
        <w:t xml:space="preserve">. </w:t>
      </w:r>
    </w:p>
    <w:p w14:paraId="36B0A6E2" w14:textId="369F4548" w:rsidR="00D305AC" w:rsidRPr="009E2BBE" w:rsidRDefault="00D77E0E" w:rsidP="00D305AC">
      <w:pPr>
        <w:pStyle w:val="Heading3"/>
      </w:pPr>
      <w:r w:rsidRPr="009E2BBE">
        <w:t>C</w:t>
      </w:r>
      <w:r w:rsidR="00D305AC" w:rsidRPr="009E2BBE">
        <w:t>onsultation and quality assurance</w:t>
      </w:r>
    </w:p>
    <w:p w14:paraId="1905E849" w14:textId="50218D45" w:rsidR="006E17AC" w:rsidRPr="009E2BBE" w:rsidRDefault="006E17AC" w:rsidP="005C0795">
      <w:pPr>
        <w:pStyle w:val="Text"/>
      </w:pPr>
      <w:r w:rsidRPr="009E2BBE">
        <w:t xml:space="preserve">A report on the </w:t>
      </w:r>
      <w:r w:rsidR="008C3ADA" w:rsidRPr="009E2BBE">
        <w:t xml:space="preserve">process </w:t>
      </w:r>
      <w:r w:rsidR="001378C6" w:rsidRPr="009E2BBE">
        <w:t xml:space="preserve">of </w:t>
      </w:r>
      <w:r w:rsidRPr="009E2BBE">
        <w:t>development,</w:t>
      </w:r>
      <w:r w:rsidR="008C3ADA" w:rsidRPr="009E2BBE">
        <w:t xml:space="preserve"> </w:t>
      </w:r>
      <w:proofErr w:type="gramStart"/>
      <w:r w:rsidRPr="009E2BBE">
        <w:t>endorsement</w:t>
      </w:r>
      <w:proofErr w:type="gramEnd"/>
      <w:r w:rsidRPr="009E2BBE">
        <w:t xml:space="preserve"> and implementation </w:t>
      </w:r>
      <w:r w:rsidR="001378C6" w:rsidRPr="009E2BBE">
        <w:t xml:space="preserve">of training packages </w:t>
      </w:r>
      <w:r w:rsidRPr="009E2BBE">
        <w:t xml:space="preserve">in Australia </w:t>
      </w:r>
      <w:r w:rsidR="00072149" w:rsidRPr="009E2BBE">
        <w:t xml:space="preserve">noted that </w:t>
      </w:r>
      <w:r w:rsidRPr="009E2BBE">
        <w:t xml:space="preserve">consultation with stakeholders and quality assurance </w:t>
      </w:r>
      <w:r w:rsidR="00CC218D" w:rsidRPr="009E2BBE">
        <w:t>could</w:t>
      </w:r>
      <w:r w:rsidRPr="009E2BBE">
        <w:t xml:space="preserve"> be streamlined (Fyusion 2018). </w:t>
      </w:r>
      <w:r w:rsidR="001E1B50" w:rsidRPr="009E2BBE">
        <w:t xml:space="preserve">Consultation </w:t>
      </w:r>
      <w:r w:rsidR="00CC218D" w:rsidRPr="009E2BBE">
        <w:t xml:space="preserve">is undertaken </w:t>
      </w:r>
      <w:r w:rsidR="00072149" w:rsidRPr="009E2BBE">
        <w:t>at</w:t>
      </w:r>
      <w:r w:rsidR="001E1B50" w:rsidRPr="009E2BBE">
        <w:t xml:space="preserve"> four </w:t>
      </w:r>
      <w:r w:rsidR="00072149" w:rsidRPr="009E2BBE">
        <w:t xml:space="preserve">different stages, </w:t>
      </w:r>
      <w:r w:rsidR="001E1B50" w:rsidRPr="009E2BBE">
        <w:t>and quality assurance in at least two</w:t>
      </w:r>
      <w:r w:rsidR="004C0BE7" w:rsidRPr="009E2BBE">
        <w:t>.</w:t>
      </w:r>
      <w:r w:rsidR="001E1B50" w:rsidRPr="009E2BBE">
        <w:t xml:space="preserve"> (</w:t>
      </w:r>
      <w:r w:rsidR="004C0BE7" w:rsidRPr="009E2BBE">
        <w:t>T</w:t>
      </w:r>
      <w:r w:rsidR="001E1B50" w:rsidRPr="009E2BBE">
        <w:t>his includes undertaking testing</w:t>
      </w:r>
      <w:r w:rsidR="00624AFF" w:rsidRPr="009E2BBE">
        <w:t xml:space="preserve"> of draft content and companion volumes</w:t>
      </w:r>
      <w:r w:rsidR="007479D6" w:rsidRPr="009E2BBE">
        <w:t>,</w:t>
      </w:r>
      <w:r w:rsidR="001E1B50" w:rsidRPr="009E2BBE">
        <w:t xml:space="preserve"> as well as checking </w:t>
      </w:r>
      <w:r w:rsidR="004C0BE7" w:rsidRPr="009E2BBE">
        <w:t xml:space="preserve">that </w:t>
      </w:r>
      <w:r w:rsidR="001E1B50" w:rsidRPr="009E2BBE">
        <w:t xml:space="preserve">the </w:t>
      </w:r>
      <w:r w:rsidR="00CC218D" w:rsidRPr="009E2BBE">
        <w:t xml:space="preserve">training package </w:t>
      </w:r>
      <w:r w:rsidR="001E1B50" w:rsidRPr="009E2BBE">
        <w:t>meets the Standards for Training Packages</w:t>
      </w:r>
      <w:r w:rsidR="004C0BE7" w:rsidRPr="009E2BBE">
        <w:t>.</w:t>
      </w:r>
      <w:r w:rsidR="005317A2" w:rsidRPr="009E2BBE">
        <w:t>)</w:t>
      </w:r>
    </w:p>
    <w:p w14:paraId="2731318B" w14:textId="5C51A536" w:rsidR="00624122" w:rsidRPr="009E2BBE" w:rsidRDefault="00624122" w:rsidP="005C0795">
      <w:pPr>
        <w:pStyle w:val="Text"/>
      </w:pPr>
      <w:r w:rsidRPr="009E2BBE">
        <w:t xml:space="preserve">South Africa has at least two steps </w:t>
      </w:r>
      <w:r w:rsidR="007479D6" w:rsidRPr="009E2BBE">
        <w:t>at which</w:t>
      </w:r>
      <w:r w:rsidRPr="009E2BBE">
        <w:t xml:space="preserve"> stakeholder consultations occur. It is not clear how many steps </w:t>
      </w:r>
      <w:r w:rsidR="00F4769A" w:rsidRPr="009E2BBE">
        <w:t xml:space="preserve">demand </w:t>
      </w:r>
      <w:r w:rsidRPr="009E2BBE">
        <w:t>quality</w:t>
      </w:r>
      <w:r w:rsidR="00F4769A" w:rsidRPr="009E2BBE">
        <w:t>,</w:t>
      </w:r>
      <w:r w:rsidRPr="009E2BBE">
        <w:t xml:space="preserve"> although nominated </w:t>
      </w:r>
      <w:r w:rsidR="004C0BE7" w:rsidRPr="009E2BBE">
        <w:t>development</w:t>
      </w:r>
      <w:r w:rsidR="007479D6" w:rsidRPr="009E2BBE">
        <w:t>-</w:t>
      </w:r>
      <w:r w:rsidR="004C0BE7" w:rsidRPr="009E2BBE">
        <w:t>quality partners and assessment</w:t>
      </w:r>
      <w:r w:rsidR="007479D6" w:rsidRPr="009E2BBE">
        <w:t>-</w:t>
      </w:r>
      <w:r w:rsidR="004C0BE7" w:rsidRPr="009E2BBE">
        <w:t xml:space="preserve">quality partners </w:t>
      </w:r>
      <w:r w:rsidRPr="009E2BBE">
        <w:t xml:space="preserve">are involved in multiple steps. New Zealand has three steps </w:t>
      </w:r>
      <w:r w:rsidR="003F1614" w:rsidRPr="009E2BBE">
        <w:t xml:space="preserve">in which </w:t>
      </w:r>
      <w:r w:rsidRPr="009E2BBE">
        <w:t>stakeholder consultation occurs</w:t>
      </w:r>
      <w:r w:rsidR="004C0BE7" w:rsidRPr="009E2BBE">
        <w:t>,</w:t>
      </w:r>
      <w:r w:rsidRPr="009E2BBE">
        <w:t xml:space="preserve"> but </w:t>
      </w:r>
      <w:r w:rsidR="00F4769A" w:rsidRPr="009E2BBE">
        <w:t>no stipulations for an external</w:t>
      </w:r>
      <w:r w:rsidRPr="009E2BBE">
        <w:t xml:space="preserve"> quality assurance </w:t>
      </w:r>
      <w:r w:rsidR="00F4769A" w:rsidRPr="009E2BBE">
        <w:t>stage</w:t>
      </w:r>
      <w:r w:rsidR="001277DB" w:rsidRPr="009E2BBE">
        <w:t>.</w:t>
      </w:r>
      <w:r w:rsidR="00207928" w:rsidRPr="009E2BBE">
        <w:t xml:space="preserve"> (</w:t>
      </w:r>
      <w:r w:rsidR="001277DB" w:rsidRPr="009E2BBE">
        <w:t>T</w:t>
      </w:r>
      <w:r w:rsidR="00207928" w:rsidRPr="009E2BBE">
        <w:t>his is undertaken by NZQA as the regulator</w:t>
      </w:r>
      <w:r w:rsidR="001277DB" w:rsidRPr="009E2BBE">
        <w:t>.</w:t>
      </w:r>
      <w:r w:rsidR="00207928" w:rsidRPr="009E2BBE">
        <w:t>)</w:t>
      </w:r>
    </w:p>
    <w:p w14:paraId="495D8946" w14:textId="0413CE44" w:rsidR="00624122" w:rsidRPr="009E2BBE" w:rsidRDefault="00624122" w:rsidP="005C0795">
      <w:pPr>
        <w:pStyle w:val="Text"/>
      </w:pPr>
      <w:r w:rsidRPr="009E2BBE">
        <w:t xml:space="preserve">Scotland appears to have </w:t>
      </w:r>
      <w:r w:rsidR="00161A80" w:rsidRPr="009E2BBE">
        <w:t>the</w:t>
      </w:r>
      <w:r w:rsidR="003F1614" w:rsidRPr="009E2BBE">
        <w:t xml:space="preserve"> most streamlined process</w:t>
      </w:r>
      <w:r w:rsidR="001277DB" w:rsidRPr="009E2BBE">
        <w:t>,</w:t>
      </w:r>
      <w:r w:rsidR="003F1614" w:rsidRPr="009E2BBE">
        <w:t xml:space="preserve"> with just </w:t>
      </w:r>
      <w:r w:rsidRPr="009E2BBE">
        <w:t>one step for consultation with stakeholders and a single step for quality assurance.</w:t>
      </w:r>
    </w:p>
    <w:p w14:paraId="7D228ED4" w14:textId="41E8255D" w:rsidR="00624122" w:rsidRPr="009E2BBE" w:rsidRDefault="00624122" w:rsidP="005C0795">
      <w:pPr>
        <w:pStyle w:val="Text"/>
      </w:pPr>
      <w:r w:rsidRPr="009E2BBE">
        <w:t xml:space="preserve">Information </w:t>
      </w:r>
      <w:r w:rsidR="001277DB" w:rsidRPr="009E2BBE">
        <w:t>on</w:t>
      </w:r>
      <w:r w:rsidRPr="009E2BBE">
        <w:t xml:space="preserve"> the number of steps relating to consultation and quality assurance was unclear for the other countries explored.</w:t>
      </w:r>
    </w:p>
    <w:p w14:paraId="0AB2A61D" w14:textId="77777777" w:rsidR="009A4862" w:rsidRPr="009E2BBE" w:rsidRDefault="009A4862" w:rsidP="009A4862">
      <w:pPr>
        <w:pStyle w:val="Heading2"/>
      </w:pPr>
      <w:bookmarkStart w:id="25" w:name="_Toc65741349"/>
      <w:r w:rsidRPr="009E2BBE">
        <w:t>Stakeholders involved</w:t>
      </w:r>
      <w:bookmarkEnd w:id="25"/>
    </w:p>
    <w:p w14:paraId="1FB0CACE" w14:textId="51869956" w:rsidR="009A4862" w:rsidRPr="009E2BBE" w:rsidRDefault="00E304DC" w:rsidP="00723DB9">
      <w:pPr>
        <w:pStyle w:val="Heading3"/>
      </w:pPr>
      <w:r w:rsidRPr="009E2BBE">
        <w:t xml:space="preserve">Drafting of qualifications </w:t>
      </w:r>
    </w:p>
    <w:p w14:paraId="79519BBF" w14:textId="4C6FCDFF" w:rsidR="00313554" w:rsidRPr="009E2BBE" w:rsidRDefault="00E833C6" w:rsidP="00E833C6">
      <w:pPr>
        <w:pStyle w:val="Text"/>
      </w:pPr>
      <w:r w:rsidRPr="009E2BBE">
        <w:t xml:space="preserve">The drafting of </w:t>
      </w:r>
      <w:r w:rsidR="008D3497" w:rsidRPr="009E2BBE">
        <w:t xml:space="preserve">training package </w:t>
      </w:r>
      <w:r w:rsidRPr="009E2BBE">
        <w:t>material in Australia is led by</w:t>
      </w:r>
      <w:r w:rsidR="00743627" w:rsidRPr="009E2BBE">
        <w:t xml:space="preserve"> </w:t>
      </w:r>
      <w:r w:rsidR="00207928" w:rsidRPr="009E2BBE">
        <w:t>IRCs</w:t>
      </w:r>
      <w:r w:rsidRPr="009E2BBE">
        <w:t xml:space="preserve"> with input from </w:t>
      </w:r>
      <w:r w:rsidR="00207928" w:rsidRPr="009E2BBE">
        <w:t xml:space="preserve">SSOs </w:t>
      </w:r>
      <w:r w:rsidRPr="009E2BBE">
        <w:t xml:space="preserve">and </w:t>
      </w:r>
      <w:r w:rsidR="008D3497" w:rsidRPr="009E2BBE">
        <w:t>technical advisory groups</w:t>
      </w:r>
      <w:r w:rsidR="005C0E87" w:rsidRPr="009E2BBE">
        <w:t xml:space="preserve"> (TAGs)</w:t>
      </w:r>
      <w:r w:rsidR="00D77E0E" w:rsidRPr="009E2BBE">
        <w:t>, both</w:t>
      </w:r>
      <w:r w:rsidR="003D1DD8" w:rsidRPr="009E2BBE">
        <w:t xml:space="preserve"> comprising industry </w:t>
      </w:r>
      <w:r w:rsidR="005C0E87" w:rsidRPr="009E2BBE">
        <w:t xml:space="preserve">and training provider </w:t>
      </w:r>
      <w:r w:rsidR="003D1DD8" w:rsidRPr="009E2BBE">
        <w:t>representatives</w:t>
      </w:r>
      <w:r w:rsidRPr="009E2BBE">
        <w:t xml:space="preserve">. </w:t>
      </w:r>
      <w:r w:rsidR="00207928" w:rsidRPr="009E2BBE">
        <w:t xml:space="preserve">IRCs, with support from SSOs, </w:t>
      </w:r>
      <w:r w:rsidR="00D77E0E" w:rsidRPr="009E2BBE">
        <w:t>also c</w:t>
      </w:r>
      <w:r w:rsidRPr="009E2BBE">
        <w:t>onsul</w:t>
      </w:r>
      <w:r w:rsidR="00786014" w:rsidRPr="009E2BBE">
        <w:t>t</w:t>
      </w:r>
      <w:r w:rsidRPr="009E2BBE">
        <w:t xml:space="preserve"> </w:t>
      </w:r>
      <w:r w:rsidR="003D1DD8" w:rsidRPr="009E2BBE">
        <w:t xml:space="preserve">broader </w:t>
      </w:r>
      <w:r w:rsidRPr="009E2BBE">
        <w:t>industry and other stakeholders</w:t>
      </w:r>
      <w:r w:rsidR="003D1DD8" w:rsidRPr="009E2BBE">
        <w:t>,</w:t>
      </w:r>
      <w:r w:rsidRPr="009E2BBE">
        <w:t xml:space="preserve"> such as </w:t>
      </w:r>
      <w:r w:rsidR="008D3497" w:rsidRPr="009E2BBE">
        <w:t>state training au</w:t>
      </w:r>
      <w:r w:rsidRPr="009E2BBE">
        <w:t>thoritie</w:t>
      </w:r>
      <w:r w:rsidR="00F97E0D" w:rsidRPr="009E2BBE">
        <w:t>s</w:t>
      </w:r>
      <w:r w:rsidR="002F57CB" w:rsidRPr="009E2BBE">
        <w:t xml:space="preserve"> (STAs)</w:t>
      </w:r>
      <w:r w:rsidRPr="009E2BBE">
        <w:t xml:space="preserve">. </w:t>
      </w:r>
      <w:r w:rsidR="005C0E87" w:rsidRPr="009E2BBE">
        <w:t>A 2018 report found that the role of registered training organisations (RTOs) and trainers in the development of training packages and consultations had decreased over the years (Fyusion 2018). However, more recent information provided by SSOs indicates that RTO representatives are part of many IRCs and TAGs. It may be the case that the perception of educators</w:t>
      </w:r>
      <w:r w:rsidR="00A26B8A" w:rsidRPr="009E2BBE">
        <w:t>’</w:t>
      </w:r>
      <w:r w:rsidR="005C0E87" w:rsidRPr="009E2BBE">
        <w:t xml:space="preserve"> involvement in qualification development differs from the reality </w:t>
      </w:r>
      <w:r w:rsidR="00CD1549" w:rsidRPr="009E2BBE">
        <w:t xml:space="preserve">— in that it is higher — </w:t>
      </w:r>
      <w:r w:rsidR="005C0E87" w:rsidRPr="009E2BBE">
        <w:t xml:space="preserve">and consideration might be given to greater transparency in the </w:t>
      </w:r>
      <w:r w:rsidR="00EA3747" w:rsidRPr="009E2BBE">
        <w:t>qualification development process</w:t>
      </w:r>
      <w:r w:rsidR="005C0E87" w:rsidRPr="009E2BBE">
        <w:t xml:space="preserve"> to </w:t>
      </w:r>
      <w:r w:rsidR="00B40C9A" w:rsidRPr="009E2BBE">
        <w:t>highlight</w:t>
      </w:r>
      <w:r w:rsidR="005C0E87" w:rsidRPr="009E2BBE">
        <w:t xml:space="preserve"> their involvement. One challenge </w:t>
      </w:r>
      <w:r w:rsidR="00F97E0D" w:rsidRPr="009E2BBE">
        <w:t>for</w:t>
      </w:r>
      <w:r w:rsidR="005C0E87" w:rsidRPr="009E2BBE">
        <w:t xml:space="preserve"> the VET sector in Australia is the volume and </w:t>
      </w:r>
      <w:r w:rsidR="0013325C" w:rsidRPr="009E2BBE">
        <w:t>diversity</w:t>
      </w:r>
      <w:r w:rsidR="005C0E87" w:rsidRPr="009E2BBE">
        <w:t xml:space="preserve"> of RTOs</w:t>
      </w:r>
      <w:r w:rsidR="00462C66" w:rsidRPr="009E2BBE">
        <w:t>:</w:t>
      </w:r>
      <w:r w:rsidR="005C0E87" w:rsidRPr="009E2BBE">
        <w:t xml:space="preserve"> some providers may be deeply involved in </w:t>
      </w:r>
      <w:r w:rsidR="00462C66" w:rsidRPr="009E2BBE">
        <w:t>training package</w:t>
      </w:r>
      <w:r w:rsidR="005C0E87" w:rsidRPr="009E2BBE">
        <w:t xml:space="preserve"> development</w:t>
      </w:r>
      <w:r w:rsidR="00462C66" w:rsidRPr="009E2BBE">
        <w:t>,</w:t>
      </w:r>
      <w:r w:rsidR="005C0E87" w:rsidRPr="009E2BBE">
        <w:t xml:space="preserve"> whil</w:t>
      </w:r>
      <w:r w:rsidR="00462C66" w:rsidRPr="009E2BBE">
        <w:t>e</w:t>
      </w:r>
      <w:r w:rsidR="005C0E87" w:rsidRPr="009E2BBE">
        <w:t xml:space="preserve"> others remain relatively ignorant of the process and/or how their voice can be heard.</w:t>
      </w:r>
    </w:p>
    <w:p w14:paraId="1DB89164" w14:textId="5994E3B4" w:rsidR="003D1DD8" w:rsidRPr="009E2BBE" w:rsidRDefault="005C0E87" w:rsidP="00E833C6">
      <w:pPr>
        <w:pStyle w:val="Text"/>
      </w:pPr>
      <w:r w:rsidRPr="009E2BBE">
        <w:t xml:space="preserve">Many </w:t>
      </w:r>
      <w:r w:rsidR="00E833C6" w:rsidRPr="009E2BBE">
        <w:t xml:space="preserve">of the countries </w:t>
      </w:r>
      <w:r w:rsidR="008D3497" w:rsidRPr="009E2BBE">
        <w:t xml:space="preserve">examined </w:t>
      </w:r>
      <w:r w:rsidR="00D77E0E" w:rsidRPr="009E2BBE">
        <w:t>feature</w:t>
      </w:r>
      <w:r w:rsidR="00E833C6" w:rsidRPr="009E2BBE">
        <w:t xml:space="preserve"> a </w:t>
      </w:r>
      <w:r w:rsidR="003D1DD8" w:rsidRPr="009E2BBE">
        <w:t>government-</w:t>
      </w:r>
      <w:r w:rsidR="00F97BBA" w:rsidRPr="009E2BBE">
        <w:t xml:space="preserve">funded </w:t>
      </w:r>
      <w:r w:rsidR="003D1DD8" w:rsidRPr="009E2BBE">
        <w:t>service or body</w:t>
      </w:r>
      <w:r w:rsidR="00E833C6" w:rsidRPr="009E2BBE">
        <w:t xml:space="preserve"> </w:t>
      </w:r>
      <w:r w:rsidR="00D77E0E" w:rsidRPr="009E2BBE">
        <w:t xml:space="preserve">to </w:t>
      </w:r>
      <w:r w:rsidR="00E833C6" w:rsidRPr="009E2BBE">
        <w:t xml:space="preserve">draft </w:t>
      </w:r>
      <w:r w:rsidR="009C1138" w:rsidRPr="009E2BBE">
        <w:t xml:space="preserve">or </w:t>
      </w:r>
      <w:r w:rsidR="00F97BBA" w:rsidRPr="009E2BBE">
        <w:t xml:space="preserve">to help </w:t>
      </w:r>
      <w:r w:rsidR="00825997" w:rsidRPr="009E2BBE">
        <w:t xml:space="preserve">to </w:t>
      </w:r>
      <w:r w:rsidR="00F97BBA" w:rsidRPr="009E2BBE">
        <w:t xml:space="preserve">guide the drafting of </w:t>
      </w:r>
      <w:r w:rsidR="00E833C6" w:rsidRPr="009E2BBE">
        <w:t>qualification</w:t>
      </w:r>
      <w:r w:rsidR="00D77E0E" w:rsidRPr="009E2BBE">
        <w:t>s and related materials</w:t>
      </w:r>
      <w:r w:rsidR="00E833C6" w:rsidRPr="009E2BBE">
        <w:t xml:space="preserve">, such as </w:t>
      </w:r>
      <w:r w:rsidR="009C1138" w:rsidRPr="009E2BBE">
        <w:t>standard</w:t>
      </w:r>
      <w:r w:rsidR="00825997" w:rsidRPr="009E2BBE">
        <w:t>-</w:t>
      </w:r>
      <w:r w:rsidR="009C1138" w:rsidRPr="009E2BBE">
        <w:t xml:space="preserve">setting organisations </w:t>
      </w:r>
      <w:r w:rsidR="00E833C6" w:rsidRPr="009E2BBE">
        <w:t>in Scotland</w:t>
      </w:r>
      <w:r w:rsidR="004A5400" w:rsidRPr="009E2BBE">
        <w:t>;</w:t>
      </w:r>
      <w:r w:rsidR="00E833C6" w:rsidRPr="009E2BBE">
        <w:t xml:space="preserve"> </w:t>
      </w:r>
      <w:r w:rsidR="009C1138" w:rsidRPr="009E2BBE">
        <w:t>qualifications</w:t>
      </w:r>
      <w:r w:rsidR="00825997" w:rsidRPr="009E2BBE">
        <w:t>-</w:t>
      </w:r>
      <w:r w:rsidR="009C1138" w:rsidRPr="009E2BBE">
        <w:t xml:space="preserve">development facilitators </w:t>
      </w:r>
      <w:r w:rsidR="00E833C6" w:rsidRPr="009E2BBE">
        <w:t>in South Africa</w:t>
      </w:r>
      <w:r w:rsidR="004A5400" w:rsidRPr="009E2BBE">
        <w:t>;</w:t>
      </w:r>
      <w:r w:rsidR="00675147" w:rsidRPr="009E2BBE">
        <w:t xml:space="preserve"> </w:t>
      </w:r>
      <w:r w:rsidR="00624AFF" w:rsidRPr="009E2BBE">
        <w:t>the qualification projects set up by the Finnish National Agency for Education in Finland</w:t>
      </w:r>
      <w:r w:rsidR="004A5400" w:rsidRPr="009E2BBE">
        <w:t>;</w:t>
      </w:r>
      <w:r w:rsidR="00624AFF" w:rsidRPr="009E2BBE">
        <w:t xml:space="preserve"> </w:t>
      </w:r>
      <w:r w:rsidR="00675147" w:rsidRPr="009E2BBE">
        <w:t>and</w:t>
      </w:r>
      <w:r w:rsidR="00E833C6" w:rsidRPr="009E2BBE">
        <w:t xml:space="preserve"> a subcommittee of the Future Economy Council</w:t>
      </w:r>
      <w:r w:rsidR="00675147" w:rsidRPr="009E2BBE">
        <w:t xml:space="preserve"> in Singapore. </w:t>
      </w:r>
    </w:p>
    <w:p w14:paraId="1B6AD364" w14:textId="29CE008E" w:rsidR="00E833C6" w:rsidRPr="009E2BBE" w:rsidRDefault="003D1DD8" w:rsidP="00E833C6">
      <w:pPr>
        <w:pStyle w:val="Text"/>
      </w:pPr>
      <w:r w:rsidRPr="009E2BBE">
        <w:t>I</w:t>
      </w:r>
      <w:r w:rsidR="008D3497" w:rsidRPr="009E2BBE">
        <w:t>n Ontario</w:t>
      </w:r>
      <w:r w:rsidR="00F97BBA" w:rsidRPr="009E2BBE">
        <w:t xml:space="preserve">, Canada, </w:t>
      </w:r>
      <w:r w:rsidR="008D3497" w:rsidRPr="009E2BBE">
        <w:t>where colleges lead</w:t>
      </w:r>
      <w:r w:rsidR="00F97BBA" w:rsidRPr="009E2BBE">
        <w:t xml:space="preserve"> some</w:t>
      </w:r>
      <w:r w:rsidR="008D3497" w:rsidRPr="009E2BBE">
        <w:t xml:space="preserve"> qualification development, a </w:t>
      </w:r>
      <w:r w:rsidRPr="009E2BBE">
        <w:t>dedicated curriculum consultant is used by many colleges to ensure draft qualifications meet the standards. The Ministry of Colleges and Universities</w:t>
      </w:r>
      <w:r w:rsidR="00A26B8A" w:rsidRPr="009E2BBE">
        <w:t>’</w:t>
      </w:r>
      <w:r w:rsidRPr="009E2BBE">
        <w:t xml:space="preserve"> Credentials Validation Service </w:t>
      </w:r>
      <w:r w:rsidR="00F97BBA" w:rsidRPr="009E2BBE">
        <w:t xml:space="preserve">also </w:t>
      </w:r>
      <w:r w:rsidRPr="009E2BBE">
        <w:t>provides resources and runs workshops for developers to promote qualification quality.</w:t>
      </w:r>
    </w:p>
    <w:p w14:paraId="38C744C8" w14:textId="6A902592" w:rsidR="00675147" w:rsidRPr="009E2BBE" w:rsidRDefault="00D77E0E" w:rsidP="00E833C6">
      <w:pPr>
        <w:pStyle w:val="Text"/>
      </w:pPr>
      <w:proofErr w:type="gramStart"/>
      <w:r w:rsidRPr="009E2BBE">
        <w:t>A</w:t>
      </w:r>
      <w:r w:rsidR="00675147" w:rsidRPr="009E2BBE">
        <w:t>ll</w:t>
      </w:r>
      <w:r w:rsidRPr="009E2BBE">
        <w:t xml:space="preserve"> </w:t>
      </w:r>
      <w:r w:rsidR="004A0C0F" w:rsidRPr="009E2BBE">
        <w:t>of</w:t>
      </w:r>
      <w:proofErr w:type="gramEnd"/>
      <w:r w:rsidR="004A0C0F" w:rsidRPr="009E2BBE">
        <w:t xml:space="preserve"> </w:t>
      </w:r>
      <w:r w:rsidRPr="009E2BBE">
        <w:t>the</w:t>
      </w:r>
      <w:r w:rsidR="00675147" w:rsidRPr="009E2BBE">
        <w:t xml:space="preserve"> countries examined consult with employers, industry bodies, professional bodies, unions, government, teachers and VET providers</w:t>
      </w:r>
      <w:r w:rsidRPr="009E2BBE">
        <w:t xml:space="preserve"> on qualification content</w:t>
      </w:r>
      <w:r w:rsidR="00675147" w:rsidRPr="009E2BBE">
        <w:t xml:space="preserve">. </w:t>
      </w:r>
      <w:r w:rsidR="000B1C0A" w:rsidRPr="009E2BBE">
        <w:t xml:space="preserve">Ontario </w:t>
      </w:r>
      <w:r w:rsidRPr="009E2BBE">
        <w:t xml:space="preserve">was unique in </w:t>
      </w:r>
      <w:r w:rsidR="000B1C0A" w:rsidRPr="009E2BBE">
        <w:t>includ</w:t>
      </w:r>
      <w:r w:rsidRPr="009E2BBE">
        <w:t>ing</w:t>
      </w:r>
      <w:r w:rsidR="000B1C0A" w:rsidRPr="009E2BBE">
        <w:t xml:space="preserve"> graduates of programs </w:t>
      </w:r>
      <w:r w:rsidRPr="009E2BBE">
        <w:t>as stakeholders</w:t>
      </w:r>
      <w:r w:rsidR="000B1C0A" w:rsidRPr="009E2BBE">
        <w:t xml:space="preserve">. </w:t>
      </w:r>
    </w:p>
    <w:p w14:paraId="0718D4FB" w14:textId="77F484C3" w:rsidR="00675147" w:rsidRPr="009E2BBE" w:rsidRDefault="003D1DD8" w:rsidP="00E833C6">
      <w:pPr>
        <w:pStyle w:val="Text"/>
      </w:pPr>
      <w:r w:rsidRPr="009E2BBE">
        <w:t>S</w:t>
      </w:r>
      <w:r w:rsidR="00675147" w:rsidRPr="009E2BBE">
        <w:t>ome of the countries ha</w:t>
      </w:r>
      <w:r w:rsidR="001A09E1" w:rsidRPr="009E2BBE">
        <w:t>ve</w:t>
      </w:r>
      <w:r w:rsidR="00675147" w:rsidRPr="009E2BBE">
        <w:t xml:space="preserve"> processes in place to deal with </w:t>
      </w:r>
      <w:r w:rsidR="00EB1DFC" w:rsidRPr="009E2BBE">
        <w:t xml:space="preserve">a </w:t>
      </w:r>
      <w:r w:rsidR="00675147" w:rsidRPr="009E2BBE">
        <w:t xml:space="preserve">lack of participation </w:t>
      </w:r>
      <w:r w:rsidR="00EB1DFC" w:rsidRPr="009E2BBE">
        <w:t>by central</w:t>
      </w:r>
      <w:r w:rsidR="00675147" w:rsidRPr="009E2BBE">
        <w:t xml:space="preserve"> stakeholders. In New Zealand, evidence of support for the qualification by the </w:t>
      </w:r>
      <w:r w:rsidR="00EB1DFC" w:rsidRPr="009E2BBE">
        <w:t xml:space="preserve">relevant </w:t>
      </w:r>
      <w:r w:rsidR="00675147" w:rsidRPr="009E2BBE">
        <w:t xml:space="preserve">stakeholder groups needs to be </w:t>
      </w:r>
      <w:r w:rsidR="001A09E1" w:rsidRPr="009E2BBE">
        <w:t>included with the submission</w:t>
      </w:r>
      <w:r w:rsidR="00EB1DFC" w:rsidRPr="009E2BBE">
        <w:t>s at both approval stages</w:t>
      </w:r>
      <w:r w:rsidR="001A09E1" w:rsidRPr="009E2BBE">
        <w:t>. If a stakeholder is not supportive</w:t>
      </w:r>
      <w:r w:rsidR="001A752B" w:rsidRPr="009E2BBE">
        <w:t>,</w:t>
      </w:r>
      <w:r w:rsidR="001A09E1" w:rsidRPr="009E2BBE">
        <w:t xml:space="preserve"> </w:t>
      </w:r>
      <w:r w:rsidR="00EB1DFC" w:rsidRPr="009E2BBE">
        <w:t>the developer must justify why the work has continued</w:t>
      </w:r>
      <w:r w:rsidR="001A09E1" w:rsidRPr="009E2BBE">
        <w:t>. In Scotland, if participation by stakeholders is considered low</w:t>
      </w:r>
      <w:r w:rsidR="009B14AF" w:rsidRPr="009E2BBE">
        <w:t>,</w:t>
      </w:r>
      <w:r w:rsidR="001A09E1" w:rsidRPr="009E2BBE">
        <w:t xml:space="preserve"> the </w:t>
      </w:r>
      <w:r w:rsidR="009069D3" w:rsidRPr="009E2BBE">
        <w:t>S</w:t>
      </w:r>
      <w:r w:rsidR="004059D6" w:rsidRPr="009E2BBE">
        <w:t>tandard</w:t>
      </w:r>
      <w:r w:rsidR="009069D3" w:rsidRPr="009E2BBE">
        <w:t xml:space="preserve"> S</w:t>
      </w:r>
      <w:r w:rsidR="004059D6" w:rsidRPr="009E2BBE">
        <w:t xml:space="preserve">etting </w:t>
      </w:r>
      <w:r w:rsidR="009069D3" w:rsidRPr="009E2BBE">
        <w:t>O</w:t>
      </w:r>
      <w:r w:rsidR="004059D6" w:rsidRPr="009E2BBE">
        <w:t xml:space="preserve">rganisation </w:t>
      </w:r>
      <w:r w:rsidR="001A09E1" w:rsidRPr="009E2BBE">
        <w:t xml:space="preserve">must use different consultation methods to improve engagement. In South Africa, attendance at meetings is recorded and any inactive participants are reported to the </w:t>
      </w:r>
      <w:r w:rsidR="009B14AF" w:rsidRPr="009E2BBE">
        <w:t xml:space="preserve">quality development partner </w:t>
      </w:r>
      <w:r w:rsidR="001A09E1" w:rsidRPr="009E2BBE">
        <w:t>and the QCTO</w:t>
      </w:r>
      <w:r w:rsidR="009B14AF" w:rsidRPr="009E2BBE">
        <w:t>,</w:t>
      </w:r>
      <w:r w:rsidR="001A09E1" w:rsidRPr="009E2BBE">
        <w:t xml:space="preserve"> so that additional stakeholders can be arranged</w:t>
      </w:r>
      <w:r w:rsidR="000B1C0A" w:rsidRPr="009E2BBE">
        <w:t xml:space="preserve"> and </w:t>
      </w:r>
      <w:r w:rsidR="001A09E1" w:rsidRPr="009E2BBE">
        <w:t>to ensure that each stakeholder group</w:t>
      </w:r>
      <w:r w:rsidR="000B1C0A" w:rsidRPr="009E2BBE">
        <w:t xml:space="preserve"> is</w:t>
      </w:r>
      <w:r w:rsidR="001A09E1" w:rsidRPr="009E2BBE">
        <w:t xml:space="preserve"> </w:t>
      </w:r>
      <w:r w:rsidR="000B1C0A" w:rsidRPr="009E2BBE">
        <w:t>represented</w:t>
      </w:r>
      <w:r w:rsidR="001A09E1" w:rsidRPr="009E2BBE">
        <w:t xml:space="preserve">. </w:t>
      </w:r>
    </w:p>
    <w:p w14:paraId="6A79F294" w14:textId="7AA42773" w:rsidR="009A4862" w:rsidRPr="009E2BBE" w:rsidRDefault="00E304DC" w:rsidP="00723DB9">
      <w:pPr>
        <w:pStyle w:val="Heading3"/>
      </w:pPr>
      <w:r w:rsidRPr="009E2BBE">
        <w:t>Quality assurance during qualification development</w:t>
      </w:r>
    </w:p>
    <w:p w14:paraId="1FD9E70D" w14:textId="48E9113C" w:rsidR="00F97BBA" w:rsidRPr="009E2BBE" w:rsidRDefault="00B87984" w:rsidP="00E304DC">
      <w:pPr>
        <w:pStyle w:val="Text"/>
      </w:pPr>
      <w:r w:rsidRPr="009E2BBE">
        <w:t>As mentioned earlier, d</w:t>
      </w:r>
      <w:r w:rsidR="00E304DC" w:rsidRPr="009E2BBE">
        <w:t>etail</w:t>
      </w:r>
      <w:r w:rsidR="004059D6" w:rsidRPr="009E2BBE">
        <w:t>s</w:t>
      </w:r>
      <w:r w:rsidR="00E304DC" w:rsidRPr="009E2BBE">
        <w:t xml:space="preserve"> a</w:t>
      </w:r>
      <w:r w:rsidR="0073488B" w:rsidRPr="009E2BBE">
        <w:t>ssociated with</w:t>
      </w:r>
      <w:r w:rsidR="00E304DC" w:rsidRPr="009E2BBE">
        <w:t xml:space="preserve"> the quality assurance processes undertaken during qualification development and the</w:t>
      </w:r>
      <w:r w:rsidRPr="009E2BBE">
        <w:t xml:space="preserve"> people or groups involved </w:t>
      </w:r>
      <w:r w:rsidR="004059D6" w:rsidRPr="009E2BBE">
        <w:t>are</w:t>
      </w:r>
      <w:r w:rsidR="00EB1DFC" w:rsidRPr="009E2BBE">
        <w:t xml:space="preserve"> </w:t>
      </w:r>
      <w:r w:rsidRPr="009E2BBE">
        <w:t xml:space="preserve">scant for most countries. In Australia, a quality report is </w:t>
      </w:r>
      <w:r w:rsidR="00EB1DFC" w:rsidRPr="009E2BBE">
        <w:t xml:space="preserve">prepared </w:t>
      </w:r>
      <w:r w:rsidRPr="009E2BBE">
        <w:t>by a</w:t>
      </w:r>
      <w:r w:rsidR="00537A0A" w:rsidRPr="009E2BBE">
        <w:t>n independent</w:t>
      </w:r>
      <w:r w:rsidRPr="009E2BBE">
        <w:t xml:space="preserve"> </w:t>
      </w:r>
      <w:r w:rsidR="0073488B" w:rsidRPr="009E2BBE">
        <w:t xml:space="preserve">quality assurance panel </w:t>
      </w:r>
      <w:r w:rsidRPr="009E2BBE">
        <w:t>member</w:t>
      </w:r>
      <w:r w:rsidR="00F97BBA" w:rsidRPr="009E2BBE">
        <w:t>.</w:t>
      </w:r>
    </w:p>
    <w:p w14:paraId="068A56E0" w14:textId="5C9397E4" w:rsidR="00E304DC" w:rsidRPr="009E2BBE" w:rsidRDefault="00F97BBA" w:rsidP="00E304DC">
      <w:pPr>
        <w:pStyle w:val="Text"/>
      </w:pPr>
      <w:r w:rsidRPr="009E2BBE">
        <w:t>I</w:t>
      </w:r>
      <w:r w:rsidR="00B87984" w:rsidRPr="009E2BBE">
        <w:t xml:space="preserve">n Scotland, the </w:t>
      </w:r>
      <w:r w:rsidR="000B485B" w:rsidRPr="009E2BBE">
        <w:t xml:space="preserve">Standard Setting Organisation conducts internal quality assurance. The </w:t>
      </w:r>
      <w:r w:rsidR="00EA3747" w:rsidRPr="009E2BBE">
        <w:t>qualification development process</w:t>
      </w:r>
      <w:r w:rsidR="000B485B" w:rsidRPr="009E2BBE">
        <w:t xml:space="preserve"> in Singapore is supported by a quality assurance framework but no further details were found. In South Africa, the Quality Council for Trades and Occupations appoints a </w:t>
      </w:r>
      <w:r w:rsidR="0073488B" w:rsidRPr="009E2BBE">
        <w:t>development</w:t>
      </w:r>
      <w:r w:rsidR="00194889" w:rsidRPr="009E2BBE">
        <w:t>-</w:t>
      </w:r>
      <w:r w:rsidR="0073488B" w:rsidRPr="009E2BBE">
        <w:t xml:space="preserve">quality partner and </w:t>
      </w:r>
      <w:r w:rsidR="00194889" w:rsidRPr="009E2BBE">
        <w:t xml:space="preserve">an </w:t>
      </w:r>
      <w:r w:rsidR="0073488B" w:rsidRPr="009E2BBE">
        <w:t>assessment</w:t>
      </w:r>
      <w:r w:rsidR="00194889" w:rsidRPr="009E2BBE">
        <w:t>-</w:t>
      </w:r>
      <w:r w:rsidR="0073488B" w:rsidRPr="009E2BBE">
        <w:t>quality partner</w:t>
      </w:r>
      <w:r w:rsidR="000B485B" w:rsidRPr="009E2BBE">
        <w:t xml:space="preserve"> to verify the materials developed by the </w:t>
      </w:r>
      <w:r w:rsidR="00EA3747" w:rsidRPr="009E2BBE">
        <w:t>qualification development</w:t>
      </w:r>
      <w:r w:rsidR="005A58CC" w:rsidRPr="009E2BBE">
        <w:t xml:space="preserve"> </w:t>
      </w:r>
      <w:r w:rsidR="0073488B" w:rsidRPr="009E2BBE">
        <w:t>facilitator</w:t>
      </w:r>
      <w:r w:rsidR="000B485B" w:rsidRPr="009E2BBE">
        <w:t>.</w:t>
      </w:r>
      <w:r w:rsidR="00E833C6" w:rsidRPr="009E2BBE">
        <w:t xml:space="preserve"> In Finland, quality assurance during the development stage was not clear but </w:t>
      </w:r>
      <w:r w:rsidR="0073488B" w:rsidRPr="009E2BBE">
        <w:t xml:space="preserve">working life committees </w:t>
      </w:r>
      <w:r w:rsidR="00E833C6" w:rsidRPr="009E2BBE">
        <w:t xml:space="preserve">(similar to IRCs) and VET providers have </w:t>
      </w:r>
      <w:r w:rsidR="00537A0A" w:rsidRPr="009E2BBE">
        <w:t xml:space="preserve">overall </w:t>
      </w:r>
      <w:r w:rsidR="00E833C6" w:rsidRPr="009E2BBE">
        <w:t>responsibility for the quality of qualifications.</w:t>
      </w:r>
      <w:r w:rsidRPr="009E2BBE">
        <w:t xml:space="preserve"> In New Zealand, the regulator evaluates the quality of applications to list qualifications at levels 1</w:t>
      </w:r>
      <w:r w:rsidR="0073488B" w:rsidRPr="009E2BBE">
        <w:t>—</w:t>
      </w:r>
      <w:r w:rsidRPr="009E2BBE">
        <w:t>6 (New Zealand Qualifications Authority 2016).</w:t>
      </w:r>
    </w:p>
    <w:p w14:paraId="563E31BA" w14:textId="34326833" w:rsidR="006B32AE" w:rsidRPr="009E2BBE" w:rsidRDefault="006B32AE" w:rsidP="006B32AE">
      <w:pPr>
        <w:pStyle w:val="Heading3"/>
      </w:pPr>
      <w:r w:rsidRPr="009E2BBE">
        <w:t xml:space="preserve">Final approval of qualifications and role of regulators </w:t>
      </w:r>
    </w:p>
    <w:p w14:paraId="6D666D18" w14:textId="52407921" w:rsidR="00807A70" w:rsidRPr="009E2BBE" w:rsidRDefault="006B32AE" w:rsidP="006B32AE">
      <w:pPr>
        <w:pStyle w:val="Text"/>
      </w:pPr>
      <w:r w:rsidRPr="009E2BBE">
        <w:t>In most countries examined, regulators have the final approval of the qualifications, for example</w:t>
      </w:r>
      <w:r w:rsidR="005D6605" w:rsidRPr="009E2BBE">
        <w:t>,</w:t>
      </w:r>
      <w:r w:rsidRPr="009E2BBE">
        <w:t xml:space="preserve"> the New Zealand Qualifications Authority, South African Quality Authority, Finnish National Agency for Education and </w:t>
      </w:r>
      <w:r w:rsidR="00140500" w:rsidRPr="009E2BBE">
        <w:t>Scottish Qualifications Authority (</w:t>
      </w:r>
      <w:r w:rsidRPr="009E2BBE">
        <w:t>SQA</w:t>
      </w:r>
      <w:r w:rsidR="00140500" w:rsidRPr="009E2BBE">
        <w:t>)</w:t>
      </w:r>
      <w:r w:rsidRPr="009E2BBE">
        <w:t xml:space="preserve"> Accreditation. </w:t>
      </w:r>
    </w:p>
    <w:p w14:paraId="34427D1C" w14:textId="6979DD88" w:rsidR="006B32AE" w:rsidRPr="009E2BBE" w:rsidRDefault="00EB1DFC" w:rsidP="006B32AE">
      <w:pPr>
        <w:pStyle w:val="Text"/>
      </w:pPr>
      <w:r w:rsidRPr="009E2BBE">
        <w:t>Th</w:t>
      </w:r>
      <w:r w:rsidR="00807A70" w:rsidRPr="009E2BBE">
        <w:t>ese systems</w:t>
      </w:r>
      <w:r w:rsidRPr="009E2BBE">
        <w:t xml:space="preserve"> contrast with</w:t>
      </w:r>
      <w:r w:rsidR="006B32AE" w:rsidRPr="009E2BBE">
        <w:t xml:space="preserve"> Australia</w:t>
      </w:r>
      <w:r w:rsidR="009D2245" w:rsidRPr="009E2BBE">
        <w:t>,</w:t>
      </w:r>
      <w:r w:rsidRPr="009E2BBE">
        <w:t xml:space="preserve"> where the </w:t>
      </w:r>
      <w:r w:rsidR="006B32AE" w:rsidRPr="009E2BBE">
        <w:t xml:space="preserve">Australian Skills Quality Authority, as well as the two state-based regulators </w:t>
      </w:r>
      <w:r w:rsidRPr="009E2BBE">
        <w:t>—</w:t>
      </w:r>
      <w:r w:rsidR="006B32AE" w:rsidRPr="009E2BBE">
        <w:t xml:space="preserve"> </w:t>
      </w:r>
      <w:r w:rsidR="00807A70" w:rsidRPr="009E2BBE">
        <w:t xml:space="preserve">the </w:t>
      </w:r>
      <w:r w:rsidR="006B32AE" w:rsidRPr="009E2BBE">
        <w:t xml:space="preserve">Victorian Registration and Qualifications Authority </w:t>
      </w:r>
      <w:r w:rsidR="005617BC" w:rsidRPr="009E2BBE">
        <w:t xml:space="preserve">(VRQA) </w:t>
      </w:r>
      <w:r w:rsidR="006B32AE" w:rsidRPr="009E2BBE">
        <w:t xml:space="preserve">and the Training Accreditation Council </w:t>
      </w:r>
      <w:r w:rsidR="005617BC" w:rsidRPr="009E2BBE">
        <w:t xml:space="preserve">(TAC) </w:t>
      </w:r>
      <w:r w:rsidR="006B32AE" w:rsidRPr="009E2BBE">
        <w:t xml:space="preserve">in Western Australia </w:t>
      </w:r>
      <w:r w:rsidRPr="009E2BBE">
        <w:t>—</w:t>
      </w:r>
      <w:r w:rsidR="006B32AE" w:rsidRPr="009E2BBE">
        <w:t xml:space="preserve"> have limited involvement in </w:t>
      </w:r>
      <w:r w:rsidRPr="009E2BBE">
        <w:t>training package</w:t>
      </w:r>
      <w:r w:rsidR="00AA1DE7" w:rsidRPr="009E2BBE">
        <w:t>-</w:t>
      </w:r>
      <w:r w:rsidRPr="009E2BBE">
        <w:t xml:space="preserve">development </w:t>
      </w:r>
      <w:r w:rsidR="00F97BBA" w:rsidRPr="009E2BBE">
        <w:t>approvals</w:t>
      </w:r>
      <w:r w:rsidR="006B32AE" w:rsidRPr="009E2BBE">
        <w:t xml:space="preserve">. </w:t>
      </w:r>
      <w:r w:rsidRPr="00110362">
        <w:t>Rather, t</w:t>
      </w:r>
      <w:r w:rsidR="00E304DC" w:rsidRPr="00110362">
        <w:t>he AISC, an industry</w:t>
      </w:r>
      <w:r w:rsidRPr="00110362">
        <w:t>-</w:t>
      </w:r>
      <w:r w:rsidR="00E304DC" w:rsidRPr="00110362">
        <w:t xml:space="preserve">led body, </w:t>
      </w:r>
      <w:r w:rsidR="005070AF" w:rsidRPr="00110362">
        <w:t xml:space="preserve">recommends </w:t>
      </w:r>
      <w:r w:rsidRPr="00110362">
        <w:t xml:space="preserve">training packages </w:t>
      </w:r>
      <w:r w:rsidR="00E304DC" w:rsidRPr="00110362">
        <w:t>for endorsement by the</w:t>
      </w:r>
      <w:r w:rsidR="00984D1F" w:rsidRPr="00110362">
        <w:t xml:space="preserve"> </w:t>
      </w:r>
      <w:r w:rsidR="00F97BBA" w:rsidRPr="00110362">
        <w:t>skills minis</w:t>
      </w:r>
      <w:r w:rsidR="00047444" w:rsidRPr="00110362">
        <w:t>ters</w:t>
      </w:r>
      <w:r w:rsidR="005070AF" w:rsidRPr="00110362">
        <w:t>.</w:t>
      </w:r>
      <w:r w:rsidR="005070AF" w:rsidRPr="009E2BBE">
        <w:t xml:space="preserve"> This process represents a recent policy change</w:t>
      </w:r>
      <w:r w:rsidR="00AA1DE7" w:rsidRPr="009E2BBE">
        <w:t>:</w:t>
      </w:r>
      <w:r w:rsidR="005070AF" w:rsidRPr="009E2BBE">
        <w:t xml:space="preserve"> previously</w:t>
      </w:r>
      <w:r w:rsidR="00AD6CB6" w:rsidRPr="009E2BBE">
        <w:t>,</w:t>
      </w:r>
      <w:r w:rsidR="005070AF" w:rsidRPr="009E2BBE">
        <w:t xml:space="preserve"> training packages were implemented after endorsement by the AISC and later approved by the skill ministers in batches</w:t>
      </w:r>
      <w:r w:rsidR="00E304DC" w:rsidRPr="009E2BBE">
        <w:t>.</w:t>
      </w:r>
      <w:r w:rsidR="00807A70" w:rsidRPr="009E2BBE">
        <w:t xml:space="preserve"> </w:t>
      </w:r>
      <w:r w:rsidR="006B32AE" w:rsidRPr="009E2BBE">
        <w:t>England</w:t>
      </w:r>
      <w:r w:rsidR="00807A70" w:rsidRPr="009E2BBE">
        <w:t xml:space="preserve"> now has a similar process:</w:t>
      </w:r>
      <w:r w:rsidR="006B32AE" w:rsidRPr="009E2BBE">
        <w:t xml:space="preserve"> the approval of higher technical qualifications has recently </w:t>
      </w:r>
      <w:r w:rsidR="00807A70" w:rsidRPr="009E2BBE">
        <w:t>moved from the regulator to sit with an independent, employer-led</w:t>
      </w:r>
      <w:r w:rsidR="00AD6CB6" w:rsidRPr="009E2BBE">
        <w:t>,</w:t>
      </w:r>
      <w:r w:rsidR="00807A70" w:rsidRPr="009E2BBE">
        <w:t xml:space="preserve"> institution</w:t>
      </w:r>
      <w:r w:rsidR="003B62C8" w:rsidRPr="009E2BBE">
        <w:t xml:space="preserve">. </w:t>
      </w:r>
    </w:p>
    <w:p w14:paraId="42A63569" w14:textId="77777777" w:rsidR="00A26DDC" w:rsidRPr="009E2BBE" w:rsidRDefault="00A26DDC">
      <w:pPr>
        <w:spacing w:before="0" w:line="240" w:lineRule="auto"/>
        <w:rPr>
          <w:rFonts w:ascii="Arial" w:hAnsi="Arial" w:cs="Tahoma"/>
          <w:sz w:val="28"/>
        </w:rPr>
      </w:pPr>
      <w:bookmarkStart w:id="26" w:name="_Toc65741350"/>
      <w:r w:rsidRPr="009E2BBE">
        <w:br w:type="page"/>
      </w:r>
    </w:p>
    <w:p w14:paraId="59663FF0" w14:textId="4AC6AB4B" w:rsidR="009A4862" w:rsidRPr="009E2BBE" w:rsidRDefault="009A4862" w:rsidP="009A4862">
      <w:pPr>
        <w:pStyle w:val="Heading2"/>
      </w:pPr>
      <w:r w:rsidRPr="009E2BBE">
        <w:t>Speed</w:t>
      </w:r>
      <w:r w:rsidR="002014C0" w:rsidRPr="009E2BBE">
        <w:t>-</w:t>
      </w:r>
      <w:r w:rsidRPr="009E2BBE">
        <w:t>to</w:t>
      </w:r>
      <w:r w:rsidR="002014C0" w:rsidRPr="009E2BBE">
        <w:t>-</w:t>
      </w:r>
      <w:r w:rsidRPr="009E2BBE">
        <w:t>market</w:t>
      </w:r>
      <w:bookmarkEnd w:id="26"/>
    </w:p>
    <w:p w14:paraId="7CDBA8CC" w14:textId="767CF7C1" w:rsidR="009A4862" w:rsidRPr="009E2BBE" w:rsidRDefault="009A4862" w:rsidP="00723DB9">
      <w:pPr>
        <w:pStyle w:val="Heading3"/>
      </w:pPr>
      <w:r w:rsidRPr="009E2BBE">
        <w:t>Length of development process</w:t>
      </w:r>
    </w:p>
    <w:p w14:paraId="4833AF72" w14:textId="39B0D477" w:rsidR="0046678D" w:rsidRPr="009E2BBE" w:rsidRDefault="00723DB9" w:rsidP="0046678D">
      <w:pPr>
        <w:pStyle w:val="Text"/>
      </w:pPr>
      <w:r w:rsidRPr="009E2BBE">
        <w:t xml:space="preserve">Detailed information regarding the length of the development process </w:t>
      </w:r>
      <w:r w:rsidR="0014784F" w:rsidRPr="009E2BBE">
        <w:t>could only</w:t>
      </w:r>
      <w:r w:rsidRPr="009E2BBE">
        <w:t xml:space="preserve"> be found for Australia. A breakdown of each step in the process indicates that the development process can take anywhere from one to </w:t>
      </w:r>
      <w:r w:rsidR="0014784F" w:rsidRPr="009E2BBE">
        <w:t>four-and-a-half</w:t>
      </w:r>
      <w:r w:rsidRPr="009E2BBE">
        <w:t xml:space="preserve"> years.</w:t>
      </w:r>
      <w:r w:rsidR="009B2E00" w:rsidRPr="009E2BBE">
        <w:t xml:space="preserve"> In Finland, the overall development process tends to take one to two years and in England the new approval process for higher technical qualifications is scheduled to take place over one year.</w:t>
      </w:r>
    </w:p>
    <w:p w14:paraId="70D2AEC9" w14:textId="79639C2C" w:rsidR="009A4862" w:rsidRPr="009E2BBE" w:rsidRDefault="009A4862" w:rsidP="00723DB9">
      <w:pPr>
        <w:pStyle w:val="Heading3"/>
      </w:pPr>
      <w:r w:rsidRPr="009E2BBE">
        <w:t>From approval to delivery</w:t>
      </w:r>
    </w:p>
    <w:p w14:paraId="539E5118" w14:textId="3608085A" w:rsidR="004862A8" w:rsidRPr="009E2BBE" w:rsidRDefault="00807A70" w:rsidP="0046678D">
      <w:pPr>
        <w:pStyle w:val="Text"/>
      </w:pPr>
      <w:r w:rsidRPr="009E2BBE">
        <w:t>I</w:t>
      </w:r>
      <w:r w:rsidR="004862A8" w:rsidRPr="009E2BBE">
        <w:t xml:space="preserve">nformation </w:t>
      </w:r>
      <w:r w:rsidR="00E54992" w:rsidRPr="009E2BBE">
        <w:t>on</w:t>
      </w:r>
      <w:r w:rsidR="004862A8" w:rsidRPr="009E2BBE">
        <w:t xml:space="preserve"> the length of time between qualification approval and </w:t>
      </w:r>
      <w:r w:rsidR="00E54992" w:rsidRPr="009E2BBE">
        <w:t xml:space="preserve">when </w:t>
      </w:r>
      <w:r w:rsidR="005E1587" w:rsidRPr="009E2BBE">
        <w:t xml:space="preserve">the qualification is first delivered </w:t>
      </w:r>
      <w:r w:rsidR="004862A8" w:rsidRPr="009E2BBE">
        <w:t xml:space="preserve">is not available for most countries. In Australia, </w:t>
      </w:r>
      <w:r w:rsidR="00A00BC9" w:rsidRPr="009E2BBE">
        <w:t xml:space="preserve">the transition period is </w:t>
      </w:r>
      <w:r w:rsidR="005E1587" w:rsidRPr="009E2BBE">
        <w:t>purportedly</w:t>
      </w:r>
      <w:r w:rsidR="00A00BC9" w:rsidRPr="009E2BBE">
        <w:t xml:space="preserve"> 12 </w:t>
      </w:r>
      <w:r w:rsidR="008B60FE" w:rsidRPr="009E2BBE">
        <w:t>months,</w:t>
      </w:r>
      <w:r w:rsidR="00A00BC9" w:rsidRPr="009E2BBE">
        <w:t xml:space="preserve"> but </w:t>
      </w:r>
      <w:r w:rsidR="004862A8" w:rsidRPr="009E2BBE">
        <w:t xml:space="preserve">this period </w:t>
      </w:r>
      <w:r w:rsidR="00A00BC9" w:rsidRPr="009E2BBE">
        <w:t>is reported by stakeholders to</w:t>
      </w:r>
      <w:r w:rsidR="004862A8" w:rsidRPr="009E2BBE">
        <w:t xml:space="preserve"> </w:t>
      </w:r>
      <w:r w:rsidRPr="009E2BBE">
        <w:t xml:space="preserve">be </w:t>
      </w:r>
      <w:r w:rsidR="004862A8" w:rsidRPr="009E2BBE">
        <w:t xml:space="preserve">anywhere </w:t>
      </w:r>
      <w:r w:rsidRPr="009E2BBE">
        <w:t xml:space="preserve">from </w:t>
      </w:r>
      <w:r w:rsidR="004862A8" w:rsidRPr="009E2BBE">
        <w:t>one to three years</w:t>
      </w:r>
      <w:r w:rsidR="00A00BC9" w:rsidRPr="009E2BBE">
        <w:t xml:space="preserve"> (</w:t>
      </w:r>
      <w:r w:rsidR="00716C61" w:rsidRPr="009E2BBE">
        <w:t>Fyusion</w:t>
      </w:r>
      <w:r w:rsidR="00A00BC9" w:rsidRPr="009E2BBE">
        <w:t xml:space="preserve"> 2018)</w:t>
      </w:r>
      <w:r w:rsidR="004862A8" w:rsidRPr="009E2BBE">
        <w:t>. The only other country where this information has been reported is England</w:t>
      </w:r>
      <w:r w:rsidRPr="009E2BBE">
        <w:t>,</w:t>
      </w:r>
      <w:r w:rsidR="004862A8" w:rsidRPr="009E2BBE">
        <w:t xml:space="preserve"> where one year</w:t>
      </w:r>
      <w:r w:rsidRPr="009E2BBE">
        <w:t xml:space="preserve"> is allowed</w:t>
      </w:r>
      <w:r w:rsidR="004862A8" w:rsidRPr="009E2BBE">
        <w:t xml:space="preserve"> for providers to organise new materials and start delivering qualifications.</w:t>
      </w:r>
    </w:p>
    <w:p w14:paraId="0C2C11C6" w14:textId="2CC83CC7" w:rsidR="0046678D" w:rsidRPr="009E2BBE" w:rsidRDefault="009A4862" w:rsidP="00EA08CD">
      <w:pPr>
        <w:pStyle w:val="Heading2"/>
      </w:pPr>
      <w:bookmarkStart w:id="27" w:name="_Toc65741351"/>
      <w:r w:rsidRPr="009E2BBE">
        <w:t>Other ways to address emerging skill needs</w:t>
      </w:r>
      <w:bookmarkEnd w:id="27"/>
      <w:r w:rsidRPr="009E2BBE">
        <w:t xml:space="preserve"> </w:t>
      </w:r>
    </w:p>
    <w:p w14:paraId="35DB077F" w14:textId="4C06149B" w:rsidR="008B60FE" w:rsidRPr="009E2BBE" w:rsidRDefault="00807A70" w:rsidP="00EA08CD">
      <w:pPr>
        <w:pStyle w:val="Text"/>
      </w:pPr>
      <w:r w:rsidRPr="009E2BBE">
        <w:t>The Fyusion (2018) report found</w:t>
      </w:r>
      <w:r w:rsidR="00EA08CD" w:rsidRPr="009E2BBE">
        <w:t xml:space="preserve"> that </w:t>
      </w:r>
      <w:r w:rsidR="0075638E" w:rsidRPr="009E2BBE">
        <w:t xml:space="preserve">in Australia </w:t>
      </w:r>
      <w:r w:rsidR="00EA08CD" w:rsidRPr="009E2BBE">
        <w:t xml:space="preserve">it can take anywhere between two years and </w:t>
      </w:r>
      <w:r w:rsidR="00A06F97" w:rsidRPr="009E2BBE">
        <w:t>seven-and-a-half</w:t>
      </w:r>
      <w:r w:rsidR="00EA08CD" w:rsidRPr="009E2BBE">
        <w:t xml:space="preserve"> years for a qualification to be developed and </w:t>
      </w:r>
      <w:r w:rsidR="00C331F2" w:rsidRPr="009E2BBE">
        <w:t>for delivery to begin</w:t>
      </w:r>
      <w:r w:rsidR="00EA08CD" w:rsidRPr="009E2BBE">
        <w:t>. During this time, it is possible that labour market skill</w:t>
      </w:r>
      <w:r w:rsidRPr="009E2BBE">
        <w:t>s</w:t>
      </w:r>
      <w:r w:rsidR="00EA08CD" w:rsidRPr="009E2BBE">
        <w:t xml:space="preserve"> needs </w:t>
      </w:r>
      <w:r w:rsidR="00A06F97" w:rsidRPr="009E2BBE">
        <w:t xml:space="preserve">may </w:t>
      </w:r>
      <w:r w:rsidR="00EA08CD" w:rsidRPr="009E2BBE">
        <w:t>have changed.</w:t>
      </w:r>
      <w:r w:rsidR="0087781F" w:rsidRPr="009E2BBE">
        <w:t xml:space="preserve"> Other training products, such as</w:t>
      </w:r>
      <w:r w:rsidR="00971D32" w:rsidRPr="009E2BBE">
        <w:t xml:space="preserve"> </w:t>
      </w:r>
      <w:r w:rsidR="0087781F" w:rsidRPr="009E2BBE">
        <w:t>a</w:t>
      </w:r>
      <w:r w:rsidR="00971D32" w:rsidRPr="009E2BBE">
        <w:t xml:space="preserve">ccredited courses and skill sets, </w:t>
      </w:r>
      <w:r w:rsidRPr="009E2BBE">
        <w:t>offer an avenue</w:t>
      </w:r>
      <w:r w:rsidR="00971D32" w:rsidRPr="009E2BBE">
        <w:t xml:space="preserve"> </w:t>
      </w:r>
      <w:r w:rsidR="00A06F97" w:rsidRPr="009E2BBE">
        <w:t>for</w:t>
      </w:r>
      <w:r w:rsidR="00971D32" w:rsidRPr="009E2BBE">
        <w:t xml:space="preserve"> meet</w:t>
      </w:r>
      <w:r w:rsidR="00A06F97" w:rsidRPr="009E2BBE">
        <w:t>ing</w:t>
      </w:r>
      <w:r w:rsidR="00971D32" w:rsidRPr="009E2BBE">
        <w:t xml:space="preserve"> the needs of industry more quickly.</w:t>
      </w:r>
    </w:p>
    <w:p w14:paraId="18D0687A" w14:textId="78E8A453" w:rsidR="00EA08CD" w:rsidRPr="009E2BBE" w:rsidRDefault="0087781F" w:rsidP="00EA08CD">
      <w:pPr>
        <w:pStyle w:val="Text"/>
      </w:pPr>
      <w:r w:rsidRPr="009E2BBE">
        <w:t>Accredited courses sit alongside training packages in the Australian training system</w:t>
      </w:r>
      <w:r w:rsidR="008B60FE" w:rsidRPr="009E2BBE">
        <w:t xml:space="preserve"> and must be approved by ASQA</w:t>
      </w:r>
      <w:r w:rsidR="00804A51" w:rsidRPr="009E2BBE">
        <w:t xml:space="preserve">, VRQA or </w:t>
      </w:r>
      <w:r w:rsidR="00372BCA" w:rsidRPr="009E2BBE">
        <w:t>TAC</w:t>
      </w:r>
      <w:r w:rsidR="008B60FE" w:rsidRPr="009E2BBE">
        <w:t xml:space="preserve"> before they can be delivered</w:t>
      </w:r>
      <w:r w:rsidR="00C10B80" w:rsidRPr="009E2BBE">
        <w:t>; they</w:t>
      </w:r>
      <w:r w:rsidR="00804A51" w:rsidRPr="009E2BBE">
        <w:t xml:space="preserve"> are mutually recognisable</w:t>
      </w:r>
      <w:r w:rsidR="008B60FE" w:rsidRPr="009E2BBE">
        <w:t>. Whil</w:t>
      </w:r>
      <w:r w:rsidR="00372BCA" w:rsidRPr="009E2BBE">
        <w:t>e</w:t>
      </w:r>
      <w:r w:rsidR="008B60FE" w:rsidRPr="009E2BBE">
        <w:t xml:space="preserve"> these courses can be developed by anyone, they can only be delivered by RTOs and must meet the Standards for VET Accredited Courses 2012</w:t>
      </w:r>
      <w:r w:rsidR="008B60FE" w:rsidRPr="009E2BBE">
        <w:rPr>
          <w:i/>
          <w:iCs/>
        </w:rPr>
        <w:t xml:space="preserve"> </w:t>
      </w:r>
      <w:r w:rsidR="008B60FE" w:rsidRPr="009E2BBE">
        <w:t>(ASQA 2020)</w:t>
      </w:r>
      <w:r w:rsidR="008B60FE" w:rsidRPr="009E2BBE">
        <w:rPr>
          <w:i/>
          <w:iCs/>
        </w:rPr>
        <w:t>.</w:t>
      </w:r>
      <w:r w:rsidR="008B60FE" w:rsidRPr="009E2BBE">
        <w:t xml:space="preserve"> </w:t>
      </w:r>
      <w:r w:rsidR="00971D32" w:rsidRPr="009E2BBE">
        <w:t>According to the ASQA website, the development of accredited courses must follow these steps:</w:t>
      </w:r>
    </w:p>
    <w:p w14:paraId="249CF15B" w14:textId="041C81A1" w:rsidR="00976850" w:rsidRPr="009E2BBE" w:rsidRDefault="00976850" w:rsidP="00976850">
      <w:pPr>
        <w:pStyle w:val="Dotpoint10"/>
      </w:pPr>
      <w:r w:rsidRPr="009E2BBE">
        <w:t>VET course concept</w:t>
      </w:r>
      <w:r w:rsidR="00EE4222" w:rsidRPr="009E2BBE">
        <w:t>:</w:t>
      </w:r>
    </w:p>
    <w:p w14:paraId="3D65C504" w14:textId="6E82830E" w:rsidR="00976850" w:rsidRPr="009E2BBE" w:rsidRDefault="00976850" w:rsidP="00976850">
      <w:pPr>
        <w:pStyle w:val="Dotpoint2"/>
      </w:pPr>
      <w:r w:rsidRPr="009E2BBE">
        <w:t>An outline of the course concept, including evidence of industry need and support for the course</w:t>
      </w:r>
      <w:r w:rsidR="00F22335" w:rsidRPr="009E2BBE">
        <w:t>,</w:t>
      </w:r>
      <w:r w:rsidRPr="009E2BBE">
        <w:t xml:space="preserve"> as well as identif</w:t>
      </w:r>
      <w:r w:rsidR="00B221C2" w:rsidRPr="009E2BBE">
        <w:t>ic</w:t>
      </w:r>
      <w:r w:rsidR="00F22335" w:rsidRPr="009E2BBE">
        <w:t>ation of</w:t>
      </w:r>
      <w:r w:rsidRPr="009E2BBE">
        <w:t xml:space="preserve"> appropriate stakeholders for consultation during development</w:t>
      </w:r>
      <w:r w:rsidR="00B221C2" w:rsidRPr="009E2BBE">
        <w:t>,</w:t>
      </w:r>
      <w:r w:rsidRPr="009E2BBE">
        <w:t xml:space="preserve"> must be submitted for approval to ASQA. Once approved, the developer can move on</w:t>
      </w:r>
      <w:r w:rsidR="00253AFA" w:rsidRPr="009E2BBE">
        <w:t xml:space="preserve"> </w:t>
      </w:r>
      <w:r w:rsidRPr="009E2BBE">
        <w:t>to developing the course.</w:t>
      </w:r>
    </w:p>
    <w:p w14:paraId="3DA262BC" w14:textId="7BB5AF8C" w:rsidR="00976850" w:rsidRPr="009E2BBE" w:rsidRDefault="00976850" w:rsidP="00976850">
      <w:pPr>
        <w:pStyle w:val="Dotpoint10"/>
      </w:pPr>
      <w:r w:rsidRPr="009E2BBE">
        <w:t>Course development:</w:t>
      </w:r>
    </w:p>
    <w:p w14:paraId="60C03A73" w14:textId="7F178B12" w:rsidR="00971D32" w:rsidRPr="009E2BBE" w:rsidRDefault="00072149" w:rsidP="00976850">
      <w:pPr>
        <w:pStyle w:val="Dotpoint2"/>
      </w:pPr>
      <w:r w:rsidRPr="009E2BBE">
        <w:t>c</w:t>
      </w:r>
      <w:r w:rsidR="00971D32" w:rsidRPr="009E2BBE">
        <w:t>heck</w:t>
      </w:r>
      <w:r w:rsidR="00976850" w:rsidRPr="009E2BBE">
        <w:t>ing</w:t>
      </w:r>
      <w:r w:rsidR="00971D32" w:rsidRPr="009E2BBE">
        <w:t xml:space="preserve"> for duplication with </w:t>
      </w:r>
      <w:r w:rsidRPr="009E2BBE">
        <w:t xml:space="preserve">training package </w:t>
      </w:r>
      <w:r w:rsidR="00971D32" w:rsidRPr="009E2BBE">
        <w:t>products</w:t>
      </w:r>
    </w:p>
    <w:p w14:paraId="7485D21F" w14:textId="453F3856" w:rsidR="00971D32" w:rsidRPr="009E2BBE" w:rsidRDefault="00072149" w:rsidP="00976850">
      <w:pPr>
        <w:pStyle w:val="Dotpoint2"/>
      </w:pPr>
      <w:r w:rsidRPr="009E2BBE">
        <w:t>r</w:t>
      </w:r>
      <w:r w:rsidR="00971D32" w:rsidRPr="009E2BBE">
        <w:t>eview</w:t>
      </w:r>
      <w:r w:rsidR="00976850" w:rsidRPr="009E2BBE">
        <w:t>ing</w:t>
      </w:r>
      <w:r w:rsidR="00971D32" w:rsidRPr="009E2BBE">
        <w:t xml:space="preserve"> current accreditation requirements</w:t>
      </w:r>
    </w:p>
    <w:p w14:paraId="3CC92DE8" w14:textId="25610C64" w:rsidR="00971D32" w:rsidRPr="009E2BBE" w:rsidRDefault="00072149" w:rsidP="00976850">
      <w:pPr>
        <w:pStyle w:val="Dotpoint2"/>
      </w:pPr>
      <w:r w:rsidRPr="009E2BBE">
        <w:t>c</w:t>
      </w:r>
      <w:r w:rsidR="00971D32" w:rsidRPr="009E2BBE">
        <w:t>onduct</w:t>
      </w:r>
      <w:r w:rsidR="00976850" w:rsidRPr="009E2BBE">
        <w:t>ing</w:t>
      </w:r>
      <w:r w:rsidR="00971D32" w:rsidRPr="009E2BBE">
        <w:t xml:space="preserve"> industry consultation</w:t>
      </w:r>
    </w:p>
    <w:p w14:paraId="22623DA2" w14:textId="6AE0210D" w:rsidR="00971D32" w:rsidRPr="009E2BBE" w:rsidRDefault="00072149" w:rsidP="00976850">
      <w:pPr>
        <w:pStyle w:val="Dotpoint2"/>
      </w:pPr>
      <w:r w:rsidRPr="009E2BBE">
        <w:t>u</w:t>
      </w:r>
      <w:r w:rsidR="00971D32" w:rsidRPr="009E2BBE">
        <w:t>s</w:t>
      </w:r>
      <w:r w:rsidR="00976850" w:rsidRPr="009E2BBE">
        <w:t>ing</w:t>
      </w:r>
      <w:r w:rsidR="00971D32" w:rsidRPr="009E2BBE">
        <w:t xml:space="preserve"> ASQA</w:t>
      </w:r>
      <w:r w:rsidR="00A26B8A" w:rsidRPr="009E2BBE">
        <w:t>’</w:t>
      </w:r>
      <w:r w:rsidR="00971D32" w:rsidRPr="009E2BBE">
        <w:t xml:space="preserve">s </w:t>
      </w:r>
      <w:r w:rsidR="00B221C2" w:rsidRPr="009E2BBE">
        <w:t xml:space="preserve">accredited course document </w:t>
      </w:r>
      <w:r w:rsidR="00971D32" w:rsidRPr="009E2BBE">
        <w:t>template</w:t>
      </w:r>
    </w:p>
    <w:p w14:paraId="7DCB200F" w14:textId="0761A00D" w:rsidR="00971D32" w:rsidRPr="009E2BBE" w:rsidRDefault="00072149" w:rsidP="00976850">
      <w:pPr>
        <w:pStyle w:val="Dotpoint2"/>
      </w:pPr>
      <w:r w:rsidRPr="009E2BBE">
        <w:t>u</w:t>
      </w:r>
      <w:r w:rsidR="00971D32" w:rsidRPr="009E2BBE">
        <w:t>s</w:t>
      </w:r>
      <w:r w:rsidR="00976850" w:rsidRPr="009E2BBE">
        <w:t>ing</w:t>
      </w:r>
      <w:r w:rsidR="00971D32" w:rsidRPr="009E2BBE">
        <w:t xml:space="preserve"> </w:t>
      </w:r>
      <w:r w:rsidRPr="009E2BBE">
        <w:t xml:space="preserve">training package </w:t>
      </w:r>
      <w:r w:rsidR="00971D32" w:rsidRPr="009E2BBE">
        <w:t>units in the course</w:t>
      </w:r>
    </w:p>
    <w:p w14:paraId="5D2F181E" w14:textId="4745B57D" w:rsidR="00EC103A" w:rsidRPr="009E2BBE" w:rsidRDefault="00072149" w:rsidP="00976850">
      <w:pPr>
        <w:pStyle w:val="Dotpoint2"/>
      </w:pPr>
      <w:r w:rsidRPr="009E2BBE">
        <w:t>r</w:t>
      </w:r>
      <w:r w:rsidR="00EC103A" w:rsidRPr="009E2BBE">
        <w:t>eview</w:t>
      </w:r>
      <w:r w:rsidR="00976850" w:rsidRPr="009E2BBE">
        <w:t>ing</w:t>
      </w:r>
      <w:r w:rsidR="00EC103A" w:rsidRPr="009E2BBE">
        <w:t xml:space="preserve"> policy documents on developing units of competency</w:t>
      </w:r>
    </w:p>
    <w:p w14:paraId="7AADD838" w14:textId="2B35AF04" w:rsidR="00EC103A" w:rsidRPr="009E2BBE" w:rsidRDefault="00072149" w:rsidP="00BC230F">
      <w:pPr>
        <w:pStyle w:val="Dotpoint2"/>
      </w:pPr>
      <w:r w:rsidRPr="009E2BBE">
        <w:t>l</w:t>
      </w:r>
      <w:r w:rsidR="00EC103A" w:rsidRPr="009E2BBE">
        <w:t>odg</w:t>
      </w:r>
      <w:r w:rsidR="00976850" w:rsidRPr="009E2BBE">
        <w:t>ing</w:t>
      </w:r>
      <w:r w:rsidR="00EC103A" w:rsidRPr="009E2BBE">
        <w:t xml:space="preserve"> a complete application (ASQA 2019)</w:t>
      </w:r>
      <w:r w:rsidR="00C215C7" w:rsidRPr="009E2BBE">
        <w:t>.</w:t>
      </w:r>
    </w:p>
    <w:p w14:paraId="48338922" w14:textId="77777777" w:rsidR="00A26DDC" w:rsidRPr="009E2BBE" w:rsidRDefault="00A26DDC">
      <w:pPr>
        <w:spacing w:before="0" w:line="240" w:lineRule="auto"/>
      </w:pPr>
      <w:r w:rsidRPr="009E2BBE">
        <w:br w:type="page"/>
      </w:r>
    </w:p>
    <w:p w14:paraId="287704E2" w14:textId="7D5BDCD3" w:rsidR="00971D32" w:rsidRPr="009E2BBE" w:rsidRDefault="00976850" w:rsidP="00971D32">
      <w:pPr>
        <w:pStyle w:val="Text"/>
      </w:pPr>
      <w:r w:rsidRPr="009E2BBE">
        <w:t>Once a VET course concept has been approved by ASQA, a developer has 12 months to develop the course and submit it for approval to ASQA.</w:t>
      </w:r>
      <w:r w:rsidR="006A2F83" w:rsidRPr="009E2BBE">
        <w:t xml:space="preserve"> The course may then be accredited within four to six months</w:t>
      </w:r>
      <w:r w:rsidR="00C215C7" w:rsidRPr="009E2BBE">
        <w:t>,</w:t>
      </w:r>
      <w:r w:rsidR="006A2F83" w:rsidRPr="009E2BBE">
        <w:t xml:space="preserve"> depending on the quality of the submission</w:t>
      </w:r>
      <w:r w:rsidR="00537A0A" w:rsidRPr="009E2BBE">
        <w:t xml:space="preserve"> (ASQA 2019)</w:t>
      </w:r>
      <w:r w:rsidR="006A2F83" w:rsidRPr="009E2BBE">
        <w:t xml:space="preserve">. The overall process is shorter than for </w:t>
      </w:r>
      <w:r w:rsidR="003019CC" w:rsidRPr="009E2BBE">
        <w:t>training packages</w:t>
      </w:r>
      <w:r w:rsidR="006A2F83" w:rsidRPr="009E2BBE">
        <w:t xml:space="preserve">, meaning </w:t>
      </w:r>
      <w:r w:rsidR="008046DD" w:rsidRPr="009E2BBE">
        <w:t>an accredited course can be in the field more quickly.</w:t>
      </w:r>
      <w:r w:rsidR="003F6836" w:rsidRPr="009E2BBE">
        <w:t xml:space="preserve"> This could be due to the development of the courses being internally motivated (</w:t>
      </w:r>
      <w:r w:rsidR="00C215C7" w:rsidRPr="009E2BBE">
        <w:t>that is,</w:t>
      </w:r>
      <w:r w:rsidR="003F6836" w:rsidRPr="009E2BBE">
        <w:t xml:space="preserve"> RTOs developing </w:t>
      </w:r>
      <w:r w:rsidR="00C215C7" w:rsidRPr="009E2BBE">
        <w:t xml:space="preserve">a </w:t>
      </w:r>
      <w:r w:rsidR="003F6836" w:rsidRPr="009E2BBE">
        <w:t>specific course for industry group)</w:t>
      </w:r>
      <w:r w:rsidR="007B5806" w:rsidRPr="009E2BBE">
        <w:t>;</w:t>
      </w:r>
      <w:r w:rsidR="003F6836" w:rsidRPr="009E2BBE">
        <w:t xml:space="preserve"> the use of existing units of competency</w:t>
      </w:r>
      <w:r w:rsidR="007B5806" w:rsidRPr="009E2BBE">
        <w:t>;</w:t>
      </w:r>
      <w:r w:rsidR="003F6836" w:rsidRPr="009E2BBE">
        <w:t xml:space="preserve"> smaller stakeholder groups involved</w:t>
      </w:r>
      <w:r w:rsidR="007B5806" w:rsidRPr="009E2BBE">
        <w:t>;</w:t>
      </w:r>
      <w:r w:rsidR="003F6836" w:rsidRPr="009E2BBE">
        <w:t xml:space="preserve"> and the final course being approved by the regulator and not government or industry-led bodies.</w:t>
      </w:r>
    </w:p>
    <w:p w14:paraId="4545A112" w14:textId="1A89B598" w:rsidR="00140500" w:rsidRPr="009E2BBE" w:rsidRDefault="00140500" w:rsidP="00971D32">
      <w:pPr>
        <w:pStyle w:val="Text"/>
      </w:pPr>
      <w:r w:rsidRPr="009E2BBE">
        <w:t xml:space="preserve">Scotland has a </w:t>
      </w:r>
      <w:r w:rsidR="00253AFA" w:rsidRPr="009E2BBE">
        <w:t xml:space="preserve">process </w:t>
      </w:r>
      <w:r w:rsidRPr="009E2BBE">
        <w:t xml:space="preserve">similar </w:t>
      </w:r>
      <w:r w:rsidR="00253AFA" w:rsidRPr="009E2BBE">
        <w:t xml:space="preserve">to the accredited course process in Australia. </w:t>
      </w:r>
      <w:r w:rsidR="00C215C7" w:rsidRPr="009E2BBE">
        <w:t>If there are no current qualification products that meet their needs, a</w:t>
      </w:r>
      <w:r w:rsidRPr="009E2BBE">
        <w:t xml:space="preserve">warding bodies, like VET providers, can develop their own qualifications and have them approved for delivery by SQA Accreditation. </w:t>
      </w:r>
    </w:p>
    <w:p w14:paraId="2702034E" w14:textId="58C619BE" w:rsidR="008B60FE" w:rsidRPr="009E2BBE" w:rsidRDefault="008B60FE" w:rsidP="00971D32">
      <w:pPr>
        <w:pStyle w:val="Text"/>
      </w:pPr>
      <w:r w:rsidRPr="009E2BBE">
        <w:t xml:space="preserve">On the other hand, skill </w:t>
      </w:r>
      <w:proofErr w:type="gramStart"/>
      <w:r w:rsidRPr="009E2BBE">
        <w:t>sets</w:t>
      </w:r>
      <w:proofErr w:type="gramEnd"/>
      <w:r w:rsidRPr="009E2BBE">
        <w:t xml:space="preserve"> or micro-credentials are short courses that </w:t>
      </w:r>
      <w:r w:rsidR="003B62C8" w:rsidRPr="009E2BBE">
        <w:t>might</w:t>
      </w:r>
      <w:r w:rsidRPr="009E2BBE">
        <w:t xml:space="preserve"> be used to </w:t>
      </w:r>
      <w:r w:rsidR="003B62C8" w:rsidRPr="009E2BBE">
        <w:t>meet urgent or emerging skills needs within the nationally accredited</w:t>
      </w:r>
      <w:r w:rsidRPr="009E2BBE">
        <w:t xml:space="preserve"> training system. </w:t>
      </w:r>
      <w:r w:rsidR="003B62C8" w:rsidRPr="009E2BBE">
        <w:t xml:space="preserve">Skill sets are short courses comprising accredited units of competency. Training package skill sets are identified by IRCs and nationally recognised, but any accredited units can be combined and delivered by RTOs to meet an industry need. All units of competency have </w:t>
      </w:r>
      <w:r w:rsidR="008445C7" w:rsidRPr="009E2BBE">
        <w:t>undergone a</w:t>
      </w:r>
      <w:r w:rsidR="003B62C8" w:rsidRPr="009E2BBE">
        <w:t xml:space="preserve"> rigorous development and approval processes as part of qualifications and </w:t>
      </w:r>
      <w:r w:rsidR="00377698" w:rsidRPr="009E2BBE">
        <w:t>offer</w:t>
      </w:r>
      <w:r w:rsidR="003B62C8" w:rsidRPr="009E2BBE">
        <w:t xml:space="preserve"> a quality-assured method of addressing specific skills needs quickly. Unpublished NCVER analysis indicates that a large volume of non-nationally recognised skill sets</w:t>
      </w:r>
      <w:r w:rsidR="00377698" w:rsidRPr="009E2BBE">
        <w:t xml:space="preserve"> already exists</w:t>
      </w:r>
      <w:r w:rsidR="003B62C8" w:rsidRPr="009E2BBE">
        <w:t xml:space="preserve">, </w:t>
      </w:r>
      <w:r w:rsidR="00D24EBB" w:rsidRPr="009E2BBE">
        <w:t xml:space="preserve">these </w:t>
      </w:r>
      <w:r w:rsidR="003B62C8" w:rsidRPr="009E2BBE">
        <w:t xml:space="preserve">most often </w:t>
      </w:r>
      <w:r w:rsidR="00D24EBB" w:rsidRPr="009E2BBE">
        <w:t xml:space="preserve">being </w:t>
      </w:r>
      <w:r w:rsidR="003B62C8" w:rsidRPr="009E2BBE">
        <w:t>used to meet regulatory or licensing needs. In some cases, such ad hoc skill sets may fill emerging skills needs while a qualification is being updated.</w:t>
      </w:r>
    </w:p>
    <w:p w14:paraId="73A374A0" w14:textId="0A1801B5" w:rsidR="008046DD" w:rsidRPr="009E2BBE" w:rsidRDefault="008046DD" w:rsidP="00971D32">
      <w:pPr>
        <w:pStyle w:val="Text"/>
      </w:pPr>
      <w:r w:rsidRPr="009E2BBE">
        <w:t>Whil</w:t>
      </w:r>
      <w:r w:rsidR="000E2F48" w:rsidRPr="009E2BBE">
        <w:t>e</w:t>
      </w:r>
      <w:r w:rsidRPr="009E2BBE">
        <w:t xml:space="preserve"> not examined during this project, previous work </w:t>
      </w:r>
      <w:r w:rsidR="000E2F48" w:rsidRPr="009E2BBE">
        <w:t>relating to</w:t>
      </w:r>
      <w:r w:rsidRPr="009E2BBE">
        <w:t xml:space="preserve"> rationalising qualifications highlighted the use of optional modules in the Netherlands to </w:t>
      </w:r>
      <w:r w:rsidR="00FF1CBC" w:rsidRPr="009E2BBE">
        <w:t xml:space="preserve">enable a quick response </w:t>
      </w:r>
      <w:r w:rsidRPr="009E2BBE">
        <w:t>to emerging skill needs or regional needs (Wibrow &amp; Waugh 2020).</w:t>
      </w:r>
      <w:r w:rsidR="00140500" w:rsidRPr="009E2BBE">
        <w:t xml:space="preserve"> These modules are developed jointly by</w:t>
      </w:r>
      <w:r w:rsidR="00C56EEB" w:rsidRPr="009E2BBE">
        <w:t xml:space="preserve"> companies and educational institutions and </w:t>
      </w:r>
      <w:r w:rsidR="004B7DC6" w:rsidRPr="009E2BBE">
        <w:t>can</w:t>
      </w:r>
      <w:r w:rsidR="00C56EEB" w:rsidRPr="009E2BBE">
        <w:t xml:space="preserve"> be revised every three months and delivered to students </w:t>
      </w:r>
      <w:r w:rsidR="00807A70" w:rsidRPr="009E2BBE">
        <w:t>immediately</w:t>
      </w:r>
      <w:r w:rsidR="00C56EEB" w:rsidRPr="009E2BBE">
        <w:t>.</w:t>
      </w:r>
      <w:r w:rsidR="004B7DC6" w:rsidRPr="009E2BBE">
        <w:t xml:space="preserve"> Finland also has a modular approach to vocational education</w:t>
      </w:r>
      <w:r w:rsidR="000E2F48" w:rsidRPr="009E2BBE">
        <w:t>,</w:t>
      </w:r>
      <w:r w:rsidR="004B7DC6" w:rsidRPr="009E2BBE">
        <w:t xml:space="preserve"> with 3200 modules available for their 164 qualifications. Learners are also able to combine different parts of qualifications to suit their individual needs (Wibrow &amp; Waugh 2020).</w:t>
      </w:r>
      <w:r w:rsidR="00253AFA" w:rsidRPr="009E2BBE">
        <w:t xml:space="preserve"> </w:t>
      </w:r>
    </w:p>
    <w:p w14:paraId="243FE3D7" w14:textId="7CC4277E" w:rsidR="000A478F" w:rsidRPr="009E2BBE" w:rsidRDefault="000A478F" w:rsidP="008A08D8">
      <w:pPr>
        <w:pStyle w:val="Dotpoint10"/>
      </w:pPr>
      <w:r w:rsidRPr="009E2BBE">
        <w:br w:type="page"/>
      </w:r>
    </w:p>
    <w:p w14:paraId="5328E94C" w14:textId="591C0D87" w:rsidR="002D5112" w:rsidRPr="009E2BBE" w:rsidRDefault="002D5112" w:rsidP="002D5112">
      <w:pPr>
        <w:pStyle w:val="Heading1"/>
      </w:pPr>
      <w:bookmarkStart w:id="28" w:name="_Toc65741352"/>
      <w:r w:rsidRPr="009E2BBE">
        <w:t>Australia</w:t>
      </w:r>
      <w:bookmarkEnd w:id="28"/>
    </w:p>
    <w:p w14:paraId="49D71851" w14:textId="5BFC06CC" w:rsidR="002536DE" w:rsidRPr="009E2BBE" w:rsidRDefault="002536DE" w:rsidP="002536DE">
      <w:pPr>
        <w:pStyle w:val="Heading2"/>
      </w:pPr>
      <w:bookmarkStart w:id="29" w:name="_Toc65741353"/>
      <w:r w:rsidRPr="009E2BBE">
        <w:t>Overview</w:t>
      </w:r>
      <w:bookmarkEnd w:id="29"/>
    </w:p>
    <w:p w14:paraId="39F05C65" w14:textId="6802B1AB" w:rsidR="00BF574A" w:rsidRPr="009E2BBE" w:rsidRDefault="007F51CC" w:rsidP="002536DE">
      <w:pPr>
        <w:pStyle w:val="Text"/>
      </w:pPr>
      <w:r w:rsidRPr="009E2BBE">
        <w:t>As mentioned earlier, this project focuses on the training package</w:t>
      </w:r>
      <w:r w:rsidR="0077703A" w:rsidRPr="009E2BBE">
        <w:t>-</w:t>
      </w:r>
      <w:r w:rsidRPr="009E2BBE">
        <w:t>development process in Australia and not on accredited courses</w:t>
      </w:r>
      <w:r w:rsidR="005F0483" w:rsidRPr="009E2BBE">
        <w:t>. The organising framework for training packages consists of the following policy documents:</w:t>
      </w:r>
    </w:p>
    <w:p w14:paraId="7D02338F" w14:textId="3DA5CCAD" w:rsidR="005F0483" w:rsidRPr="009E2BBE" w:rsidRDefault="00F773D7" w:rsidP="005F0483">
      <w:pPr>
        <w:pStyle w:val="Dotpoint10"/>
      </w:pPr>
      <w:r w:rsidRPr="009E2BBE">
        <w:t>t</w:t>
      </w:r>
      <w:r w:rsidR="005F0483" w:rsidRPr="009E2BBE">
        <w:t>he Standards for Training Packages 2012</w:t>
      </w:r>
    </w:p>
    <w:p w14:paraId="5880E38B" w14:textId="3A08E707" w:rsidR="005F0483" w:rsidRPr="009E2BBE" w:rsidRDefault="00F773D7" w:rsidP="005F0483">
      <w:pPr>
        <w:pStyle w:val="Dotpoint10"/>
      </w:pPr>
      <w:r w:rsidRPr="009E2BBE">
        <w:t>t</w:t>
      </w:r>
      <w:r w:rsidR="005F0483" w:rsidRPr="009E2BBE">
        <w:t>he Training Package Products Policy</w:t>
      </w:r>
    </w:p>
    <w:p w14:paraId="63A6293B" w14:textId="7A75BE0C" w:rsidR="005F0483" w:rsidRPr="009E2BBE" w:rsidRDefault="00F773D7" w:rsidP="005F0483">
      <w:pPr>
        <w:pStyle w:val="Dotpoint10"/>
      </w:pPr>
      <w:r w:rsidRPr="009E2BBE">
        <w:t>t</w:t>
      </w:r>
      <w:r w:rsidR="005F0483" w:rsidRPr="009E2BBE">
        <w:t>he Training Package Development and Endorsement Process Policy</w:t>
      </w:r>
    </w:p>
    <w:p w14:paraId="6591F779" w14:textId="33C43C9C" w:rsidR="005F0483" w:rsidRPr="009E2BBE" w:rsidRDefault="00F773D7" w:rsidP="005F0483">
      <w:pPr>
        <w:pStyle w:val="Dotpoint10"/>
      </w:pPr>
      <w:r w:rsidRPr="009E2BBE">
        <w:t>t</w:t>
      </w:r>
      <w:r w:rsidR="005F0483" w:rsidRPr="009E2BBE">
        <w:t>he Training Product Development Program Guidelines (</w:t>
      </w:r>
      <w:r w:rsidR="0069253F" w:rsidRPr="009E2BBE">
        <w:t>Australian Department of Education</w:t>
      </w:r>
      <w:r w:rsidR="009C3F68" w:rsidRPr="009E2BBE">
        <w:t>,</w:t>
      </w:r>
      <w:r w:rsidR="0069253F" w:rsidRPr="009E2BBE">
        <w:t xml:space="preserve"> Skills and Employment</w:t>
      </w:r>
      <w:r w:rsidR="005F0483" w:rsidRPr="009E2BBE">
        <w:t xml:space="preserve"> 2020).</w:t>
      </w:r>
    </w:p>
    <w:p w14:paraId="725700BB" w14:textId="0A55F14F" w:rsidR="002536DE" w:rsidRPr="009E2BBE" w:rsidRDefault="002536DE" w:rsidP="002536DE">
      <w:pPr>
        <w:pStyle w:val="Text"/>
      </w:pPr>
      <w:r w:rsidRPr="009E2BBE">
        <w:t>The current training package</w:t>
      </w:r>
      <w:r w:rsidR="0018623F" w:rsidRPr="009E2BBE">
        <w:t>-</w:t>
      </w:r>
      <w:r w:rsidRPr="009E2BBE">
        <w:t xml:space="preserve">development process in Australia </w:t>
      </w:r>
      <w:r w:rsidR="0018623F" w:rsidRPr="009E2BBE">
        <w:t>is</w:t>
      </w:r>
      <w:r w:rsidRPr="009E2BBE">
        <w:t xml:space="preserve"> well documented in the Fyusion </w:t>
      </w:r>
      <w:r w:rsidR="0018623F" w:rsidRPr="009E2BBE">
        <w:t>(</w:t>
      </w:r>
      <w:r w:rsidRPr="009E2BBE">
        <w:t>2018</w:t>
      </w:r>
      <w:r w:rsidR="0018623F" w:rsidRPr="009E2BBE">
        <w:t>)</w:t>
      </w:r>
      <w:r w:rsidRPr="009E2BBE">
        <w:t xml:space="preserve"> report</w:t>
      </w:r>
      <w:r w:rsidR="000C6A12" w:rsidRPr="009E2BBE">
        <w:t>,</w:t>
      </w:r>
      <w:r w:rsidRPr="009E2BBE">
        <w:t xml:space="preserve"> </w:t>
      </w:r>
      <w:r w:rsidRPr="009E2BBE">
        <w:rPr>
          <w:i/>
          <w:iCs/>
        </w:rPr>
        <w:t xml:space="preserve">Training package development, </w:t>
      </w:r>
      <w:proofErr w:type="gramStart"/>
      <w:r w:rsidRPr="009E2BBE">
        <w:rPr>
          <w:i/>
          <w:iCs/>
        </w:rPr>
        <w:t>endorsement</w:t>
      </w:r>
      <w:proofErr w:type="gramEnd"/>
      <w:r w:rsidRPr="009E2BBE">
        <w:rPr>
          <w:i/>
          <w:iCs/>
        </w:rPr>
        <w:t xml:space="preserve"> and implementation process: current state report</w:t>
      </w:r>
      <w:r w:rsidR="006A4607" w:rsidRPr="009E2BBE">
        <w:t>. In it</w:t>
      </w:r>
      <w:r w:rsidR="009C3F68" w:rsidRPr="009E2BBE">
        <w:t>,</w:t>
      </w:r>
      <w:r w:rsidR="005646D9" w:rsidRPr="009E2BBE">
        <w:t xml:space="preserve"> the development process</w:t>
      </w:r>
      <w:r w:rsidR="006A4607" w:rsidRPr="009E2BBE">
        <w:t>,</w:t>
      </w:r>
      <w:r w:rsidR="005646D9" w:rsidRPr="009E2BBE">
        <w:t xml:space="preserve"> with average timeframes for each step</w:t>
      </w:r>
      <w:r w:rsidR="006A4607" w:rsidRPr="009E2BBE">
        <w:t>,</w:t>
      </w:r>
      <w:r w:rsidR="005646D9" w:rsidRPr="009E2BBE">
        <w:t xml:space="preserve"> has been mapped with the help of stakeholders</w:t>
      </w:r>
      <w:r w:rsidRPr="009E2BBE">
        <w:t xml:space="preserve">. </w:t>
      </w:r>
      <w:r w:rsidR="00111494" w:rsidRPr="009E2BBE">
        <w:t xml:space="preserve">These timelines </w:t>
      </w:r>
      <w:r w:rsidR="006A4607" w:rsidRPr="009E2BBE">
        <w:t>represent</w:t>
      </w:r>
      <w:r w:rsidR="00111494" w:rsidRPr="009E2BBE">
        <w:t xml:space="preserve"> what is reported to occur in practice and do not necessarily align </w:t>
      </w:r>
      <w:r w:rsidR="00C03FC6" w:rsidRPr="009E2BBE">
        <w:t xml:space="preserve">with </w:t>
      </w:r>
      <w:r w:rsidR="00111494" w:rsidRPr="009E2BBE">
        <w:t xml:space="preserve">the </w:t>
      </w:r>
      <w:r w:rsidR="00C03FC6" w:rsidRPr="009E2BBE">
        <w:t xml:space="preserve">recommendations contained in the </w:t>
      </w:r>
      <w:r w:rsidR="00111494" w:rsidRPr="009E2BBE">
        <w:t xml:space="preserve">policy documents. </w:t>
      </w:r>
      <w:r w:rsidRPr="009E2BBE">
        <w:t xml:space="preserve">The reason for documenting the process here is to provide a starting point for the international comparisons. </w:t>
      </w:r>
    </w:p>
    <w:p w14:paraId="7148DDCE" w14:textId="6EB9C066" w:rsidR="002536DE" w:rsidRPr="009E2BBE" w:rsidRDefault="002536DE" w:rsidP="002536DE">
      <w:pPr>
        <w:pStyle w:val="Heading2"/>
      </w:pPr>
      <w:bookmarkStart w:id="30" w:name="_Toc65741354"/>
      <w:r w:rsidRPr="009E2BBE">
        <w:t xml:space="preserve">Current vocational </w:t>
      </w:r>
      <w:r w:rsidR="00EA3747" w:rsidRPr="009E2BBE">
        <w:t>qualification development process</w:t>
      </w:r>
      <w:bookmarkEnd w:id="30"/>
    </w:p>
    <w:p w14:paraId="13721143" w14:textId="5C8D3A2E" w:rsidR="002536DE" w:rsidRPr="009E2BBE" w:rsidRDefault="002536DE" w:rsidP="002536DE">
      <w:pPr>
        <w:pStyle w:val="Heading3"/>
      </w:pPr>
      <w:r w:rsidRPr="009E2BBE">
        <w:t>Summary of the process/steps</w:t>
      </w:r>
    </w:p>
    <w:p w14:paraId="30FDDFD6" w14:textId="77218619" w:rsidR="008D3B42" w:rsidRPr="009E2BBE" w:rsidRDefault="008D3B42" w:rsidP="008D3B42">
      <w:pPr>
        <w:pStyle w:val="Text"/>
      </w:pPr>
      <w:r w:rsidRPr="009E2BBE">
        <w:t>The following table provides an overview of the main steps in the training package</w:t>
      </w:r>
      <w:r w:rsidR="00C638F8" w:rsidRPr="009E2BBE">
        <w:t>-</w:t>
      </w:r>
      <w:r w:rsidRPr="009E2BBE">
        <w:t>development process, the groups involved and the timeframe.</w:t>
      </w:r>
    </w:p>
    <w:p w14:paraId="5B778914" w14:textId="3993C0AC" w:rsidR="004E2DAB" w:rsidRPr="009E2BBE" w:rsidRDefault="004E2DAB" w:rsidP="004E2DAB">
      <w:pPr>
        <w:pStyle w:val="tabletitle"/>
      </w:pPr>
      <w:bookmarkStart w:id="31" w:name="_Hlk51078156"/>
      <w:r w:rsidRPr="009E2BBE">
        <w:t>Table</w:t>
      </w:r>
      <w:r w:rsidR="00B47A97" w:rsidRPr="009E2BBE">
        <w:t xml:space="preserve"> </w:t>
      </w:r>
      <w:r w:rsidR="000C6A12" w:rsidRPr="009E2BBE">
        <w:t>1</w:t>
      </w:r>
      <w:r w:rsidR="00B47A97" w:rsidRPr="009E2BBE">
        <w:tab/>
      </w:r>
      <w:r w:rsidRPr="009E2BBE">
        <w:t>Outline of training package development process</w:t>
      </w:r>
    </w:p>
    <w:tbl>
      <w:tblPr>
        <w:tblStyle w:val="PlainTable2"/>
        <w:tblpPr w:leftFromText="180" w:rightFromText="180" w:vertAnchor="text" w:tblpY="1"/>
        <w:tblOverlap w:val="never"/>
        <w:tblW w:w="9100" w:type="dxa"/>
        <w:tblLook w:val="0000" w:firstRow="0" w:lastRow="0" w:firstColumn="0" w:lastColumn="0" w:noHBand="0" w:noVBand="0"/>
      </w:tblPr>
      <w:tblGrid>
        <w:gridCol w:w="1303"/>
        <w:gridCol w:w="1507"/>
        <w:gridCol w:w="5071"/>
        <w:gridCol w:w="1219"/>
      </w:tblGrid>
      <w:tr w:rsidR="004E2DAB" w:rsidRPr="009E2BBE" w14:paraId="362FEEF9" w14:textId="77777777" w:rsidTr="00A228EE">
        <w:trPr>
          <w:tblHeader/>
        </w:trPr>
        <w:tc>
          <w:tcPr>
            <w:cnfStyle w:val="000010000000" w:firstRow="0" w:lastRow="0" w:firstColumn="0" w:lastColumn="0" w:oddVBand="1" w:evenVBand="0" w:oddHBand="0" w:evenHBand="0" w:firstRowFirstColumn="0" w:firstRowLastColumn="0" w:lastRowFirstColumn="0" w:lastRowLastColumn="0"/>
            <w:tcW w:w="0" w:type="dxa"/>
          </w:tcPr>
          <w:p w14:paraId="13D2A7B3" w14:textId="77777777" w:rsidR="004E2DAB" w:rsidRPr="009E2BBE" w:rsidRDefault="004E2DAB" w:rsidP="00A228EE">
            <w:pPr>
              <w:pStyle w:val="Tablehead1"/>
            </w:pPr>
            <w:r w:rsidRPr="009E2BBE">
              <w:t>Stage</w:t>
            </w:r>
          </w:p>
        </w:tc>
        <w:tc>
          <w:tcPr>
            <w:cnfStyle w:val="000001000000" w:firstRow="0" w:lastRow="0" w:firstColumn="0" w:lastColumn="0" w:oddVBand="0" w:evenVBand="1" w:oddHBand="0" w:evenHBand="0" w:firstRowFirstColumn="0" w:firstRowLastColumn="0" w:lastRowFirstColumn="0" w:lastRowLastColumn="0"/>
            <w:tcW w:w="0" w:type="dxa"/>
          </w:tcPr>
          <w:p w14:paraId="137832EE" w14:textId="02A6C517" w:rsidR="004E2DAB" w:rsidRPr="009E2BBE" w:rsidRDefault="00F80758" w:rsidP="00A228EE">
            <w:pPr>
              <w:pStyle w:val="Tablehead1"/>
            </w:pPr>
            <w:r w:rsidRPr="009E2BBE">
              <w:t>Key organisations involved</w:t>
            </w:r>
          </w:p>
        </w:tc>
        <w:tc>
          <w:tcPr>
            <w:cnfStyle w:val="000010000000" w:firstRow="0" w:lastRow="0" w:firstColumn="0" w:lastColumn="0" w:oddVBand="1" w:evenVBand="0" w:oddHBand="0" w:evenHBand="0" w:firstRowFirstColumn="0" w:firstRowLastColumn="0" w:lastRowFirstColumn="0" w:lastRowLastColumn="0"/>
            <w:tcW w:w="4479" w:type="dxa"/>
          </w:tcPr>
          <w:p w14:paraId="05469115" w14:textId="77777777" w:rsidR="004E2DAB" w:rsidRPr="009E2BBE" w:rsidRDefault="004E2DAB" w:rsidP="00A228EE">
            <w:pPr>
              <w:pStyle w:val="Tablehead1"/>
            </w:pPr>
            <w:r w:rsidRPr="009E2BBE">
              <w:t>Summary of stage</w:t>
            </w:r>
          </w:p>
        </w:tc>
        <w:tc>
          <w:tcPr>
            <w:cnfStyle w:val="000001000000" w:firstRow="0" w:lastRow="0" w:firstColumn="0" w:lastColumn="0" w:oddVBand="0" w:evenVBand="1" w:oddHBand="0" w:evenHBand="0" w:firstRowFirstColumn="0" w:firstRowLastColumn="0" w:lastRowFirstColumn="0" w:lastRowLastColumn="0"/>
            <w:tcW w:w="1077" w:type="dxa"/>
          </w:tcPr>
          <w:p w14:paraId="7F388414" w14:textId="38EE1D2C" w:rsidR="004E2DAB" w:rsidRPr="009E2BBE" w:rsidRDefault="00A228EE" w:rsidP="00A228EE">
            <w:pPr>
              <w:pStyle w:val="Tablehead1"/>
            </w:pPr>
            <w:r w:rsidRPr="009E2BBE">
              <w:t>Reported</w:t>
            </w:r>
            <w:r w:rsidR="002B6B88" w:rsidRPr="009E2BBE">
              <w:t xml:space="preserve"> t</w:t>
            </w:r>
            <w:r w:rsidR="004E2DAB" w:rsidRPr="009E2BBE">
              <w:t>imeframe</w:t>
            </w:r>
          </w:p>
        </w:tc>
      </w:tr>
      <w:tr w:rsidR="004E2DAB" w:rsidRPr="009E2BBE" w14:paraId="72B5B738" w14:textId="77777777" w:rsidTr="00A228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67EF9C19" w14:textId="301D9763" w:rsidR="004E2DAB" w:rsidRPr="009E2BBE" w:rsidRDefault="004E2DAB" w:rsidP="00A228EE">
            <w:pPr>
              <w:pStyle w:val="Tabletext"/>
            </w:pPr>
            <w:r w:rsidRPr="009E2BBE">
              <w:t xml:space="preserve">Develop the </w:t>
            </w:r>
            <w:r w:rsidR="00C638F8" w:rsidRPr="009E2BBE">
              <w:t xml:space="preserve">skills forecast and proposed schedule of work </w:t>
            </w:r>
          </w:p>
        </w:tc>
        <w:tc>
          <w:tcPr>
            <w:cnfStyle w:val="000001000000" w:firstRow="0" w:lastRow="0" w:firstColumn="0" w:lastColumn="0" w:oddVBand="0" w:evenVBand="1" w:oddHBand="0" w:evenHBand="0" w:firstRowFirstColumn="0" w:firstRowLastColumn="0" w:lastRowFirstColumn="0" w:lastRowLastColumn="0"/>
            <w:tcW w:w="0" w:type="dxa"/>
          </w:tcPr>
          <w:p w14:paraId="03D23A4C" w14:textId="77777777" w:rsidR="004E2DAB" w:rsidRPr="009E2BBE" w:rsidRDefault="00F80758" w:rsidP="00A228EE">
            <w:pPr>
              <w:pStyle w:val="Tabletext"/>
            </w:pPr>
            <w:r w:rsidRPr="009E2BBE">
              <w:t>IRC</w:t>
            </w:r>
          </w:p>
          <w:p w14:paraId="5FEB2F86" w14:textId="77777777" w:rsidR="00F80758" w:rsidRPr="009E2BBE" w:rsidRDefault="00F80758" w:rsidP="00A228EE">
            <w:pPr>
              <w:pStyle w:val="Tabletext"/>
            </w:pPr>
            <w:r w:rsidRPr="009E2BBE">
              <w:t>Industry</w:t>
            </w:r>
          </w:p>
          <w:p w14:paraId="0CCC0F45" w14:textId="77777777" w:rsidR="00EB589D" w:rsidRPr="009E2BBE" w:rsidRDefault="00F80758" w:rsidP="00A228EE">
            <w:pPr>
              <w:pStyle w:val="Tabletext"/>
            </w:pPr>
            <w:r w:rsidRPr="009E2BBE">
              <w:t>SSO</w:t>
            </w:r>
          </w:p>
          <w:p w14:paraId="7461CAD5" w14:textId="08BB1973" w:rsidR="00EB589D" w:rsidRPr="009E2BBE" w:rsidRDefault="00EB589D" w:rsidP="00A228EE">
            <w:pPr>
              <w:pStyle w:val="Tabletext"/>
            </w:pPr>
            <w:r w:rsidRPr="009E2BBE">
              <w:t>STAs</w:t>
            </w:r>
          </w:p>
          <w:p w14:paraId="484757D6" w14:textId="5F34F71E" w:rsidR="00EB589D" w:rsidRPr="009E2BBE" w:rsidRDefault="00EB589D" w:rsidP="00A228EE">
            <w:pPr>
              <w:pStyle w:val="Tabletext"/>
            </w:pPr>
            <w:r w:rsidRPr="009E2BBE">
              <w:t>Dept of Education, Skills &amp; Employment</w:t>
            </w:r>
          </w:p>
          <w:p w14:paraId="6E445C85" w14:textId="725825CB" w:rsidR="00F80758" w:rsidRPr="009E2BBE" w:rsidRDefault="00F80758" w:rsidP="00A228EE">
            <w:pPr>
              <w:pStyle w:val="Tabletext"/>
            </w:pPr>
            <w:r w:rsidRPr="009E2BBE">
              <w:t>AISC</w:t>
            </w:r>
          </w:p>
        </w:tc>
        <w:tc>
          <w:tcPr>
            <w:cnfStyle w:val="000010000000" w:firstRow="0" w:lastRow="0" w:firstColumn="0" w:lastColumn="0" w:oddVBand="1" w:evenVBand="0" w:oddHBand="0" w:evenHBand="0" w:firstRowFirstColumn="0" w:firstRowLastColumn="0" w:lastRowFirstColumn="0" w:lastRowLastColumn="0"/>
            <w:tcW w:w="4479" w:type="dxa"/>
          </w:tcPr>
          <w:p w14:paraId="492F6C5C" w14:textId="520B0FB8" w:rsidR="001925A8" w:rsidRPr="009E2BBE" w:rsidRDefault="000C6A12" w:rsidP="00110780">
            <w:pPr>
              <w:pStyle w:val="Tabletext"/>
            </w:pPr>
            <w:r w:rsidRPr="009E2BBE">
              <w:t xml:space="preserve">The </w:t>
            </w:r>
            <w:r w:rsidR="001077F8" w:rsidRPr="009E2BBE">
              <w:t>IRC</w:t>
            </w:r>
            <w:r w:rsidR="001925A8" w:rsidRPr="009E2BBE">
              <w:t xml:space="preserve"> and </w:t>
            </w:r>
            <w:r w:rsidR="001077F8" w:rsidRPr="009E2BBE">
              <w:t>SSO</w:t>
            </w:r>
            <w:r w:rsidR="001925A8" w:rsidRPr="009E2BBE">
              <w:t xml:space="preserve"> work together to consult with industry and develop draft documents.</w:t>
            </w:r>
          </w:p>
          <w:p w14:paraId="095EBB1F" w14:textId="2D3124F6" w:rsidR="001925A8" w:rsidRPr="009E2BBE" w:rsidRDefault="001077F8" w:rsidP="00A228EE">
            <w:pPr>
              <w:pStyle w:val="Tabletext"/>
            </w:pPr>
            <w:r w:rsidRPr="009E2BBE">
              <w:t>STAs</w:t>
            </w:r>
            <w:r w:rsidR="001925A8" w:rsidRPr="009E2BBE">
              <w:t xml:space="preserve"> also review the documentation and consult with industry.</w:t>
            </w:r>
          </w:p>
          <w:p w14:paraId="2F80F081" w14:textId="084FC27D" w:rsidR="001925A8" w:rsidRPr="009E2BBE" w:rsidRDefault="001925A8" w:rsidP="00A228EE">
            <w:pPr>
              <w:pStyle w:val="Tabletext"/>
            </w:pPr>
            <w:r w:rsidRPr="009E2BBE">
              <w:t>Feedback is incorporated into the draft documents.</w:t>
            </w:r>
          </w:p>
          <w:p w14:paraId="23610283" w14:textId="79A07CBF" w:rsidR="00F80758" w:rsidRPr="009E2BBE" w:rsidRDefault="00927556" w:rsidP="00A228EE">
            <w:pPr>
              <w:pStyle w:val="Tabletext"/>
            </w:pPr>
            <w:r w:rsidRPr="009E2BBE">
              <w:t xml:space="preserve">The </w:t>
            </w:r>
            <w:r w:rsidR="00F90DC0" w:rsidRPr="009E2BBE">
              <w:t>IRC signs off on the final</w:t>
            </w:r>
            <w:r w:rsidR="001925A8" w:rsidRPr="009E2BBE">
              <w:t xml:space="preserve"> documentation and the SSO submits it to the AISC</w:t>
            </w:r>
            <w:r w:rsidR="003F1E82" w:rsidRPr="009E2BBE">
              <w:t xml:space="preserve"> S</w:t>
            </w:r>
            <w:r w:rsidR="001925A8" w:rsidRPr="009E2BBE">
              <w:t>ecretariat on behalf of</w:t>
            </w:r>
            <w:r w:rsidRPr="009E2BBE">
              <w:t xml:space="preserve"> the</w:t>
            </w:r>
            <w:r w:rsidR="001925A8" w:rsidRPr="009E2BBE">
              <w:t xml:space="preserve"> IRC.</w:t>
            </w:r>
            <w:r w:rsidR="00F90DC0" w:rsidRPr="009E2BBE">
              <w:t xml:space="preserve"> </w:t>
            </w:r>
          </w:p>
          <w:p w14:paraId="7AA8828D" w14:textId="25471328" w:rsidR="001925A8" w:rsidRPr="009E2BBE" w:rsidRDefault="00927556" w:rsidP="00A228EE">
            <w:pPr>
              <w:pStyle w:val="Tabletext"/>
            </w:pPr>
            <w:r w:rsidRPr="009E2BBE">
              <w:t xml:space="preserve">The </w:t>
            </w:r>
            <w:r w:rsidR="001925A8" w:rsidRPr="009E2BBE">
              <w:t xml:space="preserve">AISC </w:t>
            </w:r>
            <w:r w:rsidR="003F1E82" w:rsidRPr="009E2BBE">
              <w:t>S</w:t>
            </w:r>
            <w:r w:rsidR="001925A8" w:rsidRPr="009E2BBE">
              <w:t xml:space="preserve">ecretariat analyses the document and may seek more information before submitting </w:t>
            </w:r>
            <w:r w:rsidRPr="009E2BBE">
              <w:t xml:space="preserve">it </w:t>
            </w:r>
            <w:r w:rsidR="001925A8" w:rsidRPr="009E2BBE">
              <w:t xml:space="preserve">to </w:t>
            </w:r>
            <w:r w:rsidRPr="009E2BBE">
              <w:t xml:space="preserve">the </w:t>
            </w:r>
            <w:r w:rsidR="001925A8" w:rsidRPr="009E2BBE">
              <w:t>AISC for approval.</w:t>
            </w:r>
          </w:p>
          <w:p w14:paraId="40C883F4" w14:textId="442674C9" w:rsidR="004E2DAB" w:rsidRPr="009E2BBE" w:rsidRDefault="00927556" w:rsidP="00A228EE">
            <w:pPr>
              <w:pStyle w:val="Tabletext"/>
            </w:pPr>
            <w:r w:rsidRPr="009E2BBE">
              <w:t xml:space="preserve">The </w:t>
            </w:r>
            <w:r w:rsidR="00F80758" w:rsidRPr="009E2BBE">
              <w:t>AISC approve</w:t>
            </w:r>
            <w:r w:rsidRPr="009E2BBE">
              <w:t>s the</w:t>
            </w:r>
            <w:r w:rsidR="00F80758" w:rsidRPr="009E2BBE">
              <w:t xml:space="preserve"> </w:t>
            </w:r>
            <w:r w:rsidR="00FE3CF1" w:rsidRPr="009E2BBE">
              <w:t>national schedule</w:t>
            </w:r>
            <w:r w:rsidR="00F80758" w:rsidRPr="009E2BBE">
              <w:t>.</w:t>
            </w:r>
          </w:p>
        </w:tc>
        <w:tc>
          <w:tcPr>
            <w:cnfStyle w:val="000001000000" w:firstRow="0" w:lastRow="0" w:firstColumn="0" w:lastColumn="0" w:oddVBand="0" w:evenVBand="1" w:oddHBand="0" w:evenHBand="0" w:firstRowFirstColumn="0" w:firstRowLastColumn="0" w:lastRowFirstColumn="0" w:lastRowLastColumn="0"/>
            <w:tcW w:w="1077" w:type="dxa"/>
          </w:tcPr>
          <w:p w14:paraId="677AF27E" w14:textId="53DFD324" w:rsidR="004E2DAB" w:rsidRPr="009E2BBE" w:rsidRDefault="004E2DAB" w:rsidP="00A228EE">
            <w:pPr>
              <w:pStyle w:val="Tabletext"/>
            </w:pPr>
            <w:r w:rsidRPr="009E2BBE">
              <w:t>Up to 11 months</w:t>
            </w:r>
          </w:p>
        </w:tc>
      </w:tr>
      <w:tr w:rsidR="004E2DAB" w:rsidRPr="009E2BBE" w14:paraId="3A43005C" w14:textId="77777777" w:rsidTr="00A228EE">
        <w:tc>
          <w:tcPr>
            <w:cnfStyle w:val="000010000000" w:firstRow="0" w:lastRow="0" w:firstColumn="0" w:lastColumn="0" w:oddVBand="1" w:evenVBand="0" w:oddHBand="0" w:evenHBand="0" w:firstRowFirstColumn="0" w:firstRowLastColumn="0" w:lastRowFirstColumn="0" w:lastRowLastColumn="0"/>
            <w:tcW w:w="0" w:type="dxa"/>
          </w:tcPr>
          <w:p w14:paraId="4042CB51" w14:textId="24BC3502" w:rsidR="004E2DAB" w:rsidRPr="009E2BBE" w:rsidRDefault="004E2DAB" w:rsidP="00A228EE">
            <w:pPr>
              <w:pStyle w:val="Tabletext"/>
            </w:pPr>
            <w:r w:rsidRPr="009E2BBE">
              <w:t xml:space="preserve">Develop and approve </w:t>
            </w:r>
            <w:r w:rsidR="003F1E82" w:rsidRPr="009E2BBE">
              <w:t>case for change</w:t>
            </w:r>
          </w:p>
        </w:tc>
        <w:tc>
          <w:tcPr>
            <w:cnfStyle w:val="000001000000" w:firstRow="0" w:lastRow="0" w:firstColumn="0" w:lastColumn="0" w:oddVBand="0" w:evenVBand="1" w:oddHBand="0" w:evenHBand="0" w:firstRowFirstColumn="0" w:firstRowLastColumn="0" w:lastRowFirstColumn="0" w:lastRowLastColumn="0"/>
            <w:tcW w:w="0" w:type="dxa"/>
          </w:tcPr>
          <w:p w14:paraId="3615DCD5" w14:textId="28180417" w:rsidR="00EB589D" w:rsidRPr="009E2BBE" w:rsidRDefault="00EB589D" w:rsidP="00A228EE">
            <w:pPr>
              <w:pStyle w:val="Tabletext"/>
            </w:pPr>
            <w:r w:rsidRPr="009E2BBE">
              <w:t>Dept of Education, Skills &amp; Employment</w:t>
            </w:r>
          </w:p>
          <w:p w14:paraId="5A3614B7" w14:textId="77777777" w:rsidR="00EB589D" w:rsidRPr="009E2BBE" w:rsidRDefault="00F80758" w:rsidP="00A228EE">
            <w:pPr>
              <w:pStyle w:val="Tabletext"/>
            </w:pPr>
            <w:r w:rsidRPr="009E2BBE">
              <w:t>IRC</w:t>
            </w:r>
          </w:p>
          <w:p w14:paraId="0DB194C4" w14:textId="77777777" w:rsidR="00EB589D" w:rsidRPr="009E2BBE" w:rsidRDefault="00EB589D" w:rsidP="00A228EE">
            <w:pPr>
              <w:pStyle w:val="Tabletext"/>
            </w:pPr>
            <w:r w:rsidRPr="009E2BBE">
              <w:t>Industry</w:t>
            </w:r>
          </w:p>
          <w:p w14:paraId="4515AED6" w14:textId="70A4DF5E" w:rsidR="00EB589D" w:rsidRPr="009E2BBE" w:rsidRDefault="00EB589D" w:rsidP="00A228EE">
            <w:pPr>
              <w:pStyle w:val="Tabletext"/>
            </w:pPr>
            <w:r w:rsidRPr="009E2BBE">
              <w:t>STAs</w:t>
            </w:r>
          </w:p>
          <w:p w14:paraId="41369163" w14:textId="77777777" w:rsidR="00F80758" w:rsidRPr="009E2BBE" w:rsidRDefault="00F80758" w:rsidP="00A228EE">
            <w:pPr>
              <w:pStyle w:val="Tabletext"/>
            </w:pPr>
            <w:r w:rsidRPr="009E2BBE">
              <w:t xml:space="preserve">SSO </w:t>
            </w:r>
          </w:p>
          <w:p w14:paraId="5D7EB286" w14:textId="2777FD21" w:rsidR="00F80758" w:rsidRPr="009E2BBE" w:rsidRDefault="00F80758" w:rsidP="00A228EE">
            <w:pPr>
              <w:pStyle w:val="Tabletext"/>
            </w:pPr>
            <w:r w:rsidRPr="009E2BBE">
              <w:t>AISC</w:t>
            </w:r>
          </w:p>
        </w:tc>
        <w:tc>
          <w:tcPr>
            <w:cnfStyle w:val="000010000000" w:firstRow="0" w:lastRow="0" w:firstColumn="0" w:lastColumn="0" w:oddVBand="1" w:evenVBand="0" w:oddHBand="0" w:evenHBand="0" w:firstRowFirstColumn="0" w:firstRowLastColumn="0" w:lastRowFirstColumn="0" w:lastRowLastColumn="0"/>
            <w:tcW w:w="4479" w:type="dxa"/>
          </w:tcPr>
          <w:p w14:paraId="39C15188" w14:textId="230EDB21" w:rsidR="001925A8" w:rsidRPr="009E2BBE" w:rsidRDefault="0046273D" w:rsidP="00A228EE">
            <w:pPr>
              <w:pStyle w:val="Tabletext"/>
            </w:pPr>
            <w:r w:rsidRPr="009E2BBE">
              <w:t xml:space="preserve">The </w:t>
            </w:r>
            <w:r w:rsidR="001925A8" w:rsidRPr="009E2BBE">
              <w:t xml:space="preserve">AISC </w:t>
            </w:r>
            <w:r w:rsidR="003F1E82" w:rsidRPr="009E2BBE">
              <w:t>S</w:t>
            </w:r>
            <w:r w:rsidR="001925A8" w:rsidRPr="009E2BBE">
              <w:t xml:space="preserve">ecretariat develops the </w:t>
            </w:r>
            <w:r w:rsidR="008F7D15" w:rsidRPr="009E2BBE">
              <w:t xml:space="preserve">activity order </w:t>
            </w:r>
            <w:r w:rsidR="001925A8" w:rsidRPr="009E2BBE">
              <w:t xml:space="preserve">and negotiates with the SSO. Once </w:t>
            </w:r>
            <w:r w:rsidRPr="009E2BBE">
              <w:t xml:space="preserve">the </w:t>
            </w:r>
            <w:r w:rsidR="008F7D15" w:rsidRPr="009E2BBE">
              <w:t xml:space="preserve">activity order </w:t>
            </w:r>
            <w:r w:rsidR="001925A8" w:rsidRPr="009E2BBE">
              <w:t xml:space="preserve">is signed off by </w:t>
            </w:r>
            <w:r w:rsidRPr="009E2BBE">
              <w:t xml:space="preserve">the </w:t>
            </w:r>
            <w:r w:rsidR="001925A8" w:rsidRPr="009E2BBE">
              <w:t xml:space="preserve">AISC </w:t>
            </w:r>
            <w:r w:rsidR="008F7D15" w:rsidRPr="009E2BBE">
              <w:t>S</w:t>
            </w:r>
            <w:r w:rsidR="001925A8" w:rsidRPr="009E2BBE">
              <w:t xml:space="preserve">ecretariat and funding provided, the SSO builds </w:t>
            </w:r>
            <w:r w:rsidR="008F7D15" w:rsidRPr="009E2BBE">
              <w:t xml:space="preserve">the case for change </w:t>
            </w:r>
            <w:r w:rsidR="001925A8" w:rsidRPr="009E2BBE">
              <w:t xml:space="preserve">with the IRC </w:t>
            </w:r>
            <w:r w:rsidRPr="009E2BBE">
              <w:t xml:space="preserve">consults with </w:t>
            </w:r>
            <w:r w:rsidR="001925A8" w:rsidRPr="009E2BBE">
              <w:t>industry.</w:t>
            </w:r>
          </w:p>
          <w:p w14:paraId="28EE1B58" w14:textId="7601E0FF" w:rsidR="001925A8" w:rsidRPr="009E2BBE" w:rsidRDefault="001925A8" w:rsidP="00A228EE">
            <w:pPr>
              <w:pStyle w:val="Tabletext"/>
            </w:pPr>
            <w:r w:rsidRPr="009E2BBE">
              <w:t xml:space="preserve">Once approved by the IRC Chair, the </w:t>
            </w:r>
            <w:r w:rsidR="008F7D15" w:rsidRPr="009E2BBE">
              <w:t xml:space="preserve">case for change </w:t>
            </w:r>
            <w:r w:rsidRPr="009E2BBE">
              <w:t xml:space="preserve">is submitted by the SSO to the </w:t>
            </w:r>
            <w:r w:rsidR="00835B7D" w:rsidRPr="009E2BBE">
              <w:t>STAs for review.</w:t>
            </w:r>
          </w:p>
          <w:p w14:paraId="4FFEA661" w14:textId="34A7E056" w:rsidR="00835B7D" w:rsidRPr="009E2BBE" w:rsidRDefault="00835B7D" w:rsidP="00A228EE">
            <w:pPr>
              <w:pStyle w:val="Tabletext"/>
            </w:pPr>
            <w:r w:rsidRPr="009E2BBE">
              <w:t xml:space="preserve">When all feedback is received and incorporated, the SSO submits the </w:t>
            </w:r>
            <w:r w:rsidR="008F7D15" w:rsidRPr="009E2BBE">
              <w:t xml:space="preserve">case for change </w:t>
            </w:r>
            <w:r w:rsidRPr="009E2BBE">
              <w:t xml:space="preserve">to the IRC Chair for sign off. It is then submitted to the AISC </w:t>
            </w:r>
            <w:r w:rsidR="00C948C4" w:rsidRPr="009E2BBE">
              <w:t>S</w:t>
            </w:r>
            <w:r w:rsidRPr="009E2BBE">
              <w:t xml:space="preserve">ecretariat to analyse and put forth to </w:t>
            </w:r>
            <w:r w:rsidR="00C948C4" w:rsidRPr="009E2BBE">
              <w:t xml:space="preserve">the </w:t>
            </w:r>
            <w:r w:rsidRPr="009E2BBE">
              <w:t xml:space="preserve">AISC for consideration. </w:t>
            </w:r>
          </w:p>
          <w:p w14:paraId="20D00716" w14:textId="5362AAE2" w:rsidR="00835B7D" w:rsidRPr="009E2BBE" w:rsidRDefault="00835B7D" w:rsidP="00A228EE">
            <w:pPr>
              <w:pStyle w:val="Tabletext"/>
            </w:pPr>
            <w:r w:rsidRPr="009E2BBE">
              <w:t xml:space="preserve">More information may </w:t>
            </w:r>
            <w:r w:rsidR="007F6837" w:rsidRPr="009E2BBE">
              <w:t>be</w:t>
            </w:r>
            <w:r w:rsidRPr="009E2BBE">
              <w:t xml:space="preserve"> required before it is approved by the AISC to proceed to </w:t>
            </w:r>
            <w:r w:rsidR="00D75DCE" w:rsidRPr="009E2BBE">
              <w:t xml:space="preserve">training package </w:t>
            </w:r>
            <w:r w:rsidRPr="009E2BBE">
              <w:t>development.</w:t>
            </w:r>
          </w:p>
          <w:p w14:paraId="5C68C12C" w14:textId="26ADA3C5" w:rsidR="004E2DAB" w:rsidRPr="009E2BBE" w:rsidRDefault="00F80758" w:rsidP="00A228EE">
            <w:pPr>
              <w:pStyle w:val="Tabletext"/>
            </w:pPr>
            <w:r w:rsidRPr="009E2BBE">
              <w:t xml:space="preserve">Note a </w:t>
            </w:r>
            <w:r w:rsidR="00D75DCE" w:rsidRPr="009E2BBE">
              <w:t xml:space="preserve">case for change </w:t>
            </w:r>
            <w:r w:rsidRPr="009E2BBE">
              <w:t>is not always needed</w:t>
            </w:r>
            <w:r w:rsidR="001925A8" w:rsidRPr="009E2BBE">
              <w:t xml:space="preserve"> as </w:t>
            </w:r>
            <w:r w:rsidR="0046273D" w:rsidRPr="009E2BBE">
              <w:t xml:space="preserve">the </w:t>
            </w:r>
            <w:r w:rsidR="001925A8" w:rsidRPr="009E2BBE">
              <w:t xml:space="preserve">AISC may </w:t>
            </w:r>
            <w:r w:rsidR="000C6A12" w:rsidRPr="009E2BBE">
              <w:t>decide</w:t>
            </w:r>
            <w:r w:rsidR="001925A8" w:rsidRPr="009E2BBE">
              <w:t xml:space="preserve"> to expedite </w:t>
            </w:r>
            <w:r w:rsidR="0046273D" w:rsidRPr="009E2BBE">
              <w:t xml:space="preserve">the process </w:t>
            </w:r>
            <w:r w:rsidR="001925A8" w:rsidRPr="009E2BBE">
              <w:t xml:space="preserve">to </w:t>
            </w:r>
            <w:r w:rsidR="00D75DCE" w:rsidRPr="009E2BBE">
              <w:t>training package development when approving the national schedule</w:t>
            </w:r>
            <w:r w:rsidR="001925A8" w:rsidRPr="009E2BBE">
              <w:t>.</w:t>
            </w:r>
          </w:p>
        </w:tc>
        <w:tc>
          <w:tcPr>
            <w:cnfStyle w:val="000001000000" w:firstRow="0" w:lastRow="0" w:firstColumn="0" w:lastColumn="0" w:oddVBand="0" w:evenVBand="1" w:oddHBand="0" w:evenHBand="0" w:firstRowFirstColumn="0" w:firstRowLastColumn="0" w:lastRowFirstColumn="0" w:lastRowLastColumn="0"/>
            <w:tcW w:w="1077" w:type="dxa"/>
          </w:tcPr>
          <w:p w14:paraId="39C79F9C" w14:textId="7B78F2EC" w:rsidR="004E2DAB" w:rsidRPr="009E2BBE" w:rsidRDefault="004E2DAB" w:rsidP="00A228EE">
            <w:pPr>
              <w:pStyle w:val="Tabletext"/>
            </w:pPr>
            <w:r w:rsidRPr="009E2BBE">
              <w:t>4.5 to 10 months</w:t>
            </w:r>
          </w:p>
        </w:tc>
      </w:tr>
      <w:bookmarkEnd w:id="31"/>
      <w:tr w:rsidR="004E2DAB" w:rsidRPr="009E2BBE" w14:paraId="7A354A9A" w14:textId="77777777" w:rsidTr="00A228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37719759" w14:textId="6C22352C" w:rsidR="004E2DAB" w:rsidRPr="009E2BBE" w:rsidRDefault="004E2DAB" w:rsidP="00A228EE">
            <w:pPr>
              <w:pStyle w:val="Tabletext"/>
            </w:pPr>
            <w:r w:rsidRPr="009E2BBE">
              <w:t xml:space="preserve">Training </w:t>
            </w:r>
            <w:r w:rsidR="00D75DCE" w:rsidRPr="009E2BBE">
              <w:t>p</w:t>
            </w:r>
            <w:r w:rsidRPr="009E2BBE">
              <w:t>ackage products drafted</w:t>
            </w:r>
          </w:p>
        </w:tc>
        <w:tc>
          <w:tcPr>
            <w:cnfStyle w:val="000001000000" w:firstRow="0" w:lastRow="0" w:firstColumn="0" w:lastColumn="0" w:oddVBand="0" w:evenVBand="1" w:oddHBand="0" w:evenHBand="0" w:firstRowFirstColumn="0" w:firstRowLastColumn="0" w:lastRowFirstColumn="0" w:lastRowLastColumn="0"/>
            <w:tcW w:w="0" w:type="dxa"/>
          </w:tcPr>
          <w:p w14:paraId="32EA8E5A" w14:textId="77777777" w:rsidR="00EB589D" w:rsidRPr="009E2BBE" w:rsidRDefault="00EB589D" w:rsidP="00A228EE">
            <w:pPr>
              <w:pStyle w:val="Tabletext"/>
            </w:pPr>
            <w:r w:rsidRPr="009E2BBE">
              <w:t>Dept of Education, Skills &amp; Employment</w:t>
            </w:r>
          </w:p>
          <w:p w14:paraId="4761CF76" w14:textId="77777777" w:rsidR="00F80758" w:rsidRPr="009E2BBE" w:rsidRDefault="00F80758" w:rsidP="00A228EE">
            <w:pPr>
              <w:pStyle w:val="Tabletext"/>
            </w:pPr>
            <w:r w:rsidRPr="009E2BBE">
              <w:t>SSO</w:t>
            </w:r>
          </w:p>
          <w:p w14:paraId="1BC80794" w14:textId="01F3C46A" w:rsidR="00F80758" w:rsidRPr="009E2BBE" w:rsidRDefault="00F80758" w:rsidP="00A228EE">
            <w:pPr>
              <w:pStyle w:val="Tabletext"/>
            </w:pPr>
            <w:r w:rsidRPr="009E2BBE">
              <w:t>Industry</w:t>
            </w:r>
          </w:p>
        </w:tc>
        <w:tc>
          <w:tcPr>
            <w:cnfStyle w:val="000010000000" w:firstRow="0" w:lastRow="0" w:firstColumn="0" w:lastColumn="0" w:oddVBand="1" w:evenVBand="0" w:oddHBand="0" w:evenHBand="0" w:firstRowFirstColumn="0" w:firstRowLastColumn="0" w:lastRowFirstColumn="0" w:lastRowLastColumn="0"/>
            <w:tcW w:w="4479" w:type="dxa"/>
          </w:tcPr>
          <w:p w14:paraId="7FA9C78B" w14:textId="4E8738FA" w:rsidR="004E2DAB" w:rsidRPr="009E2BBE" w:rsidRDefault="0046273D" w:rsidP="00A228EE">
            <w:pPr>
              <w:pStyle w:val="Tabletext"/>
            </w:pPr>
            <w:r w:rsidRPr="009E2BBE">
              <w:t xml:space="preserve">The </w:t>
            </w:r>
            <w:r w:rsidR="0053755A" w:rsidRPr="009E2BBE">
              <w:t xml:space="preserve">AISC </w:t>
            </w:r>
            <w:r w:rsidR="00DA4828" w:rsidRPr="009E2BBE">
              <w:t>S</w:t>
            </w:r>
            <w:r w:rsidR="0053755A" w:rsidRPr="009E2BBE">
              <w:t xml:space="preserve">ecretariat develops the </w:t>
            </w:r>
            <w:r w:rsidR="00DA4828" w:rsidRPr="009E2BBE">
              <w:t xml:space="preserve">activity order </w:t>
            </w:r>
            <w:r w:rsidR="0053755A" w:rsidRPr="009E2BBE">
              <w:t xml:space="preserve">and negotiates with the SSO. Once </w:t>
            </w:r>
            <w:r w:rsidRPr="009E2BBE">
              <w:t xml:space="preserve">the </w:t>
            </w:r>
            <w:r w:rsidR="00DA4828" w:rsidRPr="009E2BBE">
              <w:t xml:space="preserve">activity order </w:t>
            </w:r>
            <w:r w:rsidR="0053755A" w:rsidRPr="009E2BBE">
              <w:t xml:space="preserve">is signed off by </w:t>
            </w:r>
            <w:r w:rsidRPr="009E2BBE">
              <w:t xml:space="preserve">the </w:t>
            </w:r>
            <w:r w:rsidR="0053755A" w:rsidRPr="009E2BBE">
              <w:t xml:space="preserve">AISC </w:t>
            </w:r>
            <w:r w:rsidR="00AA50E8" w:rsidRPr="009E2BBE">
              <w:t>S</w:t>
            </w:r>
            <w:r w:rsidR="0053755A" w:rsidRPr="009E2BBE">
              <w:t xml:space="preserve">ecretariat and funding provided, the SSO begins to draft the </w:t>
            </w:r>
            <w:r w:rsidR="00E03A6F" w:rsidRPr="009E2BBE">
              <w:t xml:space="preserve">training package </w:t>
            </w:r>
            <w:r w:rsidR="0053755A" w:rsidRPr="009E2BBE">
              <w:t>products.</w:t>
            </w:r>
          </w:p>
          <w:p w14:paraId="4A880E5D" w14:textId="4A470F76" w:rsidR="0053755A" w:rsidRPr="009E2BBE" w:rsidRDefault="0053755A" w:rsidP="00A228EE">
            <w:pPr>
              <w:pStyle w:val="Tabletext"/>
            </w:pPr>
            <w:r w:rsidRPr="009E2BBE">
              <w:t xml:space="preserve">The SSO manages the process with input from the IRC </w:t>
            </w:r>
            <w:r w:rsidR="00FB6DAD" w:rsidRPr="009E2BBE">
              <w:t>to define job roles and skill requirements. The</w:t>
            </w:r>
            <w:r w:rsidR="0046273D" w:rsidRPr="009E2BBE">
              <w:t xml:space="preserve"> SSO</w:t>
            </w:r>
            <w:r w:rsidR="00FB6DAD" w:rsidRPr="009E2BBE">
              <w:t xml:space="preserve"> </w:t>
            </w:r>
            <w:r w:rsidR="00E03A6F" w:rsidRPr="009E2BBE">
              <w:t xml:space="preserve">also establishes a technical advisory group and applies the test of equivalence </w:t>
            </w:r>
            <w:r w:rsidR="00FB6DAD" w:rsidRPr="009E2BBE">
              <w:t>to training products.</w:t>
            </w:r>
          </w:p>
          <w:p w14:paraId="2CD91F86" w14:textId="12A67C33" w:rsidR="00FB6DAD" w:rsidRPr="009E2BBE" w:rsidRDefault="00FB6DAD" w:rsidP="00A228EE">
            <w:pPr>
              <w:pStyle w:val="Tabletext"/>
            </w:pPr>
            <w:r w:rsidRPr="009E2BBE">
              <w:t xml:space="preserve">The SSO drafts the </w:t>
            </w:r>
            <w:r w:rsidR="00E03A6F" w:rsidRPr="009E2BBE">
              <w:t xml:space="preserve">training package </w:t>
            </w:r>
            <w:r w:rsidRPr="009E2BBE">
              <w:t>content and companion volumes.</w:t>
            </w:r>
          </w:p>
        </w:tc>
        <w:tc>
          <w:tcPr>
            <w:cnfStyle w:val="000001000000" w:firstRow="0" w:lastRow="0" w:firstColumn="0" w:lastColumn="0" w:oddVBand="0" w:evenVBand="1" w:oddHBand="0" w:evenHBand="0" w:firstRowFirstColumn="0" w:firstRowLastColumn="0" w:lastRowFirstColumn="0" w:lastRowLastColumn="0"/>
            <w:tcW w:w="1077" w:type="dxa"/>
          </w:tcPr>
          <w:p w14:paraId="209B205D" w14:textId="4C1A8CCD" w:rsidR="004E2DAB" w:rsidRPr="009E2BBE" w:rsidRDefault="004E2DAB" w:rsidP="00A228EE">
            <w:pPr>
              <w:pStyle w:val="Tabletext"/>
            </w:pPr>
            <w:r w:rsidRPr="009E2BBE">
              <w:t>3 to 18 months</w:t>
            </w:r>
          </w:p>
        </w:tc>
      </w:tr>
      <w:tr w:rsidR="004E2DAB" w:rsidRPr="009E2BBE" w14:paraId="556D98ED" w14:textId="77777777" w:rsidTr="00A228EE">
        <w:tc>
          <w:tcPr>
            <w:cnfStyle w:val="000010000000" w:firstRow="0" w:lastRow="0" w:firstColumn="0" w:lastColumn="0" w:oddVBand="1" w:evenVBand="0" w:oddHBand="0" w:evenHBand="0" w:firstRowFirstColumn="0" w:firstRowLastColumn="0" w:lastRowFirstColumn="0" w:lastRowLastColumn="0"/>
            <w:tcW w:w="0" w:type="dxa"/>
          </w:tcPr>
          <w:p w14:paraId="697BE656" w14:textId="73E5FC19" w:rsidR="004E2DAB" w:rsidRPr="009E2BBE" w:rsidRDefault="004E2DAB" w:rsidP="00A228EE">
            <w:pPr>
              <w:pStyle w:val="Tabletext"/>
            </w:pPr>
            <w:r w:rsidRPr="009E2BBE">
              <w:t xml:space="preserve">Industry validation of draft </w:t>
            </w:r>
            <w:r w:rsidR="00E03A6F" w:rsidRPr="009E2BBE">
              <w:t xml:space="preserve">training package </w:t>
            </w:r>
            <w:r w:rsidRPr="009E2BBE">
              <w:t>material</w:t>
            </w:r>
          </w:p>
        </w:tc>
        <w:tc>
          <w:tcPr>
            <w:cnfStyle w:val="000001000000" w:firstRow="0" w:lastRow="0" w:firstColumn="0" w:lastColumn="0" w:oddVBand="0" w:evenVBand="1" w:oddHBand="0" w:evenHBand="0" w:firstRowFirstColumn="0" w:firstRowLastColumn="0" w:lastRowFirstColumn="0" w:lastRowLastColumn="0"/>
            <w:tcW w:w="0" w:type="dxa"/>
          </w:tcPr>
          <w:p w14:paraId="0BFF03C7" w14:textId="77777777" w:rsidR="004E2DAB" w:rsidRPr="009E2BBE" w:rsidRDefault="00F80758" w:rsidP="00A228EE">
            <w:pPr>
              <w:pStyle w:val="Tabletext"/>
            </w:pPr>
            <w:r w:rsidRPr="009E2BBE">
              <w:t>SSO</w:t>
            </w:r>
          </w:p>
          <w:p w14:paraId="445C7E2C" w14:textId="77777777" w:rsidR="00F80758" w:rsidRPr="009E2BBE" w:rsidRDefault="00F80758" w:rsidP="00A228EE">
            <w:pPr>
              <w:pStyle w:val="Tabletext"/>
            </w:pPr>
            <w:r w:rsidRPr="009E2BBE">
              <w:t>Industry</w:t>
            </w:r>
          </w:p>
          <w:p w14:paraId="51405CC3" w14:textId="792E7784" w:rsidR="0046273D" w:rsidRPr="009E2BBE" w:rsidRDefault="0046273D" w:rsidP="00A228EE">
            <w:pPr>
              <w:pStyle w:val="Tabletext"/>
            </w:pPr>
            <w:r w:rsidRPr="009E2BBE">
              <w:t>IRC</w:t>
            </w:r>
          </w:p>
        </w:tc>
        <w:tc>
          <w:tcPr>
            <w:cnfStyle w:val="000010000000" w:firstRow="0" w:lastRow="0" w:firstColumn="0" w:lastColumn="0" w:oddVBand="1" w:evenVBand="0" w:oddHBand="0" w:evenHBand="0" w:firstRowFirstColumn="0" w:firstRowLastColumn="0" w:lastRowFirstColumn="0" w:lastRowLastColumn="0"/>
            <w:tcW w:w="4479" w:type="dxa"/>
          </w:tcPr>
          <w:p w14:paraId="0C0E14CE" w14:textId="298CAAF9" w:rsidR="0046273D" w:rsidRPr="009E2BBE" w:rsidRDefault="008D3B42" w:rsidP="00A228EE">
            <w:pPr>
              <w:pStyle w:val="Tabletext"/>
            </w:pPr>
            <w:r w:rsidRPr="009E2BBE">
              <w:t xml:space="preserve">During this stage, the SSO consults with industry and other stakeholders to test the draft </w:t>
            </w:r>
            <w:r w:rsidR="00FD5207" w:rsidRPr="009E2BBE">
              <w:t xml:space="preserve">training package </w:t>
            </w:r>
            <w:r w:rsidRPr="009E2BBE">
              <w:t xml:space="preserve">content. The draft is also published on their website. </w:t>
            </w:r>
            <w:r w:rsidR="0046273D" w:rsidRPr="009E2BBE">
              <w:t>The SSO collates and analyses f</w:t>
            </w:r>
            <w:r w:rsidRPr="009E2BBE">
              <w:t>eedback.</w:t>
            </w:r>
          </w:p>
          <w:p w14:paraId="2F529F8F" w14:textId="7641416F" w:rsidR="004E2DAB" w:rsidRPr="009E2BBE" w:rsidRDefault="008D3B42" w:rsidP="00A228EE">
            <w:pPr>
              <w:pStyle w:val="Tabletext"/>
            </w:pPr>
            <w:r w:rsidRPr="009E2BBE">
              <w:t>Once the draft is finalised, it is signed off by the IRC.</w:t>
            </w:r>
          </w:p>
        </w:tc>
        <w:tc>
          <w:tcPr>
            <w:cnfStyle w:val="000001000000" w:firstRow="0" w:lastRow="0" w:firstColumn="0" w:lastColumn="0" w:oddVBand="0" w:evenVBand="1" w:oddHBand="0" w:evenHBand="0" w:firstRowFirstColumn="0" w:firstRowLastColumn="0" w:lastRowFirstColumn="0" w:lastRowLastColumn="0"/>
            <w:tcW w:w="1077" w:type="dxa"/>
          </w:tcPr>
          <w:p w14:paraId="0FC00ADE" w14:textId="03E064F2" w:rsidR="004E2DAB" w:rsidRPr="009E2BBE" w:rsidRDefault="004E2DAB" w:rsidP="00A228EE">
            <w:pPr>
              <w:pStyle w:val="Tabletext"/>
            </w:pPr>
            <w:r w:rsidRPr="009E2BBE">
              <w:t>1 to 2 months</w:t>
            </w:r>
          </w:p>
        </w:tc>
      </w:tr>
      <w:tr w:rsidR="004E2DAB" w:rsidRPr="009E2BBE" w14:paraId="4C5EF633" w14:textId="77777777" w:rsidTr="00A228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6890915D" w14:textId="164925BA" w:rsidR="004E2DAB" w:rsidRPr="009E2BBE" w:rsidRDefault="004E2DAB" w:rsidP="00A228EE">
            <w:pPr>
              <w:pStyle w:val="Tabletext"/>
            </w:pPr>
            <w:r w:rsidRPr="009E2BBE">
              <w:t>Quality assurance and gathering evidence of stakeholder support for change</w:t>
            </w:r>
          </w:p>
        </w:tc>
        <w:tc>
          <w:tcPr>
            <w:cnfStyle w:val="000001000000" w:firstRow="0" w:lastRow="0" w:firstColumn="0" w:lastColumn="0" w:oddVBand="0" w:evenVBand="1" w:oddHBand="0" w:evenHBand="0" w:firstRowFirstColumn="0" w:firstRowLastColumn="0" w:lastRowFirstColumn="0" w:lastRowLastColumn="0"/>
            <w:tcW w:w="0" w:type="dxa"/>
          </w:tcPr>
          <w:p w14:paraId="7C53B8AB" w14:textId="77777777" w:rsidR="004E2DAB" w:rsidRPr="009E2BBE" w:rsidRDefault="00F80758" w:rsidP="00A228EE">
            <w:pPr>
              <w:pStyle w:val="Tabletext"/>
            </w:pPr>
            <w:r w:rsidRPr="009E2BBE">
              <w:t>SSO</w:t>
            </w:r>
          </w:p>
          <w:p w14:paraId="0D2591C0" w14:textId="3B0382D2" w:rsidR="00F80758" w:rsidRPr="009E2BBE" w:rsidRDefault="00F80758" w:rsidP="00A228EE">
            <w:pPr>
              <w:pStyle w:val="Tabletext"/>
            </w:pPr>
            <w:r w:rsidRPr="009E2BBE">
              <w:t xml:space="preserve">QA </w:t>
            </w:r>
            <w:r w:rsidR="00E03A6F" w:rsidRPr="009E2BBE">
              <w:t>p</w:t>
            </w:r>
            <w:r w:rsidRPr="009E2BBE">
              <w:t>anel</w:t>
            </w:r>
          </w:p>
        </w:tc>
        <w:tc>
          <w:tcPr>
            <w:cnfStyle w:val="000010000000" w:firstRow="0" w:lastRow="0" w:firstColumn="0" w:lastColumn="0" w:oddVBand="1" w:evenVBand="0" w:oddHBand="0" w:evenHBand="0" w:firstRowFirstColumn="0" w:firstRowLastColumn="0" w:lastRowFirstColumn="0" w:lastRowLastColumn="0"/>
            <w:tcW w:w="4479" w:type="dxa"/>
          </w:tcPr>
          <w:p w14:paraId="7FB6C110" w14:textId="04606D3B" w:rsidR="004E2DAB" w:rsidRPr="009E2BBE" w:rsidRDefault="008F7331" w:rsidP="00A228EE">
            <w:pPr>
              <w:pStyle w:val="Tabletext"/>
            </w:pPr>
            <w:r w:rsidRPr="009E2BBE">
              <w:t xml:space="preserve">The SSO completes the </w:t>
            </w:r>
            <w:r w:rsidR="00FD5207" w:rsidRPr="009E2BBE">
              <w:t>editorial and equity reports and commissions a quality assurance panel member to undertake the quality report.</w:t>
            </w:r>
          </w:p>
          <w:p w14:paraId="37EF2928" w14:textId="1F1A2222" w:rsidR="008F7331" w:rsidRPr="009E2BBE" w:rsidRDefault="008F7331" w:rsidP="00A228EE">
            <w:pPr>
              <w:pStyle w:val="Tabletext"/>
            </w:pPr>
            <w:r w:rsidRPr="009E2BBE">
              <w:t xml:space="preserve">The </w:t>
            </w:r>
            <w:r w:rsidR="00041F13" w:rsidRPr="009E2BBE">
              <w:t xml:space="preserve">quality assurance panel member checks that the training package meets the standards and submits the quality assurance report to the </w:t>
            </w:r>
            <w:r w:rsidRPr="009E2BBE">
              <w:t>SSO.</w:t>
            </w:r>
          </w:p>
          <w:p w14:paraId="75553AFA" w14:textId="2A4C1E2A" w:rsidR="008F7331" w:rsidRPr="009E2BBE" w:rsidRDefault="008F7331" w:rsidP="00A228EE">
            <w:pPr>
              <w:pStyle w:val="Tabletext"/>
            </w:pPr>
            <w:r w:rsidRPr="009E2BBE">
              <w:t xml:space="preserve">Once the </w:t>
            </w:r>
            <w:r w:rsidR="00BC55E2" w:rsidRPr="009E2BBE">
              <w:t xml:space="preserve">quality assurance </w:t>
            </w:r>
            <w:r w:rsidRPr="009E2BBE">
              <w:t xml:space="preserve">report is accepted, the SSO compiles the </w:t>
            </w:r>
            <w:r w:rsidR="00BC55E2" w:rsidRPr="009E2BBE">
              <w:t>case for endorsement</w:t>
            </w:r>
            <w:r w:rsidRPr="009E2BBE">
              <w:t>.</w:t>
            </w:r>
          </w:p>
        </w:tc>
        <w:tc>
          <w:tcPr>
            <w:cnfStyle w:val="000001000000" w:firstRow="0" w:lastRow="0" w:firstColumn="0" w:lastColumn="0" w:oddVBand="0" w:evenVBand="1" w:oddHBand="0" w:evenHBand="0" w:firstRowFirstColumn="0" w:firstRowLastColumn="0" w:lastRowFirstColumn="0" w:lastRowLastColumn="0"/>
            <w:tcW w:w="1077" w:type="dxa"/>
          </w:tcPr>
          <w:p w14:paraId="61C48CEB" w14:textId="35AE03D3" w:rsidR="004E2DAB" w:rsidRPr="009E2BBE" w:rsidRDefault="004E2DAB" w:rsidP="00A228EE">
            <w:pPr>
              <w:pStyle w:val="Tabletext"/>
            </w:pPr>
            <w:r w:rsidRPr="009E2BBE">
              <w:t>3 weeks to 6 months</w:t>
            </w:r>
          </w:p>
        </w:tc>
      </w:tr>
      <w:tr w:rsidR="004E2DAB" w:rsidRPr="009E2BBE" w14:paraId="3F3ED13F" w14:textId="77777777" w:rsidTr="00A228EE">
        <w:tc>
          <w:tcPr>
            <w:cnfStyle w:val="000010000000" w:firstRow="0" w:lastRow="0" w:firstColumn="0" w:lastColumn="0" w:oddVBand="1" w:evenVBand="0" w:oddHBand="0" w:evenHBand="0" w:firstRowFirstColumn="0" w:firstRowLastColumn="0" w:lastRowFirstColumn="0" w:lastRowLastColumn="0"/>
            <w:tcW w:w="0" w:type="dxa"/>
          </w:tcPr>
          <w:p w14:paraId="7217F2C4" w14:textId="2C8043DE" w:rsidR="004E2DAB" w:rsidRPr="009E2BBE" w:rsidRDefault="004E2DAB" w:rsidP="00A228EE">
            <w:pPr>
              <w:pStyle w:val="Tabletext"/>
            </w:pPr>
            <w:r w:rsidRPr="009E2BBE">
              <w:t xml:space="preserve">Compile and submit </w:t>
            </w:r>
            <w:r w:rsidR="00041F13" w:rsidRPr="009E2BBE">
              <w:t xml:space="preserve">case for endorsement </w:t>
            </w:r>
            <w:r w:rsidRPr="009E2BBE">
              <w:t>for AISC approval</w:t>
            </w:r>
          </w:p>
        </w:tc>
        <w:tc>
          <w:tcPr>
            <w:cnfStyle w:val="000001000000" w:firstRow="0" w:lastRow="0" w:firstColumn="0" w:lastColumn="0" w:oddVBand="0" w:evenVBand="1" w:oddHBand="0" w:evenHBand="0" w:firstRowFirstColumn="0" w:firstRowLastColumn="0" w:lastRowFirstColumn="0" w:lastRowLastColumn="0"/>
            <w:tcW w:w="0" w:type="dxa"/>
          </w:tcPr>
          <w:p w14:paraId="741DE02A" w14:textId="77777777" w:rsidR="00EB589D" w:rsidRPr="009E2BBE" w:rsidRDefault="00EB589D" w:rsidP="00A228EE">
            <w:pPr>
              <w:pStyle w:val="Tabletext"/>
            </w:pPr>
            <w:r w:rsidRPr="009E2BBE">
              <w:t>SSO</w:t>
            </w:r>
          </w:p>
          <w:p w14:paraId="31175A82" w14:textId="77777777" w:rsidR="00EB589D" w:rsidRPr="009E2BBE" w:rsidRDefault="00EB589D" w:rsidP="00A228EE">
            <w:pPr>
              <w:pStyle w:val="Tabletext"/>
            </w:pPr>
            <w:r w:rsidRPr="009E2BBE">
              <w:t>STAs</w:t>
            </w:r>
          </w:p>
          <w:p w14:paraId="6C4E1771" w14:textId="77777777" w:rsidR="00F80758" w:rsidRPr="009E2BBE" w:rsidRDefault="00F80758" w:rsidP="00A228EE">
            <w:pPr>
              <w:pStyle w:val="Tabletext"/>
            </w:pPr>
            <w:r w:rsidRPr="009E2BBE">
              <w:t>IRC</w:t>
            </w:r>
          </w:p>
          <w:p w14:paraId="506FE752" w14:textId="77777777" w:rsidR="00EB589D" w:rsidRPr="009E2BBE" w:rsidRDefault="00EB589D" w:rsidP="00A228EE">
            <w:pPr>
              <w:pStyle w:val="Tabletext"/>
            </w:pPr>
            <w:r w:rsidRPr="009E2BBE">
              <w:t>Dept of Education, Skills &amp; Employment</w:t>
            </w:r>
          </w:p>
          <w:p w14:paraId="1BC94D28" w14:textId="13A23249" w:rsidR="00EB589D" w:rsidRPr="009E2BBE" w:rsidRDefault="00EB589D" w:rsidP="00A228EE">
            <w:pPr>
              <w:pStyle w:val="Tabletext"/>
            </w:pPr>
            <w:r w:rsidRPr="009E2BBE">
              <w:t>AISC</w:t>
            </w:r>
          </w:p>
        </w:tc>
        <w:tc>
          <w:tcPr>
            <w:cnfStyle w:val="000010000000" w:firstRow="0" w:lastRow="0" w:firstColumn="0" w:lastColumn="0" w:oddVBand="1" w:evenVBand="0" w:oddHBand="0" w:evenHBand="0" w:firstRowFirstColumn="0" w:firstRowLastColumn="0" w:lastRowFirstColumn="0" w:lastRowLastColumn="0"/>
            <w:tcW w:w="4479" w:type="dxa"/>
          </w:tcPr>
          <w:p w14:paraId="468D6B0B" w14:textId="65B388C1" w:rsidR="004E2DAB" w:rsidRPr="009E2BBE" w:rsidRDefault="008F7331" w:rsidP="00A228EE">
            <w:pPr>
              <w:pStyle w:val="Tabletext"/>
            </w:pPr>
            <w:r w:rsidRPr="009E2BBE">
              <w:t xml:space="preserve">The </w:t>
            </w:r>
            <w:r w:rsidR="00F65C0A" w:rsidRPr="009E2BBE">
              <w:t>case for endorsement includes:</w:t>
            </w:r>
          </w:p>
          <w:p w14:paraId="5265E826" w14:textId="5594FDF6" w:rsidR="008F7331" w:rsidRPr="009E2BBE" w:rsidRDefault="00F65C0A" w:rsidP="00A228EE">
            <w:pPr>
              <w:pStyle w:val="Tabletext"/>
              <w:numPr>
                <w:ilvl w:val="0"/>
                <w:numId w:val="33"/>
              </w:numPr>
            </w:pPr>
            <w:r w:rsidRPr="009E2BBE">
              <w:t>draft training package</w:t>
            </w:r>
          </w:p>
          <w:p w14:paraId="151F537A" w14:textId="46AB36DE" w:rsidR="008F7331" w:rsidRPr="009E2BBE" w:rsidRDefault="00F65C0A" w:rsidP="00A228EE">
            <w:pPr>
              <w:pStyle w:val="Tabletext"/>
              <w:numPr>
                <w:ilvl w:val="0"/>
                <w:numId w:val="33"/>
              </w:numPr>
            </w:pPr>
            <w:r w:rsidRPr="009E2BBE">
              <w:t>evidence of consultation</w:t>
            </w:r>
          </w:p>
          <w:p w14:paraId="449B295B" w14:textId="7E77F1E9" w:rsidR="008F7331" w:rsidRPr="009E2BBE" w:rsidRDefault="00F65C0A" w:rsidP="00A228EE">
            <w:pPr>
              <w:pStyle w:val="Tabletext"/>
              <w:numPr>
                <w:ilvl w:val="0"/>
                <w:numId w:val="33"/>
              </w:numPr>
            </w:pPr>
            <w:r w:rsidRPr="009E2BBE">
              <w:t>quality assurance report</w:t>
            </w:r>
          </w:p>
          <w:p w14:paraId="1BE2ABED" w14:textId="3E316B30" w:rsidR="008F7331" w:rsidRPr="009E2BBE" w:rsidRDefault="00F65C0A" w:rsidP="00A228EE">
            <w:pPr>
              <w:pStyle w:val="Tabletext"/>
              <w:numPr>
                <w:ilvl w:val="0"/>
                <w:numId w:val="33"/>
              </w:numPr>
            </w:pPr>
            <w:r w:rsidRPr="009E2BBE">
              <w:t>editorial and equity report</w:t>
            </w:r>
          </w:p>
          <w:p w14:paraId="146AA207" w14:textId="0D947C96" w:rsidR="008F7331" w:rsidRPr="009E2BBE" w:rsidRDefault="00F65C0A" w:rsidP="00A228EE">
            <w:pPr>
              <w:pStyle w:val="Tabletext"/>
              <w:numPr>
                <w:ilvl w:val="0"/>
                <w:numId w:val="33"/>
              </w:numPr>
            </w:pPr>
            <w:r w:rsidRPr="009E2BBE">
              <w:t>companion volumes</w:t>
            </w:r>
          </w:p>
          <w:p w14:paraId="0C351F5E" w14:textId="7BBD5CCA" w:rsidR="008F7331" w:rsidRPr="009E2BBE" w:rsidRDefault="00F65C0A" w:rsidP="00A228EE">
            <w:pPr>
              <w:pStyle w:val="Tabletext"/>
              <w:numPr>
                <w:ilvl w:val="0"/>
                <w:numId w:val="33"/>
              </w:numPr>
            </w:pPr>
            <w:r w:rsidRPr="009E2BBE">
              <w:t>implementation guid</w:t>
            </w:r>
            <w:r w:rsidR="008F7331" w:rsidRPr="009E2BBE">
              <w:t>es</w:t>
            </w:r>
            <w:r w:rsidR="00D32E49" w:rsidRPr="009E2BBE">
              <w:t>.</w:t>
            </w:r>
          </w:p>
          <w:p w14:paraId="741A8C8E" w14:textId="77777777" w:rsidR="008F7331" w:rsidRPr="009E2BBE" w:rsidRDefault="008F7331" w:rsidP="00A228EE">
            <w:pPr>
              <w:pStyle w:val="Tabletext"/>
            </w:pPr>
            <w:r w:rsidRPr="009E2BBE">
              <w:t>STAs are consulted during this stage to ensure appropriate stakeholder consultation has occurred.</w:t>
            </w:r>
          </w:p>
          <w:p w14:paraId="008CCF4B" w14:textId="3A3086B4" w:rsidR="00EB589D" w:rsidRPr="009E2BBE" w:rsidRDefault="008F7331" w:rsidP="00A228EE">
            <w:pPr>
              <w:pStyle w:val="Tabletext"/>
            </w:pPr>
            <w:r w:rsidRPr="009E2BBE">
              <w:t xml:space="preserve">The IRC approves the </w:t>
            </w:r>
            <w:r w:rsidR="00F65C0A" w:rsidRPr="009E2BBE">
              <w:t xml:space="preserve">case for endorsement </w:t>
            </w:r>
            <w:r w:rsidR="003805DB" w:rsidRPr="009E2BBE">
              <w:t xml:space="preserve">and the SSO submits it to the AISC </w:t>
            </w:r>
            <w:r w:rsidR="00F65C0A" w:rsidRPr="009E2BBE">
              <w:t>S</w:t>
            </w:r>
            <w:r w:rsidR="003805DB" w:rsidRPr="009E2BBE">
              <w:t>ecretariat</w:t>
            </w:r>
            <w:r w:rsidR="00F65C0A" w:rsidRPr="009E2BBE">
              <w:t>, whic</w:t>
            </w:r>
            <w:r w:rsidR="00257394" w:rsidRPr="009E2BBE">
              <w:t>h</w:t>
            </w:r>
            <w:r w:rsidR="003805DB" w:rsidRPr="009E2BBE">
              <w:t xml:space="preserve"> develops recommendations for </w:t>
            </w:r>
            <w:r w:rsidR="00EB589D" w:rsidRPr="009E2BBE">
              <w:t xml:space="preserve">the </w:t>
            </w:r>
            <w:r w:rsidR="003805DB" w:rsidRPr="009E2BBE">
              <w:t>AISC.</w:t>
            </w:r>
          </w:p>
          <w:p w14:paraId="5FE732FA" w14:textId="34F9B869" w:rsidR="008F7331" w:rsidRPr="009E2BBE" w:rsidRDefault="003805DB" w:rsidP="00A228EE">
            <w:pPr>
              <w:pStyle w:val="Tabletext"/>
            </w:pPr>
            <w:r w:rsidRPr="00110362">
              <w:t xml:space="preserve">The AISC approves the </w:t>
            </w:r>
            <w:r w:rsidR="00CD0C24" w:rsidRPr="00110362">
              <w:t>case for endorsement</w:t>
            </w:r>
            <w:r w:rsidR="00257394" w:rsidRPr="00110362">
              <w:t xml:space="preserve"> and recommends </w:t>
            </w:r>
            <w:r w:rsidR="00CD0C24" w:rsidRPr="00110362">
              <w:t>the Training Package for</w:t>
            </w:r>
            <w:r w:rsidR="00257394" w:rsidRPr="00110362">
              <w:t xml:space="preserve"> endorsement to the skills ministers</w:t>
            </w:r>
            <w:r w:rsidRPr="00110362">
              <w:t>.</w:t>
            </w:r>
            <w:r w:rsidRPr="009E2BBE">
              <w:t xml:space="preserve"> The SSO and IRC are informed of the outcome.</w:t>
            </w:r>
          </w:p>
        </w:tc>
        <w:tc>
          <w:tcPr>
            <w:cnfStyle w:val="000001000000" w:firstRow="0" w:lastRow="0" w:firstColumn="0" w:lastColumn="0" w:oddVBand="0" w:evenVBand="1" w:oddHBand="0" w:evenHBand="0" w:firstRowFirstColumn="0" w:firstRowLastColumn="0" w:lastRowFirstColumn="0" w:lastRowLastColumn="0"/>
            <w:tcW w:w="1077" w:type="dxa"/>
          </w:tcPr>
          <w:p w14:paraId="439B7E08" w14:textId="5EC2EDE8" w:rsidR="004E2DAB" w:rsidRPr="009E2BBE" w:rsidRDefault="004E2DAB" w:rsidP="00A228EE">
            <w:pPr>
              <w:pStyle w:val="Tabletext"/>
            </w:pPr>
            <w:r w:rsidRPr="009E2BBE">
              <w:t>Up to 2 months</w:t>
            </w:r>
          </w:p>
        </w:tc>
      </w:tr>
      <w:tr w:rsidR="004E2DAB" w:rsidRPr="009E2BBE" w14:paraId="6F0D3077" w14:textId="77777777" w:rsidTr="00A228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67EE3DA5" w14:textId="6F58C7A0" w:rsidR="004E2DAB" w:rsidRPr="009E2BBE" w:rsidRDefault="004E2DAB" w:rsidP="00A228EE">
            <w:pPr>
              <w:pStyle w:val="Tabletext"/>
            </w:pPr>
            <w:r w:rsidRPr="009E2BBE">
              <w:t xml:space="preserve">Upload </w:t>
            </w:r>
            <w:r w:rsidR="00257394" w:rsidRPr="009E2BBE">
              <w:t xml:space="preserve">training package </w:t>
            </w:r>
            <w:r w:rsidRPr="009E2BBE">
              <w:t>content and publish on TGA</w:t>
            </w:r>
          </w:p>
        </w:tc>
        <w:tc>
          <w:tcPr>
            <w:cnfStyle w:val="000001000000" w:firstRow="0" w:lastRow="0" w:firstColumn="0" w:lastColumn="0" w:oddVBand="0" w:evenVBand="1" w:oddHBand="0" w:evenHBand="0" w:firstRowFirstColumn="0" w:firstRowLastColumn="0" w:lastRowFirstColumn="0" w:lastRowLastColumn="0"/>
            <w:tcW w:w="0" w:type="dxa"/>
          </w:tcPr>
          <w:p w14:paraId="2F3C4F79" w14:textId="77777777" w:rsidR="00EB589D" w:rsidRPr="009E2BBE" w:rsidRDefault="00EB589D" w:rsidP="00A228EE">
            <w:pPr>
              <w:pStyle w:val="Tabletext"/>
            </w:pPr>
            <w:r w:rsidRPr="009E2BBE">
              <w:t>Dept of Education, Skills &amp; Employment</w:t>
            </w:r>
          </w:p>
          <w:p w14:paraId="2050C62B" w14:textId="5E561EAC" w:rsidR="00EB589D" w:rsidRPr="009E2BBE" w:rsidRDefault="00EB589D" w:rsidP="00A228EE">
            <w:pPr>
              <w:pStyle w:val="Tabletext"/>
            </w:pPr>
            <w:r w:rsidRPr="009E2BBE">
              <w:t>COAG Industry and Skills Council</w:t>
            </w:r>
          </w:p>
          <w:p w14:paraId="39BFC207" w14:textId="4A830B2E" w:rsidR="00F80758" w:rsidRPr="009E2BBE" w:rsidRDefault="00F80758" w:rsidP="00A228EE">
            <w:pPr>
              <w:pStyle w:val="Tabletext"/>
            </w:pPr>
            <w:r w:rsidRPr="009E2BBE">
              <w:t>SSO</w:t>
            </w:r>
          </w:p>
        </w:tc>
        <w:tc>
          <w:tcPr>
            <w:cnfStyle w:val="000010000000" w:firstRow="0" w:lastRow="0" w:firstColumn="0" w:lastColumn="0" w:oddVBand="1" w:evenVBand="0" w:oddHBand="0" w:evenHBand="0" w:firstRowFirstColumn="0" w:firstRowLastColumn="0" w:lastRowFirstColumn="0" w:lastRowLastColumn="0"/>
            <w:tcW w:w="4479" w:type="dxa"/>
          </w:tcPr>
          <w:p w14:paraId="18525C1D" w14:textId="25DECB81" w:rsidR="004E2DAB" w:rsidRPr="009E2BBE" w:rsidRDefault="003805DB" w:rsidP="00A228EE">
            <w:pPr>
              <w:pStyle w:val="Tabletext"/>
            </w:pPr>
            <w:r w:rsidRPr="009E2BBE">
              <w:t xml:space="preserve">The AISC </w:t>
            </w:r>
            <w:r w:rsidR="00257394" w:rsidRPr="009E2BBE">
              <w:t>S</w:t>
            </w:r>
            <w:r w:rsidRPr="009E2BBE">
              <w:t xml:space="preserve">ecretariat coordinates </w:t>
            </w:r>
            <w:r w:rsidR="004F1C09" w:rsidRPr="009E2BBE">
              <w:t>skills ministers</w:t>
            </w:r>
            <w:r w:rsidR="00A26B8A" w:rsidRPr="009E2BBE">
              <w:t>’</w:t>
            </w:r>
            <w:r w:rsidR="004F1C09" w:rsidRPr="009E2BBE">
              <w:t xml:space="preserve"> </w:t>
            </w:r>
            <w:r w:rsidRPr="009E2BBE">
              <w:t>endorsement.</w:t>
            </w:r>
          </w:p>
          <w:p w14:paraId="41862B9C" w14:textId="38C4E52F" w:rsidR="003805DB" w:rsidRPr="009E2BBE" w:rsidRDefault="003805DB" w:rsidP="00A228EE">
            <w:pPr>
              <w:pStyle w:val="Tabletext"/>
            </w:pPr>
            <w:r w:rsidRPr="009E2BBE">
              <w:t xml:space="preserve">The SSO finalises the content in the Training Package Content Management System (TPCMS). </w:t>
            </w:r>
            <w:r w:rsidR="00EB589D" w:rsidRPr="009E2BBE">
              <w:t>The SSO notifies</w:t>
            </w:r>
            <w:r w:rsidRPr="009E2BBE">
              <w:t xml:space="preserve"> relevant groups that the </w:t>
            </w:r>
            <w:r w:rsidR="004F1C09" w:rsidRPr="009E2BBE">
              <w:t xml:space="preserve">training package </w:t>
            </w:r>
            <w:r w:rsidRPr="009E2BBE">
              <w:t xml:space="preserve">is now available on </w:t>
            </w:r>
            <w:r w:rsidR="00EB589D" w:rsidRPr="009E2BBE">
              <w:t>the National Training Register (training.gov.au or TGA)</w:t>
            </w:r>
            <w:r w:rsidRPr="009E2BBE">
              <w:t>.</w:t>
            </w:r>
          </w:p>
        </w:tc>
        <w:tc>
          <w:tcPr>
            <w:cnfStyle w:val="000001000000" w:firstRow="0" w:lastRow="0" w:firstColumn="0" w:lastColumn="0" w:oddVBand="0" w:evenVBand="1" w:oddHBand="0" w:evenHBand="0" w:firstRowFirstColumn="0" w:firstRowLastColumn="0" w:lastRowFirstColumn="0" w:lastRowLastColumn="0"/>
            <w:tcW w:w="1077" w:type="dxa"/>
          </w:tcPr>
          <w:p w14:paraId="5343E74C" w14:textId="50B4E808" w:rsidR="004E2DAB" w:rsidRPr="009E2BBE" w:rsidRDefault="004E2DAB" w:rsidP="00A228EE">
            <w:pPr>
              <w:pStyle w:val="Tabletext"/>
            </w:pPr>
            <w:r w:rsidRPr="009E2BBE">
              <w:t>1 to 5 months</w:t>
            </w:r>
          </w:p>
        </w:tc>
      </w:tr>
    </w:tbl>
    <w:p w14:paraId="4C90978D" w14:textId="77307438" w:rsidR="003805DB" w:rsidRPr="009E2BBE" w:rsidRDefault="003805DB" w:rsidP="004E2DAB">
      <w:pPr>
        <w:pStyle w:val="Source"/>
      </w:pPr>
      <w:r w:rsidRPr="009E2BBE">
        <w:t xml:space="preserve">Note: </w:t>
      </w:r>
      <w:r w:rsidR="006F04C8" w:rsidRPr="009E2BBE">
        <w:tab/>
      </w:r>
      <w:r w:rsidRPr="009E2BBE">
        <w:t>It is possible in most stages that reworking or additional information will be needed before approval will be provided. This all contributes to the timeframe.</w:t>
      </w:r>
    </w:p>
    <w:p w14:paraId="16317131" w14:textId="5D268744" w:rsidR="004E2DAB" w:rsidRPr="009E2BBE" w:rsidRDefault="004E2DAB" w:rsidP="004E2DAB">
      <w:pPr>
        <w:pStyle w:val="Source"/>
      </w:pPr>
      <w:r w:rsidRPr="009E2BBE">
        <w:t xml:space="preserve">Source: Derived from information provided in Fyusion </w:t>
      </w:r>
      <w:r w:rsidR="00004380" w:rsidRPr="009E2BBE">
        <w:t>(</w:t>
      </w:r>
      <w:r w:rsidRPr="009E2BBE">
        <w:t>2018</w:t>
      </w:r>
      <w:r w:rsidR="00004380" w:rsidRPr="009E2BBE">
        <w:t>)</w:t>
      </w:r>
      <w:r w:rsidR="007F3AC5" w:rsidRPr="009E2BBE">
        <w:t xml:space="preserve"> and the Training Package Product Development and Endorsement Process Policy 2020</w:t>
      </w:r>
      <w:r w:rsidRPr="009E2BBE">
        <w:t>.</w:t>
      </w:r>
    </w:p>
    <w:p w14:paraId="5CC0260E" w14:textId="44708F39" w:rsidR="004E2DAB" w:rsidRPr="009E2BBE" w:rsidRDefault="002542D4" w:rsidP="00577379">
      <w:pPr>
        <w:pStyle w:val="Text"/>
      </w:pPr>
      <w:r w:rsidRPr="009E2BBE">
        <w:t xml:space="preserve">The timeframes </w:t>
      </w:r>
      <w:r w:rsidR="00004380" w:rsidRPr="009E2BBE">
        <w:t xml:space="preserve">given </w:t>
      </w:r>
      <w:r w:rsidRPr="009E2BBE">
        <w:t xml:space="preserve">in the table above </w:t>
      </w:r>
      <w:r w:rsidR="002533DD" w:rsidRPr="009E2BBE">
        <w:t xml:space="preserve">emphasise </w:t>
      </w:r>
      <w:r w:rsidRPr="009E2BBE">
        <w:t>that some processes</w:t>
      </w:r>
      <w:r w:rsidR="007B3FA6" w:rsidRPr="009E2BBE">
        <w:t>,</w:t>
      </w:r>
      <w:r w:rsidRPr="009E2BBE">
        <w:t xml:space="preserve"> such as developing </w:t>
      </w:r>
      <w:r w:rsidR="007F3AC5" w:rsidRPr="009E2BBE">
        <w:t xml:space="preserve">the case for change </w:t>
      </w:r>
      <w:r w:rsidR="002533DD" w:rsidRPr="009E2BBE">
        <w:t>and</w:t>
      </w:r>
      <w:r w:rsidRPr="009E2BBE">
        <w:t xml:space="preserve"> </w:t>
      </w:r>
      <w:r w:rsidR="007F3AC5" w:rsidRPr="009E2BBE">
        <w:t xml:space="preserve">drafting training package </w:t>
      </w:r>
      <w:r w:rsidRPr="009E2BBE">
        <w:t>products</w:t>
      </w:r>
      <w:r w:rsidR="007B3FA6" w:rsidRPr="009E2BBE">
        <w:t>,</w:t>
      </w:r>
      <w:r w:rsidRPr="009E2BBE">
        <w:t xml:space="preserve"> a</w:t>
      </w:r>
      <w:r w:rsidR="002533DD" w:rsidRPr="009E2BBE">
        <w:t>s well</w:t>
      </w:r>
      <w:r w:rsidRPr="009E2BBE">
        <w:t xml:space="preserve"> </w:t>
      </w:r>
      <w:r w:rsidR="007B3FA6" w:rsidRPr="009E2BBE">
        <w:t xml:space="preserve">as </w:t>
      </w:r>
      <w:r w:rsidRPr="009E2BBE">
        <w:t xml:space="preserve">gathering support and </w:t>
      </w:r>
      <w:r w:rsidR="00004380" w:rsidRPr="009E2BBE">
        <w:t>undertaking</w:t>
      </w:r>
      <w:r w:rsidRPr="009E2BBE">
        <w:t xml:space="preserve"> quality assurance</w:t>
      </w:r>
      <w:r w:rsidR="002533DD" w:rsidRPr="009E2BBE">
        <w:t xml:space="preserve">, </w:t>
      </w:r>
      <w:r w:rsidR="007B3FA6" w:rsidRPr="009E2BBE">
        <w:t xml:space="preserve">can vary in length. </w:t>
      </w:r>
      <w:r w:rsidR="00577379" w:rsidRPr="009E2BBE">
        <w:t xml:space="preserve">The Fyusion report (2018) highlighted several factors </w:t>
      </w:r>
      <w:r w:rsidR="007B3FA6" w:rsidRPr="009E2BBE">
        <w:t xml:space="preserve">impacting </w:t>
      </w:r>
      <w:r w:rsidR="00014D85" w:rsidRPr="009E2BBE">
        <w:t xml:space="preserve">on </w:t>
      </w:r>
      <w:r w:rsidR="007B3FA6" w:rsidRPr="009E2BBE">
        <w:t>timeframes</w:t>
      </w:r>
      <w:r w:rsidR="00E8239C" w:rsidRPr="009E2BBE">
        <w:t>,</w:t>
      </w:r>
      <w:r w:rsidR="007B3FA6" w:rsidRPr="009E2BBE">
        <w:t xml:space="preserve"> </w:t>
      </w:r>
      <w:r w:rsidR="00577379" w:rsidRPr="009E2BBE">
        <w:t>raised by stakeholders</w:t>
      </w:r>
      <w:r w:rsidR="002533DD" w:rsidRPr="009E2BBE">
        <w:t>,</w:t>
      </w:r>
      <w:r w:rsidR="00577379" w:rsidRPr="009E2BBE">
        <w:t xml:space="preserve"> such as:</w:t>
      </w:r>
    </w:p>
    <w:p w14:paraId="6025C825" w14:textId="0C211C72" w:rsidR="00577379" w:rsidRPr="009E2BBE" w:rsidRDefault="00E8239C" w:rsidP="00A6377F">
      <w:pPr>
        <w:pStyle w:val="Quote"/>
        <w:numPr>
          <w:ilvl w:val="0"/>
          <w:numId w:val="44"/>
        </w:numPr>
      </w:pPr>
      <w:r w:rsidRPr="009E2BBE">
        <w:t>t</w:t>
      </w:r>
      <w:r w:rsidR="00577379" w:rsidRPr="009E2BBE">
        <w:t>he complexity of the industry/sector involved, including:</w:t>
      </w:r>
    </w:p>
    <w:p w14:paraId="247C249F" w14:textId="0A830DC0" w:rsidR="00577379" w:rsidRPr="009E2BBE" w:rsidRDefault="007F3AC5" w:rsidP="00A6377F">
      <w:pPr>
        <w:pStyle w:val="Quote"/>
        <w:numPr>
          <w:ilvl w:val="1"/>
          <w:numId w:val="43"/>
        </w:numPr>
      </w:pPr>
      <w:r w:rsidRPr="009E2BBE">
        <w:t>n</w:t>
      </w:r>
      <w:r w:rsidR="00577379" w:rsidRPr="009E2BBE">
        <w:t>umber of stakeholders</w:t>
      </w:r>
    </w:p>
    <w:p w14:paraId="4995BC95" w14:textId="3AAC9954" w:rsidR="00577379" w:rsidRPr="009E2BBE" w:rsidRDefault="007F3AC5" w:rsidP="00A6377F">
      <w:pPr>
        <w:pStyle w:val="Quote"/>
        <w:numPr>
          <w:ilvl w:val="1"/>
          <w:numId w:val="43"/>
        </w:numPr>
      </w:pPr>
      <w:r w:rsidRPr="009E2BBE">
        <w:t>d</w:t>
      </w:r>
      <w:r w:rsidR="00577379" w:rsidRPr="009E2BBE">
        <w:t>iversity of stakeholder groups</w:t>
      </w:r>
    </w:p>
    <w:p w14:paraId="10706B49" w14:textId="5B4329EF" w:rsidR="00577379" w:rsidRPr="009E2BBE" w:rsidRDefault="007F3AC5" w:rsidP="00A6377F">
      <w:pPr>
        <w:pStyle w:val="Quote"/>
        <w:numPr>
          <w:ilvl w:val="1"/>
          <w:numId w:val="43"/>
        </w:numPr>
      </w:pPr>
      <w:r w:rsidRPr="009E2BBE">
        <w:t>g</w:t>
      </w:r>
      <w:r w:rsidR="00577379" w:rsidRPr="009E2BBE">
        <w:t>eographic location of stakeholders</w:t>
      </w:r>
    </w:p>
    <w:p w14:paraId="3515C5D8" w14:textId="35355D25" w:rsidR="00577379" w:rsidRPr="009E2BBE" w:rsidRDefault="007F3AC5" w:rsidP="00A6377F">
      <w:pPr>
        <w:pStyle w:val="Quote"/>
        <w:numPr>
          <w:ilvl w:val="1"/>
          <w:numId w:val="43"/>
        </w:numPr>
      </w:pPr>
      <w:r w:rsidRPr="009E2BBE">
        <w:t>p</w:t>
      </w:r>
      <w:r w:rsidR="00577379" w:rsidRPr="009E2BBE">
        <w:t>rofile of stakeholders</w:t>
      </w:r>
    </w:p>
    <w:p w14:paraId="73C8C904" w14:textId="5E070EAB" w:rsidR="00577379" w:rsidRPr="009E2BBE" w:rsidRDefault="00577379" w:rsidP="00A6377F">
      <w:pPr>
        <w:pStyle w:val="Quote"/>
        <w:ind w:left="1287"/>
      </w:pPr>
      <w:r w:rsidRPr="009E2BBE">
        <w:t xml:space="preserve">For example, an industry largely comprised of small business owners located in remote areas will naturally present challenges for consultation, which may create time delays, compared with an industry comprised </w:t>
      </w:r>
      <w:r w:rsidR="00DB3078" w:rsidRPr="009E2BBE">
        <w:t xml:space="preserve">of </w:t>
      </w:r>
      <w:r w:rsidRPr="009E2BBE">
        <w:t>a small number of large enterprises located in major cities.</w:t>
      </w:r>
    </w:p>
    <w:p w14:paraId="78D49596" w14:textId="29C5193F" w:rsidR="00577379" w:rsidRPr="009E2BBE" w:rsidRDefault="00DB3078" w:rsidP="00A6377F">
      <w:pPr>
        <w:pStyle w:val="Quote"/>
        <w:numPr>
          <w:ilvl w:val="0"/>
          <w:numId w:val="44"/>
        </w:numPr>
      </w:pPr>
      <w:r w:rsidRPr="009E2BBE">
        <w:t>w</w:t>
      </w:r>
      <w:r w:rsidR="00577379" w:rsidRPr="009E2BBE">
        <w:t>hether changes relate to a highly regulated or licensed occupation</w:t>
      </w:r>
    </w:p>
    <w:p w14:paraId="403D6000" w14:textId="5DF5001F" w:rsidR="00577379" w:rsidRPr="009E2BBE" w:rsidRDefault="00DB3078" w:rsidP="00A6377F">
      <w:pPr>
        <w:pStyle w:val="Quote"/>
        <w:numPr>
          <w:ilvl w:val="0"/>
          <w:numId w:val="44"/>
        </w:numPr>
      </w:pPr>
      <w:r w:rsidRPr="009E2BBE">
        <w:t>t</w:t>
      </w:r>
      <w:r w:rsidR="00577379" w:rsidRPr="009E2BBE">
        <w:t xml:space="preserve">he complexity and degree of change being </w:t>
      </w:r>
      <w:proofErr w:type="gramStart"/>
      <w:r w:rsidR="00577379" w:rsidRPr="009E2BBE">
        <w:t>made</w:t>
      </w:r>
      <w:r w:rsidRPr="009E2BBE">
        <w:t>:</w:t>
      </w:r>
      <w:proofErr w:type="gramEnd"/>
      <w:r w:rsidRPr="009E2BBE">
        <w:t xml:space="preserve"> t</w:t>
      </w:r>
      <w:r w:rsidR="00577379" w:rsidRPr="009E2BBE">
        <w:t>his has particularly significant impacts during the implementation phase when RTOs are required to redesign their offerings, update their systems and transition students to new or updated qualifications</w:t>
      </w:r>
    </w:p>
    <w:p w14:paraId="71659124" w14:textId="1EBBE7FD" w:rsidR="00577379" w:rsidRPr="009E2BBE" w:rsidRDefault="00A802AE" w:rsidP="00A6377F">
      <w:pPr>
        <w:pStyle w:val="Quote"/>
        <w:numPr>
          <w:ilvl w:val="0"/>
          <w:numId w:val="44"/>
        </w:numPr>
      </w:pPr>
      <w:r w:rsidRPr="009E2BBE">
        <w:t>t</w:t>
      </w:r>
      <w:r w:rsidR="00577379" w:rsidRPr="009E2BBE">
        <w:t xml:space="preserve">he degree of controversy or dissension around a change to a </w:t>
      </w:r>
      <w:r w:rsidR="007F3AC5" w:rsidRPr="009E2BBE">
        <w:t xml:space="preserve">training package. </w:t>
      </w:r>
      <w:r w:rsidR="00577379" w:rsidRPr="009E2BBE">
        <w:t>SSOs reported that the expectation to align all stakeholders in agreement on changes can create delays in the development of outputs</w:t>
      </w:r>
    </w:p>
    <w:p w14:paraId="6072A667" w14:textId="19F7CBBB" w:rsidR="00577379" w:rsidRPr="009E2BBE" w:rsidRDefault="00A802AE" w:rsidP="00A6377F">
      <w:pPr>
        <w:pStyle w:val="Quote"/>
        <w:numPr>
          <w:ilvl w:val="0"/>
          <w:numId w:val="44"/>
        </w:numPr>
      </w:pPr>
      <w:r w:rsidRPr="009E2BBE">
        <w:t>t</w:t>
      </w:r>
      <w:r w:rsidR="00577379" w:rsidRPr="009E2BBE">
        <w:t>he urgency of the change</w:t>
      </w:r>
      <w:r w:rsidRPr="009E2BBE">
        <w:t>; f</w:t>
      </w:r>
      <w:r w:rsidR="00577379" w:rsidRPr="009E2BBE">
        <w:t xml:space="preserve">or example, changes relating to safety or legislative requirements are generally </w:t>
      </w:r>
      <w:r w:rsidR="00A26B8A" w:rsidRPr="009E2BBE">
        <w:t>‘</w:t>
      </w:r>
      <w:r w:rsidR="00577379" w:rsidRPr="009E2BBE">
        <w:t>fast-tracked</w:t>
      </w:r>
      <w:r w:rsidR="00A26B8A" w:rsidRPr="009E2BBE">
        <w:t>’</w:t>
      </w:r>
      <w:r w:rsidR="00577379" w:rsidRPr="009E2BBE">
        <w:t xml:space="preserve"> through the process, while those with no clear imperative or driver may lag (</w:t>
      </w:r>
      <w:r w:rsidR="00846E0A" w:rsidRPr="009E2BBE">
        <w:t xml:space="preserve">Fyusion 2018, </w:t>
      </w:r>
      <w:r w:rsidR="00577379" w:rsidRPr="009E2BBE">
        <w:t>pp</w:t>
      </w:r>
      <w:r w:rsidR="00846E0A" w:rsidRPr="009E2BBE">
        <w:t>.</w:t>
      </w:r>
      <w:r w:rsidR="00577379" w:rsidRPr="009E2BBE">
        <w:t>29</w:t>
      </w:r>
      <w:r w:rsidR="00846E0A" w:rsidRPr="009E2BBE">
        <w:t>—</w:t>
      </w:r>
      <w:r w:rsidR="00577379" w:rsidRPr="009E2BBE">
        <w:t>30).</w:t>
      </w:r>
    </w:p>
    <w:p w14:paraId="25C0D698" w14:textId="43173600" w:rsidR="002542D4" w:rsidRPr="009E2BBE" w:rsidRDefault="002533DD" w:rsidP="001F6B34">
      <w:pPr>
        <w:pStyle w:val="Text"/>
      </w:pPr>
      <w:r w:rsidRPr="009E2BBE">
        <w:t>Additionally, the numerous opportunities for consultation and multiple points for quality assurance during the process can all contribute to a longer timeframe (Fyusion 2018).</w:t>
      </w:r>
    </w:p>
    <w:p w14:paraId="0172A1F3" w14:textId="77777777" w:rsidR="002536DE" w:rsidRPr="009E2BBE" w:rsidRDefault="002536DE" w:rsidP="002536DE">
      <w:pPr>
        <w:pStyle w:val="Heading3"/>
      </w:pPr>
      <w:r w:rsidRPr="009E2BBE">
        <w:t>Stakeholders involved</w:t>
      </w:r>
    </w:p>
    <w:p w14:paraId="5967B8C3" w14:textId="2A29CD5E" w:rsidR="005646D9" w:rsidRPr="009E2BBE" w:rsidRDefault="005646D9" w:rsidP="005646D9">
      <w:pPr>
        <w:pStyle w:val="Text"/>
      </w:pPr>
      <w:r w:rsidRPr="009E2BBE">
        <w:t xml:space="preserve">The main stakeholders involved in </w:t>
      </w:r>
      <w:r w:rsidR="00EC640C" w:rsidRPr="009E2BBE">
        <w:t xml:space="preserve">the </w:t>
      </w:r>
      <w:r w:rsidR="00EA3747" w:rsidRPr="009E2BBE">
        <w:t>qualification development process</w:t>
      </w:r>
      <w:r w:rsidRPr="009E2BBE">
        <w:t xml:space="preserve"> are:</w:t>
      </w:r>
    </w:p>
    <w:p w14:paraId="11A1B8B6" w14:textId="5F5D5BDC" w:rsidR="005646D9" w:rsidRPr="009E2BBE" w:rsidRDefault="00A228EE" w:rsidP="005646D9">
      <w:pPr>
        <w:pStyle w:val="Dotpoint10"/>
      </w:pPr>
      <w:r w:rsidRPr="009E2BBE">
        <w:t>s</w:t>
      </w:r>
      <w:r w:rsidR="006165F6" w:rsidRPr="009E2BBE">
        <w:t>kill</w:t>
      </w:r>
      <w:r w:rsidR="007F3AC5" w:rsidRPr="009E2BBE">
        <w:t>s</w:t>
      </w:r>
      <w:r w:rsidR="006165F6" w:rsidRPr="009E2BBE">
        <w:t xml:space="preserve"> </w:t>
      </w:r>
      <w:r w:rsidRPr="009E2BBE">
        <w:t>m</w:t>
      </w:r>
      <w:r w:rsidR="006165F6" w:rsidRPr="009E2BBE">
        <w:t>inisters</w:t>
      </w:r>
      <w:r w:rsidR="00EB1DFC" w:rsidRPr="009E2BBE">
        <w:t>,</w:t>
      </w:r>
      <w:r w:rsidR="00507320" w:rsidRPr="009E2BBE">
        <w:t xml:space="preserve"> </w:t>
      </w:r>
      <w:r w:rsidR="00331413" w:rsidRPr="009E2BBE">
        <w:t>wh</w:t>
      </w:r>
      <w:r w:rsidRPr="009E2BBE">
        <w:t>o</w:t>
      </w:r>
      <w:r w:rsidR="00331413" w:rsidRPr="009E2BBE">
        <w:t xml:space="preserve"> </w:t>
      </w:r>
      <w:r w:rsidR="00507320" w:rsidRPr="009E2BBE">
        <w:t>endorse training packages</w:t>
      </w:r>
      <w:r w:rsidR="00CD0C24">
        <w:t xml:space="preserve"> for implementation</w:t>
      </w:r>
    </w:p>
    <w:p w14:paraId="0CD76FE9" w14:textId="2F240F7C" w:rsidR="00507320" w:rsidRPr="009E2BBE" w:rsidRDefault="007F3AC5" w:rsidP="005646D9">
      <w:pPr>
        <w:pStyle w:val="Dotpoint10"/>
      </w:pPr>
      <w:r w:rsidRPr="009E2BBE">
        <w:t xml:space="preserve">the </w:t>
      </w:r>
      <w:r w:rsidR="00507320" w:rsidRPr="009E2BBE">
        <w:t>Australian Industry and Skills Committee</w:t>
      </w:r>
      <w:r w:rsidR="00EB1DFC" w:rsidRPr="009E2BBE">
        <w:t>,</w:t>
      </w:r>
      <w:r w:rsidR="00507320" w:rsidRPr="009E2BBE">
        <w:t xml:space="preserve"> </w:t>
      </w:r>
      <w:r w:rsidR="00331413" w:rsidRPr="009E2BBE">
        <w:t xml:space="preserve">which </w:t>
      </w:r>
      <w:r w:rsidR="00507320" w:rsidRPr="009E2BBE">
        <w:t>commission</w:t>
      </w:r>
      <w:r w:rsidR="0023054C" w:rsidRPr="009E2BBE">
        <w:t>s</w:t>
      </w:r>
      <w:r w:rsidR="00507320" w:rsidRPr="009E2BBE">
        <w:t xml:space="preserve"> training package development and </w:t>
      </w:r>
      <w:r w:rsidR="00CD0C24" w:rsidRPr="00110362">
        <w:t xml:space="preserve">recommends </w:t>
      </w:r>
      <w:r w:rsidR="00507320" w:rsidRPr="00110362">
        <w:t xml:space="preserve">training packages </w:t>
      </w:r>
      <w:r w:rsidR="00537E8B" w:rsidRPr="00110362">
        <w:t>for</w:t>
      </w:r>
      <w:r w:rsidR="00C006E7" w:rsidRPr="00110362">
        <w:t xml:space="preserve"> </w:t>
      </w:r>
      <w:r w:rsidR="00CD0C24" w:rsidRPr="00110362">
        <w:t>endorsement</w:t>
      </w:r>
    </w:p>
    <w:p w14:paraId="75F870FE" w14:textId="59BB79B3" w:rsidR="00507320" w:rsidRPr="009E2BBE" w:rsidRDefault="008D4B77" w:rsidP="005646D9">
      <w:pPr>
        <w:pStyle w:val="Dotpoint10"/>
      </w:pPr>
      <w:r w:rsidRPr="009E2BBE">
        <w:t>industry reference committees, which</w:t>
      </w:r>
      <w:r w:rsidR="004F0CA8" w:rsidRPr="009E2BBE">
        <w:t xml:space="preserve"> </w:t>
      </w:r>
      <w:r w:rsidR="00EB1DFC" w:rsidRPr="009E2BBE">
        <w:t>comprise</w:t>
      </w:r>
      <w:r w:rsidR="00507320" w:rsidRPr="009E2BBE">
        <w:t xml:space="preserve"> industry experts </w:t>
      </w:r>
      <w:r w:rsidR="000C6A12" w:rsidRPr="009E2BBE">
        <w:t>who</w:t>
      </w:r>
      <w:r w:rsidR="00507320" w:rsidRPr="009E2BBE">
        <w:t xml:space="preserve"> help to define the skills that industry requires in training packages.</w:t>
      </w:r>
      <w:r w:rsidR="001F627F" w:rsidRPr="009E2BBE">
        <w:t xml:space="preserve"> </w:t>
      </w:r>
      <w:r w:rsidR="00A228EE" w:rsidRPr="009E2BBE">
        <w:t>It is intended that each committee has u</w:t>
      </w:r>
      <w:r w:rsidR="001F627F" w:rsidRPr="009E2BBE">
        <w:t xml:space="preserve">p to </w:t>
      </w:r>
      <w:r w:rsidR="004F0CA8" w:rsidRPr="009E2BBE">
        <w:t>12</w:t>
      </w:r>
      <w:r w:rsidR="001F627F" w:rsidRPr="009E2BBE">
        <w:t xml:space="preserve"> members</w:t>
      </w:r>
      <w:r w:rsidR="004F0CA8" w:rsidRPr="009E2BBE">
        <w:t>; the</w:t>
      </w:r>
      <w:r w:rsidR="001F627F" w:rsidRPr="009E2BBE">
        <w:t xml:space="preserve"> appointment</w:t>
      </w:r>
      <w:r w:rsidR="00A228EE" w:rsidRPr="009E2BBE">
        <w:t xml:space="preserve"> term</w:t>
      </w:r>
      <w:r w:rsidR="001F627F" w:rsidRPr="009E2BBE">
        <w:t xml:space="preserve"> is three years</w:t>
      </w:r>
      <w:r w:rsidR="004F0CA8" w:rsidRPr="009E2BBE">
        <w:t>,</w:t>
      </w:r>
      <w:r w:rsidR="001F627F" w:rsidRPr="009E2BBE">
        <w:t xml:space="preserve"> with the possibility of re-appointment for one further year (AISC 2019a).</w:t>
      </w:r>
      <w:r w:rsidR="00462102" w:rsidRPr="009E2BBE">
        <w:t xml:space="preserve"> There are currently 67 IRCs listed on the AISC website (AISC 2020b)</w:t>
      </w:r>
    </w:p>
    <w:p w14:paraId="45CD8154" w14:textId="7F6536E5" w:rsidR="00507320" w:rsidRPr="009E2BBE" w:rsidRDefault="00765FE9" w:rsidP="005646D9">
      <w:pPr>
        <w:pStyle w:val="Dotpoint10"/>
      </w:pPr>
      <w:r w:rsidRPr="009E2BBE">
        <w:t>skills service organisations</w:t>
      </w:r>
      <w:r w:rsidR="0014414C" w:rsidRPr="009E2BBE">
        <w:t>, which</w:t>
      </w:r>
      <w:r w:rsidR="00507320" w:rsidRPr="009E2BBE">
        <w:t xml:space="preserve"> support IRCs and help them to undertake training package work</w:t>
      </w:r>
      <w:r w:rsidR="00D6488E" w:rsidRPr="009E2BBE">
        <w:t xml:space="preserve">, such as </w:t>
      </w:r>
      <w:r w:rsidR="00272DBF" w:rsidRPr="009E2BBE">
        <w:t>assisting</w:t>
      </w:r>
      <w:r w:rsidR="00D6488E" w:rsidRPr="009E2BBE">
        <w:t xml:space="preserve"> with consultations, developing training packages and providing technical help</w:t>
      </w:r>
    </w:p>
    <w:p w14:paraId="3743017B" w14:textId="13C66B82" w:rsidR="00507320" w:rsidRPr="009E2BBE" w:rsidRDefault="007F3AC5" w:rsidP="005646D9">
      <w:pPr>
        <w:pStyle w:val="Dotpoint10"/>
      </w:pPr>
      <w:r w:rsidRPr="009E2BBE">
        <w:t>t</w:t>
      </w:r>
      <w:r w:rsidR="00507320" w:rsidRPr="009E2BBE">
        <w:t>he Australian Government</w:t>
      </w:r>
      <w:r w:rsidR="00D6488E" w:rsidRPr="009E2BBE">
        <w:t xml:space="preserve"> </w:t>
      </w:r>
      <w:r w:rsidR="00331413" w:rsidRPr="009E2BBE">
        <w:t>Department of Education, Skills and Employment</w:t>
      </w:r>
      <w:r w:rsidR="00272DBF" w:rsidRPr="009E2BBE">
        <w:t>, which</w:t>
      </w:r>
      <w:r w:rsidR="00331413" w:rsidRPr="009E2BBE">
        <w:t xml:space="preserve"> </w:t>
      </w:r>
      <w:r w:rsidR="00D6488E" w:rsidRPr="009E2BBE">
        <w:t xml:space="preserve">provides support through the AISC </w:t>
      </w:r>
      <w:r w:rsidR="00765FE9" w:rsidRPr="009E2BBE">
        <w:t>S</w:t>
      </w:r>
      <w:r w:rsidR="00D6488E" w:rsidRPr="009E2BBE">
        <w:t xml:space="preserve">ecretariat and to </w:t>
      </w:r>
      <w:r w:rsidR="00766E2F" w:rsidRPr="009E2BBE">
        <w:t xml:space="preserve">the </w:t>
      </w:r>
      <w:r w:rsidR="00D6488E" w:rsidRPr="009E2BBE">
        <w:t>AISC and IRC</w:t>
      </w:r>
      <w:r w:rsidR="000C6A12" w:rsidRPr="009E2BBE">
        <w:t>s</w:t>
      </w:r>
      <w:r w:rsidR="00E71986" w:rsidRPr="009E2BBE">
        <w:t>,</w:t>
      </w:r>
      <w:r w:rsidR="00D6488E" w:rsidRPr="009E2BBE">
        <w:t xml:space="preserve"> as well as funding for SSOs. It also has input into the structure of training packages and engages with stakeholders</w:t>
      </w:r>
    </w:p>
    <w:p w14:paraId="5966822D" w14:textId="43C13830" w:rsidR="00507320" w:rsidRPr="009E2BBE" w:rsidRDefault="007F3AC5" w:rsidP="005646D9">
      <w:pPr>
        <w:pStyle w:val="Dotpoint10"/>
      </w:pPr>
      <w:r w:rsidRPr="009E2BBE">
        <w:t>s</w:t>
      </w:r>
      <w:r w:rsidR="00507320" w:rsidRPr="009E2BBE">
        <w:t xml:space="preserve">tate and </w:t>
      </w:r>
      <w:r w:rsidR="00EB1DFC" w:rsidRPr="009E2BBE">
        <w:t>t</w:t>
      </w:r>
      <w:r w:rsidR="00507320" w:rsidRPr="009E2BBE">
        <w:t xml:space="preserve">erritory </w:t>
      </w:r>
      <w:r w:rsidR="00EB1DFC" w:rsidRPr="009E2BBE">
        <w:t>g</w:t>
      </w:r>
      <w:r w:rsidR="00507320" w:rsidRPr="009E2BBE">
        <w:t>overnments</w:t>
      </w:r>
      <w:r w:rsidR="00331413" w:rsidRPr="009E2BBE">
        <w:t xml:space="preserve">, </w:t>
      </w:r>
      <w:r w:rsidR="00915F68" w:rsidRPr="009E2BBE">
        <w:t xml:space="preserve">which, </w:t>
      </w:r>
      <w:r w:rsidR="00331413" w:rsidRPr="009E2BBE">
        <w:t>through their training authorities,</w:t>
      </w:r>
      <w:r w:rsidR="00D6488E" w:rsidRPr="009E2BBE">
        <w:t xml:space="preserve"> have a role in identifying jurisdictional issues, providing </w:t>
      </w:r>
      <w:proofErr w:type="gramStart"/>
      <w:r w:rsidR="00D6488E" w:rsidRPr="009E2BBE">
        <w:t>advice</w:t>
      </w:r>
      <w:proofErr w:type="gramEnd"/>
      <w:r w:rsidR="00D6488E" w:rsidRPr="009E2BBE">
        <w:t xml:space="preserve"> and influencing the development of training packages. They also monitor the implementation of training packages in their jurisdiction</w:t>
      </w:r>
    </w:p>
    <w:p w14:paraId="07DF43A0" w14:textId="0780699D" w:rsidR="00507320" w:rsidRPr="009E2BBE" w:rsidRDefault="00507320" w:rsidP="005646D9">
      <w:pPr>
        <w:pStyle w:val="Dotpoint10"/>
      </w:pPr>
      <w:r w:rsidRPr="009E2BBE">
        <w:t>VET regulators</w:t>
      </w:r>
      <w:r w:rsidR="00915F68" w:rsidRPr="009E2BBE">
        <w:t>, who</w:t>
      </w:r>
      <w:r w:rsidR="00D6488E" w:rsidRPr="009E2BBE">
        <w:t xml:space="preserve"> regulate the training and assessment practices of </w:t>
      </w:r>
      <w:r w:rsidR="000C6A12" w:rsidRPr="009E2BBE">
        <w:t>registered training organisations</w:t>
      </w:r>
      <w:r w:rsidRPr="009E2BBE">
        <w:t xml:space="preserve"> (</w:t>
      </w:r>
      <w:r w:rsidR="00F47CA4" w:rsidRPr="009E2BBE">
        <w:t>Australian Industry Skills Committee</w:t>
      </w:r>
      <w:r w:rsidRPr="009E2BBE">
        <w:t xml:space="preserve"> 2019</w:t>
      </w:r>
      <w:r w:rsidR="001F627F" w:rsidRPr="009E2BBE">
        <w:t>b</w:t>
      </w:r>
      <w:r w:rsidRPr="009E2BBE">
        <w:t>).</w:t>
      </w:r>
    </w:p>
    <w:p w14:paraId="730DEECA" w14:textId="202300C7" w:rsidR="002533DD" w:rsidRPr="009E2BBE" w:rsidRDefault="002533DD" w:rsidP="001F6B34">
      <w:pPr>
        <w:pStyle w:val="Text"/>
      </w:pPr>
      <w:r w:rsidRPr="009E2BBE">
        <w:t xml:space="preserve">Stakeholder feedback provided in the Fyusion report (2018) points to a decrease in the involvement of RTOs in the development process compared </w:t>
      </w:r>
      <w:r w:rsidR="00331413" w:rsidRPr="009E2BBE">
        <w:t>with</w:t>
      </w:r>
      <w:r w:rsidRPr="009E2BBE">
        <w:t xml:space="preserve"> </w:t>
      </w:r>
      <w:r w:rsidR="007B3FA6" w:rsidRPr="009E2BBE">
        <w:t>earlier processes</w:t>
      </w:r>
      <w:r w:rsidRPr="009E2BBE">
        <w:t>. This can lead to RTOs not understanding the reasons for change</w:t>
      </w:r>
      <w:r w:rsidR="003D2721" w:rsidRPr="009E2BBE">
        <w:t>, which in turn can impact</w:t>
      </w:r>
      <w:r w:rsidR="007B3FA6" w:rsidRPr="009E2BBE">
        <w:t xml:space="preserve"> </w:t>
      </w:r>
      <w:r w:rsidR="00417C37" w:rsidRPr="009E2BBE">
        <w:t xml:space="preserve">on </w:t>
      </w:r>
      <w:r w:rsidR="007B3FA6" w:rsidRPr="009E2BBE">
        <w:t>their</w:t>
      </w:r>
      <w:r w:rsidRPr="009E2BBE">
        <w:t xml:space="preserve"> ability to deliver training</w:t>
      </w:r>
      <w:r w:rsidR="003D2721" w:rsidRPr="009E2BBE">
        <w:t xml:space="preserve"> </w:t>
      </w:r>
      <w:r w:rsidR="00417C37" w:rsidRPr="009E2BBE">
        <w:t>for</w:t>
      </w:r>
      <w:r w:rsidRPr="009E2BBE">
        <w:t xml:space="preserve"> </w:t>
      </w:r>
      <w:r w:rsidR="007B3FA6" w:rsidRPr="009E2BBE">
        <w:t xml:space="preserve">the </w:t>
      </w:r>
      <w:r w:rsidRPr="009E2BBE">
        <w:t xml:space="preserve">new </w:t>
      </w:r>
      <w:r w:rsidR="007B3FA6" w:rsidRPr="009E2BBE">
        <w:t xml:space="preserve">or revised standards </w:t>
      </w:r>
      <w:r w:rsidR="003D2721" w:rsidRPr="009E2BBE">
        <w:t>in line with these objectives</w:t>
      </w:r>
      <w:r w:rsidRPr="009E2BBE">
        <w:t xml:space="preserve">. </w:t>
      </w:r>
      <w:r w:rsidR="007F3AC5" w:rsidRPr="009E2BBE">
        <w:t>However, feedback from SSOs in 2021 suggests that many IRCs feature RTO representatives. This may indicate that RTO involvement has increased since 2018, or that RTO involvement is not transparent to th</w:t>
      </w:r>
      <w:r w:rsidR="00BE2888" w:rsidRPr="009E2BBE">
        <w:t>ose</w:t>
      </w:r>
      <w:r w:rsidR="007F3AC5" w:rsidRPr="009E2BBE">
        <w:t xml:space="preserve"> stakeholders </w:t>
      </w:r>
      <w:r w:rsidR="004351ED" w:rsidRPr="009E2BBE">
        <w:t>who</w:t>
      </w:r>
      <w:r w:rsidR="007F3AC5" w:rsidRPr="009E2BBE">
        <w:t xml:space="preserve"> provided feedback to the Fyusion report. </w:t>
      </w:r>
    </w:p>
    <w:p w14:paraId="28800899" w14:textId="77777777" w:rsidR="00A26DDC" w:rsidRPr="009E2BBE" w:rsidRDefault="00A26DDC">
      <w:pPr>
        <w:spacing w:before="0" w:line="240" w:lineRule="auto"/>
        <w:rPr>
          <w:rFonts w:ascii="Arial" w:hAnsi="Arial" w:cs="Tahoma"/>
          <w:color w:val="000000"/>
          <w:sz w:val="24"/>
        </w:rPr>
      </w:pPr>
      <w:r w:rsidRPr="009E2BBE">
        <w:br w:type="page"/>
      </w:r>
    </w:p>
    <w:p w14:paraId="5DD0B756" w14:textId="17DD8690" w:rsidR="002536DE" w:rsidRPr="009E2BBE" w:rsidRDefault="002536DE" w:rsidP="002536DE">
      <w:pPr>
        <w:pStyle w:val="Heading3"/>
      </w:pPr>
      <w:r w:rsidRPr="009E2BBE">
        <w:t>Speed-to-market</w:t>
      </w:r>
    </w:p>
    <w:p w14:paraId="40F61BAB" w14:textId="40CEDABB" w:rsidR="009E128E" w:rsidRPr="009E2BBE" w:rsidRDefault="009E128E" w:rsidP="009E128E">
      <w:pPr>
        <w:pStyle w:val="Text"/>
      </w:pPr>
      <w:r w:rsidRPr="009E2BBE">
        <w:t xml:space="preserve">Before </w:t>
      </w:r>
      <w:r w:rsidR="000C6A12" w:rsidRPr="009E2BBE">
        <w:t>RTOs</w:t>
      </w:r>
      <w:r w:rsidRPr="009E2BBE">
        <w:t xml:space="preserve"> can begin to deliver newly approved </w:t>
      </w:r>
      <w:r w:rsidR="007F3AC5" w:rsidRPr="009E2BBE">
        <w:t xml:space="preserve">training package </w:t>
      </w:r>
      <w:r w:rsidRPr="009E2BBE">
        <w:t xml:space="preserve">products, a few steps need to </w:t>
      </w:r>
      <w:r w:rsidR="004351ED" w:rsidRPr="009E2BBE">
        <w:t>occur</w:t>
      </w:r>
      <w:r w:rsidRPr="009E2BBE">
        <w:t xml:space="preserve">, outlined in the table below. This process </w:t>
      </w:r>
      <w:r w:rsidR="00006D4E" w:rsidRPr="009E2BBE">
        <w:t xml:space="preserve">was reported to </w:t>
      </w:r>
      <w:r w:rsidRPr="009E2BBE">
        <w:t>take one to three years</w:t>
      </w:r>
      <w:r w:rsidR="00006D4E" w:rsidRPr="009E2BBE">
        <w:t xml:space="preserve"> (Fyusion 2018), although the Standards for RTOs stipulate that delivery of superseded qualifications must cease within 12 months from their release</w:t>
      </w:r>
      <w:r w:rsidR="007F3AC5" w:rsidRPr="009E2BBE">
        <w:t>.</w:t>
      </w:r>
    </w:p>
    <w:p w14:paraId="2FD583D4" w14:textId="74534B91" w:rsidR="009E128E" w:rsidRPr="009E2BBE" w:rsidRDefault="009E128E" w:rsidP="009E128E">
      <w:pPr>
        <w:pStyle w:val="tabletitle"/>
      </w:pPr>
      <w:r w:rsidRPr="009E2BBE">
        <w:t xml:space="preserve">Table </w:t>
      </w:r>
      <w:r w:rsidR="000C6A12" w:rsidRPr="009E2BBE">
        <w:t>2</w:t>
      </w:r>
      <w:r w:rsidRPr="009E2BBE">
        <w:t xml:space="preserve"> </w:t>
      </w:r>
      <w:r w:rsidR="00B47A97" w:rsidRPr="009E2BBE">
        <w:tab/>
      </w:r>
      <w:r w:rsidRPr="009E2BBE">
        <w:t xml:space="preserve">Outline of process from end of development to delivery of </w:t>
      </w:r>
      <w:r w:rsidR="00316F98" w:rsidRPr="009E2BBE">
        <w:t xml:space="preserve">new training package </w:t>
      </w:r>
      <w:r w:rsidRPr="009E2BBE">
        <w:t>products</w:t>
      </w:r>
    </w:p>
    <w:tbl>
      <w:tblPr>
        <w:tblStyle w:val="PlainTable2"/>
        <w:tblW w:w="0" w:type="auto"/>
        <w:tblInd w:w="-5" w:type="dxa"/>
        <w:tblLook w:val="0000" w:firstRow="0" w:lastRow="0" w:firstColumn="0" w:lastColumn="0" w:noHBand="0" w:noVBand="0"/>
      </w:tblPr>
      <w:tblGrid>
        <w:gridCol w:w="1843"/>
        <w:gridCol w:w="1701"/>
        <w:gridCol w:w="4111"/>
        <w:gridCol w:w="1406"/>
      </w:tblGrid>
      <w:tr w:rsidR="009E128E" w:rsidRPr="009E2BBE" w14:paraId="3078C8B3" w14:textId="77777777" w:rsidTr="00A6377F">
        <w:trPr>
          <w:tblHeader/>
        </w:trPr>
        <w:tc>
          <w:tcPr>
            <w:cnfStyle w:val="000010000000" w:firstRow="0" w:lastRow="0" w:firstColumn="0" w:lastColumn="0" w:oddVBand="1" w:evenVBand="0" w:oddHBand="0" w:evenHBand="0" w:firstRowFirstColumn="0" w:firstRowLastColumn="0" w:lastRowFirstColumn="0" w:lastRowLastColumn="0"/>
            <w:tcW w:w="0" w:type="dxa"/>
          </w:tcPr>
          <w:p w14:paraId="2D2F2E97" w14:textId="77777777" w:rsidR="009E128E" w:rsidRPr="009E2BBE" w:rsidRDefault="009E128E" w:rsidP="00F12A23">
            <w:pPr>
              <w:pStyle w:val="Tablehead1"/>
            </w:pPr>
            <w:r w:rsidRPr="009E2BBE">
              <w:t>Stage</w:t>
            </w:r>
          </w:p>
        </w:tc>
        <w:tc>
          <w:tcPr>
            <w:cnfStyle w:val="000001000000" w:firstRow="0" w:lastRow="0" w:firstColumn="0" w:lastColumn="0" w:oddVBand="0" w:evenVBand="1" w:oddHBand="0" w:evenHBand="0" w:firstRowFirstColumn="0" w:firstRowLastColumn="0" w:lastRowFirstColumn="0" w:lastRowLastColumn="0"/>
            <w:tcW w:w="0" w:type="dxa"/>
          </w:tcPr>
          <w:p w14:paraId="061B10C7" w14:textId="77777777" w:rsidR="009E128E" w:rsidRPr="009E2BBE" w:rsidRDefault="009E128E" w:rsidP="00F12A23">
            <w:pPr>
              <w:pStyle w:val="Tablehead1"/>
            </w:pPr>
            <w:r w:rsidRPr="009E2BBE">
              <w:t>Key organisations involved</w:t>
            </w:r>
          </w:p>
        </w:tc>
        <w:tc>
          <w:tcPr>
            <w:cnfStyle w:val="000010000000" w:firstRow="0" w:lastRow="0" w:firstColumn="0" w:lastColumn="0" w:oddVBand="1" w:evenVBand="0" w:oddHBand="0" w:evenHBand="0" w:firstRowFirstColumn="0" w:firstRowLastColumn="0" w:lastRowFirstColumn="0" w:lastRowLastColumn="0"/>
            <w:tcW w:w="0" w:type="dxa"/>
          </w:tcPr>
          <w:p w14:paraId="575F656D" w14:textId="77777777" w:rsidR="009E128E" w:rsidRPr="009E2BBE" w:rsidRDefault="009E128E" w:rsidP="00F12A23">
            <w:pPr>
              <w:pStyle w:val="Tablehead1"/>
            </w:pPr>
            <w:r w:rsidRPr="009E2BBE">
              <w:t>Summary of stage</w:t>
            </w:r>
          </w:p>
        </w:tc>
        <w:tc>
          <w:tcPr>
            <w:cnfStyle w:val="000001000000" w:firstRow="0" w:lastRow="0" w:firstColumn="0" w:lastColumn="0" w:oddVBand="0" w:evenVBand="1" w:oddHBand="0" w:evenHBand="0" w:firstRowFirstColumn="0" w:firstRowLastColumn="0" w:lastRowFirstColumn="0" w:lastRowLastColumn="0"/>
            <w:tcW w:w="0" w:type="dxa"/>
          </w:tcPr>
          <w:p w14:paraId="01C2FD37" w14:textId="5D1D4887" w:rsidR="009E128E" w:rsidRPr="009E2BBE" w:rsidRDefault="00A228EE" w:rsidP="00F12A23">
            <w:pPr>
              <w:pStyle w:val="Tablehead1"/>
            </w:pPr>
            <w:r w:rsidRPr="009E2BBE">
              <w:t>Reported</w:t>
            </w:r>
            <w:r w:rsidR="002B6B88" w:rsidRPr="009E2BBE">
              <w:t xml:space="preserve"> t</w:t>
            </w:r>
            <w:r w:rsidR="009E128E" w:rsidRPr="009E2BBE">
              <w:t>imeframe</w:t>
            </w:r>
          </w:p>
        </w:tc>
      </w:tr>
      <w:tr w:rsidR="009E128E" w:rsidRPr="009E2BBE" w14:paraId="0CA37AFD" w14:textId="77777777" w:rsidTr="00F12A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24B84AD5" w14:textId="59329F51" w:rsidR="009E128E" w:rsidRPr="009E2BBE" w:rsidRDefault="009E128E" w:rsidP="009E128E">
            <w:pPr>
              <w:pStyle w:val="Tabletext"/>
            </w:pPr>
            <w:r w:rsidRPr="009E2BBE">
              <w:t>Develop plan to transition to new/updated training package</w:t>
            </w:r>
          </w:p>
        </w:tc>
        <w:tc>
          <w:tcPr>
            <w:cnfStyle w:val="000001000000" w:firstRow="0" w:lastRow="0" w:firstColumn="0" w:lastColumn="0" w:oddVBand="0" w:evenVBand="1" w:oddHBand="0" w:evenHBand="0" w:firstRowFirstColumn="0" w:firstRowLastColumn="0" w:lastRowFirstColumn="0" w:lastRowLastColumn="0"/>
            <w:tcW w:w="1701" w:type="dxa"/>
          </w:tcPr>
          <w:p w14:paraId="7DB0BD07" w14:textId="77777777" w:rsidR="009E128E" w:rsidRPr="009E2BBE" w:rsidRDefault="009E128E" w:rsidP="009E128E">
            <w:pPr>
              <w:pStyle w:val="Tabletext"/>
            </w:pPr>
            <w:r w:rsidRPr="009E2BBE">
              <w:t>RTO</w:t>
            </w:r>
          </w:p>
          <w:p w14:paraId="1C0A5CBF" w14:textId="06469528" w:rsidR="009E128E" w:rsidRPr="009E2BBE" w:rsidRDefault="00AA3591" w:rsidP="009E128E">
            <w:pPr>
              <w:pStyle w:val="Tabletext"/>
            </w:pPr>
            <w:r w:rsidRPr="009E2BBE">
              <w:t>r</w:t>
            </w:r>
            <w:r w:rsidR="009E128E" w:rsidRPr="009E2BBE">
              <w:t xml:space="preserve">egulators </w:t>
            </w:r>
          </w:p>
        </w:tc>
        <w:tc>
          <w:tcPr>
            <w:cnfStyle w:val="000010000000" w:firstRow="0" w:lastRow="0" w:firstColumn="0" w:lastColumn="0" w:oddVBand="1" w:evenVBand="0" w:oddHBand="0" w:evenHBand="0" w:firstRowFirstColumn="0" w:firstRowLastColumn="0" w:lastRowFirstColumn="0" w:lastRowLastColumn="0"/>
            <w:tcW w:w="4111" w:type="dxa"/>
          </w:tcPr>
          <w:p w14:paraId="042F85FB" w14:textId="44777497" w:rsidR="009E128E" w:rsidRPr="009E2BBE" w:rsidRDefault="009E128E" w:rsidP="009E128E">
            <w:pPr>
              <w:pStyle w:val="Tabletext"/>
            </w:pPr>
            <w:r w:rsidRPr="009E2BBE">
              <w:t xml:space="preserve">RTOs map superseded </w:t>
            </w:r>
            <w:r w:rsidR="00AA3591" w:rsidRPr="009E2BBE">
              <w:t xml:space="preserve">training packages </w:t>
            </w:r>
            <w:r w:rsidR="001420FA" w:rsidRPr="009E2BBE">
              <w:t xml:space="preserve">to the new </w:t>
            </w:r>
            <w:r w:rsidR="00AA3591" w:rsidRPr="009E2BBE">
              <w:t xml:space="preserve">training packages </w:t>
            </w:r>
            <w:r w:rsidRPr="009E2BBE">
              <w:t>and identify gaps. They also need to determine any teach</w:t>
            </w:r>
            <w:r w:rsidR="00722086" w:rsidRPr="009E2BBE">
              <w:t>-</w:t>
            </w:r>
            <w:r w:rsidRPr="009E2BBE">
              <w:t xml:space="preserve">out requirements and decide which training products they will deliver. </w:t>
            </w:r>
            <w:r w:rsidR="00331413" w:rsidRPr="009E2BBE">
              <w:t>The availability of government funding may influence this</w:t>
            </w:r>
            <w:r w:rsidRPr="009E2BBE">
              <w:t>.</w:t>
            </w:r>
          </w:p>
          <w:p w14:paraId="6498DCE8" w14:textId="506607D0" w:rsidR="009E128E" w:rsidRPr="009E2BBE" w:rsidRDefault="009E128E" w:rsidP="009E128E">
            <w:pPr>
              <w:pStyle w:val="Tabletext"/>
            </w:pPr>
            <w:r w:rsidRPr="009E2BBE">
              <w:t xml:space="preserve">If it is not an equivalent </w:t>
            </w:r>
            <w:r w:rsidR="00722086" w:rsidRPr="009E2BBE">
              <w:t>training package</w:t>
            </w:r>
            <w:r w:rsidRPr="009E2BBE">
              <w:t xml:space="preserve">, </w:t>
            </w:r>
            <w:r w:rsidR="00331413" w:rsidRPr="009E2BBE">
              <w:t>RTOs</w:t>
            </w:r>
            <w:r w:rsidRPr="009E2BBE">
              <w:t xml:space="preserve"> will also need to apply to the regulator to </w:t>
            </w:r>
            <w:r w:rsidR="00331413" w:rsidRPr="009E2BBE">
              <w:t xml:space="preserve">have the </w:t>
            </w:r>
            <w:r w:rsidR="00722086" w:rsidRPr="009E2BBE">
              <w:t xml:space="preserve">training package </w:t>
            </w:r>
            <w:r w:rsidR="00331413" w:rsidRPr="009E2BBE">
              <w:t>added to their scope of registration</w:t>
            </w:r>
            <w:r w:rsidRPr="009E2BBE">
              <w:t xml:space="preserve">. The regulator will undertake a risk assessment and either approve or decline </w:t>
            </w:r>
            <w:r w:rsidR="00331413" w:rsidRPr="009E2BBE">
              <w:t>an RTO</w:t>
            </w:r>
            <w:r w:rsidR="00A26B8A" w:rsidRPr="009E2BBE">
              <w:t>’</w:t>
            </w:r>
            <w:r w:rsidR="00331413" w:rsidRPr="009E2BBE">
              <w:t>s</w:t>
            </w:r>
            <w:r w:rsidRPr="009E2BBE">
              <w:t xml:space="preserve"> application.</w:t>
            </w:r>
          </w:p>
        </w:tc>
        <w:tc>
          <w:tcPr>
            <w:cnfStyle w:val="000001000000" w:firstRow="0" w:lastRow="0" w:firstColumn="0" w:lastColumn="0" w:oddVBand="0" w:evenVBand="1" w:oddHBand="0" w:evenHBand="0" w:firstRowFirstColumn="0" w:firstRowLastColumn="0" w:lastRowFirstColumn="0" w:lastRowLastColumn="0"/>
            <w:tcW w:w="1406" w:type="dxa"/>
          </w:tcPr>
          <w:p w14:paraId="575FAE03" w14:textId="565D131C" w:rsidR="009E128E" w:rsidRPr="009E2BBE" w:rsidRDefault="009E128E" w:rsidP="009E128E">
            <w:pPr>
              <w:pStyle w:val="Tabletext"/>
            </w:pPr>
            <w:r w:rsidRPr="009E2BBE">
              <w:t>6 to 12 months</w:t>
            </w:r>
          </w:p>
        </w:tc>
      </w:tr>
      <w:tr w:rsidR="009E128E" w:rsidRPr="009E2BBE" w14:paraId="549B311E" w14:textId="77777777" w:rsidTr="00F12A23">
        <w:tc>
          <w:tcPr>
            <w:cnfStyle w:val="000010000000" w:firstRow="0" w:lastRow="0" w:firstColumn="0" w:lastColumn="0" w:oddVBand="1" w:evenVBand="0" w:oddHBand="0" w:evenHBand="0" w:firstRowFirstColumn="0" w:firstRowLastColumn="0" w:lastRowFirstColumn="0" w:lastRowLastColumn="0"/>
            <w:tcW w:w="1843" w:type="dxa"/>
          </w:tcPr>
          <w:p w14:paraId="76B203D7" w14:textId="0616BF4B" w:rsidR="009E128E" w:rsidRPr="009E2BBE" w:rsidRDefault="009E128E" w:rsidP="009E128E">
            <w:pPr>
              <w:pStyle w:val="Tabletext"/>
            </w:pPr>
            <w:r w:rsidRPr="009E2BBE">
              <w:t xml:space="preserve">Update </w:t>
            </w:r>
            <w:proofErr w:type="gramStart"/>
            <w:r w:rsidRPr="009E2BBE">
              <w:t>scope;</w:t>
            </w:r>
            <w:proofErr w:type="gramEnd"/>
            <w:r w:rsidRPr="009E2BBE">
              <w:t xml:space="preserve"> redesign, pilot and publicise new offering</w:t>
            </w:r>
          </w:p>
        </w:tc>
        <w:tc>
          <w:tcPr>
            <w:cnfStyle w:val="000001000000" w:firstRow="0" w:lastRow="0" w:firstColumn="0" w:lastColumn="0" w:oddVBand="0" w:evenVBand="1" w:oddHBand="0" w:evenHBand="0" w:firstRowFirstColumn="0" w:firstRowLastColumn="0" w:lastRowFirstColumn="0" w:lastRowLastColumn="0"/>
            <w:tcW w:w="1701" w:type="dxa"/>
          </w:tcPr>
          <w:p w14:paraId="0495A927" w14:textId="2ACB4FA5" w:rsidR="009E128E" w:rsidRPr="009E2BBE" w:rsidRDefault="009E128E" w:rsidP="009E128E">
            <w:pPr>
              <w:pStyle w:val="Tabletext"/>
            </w:pPr>
            <w:r w:rsidRPr="009E2BBE">
              <w:t>RTO</w:t>
            </w:r>
          </w:p>
        </w:tc>
        <w:tc>
          <w:tcPr>
            <w:cnfStyle w:val="000010000000" w:firstRow="0" w:lastRow="0" w:firstColumn="0" w:lastColumn="0" w:oddVBand="1" w:evenVBand="0" w:oddHBand="0" w:evenHBand="0" w:firstRowFirstColumn="0" w:firstRowLastColumn="0" w:lastRowFirstColumn="0" w:lastRowLastColumn="0"/>
            <w:tcW w:w="4111" w:type="dxa"/>
          </w:tcPr>
          <w:p w14:paraId="5705E44B" w14:textId="512CA45B" w:rsidR="00577379" w:rsidRPr="009E2BBE" w:rsidRDefault="009B5774" w:rsidP="00577379">
            <w:pPr>
              <w:pStyle w:val="Tabletext"/>
            </w:pPr>
            <w:r w:rsidRPr="009E2BBE">
              <w:t xml:space="preserve">RTOs need to </w:t>
            </w:r>
            <w:r w:rsidR="006165F6" w:rsidRPr="009E2BBE">
              <w:t>update</w:t>
            </w:r>
            <w:r w:rsidRPr="009E2BBE">
              <w:t xml:space="preserve"> offerings</w:t>
            </w:r>
            <w:r w:rsidR="006165F6" w:rsidRPr="009E2BBE">
              <w:t xml:space="preserve"> in line with changes to national training products</w:t>
            </w:r>
            <w:r w:rsidRPr="009E2BBE">
              <w:t>, including developing materials and ensuring they have adequate resources, staffing and skills</w:t>
            </w:r>
            <w:r w:rsidR="00331413" w:rsidRPr="009E2BBE">
              <w:t>,</w:t>
            </w:r>
            <w:r w:rsidRPr="009E2BBE">
              <w:t xml:space="preserve"> to deliver new requirements.</w:t>
            </w:r>
          </w:p>
          <w:p w14:paraId="0AC74AF1" w14:textId="44E4972E" w:rsidR="009B5774" w:rsidRPr="009E2BBE" w:rsidRDefault="009B5774" w:rsidP="009B5774">
            <w:pPr>
              <w:pStyle w:val="Tabletext"/>
            </w:pPr>
            <w:r w:rsidRPr="009E2BBE">
              <w:t xml:space="preserve">The RTO </w:t>
            </w:r>
            <w:r w:rsidR="001420FA" w:rsidRPr="009E2BBE">
              <w:t>processes their change of scope application through</w:t>
            </w:r>
            <w:r w:rsidRPr="009E2BBE">
              <w:t xml:space="preserve"> ASQAnet and</w:t>
            </w:r>
            <w:r w:rsidR="00F25A0D" w:rsidRPr="009E2BBE">
              <w:t>,</w:t>
            </w:r>
            <w:r w:rsidRPr="009E2BBE">
              <w:t xml:space="preserve"> </w:t>
            </w:r>
            <w:r w:rsidR="001420FA" w:rsidRPr="009E2BBE">
              <w:t xml:space="preserve">once approved, </w:t>
            </w:r>
            <w:r w:rsidRPr="009E2BBE">
              <w:t>TGA is updated.</w:t>
            </w:r>
          </w:p>
          <w:p w14:paraId="1E5F249E" w14:textId="28E8C49C" w:rsidR="009B5774" w:rsidRPr="009E2BBE" w:rsidRDefault="009B5774" w:rsidP="009B5774">
            <w:pPr>
              <w:pStyle w:val="Tabletext"/>
            </w:pPr>
            <w:r w:rsidRPr="009E2BBE">
              <w:t xml:space="preserve">Students are notified of requirements and benefits of transitioning to the new or replacement </w:t>
            </w:r>
            <w:r w:rsidR="00F25A0D" w:rsidRPr="009E2BBE">
              <w:t>training package product.</w:t>
            </w:r>
          </w:p>
        </w:tc>
        <w:tc>
          <w:tcPr>
            <w:cnfStyle w:val="000001000000" w:firstRow="0" w:lastRow="0" w:firstColumn="0" w:lastColumn="0" w:oddVBand="0" w:evenVBand="1" w:oddHBand="0" w:evenHBand="0" w:firstRowFirstColumn="0" w:firstRowLastColumn="0" w:lastRowFirstColumn="0" w:lastRowLastColumn="0"/>
            <w:tcW w:w="1406" w:type="dxa"/>
          </w:tcPr>
          <w:p w14:paraId="430C941F" w14:textId="54BB2882" w:rsidR="009E128E" w:rsidRPr="009E2BBE" w:rsidRDefault="009E128E" w:rsidP="009E128E">
            <w:pPr>
              <w:pStyle w:val="Tabletext"/>
            </w:pPr>
            <w:r w:rsidRPr="009E2BBE">
              <w:t>6 to 24 months</w:t>
            </w:r>
          </w:p>
        </w:tc>
      </w:tr>
      <w:tr w:rsidR="009E128E" w:rsidRPr="009E2BBE" w14:paraId="59587F02" w14:textId="77777777" w:rsidTr="00F12A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577017A5" w14:textId="31B5640F" w:rsidR="009E128E" w:rsidRPr="009E2BBE" w:rsidRDefault="009E128E" w:rsidP="009E128E">
            <w:pPr>
              <w:pStyle w:val="Tabletext"/>
            </w:pPr>
            <w:r w:rsidRPr="009E2BBE">
              <w:t>Begin teaching based on new package content</w:t>
            </w:r>
          </w:p>
        </w:tc>
        <w:tc>
          <w:tcPr>
            <w:cnfStyle w:val="000001000000" w:firstRow="0" w:lastRow="0" w:firstColumn="0" w:lastColumn="0" w:oddVBand="0" w:evenVBand="1" w:oddHBand="0" w:evenHBand="0" w:firstRowFirstColumn="0" w:firstRowLastColumn="0" w:lastRowFirstColumn="0" w:lastRowLastColumn="0"/>
            <w:tcW w:w="1701" w:type="dxa"/>
          </w:tcPr>
          <w:p w14:paraId="0247F21A" w14:textId="5039AC14" w:rsidR="009E128E" w:rsidRPr="009E2BBE" w:rsidRDefault="009E128E" w:rsidP="009E128E">
            <w:pPr>
              <w:pStyle w:val="Tabletext"/>
            </w:pPr>
            <w:r w:rsidRPr="009E2BBE">
              <w:t>RTO</w:t>
            </w:r>
          </w:p>
        </w:tc>
        <w:tc>
          <w:tcPr>
            <w:cnfStyle w:val="000010000000" w:firstRow="0" w:lastRow="0" w:firstColumn="0" w:lastColumn="0" w:oddVBand="1" w:evenVBand="0" w:oddHBand="0" w:evenHBand="0" w:firstRowFirstColumn="0" w:firstRowLastColumn="0" w:lastRowFirstColumn="0" w:lastRowLastColumn="0"/>
            <w:tcW w:w="4111" w:type="dxa"/>
          </w:tcPr>
          <w:p w14:paraId="1D1F7297" w14:textId="08EE8533" w:rsidR="009E128E" w:rsidRPr="009E2BBE" w:rsidRDefault="009E128E" w:rsidP="009E128E">
            <w:pPr>
              <w:pStyle w:val="Tabletext"/>
            </w:pPr>
            <w:r w:rsidRPr="009E2BBE">
              <w:t xml:space="preserve">Student engagement with </w:t>
            </w:r>
            <w:r w:rsidR="001420FA" w:rsidRPr="009E2BBE">
              <w:t xml:space="preserve">the </w:t>
            </w:r>
            <w:r w:rsidRPr="009E2BBE">
              <w:t xml:space="preserve">new or updated </w:t>
            </w:r>
            <w:r w:rsidR="00F25A0D" w:rsidRPr="009E2BBE">
              <w:t xml:space="preserve">training package </w:t>
            </w:r>
            <w:r w:rsidRPr="009E2BBE">
              <w:t>begins.</w:t>
            </w:r>
          </w:p>
        </w:tc>
        <w:tc>
          <w:tcPr>
            <w:cnfStyle w:val="000001000000" w:firstRow="0" w:lastRow="0" w:firstColumn="0" w:lastColumn="0" w:oddVBand="0" w:evenVBand="1" w:oddHBand="0" w:evenHBand="0" w:firstRowFirstColumn="0" w:firstRowLastColumn="0" w:lastRowFirstColumn="0" w:lastRowLastColumn="0"/>
            <w:tcW w:w="1406" w:type="dxa"/>
          </w:tcPr>
          <w:p w14:paraId="5A7BC59A" w14:textId="77777777" w:rsidR="009E128E" w:rsidRPr="009E2BBE" w:rsidRDefault="009E128E" w:rsidP="009E128E">
            <w:pPr>
              <w:pStyle w:val="Tabletext"/>
            </w:pPr>
          </w:p>
        </w:tc>
      </w:tr>
    </w:tbl>
    <w:p w14:paraId="2DDFAEE8" w14:textId="7C9B047D" w:rsidR="009E128E" w:rsidRPr="009E2BBE" w:rsidRDefault="009E128E" w:rsidP="009E128E">
      <w:pPr>
        <w:pStyle w:val="Source"/>
      </w:pPr>
      <w:r w:rsidRPr="009E2BBE">
        <w:t>Source: Derived from information provided in Fyusion</w:t>
      </w:r>
      <w:r w:rsidR="00F25A0D" w:rsidRPr="009E2BBE">
        <w:t xml:space="preserve"> (</w:t>
      </w:r>
      <w:r w:rsidRPr="009E2BBE">
        <w:t>2018</w:t>
      </w:r>
      <w:r w:rsidR="00F25A0D" w:rsidRPr="009E2BBE">
        <w:t>)</w:t>
      </w:r>
      <w:r w:rsidRPr="009E2BBE">
        <w:t>.</w:t>
      </w:r>
    </w:p>
    <w:p w14:paraId="3A06E415" w14:textId="737F4B93" w:rsidR="002536DE" w:rsidRPr="009E2BBE" w:rsidRDefault="002536DE" w:rsidP="002536DE">
      <w:pPr>
        <w:pStyle w:val="Heading2"/>
      </w:pPr>
      <w:bookmarkStart w:id="32" w:name="_Toc65741355"/>
      <w:r w:rsidRPr="009E2BBE">
        <w:t>Qualification design</w:t>
      </w:r>
      <w:bookmarkEnd w:id="32"/>
      <w:r w:rsidRPr="009E2BBE">
        <w:t xml:space="preserve"> </w:t>
      </w:r>
    </w:p>
    <w:p w14:paraId="7583385E" w14:textId="1572E363" w:rsidR="00C96C63" w:rsidRPr="009E2BBE" w:rsidRDefault="00C96C63" w:rsidP="00C96C63">
      <w:pPr>
        <w:pStyle w:val="Text"/>
      </w:pPr>
      <w:r w:rsidRPr="009E2BBE">
        <w:t xml:space="preserve">The Standards for Training Packages outline the different components of </w:t>
      </w:r>
      <w:r w:rsidR="00716C61" w:rsidRPr="009E2BBE">
        <w:t xml:space="preserve">training packages </w:t>
      </w:r>
      <w:r w:rsidRPr="009E2BBE">
        <w:t xml:space="preserve">and what they </w:t>
      </w:r>
      <w:proofErr w:type="gramStart"/>
      <w:r w:rsidRPr="009E2BBE">
        <w:t>entail</w:t>
      </w:r>
      <w:r w:rsidR="00711A97" w:rsidRPr="009E2BBE">
        <w:t>, and</w:t>
      </w:r>
      <w:proofErr w:type="gramEnd"/>
      <w:r w:rsidR="00711A97" w:rsidRPr="009E2BBE">
        <w:t xml:space="preserve"> provides templates</w:t>
      </w:r>
      <w:r w:rsidRPr="009E2BBE">
        <w:t xml:space="preserve"> (</w:t>
      </w:r>
      <w:r w:rsidR="000C6A12" w:rsidRPr="009E2BBE">
        <w:t xml:space="preserve">Australian </w:t>
      </w:r>
      <w:r w:rsidRPr="009E2BBE">
        <w:t xml:space="preserve">Department of </w:t>
      </w:r>
      <w:r w:rsidR="00043AA6" w:rsidRPr="009E2BBE">
        <w:t>Industry</w:t>
      </w:r>
      <w:r w:rsidRPr="009E2BBE">
        <w:t xml:space="preserve"> 201</w:t>
      </w:r>
      <w:r w:rsidR="00043AA6" w:rsidRPr="009E2BBE">
        <w:t>2</w:t>
      </w:r>
      <w:r w:rsidRPr="009E2BBE">
        <w:t>). These components are:</w:t>
      </w:r>
    </w:p>
    <w:p w14:paraId="1CF03053" w14:textId="550AE300" w:rsidR="00C96C63" w:rsidRPr="009E2BBE" w:rsidRDefault="00716C61" w:rsidP="00C96C63">
      <w:pPr>
        <w:pStyle w:val="Dotpoint10"/>
      </w:pPr>
      <w:r w:rsidRPr="009E2BBE">
        <w:t>u</w:t>
      </w:r>
      <w:r w:rsidR="00C96C63" w:rsidRPr="009E2BBE">
        <w:t>nits of competency</w:t>
      </w:r>
      <w:r w:rsidR="001736DA" w:rsidRPr="009E2BBE">
        <w:t>, which</w:t>
      </w:r>
      <w:r w:rsidR="00164BA0" w:rsidRPr="009E2BBE">
        <w:t xml:space="preserve"> specify the standards of performance in the workplace needed</w:t>
      </w:r>
    </w:p>
    <w:p w14:paraId="64C3105E" w14:textId="38191293" w:rsidR="00C96C63" w:rsidRPr="009E2BBE" w:rsidRDefault="00716C61" w:rsidP="00C96C63">
      <w:pPr>
        <w:pStyle w:val="Dotpoint10"/>
      </w:pPr>
      <w:r w:rsidRPr="009E2BBE">
        <w:t>a</w:t>
      </w:r>
      <w:r w:rsidR="00C96C63" w:rsidRPr="009E2BBE">
        <w:t>ssessment requirements</w:t>
      </w:r>
      <w:r w:rsidR="001736DA" w:rsidRPr="009E2BBE">
        <w:t>, which</w:t>
      </w:r>
      <w:r w:rsidR="000C6A12" w:rsidRPr="009E2BBE">
        <w:t xml:space="preserve"> </w:t>
      </w:r>
      <w:r w:rsidR="00164BA0" w:rsidRPr="009E2BBE">
        <w:t>outline the evidence and conditions required for assessment</w:t>
      </w:r>
    </w:p>
    <w:p w14:paraId="4D4C7435" w14:textId="52D6A318" w:rsidR="00C96C63" w:rsidRPr="009E2BBE" w:rsidRDefault="00716C61" w:rsidP="00C96C63">
      <w:pPr>
        <w:pStyle w:val="Dotpoint10"/>
      </w:pPr>
      <w:r w:rsidRPr="009E2BBE">
        <w:t>q</w:t>
      </w:r>
      <w:r w:rsidR="00C96C63" w:rsidRPr="009E2BBE">
        <w:t>ualifications</w:t>
      </w:r>
      <w:r w:rsidR="001736DA" w:rsidRPr="009E2BBE">
        <w:t>, which</w:t>
      </w:r>
      <w:r w:rsidR="000C6A12" w:rsidRPr="009E2BBE">
        <w:t xml:space="preserve"> </w:t>
      </w:r>
      <w:r w:rsidR="00164BA0" w:rsidRPr="009E2BBE">
        <w:t xml:space="preserve">need to comply with the Australian Qualifications Framework </w:t>
      </w:r>
      <w:r w:rsidR="0024790E" w:rsidRPr="009E2BBE">
        <w:t xml:space="preserve">(AQF) </w:t>
      </w:r>
      <w:r w:rsidR="00164BA0" w:rsidRPr="009E2BBE">
        <w:t>specifications</w:t>
      </w:r>
    </w:p>
    <w:p w14:paraId="6EA7A670" w14:textId="0F3BB92F" w:rsidR="00C96C63" w:rsidRPr="009E2BBE" w:rsidRDefault="00716C61" w:rsidP="00C96C63">
      <w:pPr>
        <w:pStyle w:val="Dotpoint10"/>
      </w:pPr>
      <w:r w:rsidRPr="009E2BBE">
        <w:t>c</w:t>
      </w:r>
      <w:r w:rsidR="00C96C63" w:rsidRPr="009E2BBE">
        <w:t xml:space="preserve">redit </w:t>
      </w:r>
      <w:r w:rsidRPr="009E2BBE">
        <w:t>a</w:t>
      </w:r>
      <w:r w:rsidR="00C96C63" w:rsidRPr="009E2BBE">
        <w:t>rrangements</w:t>
      </w:r>
      <w:r w:rsidR="001736DA" w:rsidRPr="009E2BBE">
        <w:t>, which</w:t>
      </w:r>
      <w:r w:rsidR="00164BA0" w:rsidRPr="009E2BBE">
        <w:t xml:space="preserve"> list the arrangements between </w:t>
      </w:r>
      <w:r w:rsidRPr="009E2BBE">
        <w:t xml:space="preserve">training package </w:t>
      </w:r>
      <w:r w:rsidR="00164BA0" w:rsidRPr="009E2BBE">
        <w:t xml:space="preserve">qualifications and also </w:t>
      </w:r>
      <w:r w:rsidRPr="009E2BBE">
        <w:t>higher education q</w:t>
      </w:r>
      <w:r w:rsidR="00164BA0" w:rsidRPr="009E2BBE">
        <w:t>ualifications for credit</w:t>
      </w:r>
    </w:p>
    <w:p w14:paraId="3E5544EC" w14:textId="2BBFF9C6" w:rsidR="00C96C63" w:rsidRPr="009E2BBE" w:rsidRDefault="00716C61" w:rsidP="00C96C63">
      <w:pPr>
        <w:pStyle w:val="Dotpoint10"/>
      </w:pPr>
      <w:r w:rsidRPr="009E2BBE">
        <w:t>c</w:t>
      </w:r>
      <w:r w:rsidR="00C96C63" w:rsidRPr="009E2BBE">
        <w:t>ompanion volumes</w:t>
      </w:r>
      <w:r w:rsidR="001736DA" w:rsidRPr="009E2BBE">
        <w:t>, which</w:t>
      </w:r>
      <w:r w:rsidR="00164BA0" w:rsidRPr="009E2BBE">
        <w:t xml:space="preserve"> </w:t>
      </w:r>
      <w:r w:rsidR="0024790E" w:rsidRPr="009E2BBE">
        <w:t xml:space="preserve">are </w:t>
      </w:r>
      <w:r w:rsidR="00164BA0" w:rsidRPr="009E2BBE">
        <w:t>implementation guides for stakeholders and must be quality</w:t>
      </w:r>
      <w:r w:rsidR="002B029B" w:rsidRPr="009E2BBE">
        <w:t>-</w:t>
      </w:r>
      <w:r w:rsidR="00164BA0" w:rsidRPr="009E2BBE">
        <w:t>assured</w:t>
      </w:r>
      <w:r w:rsidR="00C96C63" w:rsidRPr="009E2BBE">
        <w:t xml:space="preserve"> (</w:t>
      </w:r>
      <w:r w:rsidR="000C6A12" w:rsidRPr="009E2BBE">
        <w:t xml:space="preserve">Australian </w:t>
      </w:r>
      <w:r w:rsidR="00C96C63" w:rsidRPr="009E2BBE">
        <w:t xml:space="preserve">Department of </w:t>
      </w:r>
      <w:r w:rsidR="00043AA6" w:rsidRPr="009E2BBE">
        <w:t>Industry</w:t>
      </w:r>
      <w:r w:rsidR="00C96C63" w:rsidRPr="009E2BBE">
        <w:t xml:space="preserve"> 201</w:t>
      </w:r>
      <w:r w:rsidR="00043AA6" w:rsidRPr="009E2BBE">
        <w:t>2</w:t>
      </w:r>
      <w:r w:rsidR="00164BA0" w:rsidRPr="009E2BBE">
        <w:t>, pp.5</w:t>
      </w:r>
      <w:r w:rsidR="002B029B" w:rsidRPr="009E2BBE">
        <w:t>—</w:t>
      </w:r>
      <w:r w:rsidR="00164BA0" w:rsidRPr="009E2BBE">
        <w:t>6</w:t>
      </w:r>
      <w:r w:rsidR="00C96C63" w:rsidRPr="009E2BBE">
        <w:t>).</w:t>
      </w:r>
    </w:p>
    <w:p w14:paraId="553B5511" w14:textId="70BCEFB2" w:rsidR="007C1383" w:rsidRPr="009E2BBE" w:rsidRDefault="007C1383" w:rsidP="007C1383">
      <w:pPr>
        <w:pStyle w:val="Heading3"/>
      </w:pPr>
      <w:r w:rsidRPr="009E2BBE">
        <w:t>Specificity of qualifications</w:t>
      </w:r>
    </w:p>
    <w:p w14:paraId="26D58881" w14:textId="38AA110C" w:rsidR="002D5112" w:rsidRPr="009E2BBE" w:rsidRDefault="00047444" w:rsidP="000034FB">
      <w:pPr>
        <w:pStyle w:val="Text"/>
        <w:rPr>
          <w:rFonts w:ascii="Arial" w:hAnsi="Arial" w:cs="Tahoma"/>
          <w:kern w:val="28"/>
          <w:sz w:val="44"/>
          <w:szCs w:val="56"/>
        </w:rPr>
      </w:pPr>
      <w:r w:rsidRPr="009E2BBE">
        <w:t xml:space="preserve">Each training package qualification in Australia is assigned to </w:t>
      </w:r>
      <w:r w:rsidR="007C1383" w:rsidRPr="009E2BBE">
        <w:t xml:space="preserve">an Australian and New Zealand Standard Classification of Occupations (ANZSCO) code, meaning that an intended occupation can be derived from </w:t>
      </w:r>
      <w:r w:rsidR="00C1542E" w:rsidRPr="009E2BBE">
        <w:t>the qualification</w:t>
      </w:r>
      <w:r w:rsidR="007C1383" w:rsidRPr="009E2BBE">
        <w:t xml:space="preserve"> (Wibrow 2014).</w:t>
      </w:r>
      <w:r w:rsidRPr="009E2BBE">
        <w:t xml:space="preserve"> They also need to demonstrate a job outcome.</w:t>
      </w:r>
      <w:r w:rsidR="007C1383" w:rsidRPr="009E2BBE">
        <w:t xml:space="preserve"> </w:t>
      </w:r>
    </w:p>
    <w:p w14:paraId="7D09661C" w14:textId="4D377E63" w:rsidR="002D5112" w:rsidRPr="009E2BBE" w:rsidRDefault="002D5112" w:rsidP="008D1E6E">
      <w:pPr>
        <w:pStyle w:val="Text"/>
        <w:rPr>
          <w:rFonts w:ascii="Arial" w:hAnsi="Arial" w:cs="Tahoma"/>
          <w:color w:val="000000"/>
          <w:kern w:val="28"/>
          <w:sz w:val="44"/>
          <w:szCs w:val="56"/>
        </w:rPr>
      </w:pPr>
    </w:p>
    <w:p w14:paraId="76E5FD17" w14:textId="77777777" w:rsidR="008E46A2" w:rsidRPr="009E2BBE" w:rsidRDefault="008E46A2" w:rsidP="008E46A2">
      <w:pPr>
        <w:pStyle w:val="Heading1"/>
      </w:pPr>
      <w:bookmarkStart w:id="33" w:name="_Toc50622094"/>
      <w:bookmarkStart w:id="34" w:name="_Toc65741356"/>
      <w:r w:rsidRPr="009E2BBE">
        <w:t>Canada</w:t>
      </w:r>
      <w:bookmarkEnd w:id="33"/>
      <w:bookmarkEnd w:id="34"/>
    </w:p>
    <w:p w14:paraId="702B51F7" w14:textId="77777777" w:rsidR="008E46A2" w:rsidRPr="009E2BBE" w:rsidRDefault="008E46A2" w:rsidP="008E46A2">
      <w:pPr>
        <w:pStyle w:val="Heading2"/>
      </w:pPr>
      <w:bookmarkStart w:id="35" w:name="_Toc50622095"/>
      <w:bookmarkStart w:id="36" w:name="_Toc65741357"/>
      <w:r w:rsidRPr="009E2BBE">
        <w:t>Overview</w:t>
      </w:r>
      <w:bookmarkEnd w:id="35"/>
      <w:bookmarkEnd w:id="36"/>
    </w:p>
    <w:p w14:paraId="48F45F40" w14:textId="0E428918" w:rsidR="008E46A2" w:rsidRPr="009E2BBE" w:rsidRDefault="008E46A2" w:rsidP="008E46A2">
      <w:pPr>
        <w:pStyle w:val="Text"/>
      </w:pPr>
      <w:r w:rsidRPr="009E2BBE">
        <w:t xml:space="preserve">Canada has a devolved federation and each of its </w:t>
      </w:r>
      <w:r w:rsidR="008470E7" w:rsidRPr="009E2BBE">
        <w:t>10</w:t>
      </w:r>
      <w:r w:rsidRPr="009E2BBE">
        <w:t xml:space="preserve"> provincial and three territorial governments maintain</w:t>
      </w:r>
      <w:r w:rsidR="00F745B6" w:rsidRPr="009E2BBE">
        <w:t>s</w:t>
      </w:r>
      <w:r w:rsidRPr="009E2BBE">
        <w:t xml:space="preserve"> independent vocational education systems. There are large differences in how the system</w:t>
      </w:r>
      <w:r w:rsidR="000C6A12" w:rsidRPr="009E2BBE">
        <w:t>s</w:t>
      </w:r>
      <w:r w:rsidRPr="009E2BBE">
        <w:t xml:space="preserve"> are organised. The federal government</w:t>
      </w:r>
      <w:r w:rsidR="00A26B8A" w:rsidRPr="009E2BBE">
        <w:t>’</w:t>
      </w:r>
      <w:r w:rsidRPr="009E2BBE">
        <w:t xml:space="preserve">s influence is limited to research funding, student fee assistance and some workforce training. A national body, the Council of Ministers of Education (CMEC) comprises representatives from each province and territory but appears to have limited influence in provincial matters </w:t>
      </w:r>
      <w:r w:rsidRPr="009E2BBE">
        <w:fldChar w:fldCharType="begin"/>
      </w:r>
      <w:r w:rsidR="00426A80" w:rsidRPr="009E2BBE">
        <w:instrText xml:space="preserve"> ADDIN EN.CITE &lt;EndNote&gt;&lt;Cite&gt;&lt;Author&gt;Arnold&lt;/Author&gt;&lt;Year&gt;2018&lt;/Year&gt;&lt;RecNum&gt;72&lt;/RecNum&gt;&lt;DisplayText&gt;(Arnold et al. 2018, 125-143)&lt;/DisplayText&gt;&lt;record&gt;&lt;rec-number&gt;72&lt;/rec-number&gt;&lt;foreign-keys&gt;&lt;key app="EN" db-id="9ze0v2p5ut9294eed99p2s2tzvzzwsadrf2t" timestamp="1599018227"&gt;72&lt;/key&gt;&lt;/foreign-keys&gt;&lt;ref-type name="Journal Article"&gt;17&lt;/ref-type&gt;&lt;contributors&gt;&lt;authors&gt;&lt;author&gt;Arnold, Christine Helen&lt;/author&gt;&lt;author&gt;Wheelahan, Leesa&lt;/author&gt;&lt;author&gt;Moodie, Gavin&lt;/author&gt;&lt;author&gt;Beaulieu, Jacqueline&lt;/author&gt;&lt;author&gt;Taylor-Cline, Jean-Claude&lt;/author&gt;&lt;/authors&gt;&lt;/contributors&gt;&lt;titles&gt;&lt;title&gt;Mapping the typology of transition systems in a liberal market economy: the case of Canada&lt;/title&gt;&lt;secondary-title&gt;Journal of Education and Work&lt;/secondary-title&gt;&lt;/titles&gt;&lt;periodical&gt;&lt;full-title&gt;Journal of Education and Work&lt;/full-title&gt;&lt;/periodical&gt;&lt;pages&gt;125-143&lt;/pages&gt;&lt;keywords&gt;&lt;keyword&gt;Canada&lt;/keyword&gt;&lt;/keywords&gt;&lt;dates&gt;&lt;year&gt;2018&lt;/year&gt;&lt;/dates&gt;&lt;urls&gt;&lt;/urls&gt;&lt;electronic-resource-num&gt;https://doi.org/10.1080/13639080.2017.1414941&lt;/electronic-resource-num&gt;&lt;/record&gt;&lt;/Cite&gt;&lt;/EndNote&gt;</w:instrText>
      </w:r>
      <w:r w:rsidRPr="009E2BBE">
        <w:fldChar w:fldCharType="separate"/>
      </w:r>
      <w:r w:rsidR="00426A80" w:rsidRPr="009E2BBE">
        <w:t xml:space="preserve">(Arnold et al. 2018, </w:t>
      </w:r>
      <w:r w:rsidR="003A107F" w:rsidRPr="009E2BBE">
        <w:t>pp.</w:t>
      </w:r>
      <w:r w:rsidR="00426A80" w:rsidRPr="009E2BBE">
        <w:t>125</w:t>
      </w:r>
      <w:r w:rsidR="003A107F" w:rsidRPr="009E2BBE">
        <w:t>—</w:t>
      </w:r>
      <w:r w:rsidR="00426A80" w:rsidRPr="009E2BBE">
        <w:t>43)</w:t>
      </w:r>
      <w:r w:rsidRPr="009E2BBE">
        <w:fldChar w:fldCharType="end"/>
      </w:r>
      <w:r w:rsidRPr="009E2BBE">
        <w:t>.</w:t>
      </w:r>
    </w:p>
    <w:p w14:paraId="61F6F117" w14:textId="2E70353E" w:rsidR="008E46A2" w:rsidRPr="009E2BBE" w:rsidRDefault="008E46A2" w:rsidP="008E46A2">
      <w:pPr>
        <w:pStyle w:val="Text"/>
      </w:pPr>
      <w:r w:rsidRPr="009E2BBE">
        <w:t xml:space="preserve">Apprenticeships and internships are also part of VET, generally taking </w:t>
      </w:r>
      <w:r w:rsidR="00FE0E78" w:rsidRPr="009E2BBE">
        <w:t>four</w:t>
      </w:r>
      <w:r w:rsidRPr="009E2BBE">
        <w:t xml:space="preserve"> years to complete. The national Red Seal program sets common standards to assess the skills of tradespeople and allow</w:t>
      </w:r>
      <w:r w:rsidR="00590AFD" w:rsidRPr="009E2BBE">
        <w:t>s</w:t>
      </w:r>
      <w:r w:rsidRPr="009E2BBE">
        <w:t xml:space="preserve"> recognition across provinces and territories. Industry is involved in developing those national standards for trades, but they are administered by a voluntary partnership among the provinces and territories via the Canadian Council of Director of Apprenticeships (CCDA). </w:t>
      </w:r>
    </w:p>
    <w:p w14:paraId="598BED33" w14:textId="2C522B2E" w:rsidR="008E46A2" w:rsidRPr="009E2BBE" w:rsidRDefault="008E46A2" w:rsidP="008E46A2">
      <w:pPr>
        <w:pStyle w:val="Text"/>
      </w:pPr>
      <w:r w:rsidRPr="009E2BBE">
        <w:t>Due to the devolved nature of Canada</w:t>
      </w:r>
      <w:r w:rsidR="00A26B8A" w:rsidRPr="009E2BBE">
        <w:t>’</w:t>
      </w:r>
      <w:r w:rsidRPr="009E2BBE">
        <w:t>s VET system, the following section will focus on Ontario, which has a qualification framework system similar to Australia</w:t>
      </w:r>
      <w:r w:rsidR="00A26B8A" w:rsidRPr="009E2BBE">
        <w:t>’</w:t>
      </w:r>
      <w:r w:rsidRPr="009E2BBE">
        <w:t>s.</w:t>
      </w:r>
    </w:p>
    <w:p w14:paraId="6817A24E" w14:textId="5D5E668E" w:rsidR="008E46A2" w:rsidRPr="009E2BBE" w:rsidRDefault="008E46A2" w:rsidP="008E46A2">
      <w:pPr>
        <w:pStyle w:val="Heading2"/>
      </w:pPr>
      <w:bookmarkStart w:id="37" w:name="_Toc50622096"/>
      <w:bookmarkStart w:id="38" w:name="_Toc65741358"/>
      <w:r w:rsidRPr="009E2BBE">
        <w:t xml:space="preserve">Current vocational </w:t>
      </w:r>
      <w:r w:rsidR="00EA3747" w:rsidRPr="009E2BBE">
        <w:t>qualification development process</w:t>
      </w:r>
      <w:bookmarkEnd w:id="37"/>
      <w:bookmarkEnd w:id="38"/>
    </w:p>
    <w:p w14:paraId="6DBA6FF0" w14:textId="69DEC63D" w:rsidR="008E46A2" w:rsidRPr="009E2BBE" w:rsidRDefault="00716C61" w:rsidP="008E46A2">
      <w:pPr>
        <w:pStyle w:val="Text"/>
      </w:pPr>
      <w:bookmarkStart w:id="39" w:name="_Hlk61527344"/>
      <w:r w:rsidRPr="009E2BBE">
        <w:t>The Province of Ontario uses the Ontario Qualifications Framework (OQF) to outline 13 qualification levels</w:t>
      </w:r>
      <w:r w:rsidR="005532A1" w:rsidRPr="009E2BBE">
        <w:t>,</w:t>
      </w:r>
      <w:r w:rsidRPr="009E2BBE">
        <w:t xml:space="preserve"> ranging from </w:t>
      </w:r>
      <w:r w:rsidR="005532A1" w:rsidRPr="009E2BBE">
        <w:t>c</w:t>
      </w:r>
      <w:r w:rsidRPr="009E2BBE">
        <w:t xml:space="preserve">ertificate I to </w:t>
      </w:r>
      <w:r w:rsidR="005532A1" w:rsidRPr="009E2BBE">
        <w:t>doctoral degree</w:t>
      </w:r>
      <w:r w:rsidRPr="009E2BBE">
        <w:t>. Under this framework, non-trade vocational qualifications, known as Ontario College Credentials, must comply with the framework. Most of these programs are informed by provincial program standards, which are developed by colleges and the Program Standards Unit of the Ministry of Colleges and Universities and validated by the Ontario College Quality Assurance Service (OCQAS)</w:t>
      </w:r>
      <w:r w:rsidR="005532A1" w:rsidRPr="009E2BBE">
        <w:t>,</w:t>
      </w:r>
      <w:r w:rsidRPr="009E2BBE">
        <w:t xml:space="preserve"> through its Credentials Validation Service (CVS). OCQAS is owned, </w:t>
      </w:r>
      <w:proofErr w:type="gramStart"/>
      <w:r w:rsidRPr="009E2BBE">
        <w:t>operated</w:t>
      </w:r>
      <w:proofErr w:type="gramEnd"/>
      <w:r w:rsidRPr="009E2BBE">
        <w:t xml:space="preserve"> and funded by Ontario</w:t>
      </w:r>
      <w:r w:rsidR="00A26B8A" w:rsidRPr="009E2BBE">
        <w:t>’</w:t>
      </w:r>
      <w:r w:rsidRPr="009E2BBE">
        <w:t>s colleges</w:t>
      </w:r>
      <w:r w:rsidR="008E46A2" w:rsidRPr="009E2BBE">
        <w:t xml:space="preserve">. </w:t>
      </w:r>
    </w:p>
    <w:bookmarkEnd w:id="39"/>
    <w:p w14:paraId="24652FB8" w14:textId="22CEA68E" w:rsidR="008E46A2" w:rsidRPr="009E2BBE" w:rsidRDefault="008E46A2" w:rsidP="008E46A2">
      <w:pPr>
        <w:pStyle w:val="Text"/>
      </w:pPr>
      <w:r w:rsidRPr="009E2BBE">
        <w:t xml:space="preserve">There are over </w:t>
      </w:r>
      <w:r w:rsidR="001A7348" w:rsidRPr="009E2BBE">
        <w:t xml:space="preserve">700 </w:t>
      </w:r>
      <w:r w:rsidRPr="009E2BBE">
        <w:t xml:space="preserve">program standards available in Ontario. Each college has its own development process, although all must have </w:t>
      </w:r>
      <w:r w:rsidR="00797212" w:rsidRPr="009E2BBE">
        <w:t xml:space="preserve">established </w:t>
      </w:r>
      <w:r w:rsidRPr="009E2BBE">
        <w:t>program advisory committees (PACs)</w:t>
      </w:r>
      <w:r w:rsidR="00083E14" w:rsidRPr="009E2BBE">
        <w:t>, which</w:t>
      </w:r>
      <w:r w:rsidRPr="009E2BBE">
        <w:t xml:space="preserve"> inform development. An example of the development process from Conestoga College is included below.</w:t>
      </w:r>
    </w:p>
    <w:p w14:paraId="58E45E1D" w14:textId="77777777" w:rsidR="008E46A2" w:rsidRPr="009E2BBE" w:rsidRDefault="008E46A2" w:rsidP="008E46A2">
      <w:pPr>
        <w:pStyle w:val="Heading3"/>
      </w:pPr>
      <w:r w:rsidRPr="009E2BBE">
        <w:t>Summary of the process/steps</w:t>
      </w:r>
    </w:p>
    <w:p w14:paraId="4BFB682F" w14:textId="7B453323" w:rsidR="008E46A2" w:rsidRPr="009E2BBE" w:rsidRDefault="008E46A2" w:rsidP="008E46A2">
      <w:pPr>
        <w:pStyle w:val="Text"/>
      </w:pPr>
      <w:r w:rsidRPr="009E2BBE">
        <w:t>Ontario colleges have responsibility for program standard development for non-system-</w:t>
      </w:r>
      <w:r w:rsidR="00590AFD" w:rsidRPr="009E2BBE">
        <w:t>w</w:t>
      </w:r>
      <w:r w:rsidRPr="009E2BBE">
        <w:t xml:space="preserve">ide programs. Each college has its own processes </w:t>
      </w:r>
      <w:r w:rsidR="005E551A" w:rsidRPr="009E2BBE">
        <w:t>for</w:t>
      </w:r>
      <w:r w:rsidRPr="009E2BBE">
        <w:t xml:space="preserve"> development, but </w:t>
      </w:r>
      <w:r w:rsidR="005E551A" w:rsidRPr="009E2BBE">
        <w:t>these are</w:t>
      </w:r>
      <w:r w:rsidRPr="009E2BBE">
        <w:t xml:space="preserve"> informed by quality standards</w:t>
      </w:r>
      <w:r w:rsidR="005E551A" w:rsidRPr="009E2BBE">
        <w:t>,</w:t>
      </w:r>
      <w:r w:rsidRPr="009E2BBE">
        <w:t xml:space="preserve"> laid out by </w:t>
      </w:r>
      <w:proofErr w:type="gramStart"/>
      <w:r w:rsidRPr="009E2BBE">
        <w:t>legislation</w:t>
      </w:r>
      <w:proofErr w:type="gramEnd"/>
      <w:r w:rsidRPr="009E2BBE">
        <w:t xml:space="preserve"> and enforced by the OCQAS</w:t>
      </w:r>
      <w:r w:rsidR="00797212" w:rsidRPr="009E2BBE">
        <w:t>.</w:t>
      </w:r>
      <w:r w:rsidRPr="009E2BBE">
        <w:t xml:space="preserve"> </w:t>
      </w:r>
    </w:p>
    <w:p w14:paraId="06D8B143" w14:textId="454CD410" w:rsidR="008E46A2" w:rsidRPr="009E2BBE" w:rsidRDefault="008E46A2" w:rsidP="008E46A2">
      <w:pPr>
        <w:pStyle w:val="Text"/>
      </w:pPr>
      <w:r w:rsidRPr="009E2BBE">
        <w:t xml:space="preserve">The Program Standards Unit of the Ministry of </w:t>
      </w:r>
      <w:r w:rsidR="003D450A" w:rsidRPr="009E2BBE">
        <w:t>Colleges and Universities</w:t>
      </w:r>
      <w:r w:rsidRPr="009E2BBE">
        <w:t xml:space="preserve"> has responsibility for the development, </w:t>
      </w:r>
      <w:proofErr w:type="gramStart"/>
      <w:r w:rsidRPr="009E2BBE">
        <w:t>review</w:t>
      </w:r>
      <w:proofErr w:type="gramEnd"/>
      <w:r w:rsidRPr="009E2BBE">
        <w:t xml:space="preserve"> and approval of system-wide standards. The ministry develops these programs in consultation with educators and industry, and reviews existing program standards annually. </w:t>
      </w:r>
    </w:p>
    <w:p w14:paraId="4215172E" w14:textId="58E45717" w:rsidR="008E46A2" w:rsidRPr="009E2BBE" w:rsidRDefault="0009533D" w:rsidP="00B47A97">
      <w:pPr>
        <w:pStyle w:val="tabletitle"/>
      </w:pPr>
      <w:r w:rsidRPr="009E2BBE">
        <w:t>Table 3</w:t>
      </w:r>
      <w:r w:rsidR="00B47A97" w:rsidRPr="009E2BBE">
        <w:tab/>
      </w:r>
      <w:r w:rsidR="008E46A2" w:rsidRPr="009E2BBE">
        <w:t>Example program development process for Conestoga College</w:t>
      </w:r>
    </w:p>
    <w:tbl>
      <w:tblPr>
        <w:tblStyle w:val="PlainTable2"/>
        <w:tblpPr w:leftFromText="180" w:rightFromText="180" w:vertAnchor="text" w:horzAnchor="margin" w:tblpY="203"/>
        <w:tblW w:w="9067" w:type="dxa"/>
        <w:tblLook w:val="0000" w:firstRow="0" w:lastRow="0" w:firstColumn="0" w:lastColumn="0" w:noHBand="0" w:noVBand="0"/>
      </w:tblPr>
      <w:tblGrid>
        <w:gridCol w:w="1843"/>
        <w:gridCol w:w="1701"/>
        <w:gridCol w:w="5523"/>
      </w:tblGrid>
      <w:tr w:rsidR="000C6A12" w:rsidRPr="009E2BBE" w14:paraId="13C273EE" w14:textId="77777777" w:rsidTr="000953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3E271042" w14:textId="77777777" w:rsidR="000C6A12" w:rsidRPr="009E2BBE" w:rsidRDefault="000C6A12" w:rsidP="008E46A2">
            <w:pPr>
              <w:pStyle w:val="Tablehead1"/>
            </w:pPr>
            <w:r w:rsidRPr="009E2BBE">
              <w:t>Stage</w:t>
            </w:r>
          </w:p>
        </w:tc>
        <w:tc>
          <w:tcPr>
            <w:cnfStyle w:val="000001000000" w:firstRow="0" w:lastRow="0" w:firstColumn="0" w:lastColumn="0" w:oddVBand="0" w:evenVBand="1" w:oddHBand="0" w:evenHBand="0" w:firstRowFirstColumn="0" w:firstRowLastColumn="0" w:lastRowFirstColumn="0" w:lastRowLastColumn="0"/>
            <w:tcW w:w="1701" w:type="dxa"/>
          </w:tcPr>
          <w:p w14:paraId="7BA797ED" w14:textId="77777777" w:rsidR="000C6A12" w:rsidRPr="009E2BBE" w:rsidRDefault="000C6A12" w:rsidP="008E46A2">
            <w:pPr>
              <w:pStyle w:val="Tablehead1"/>
            </w:pPr>
            <w:r w:rsidRPr="009E2BBE">
              <w:t>Responsibility</w:t>
            </w:r>
          </w:p>
        </w:tc>
        <w:tc>
          <w:tcPr>
            <w:cnfStyle w:val="000010000000" w:firstRow="0" w:lastRow="0" w:firstColumn="0" w:lastColumn="0" w:oddVBand="1" w:evenVBand="0" w:oddHBand="0" w:evenHBand="0" w:firstRowFirstColumn="0" w:firstRowLastColumn="0" w:lastRowFirstColumn="0" w:lastRowLastColumn="0"/>
            <w:tcW w:w="5523" w:type="dxa"/>
          </w:tcPr>
          <w:p w14:paraId="677C6B23" w14:textId="77777777" w:rsidR="000C6A12" w:rsidRPr="009E2BBE" w:rsidRDefault="000C6A12" w:rsidP="008E46A2">
            <w:pPr>
              <w:pStyle w:val="Tablehead1"/>
            </w:pPr>
            <w:r w:rsidRPr="009E2BBE">
              <w:t>Summary of stage</w:t>
            </w:r>
          </w:p>
        </w:tc>
      </w:tr>
      <w:tr w:rsidR="000C6A12" w:rsidRPr="009E2BBE" w14:paraId="02CE3BBB" w14:textId="77777777" w:rsidTr="0009533D">
        <w:tc>
          <w:tcPr>
            <w:cnfStyle w:val="000010000000" w:firstRow="0" w:lastRow="0" w:firstColumn="0" w:lastColumn="0" w:oddVBand="1" w:evenVBand="0" w:oddHBand="0" w:evenHBand="0" w:firstRowFirstColumn="0" w:firstRowLastColumn="0" w:lastRowFirstColumn="0" w:lastRowLastColumn="0"/>
            <w:tcW w:w="1843" w:type="dxa"/>
          </w:tcPr>
          <w:p w14:paraId="25E62A09" w14:textId="77777777" w:rsidR="000C6A12" w:rsidRPr="009E2BBE" w:rsidRDefault="000C6A12" w:rsidP="008E46A2">
            <w:pPr>
              <w:pStyle w:val="Tabletext"/>
            </w:pPr>
            <w:r w:rsidRPr="009E2BBE">
              <w:t>Need identified</w:t>
            </w:r>
          </w:p>
        </w:tc>
        <w:tc>
          <w:tcPr>
            <w:cnfStyle w:val="000001000000" w:firstRow="0" w:lastRow="0" w:firstColumn="0" w:lastColumn="0" w:oddVBand="0" w:evenVBand="1" w:oddHBand="0" w:evenHBand="0" w:firstRowFirstColumn="0" w:firstRowLastColumn="0" w:lastRowFirstColumn="0" w:lastRowLastColumn="0"/>
            <w:tcW w:w="1701" w:type="dxa"/>
          </w:tcPr>
          <w:p w14:paraId="09E75412" w14:textId="495C46EF" w:rsidR="000C6A12" w:rsidRPr="009E2BBE" w:rsidRDefault="000C6A12" w:rsidP="008E46A2">
            <w:pPr>
              <w:pStyle w:val="Tabletext"/>
            </w:pPr>
            <w:r w:rsidRPr="009E2BBE">
              <w:t>Dean (a head of faculty</w:t>
            </w:r>
            <w:r w:rsidR="00FE0E78" w:rsidRPr="009E2BBE">
              <w:t>,</w:t>
            </w:r>
            <w:r w:rsidRPr="009E2BBE">
              <w:t xml:space="preserve"> e.g. Dean of Engineering)</w:t>
            </w:r>
          </w:p>
        </w:tc>
        <w:tc>
          <w:tcPr>
            <w:cnfStyle w:val="000010000000" w:firstRow="0" w:lastRow="0" w:firstColumn="0" w:lastColumn="0" w:oddVBand="1" w:evenVBand="0" w:oddHBand="0" w:evenHBand="0" w:firstRowFirstColumn="0" w:firstRowLastColumn="0" w:lastRowFirstColumn="0" w:lastRowLastColumn="0"/>
            <w:tcW w:w="5523" w:type="dxa"/>
          </w:tcPr>
          <w:p w14:paraId="0A90DDE1" w14:textId="1C791E28" w:rsidR="000C6A12" w:rsidRPr="009E2BBE" w:rsidRDefault="00FE0E78" w:rsidP="008E46A2">
            <w:pPr>
              <w:pStyle w:val="Tabletext"/>
            </w:pPr>
            <w:r w:rsidRPr="009E2BBE">
              <w:t xml:space="preserve">The </w:t>
            </w:r>
            <w:r w:rsidR="00291BB1" w:rsidRPr="009E2BBE">
              <w:t>d</w:t>
            </w:r>
            <w:r w:rsidR="000C6A12" w:rsidRPr="009E2BBE">
              <w:t>ean identifies a need for a new or revised program and establishes a project lead or subject matter expert</w:t>
            </w:r>
            <w:r w:rsidRPr="009E2BBE">
              <w:t xml:space="preserve"> (</w:t>
            </w:r>
            <w:proofErr w:type="gramStart"/>
            <w:r w:rsidRPr="009E2BBE">
              <w:t>e.g.</w:t>
            </w:r>
            <w:proofErr w:type="gramEnd"/>
            <w:r w:rsidRPr="009E2BBE">
              <w:t xml:space="preserve"> chair, coordinator or faculty)</w:t>
            </w:r>
            <w:r w:rsidR="00DF7DA0" w:rsidRPr="009E2BBE">
              <w:t>.</w:t>
            </w:r>
          </w:p>
        </w:tc>
      </w:tr>
      <w:tr w:rsidR="000C6A12" w:rsidRPr="009E2BBE" w14:paraId="5B3101FE" w14:textId="77777777" w:rsidTr="000953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3CD62CE8" w14:textId="77777777" w:rsidR="000C6A12" w:rsidRPr="009E2BBE" w:rsidRDefault="000C6A12" w:rsidP="008E46A2">
            <w:pPr>
              <w:pStyle w:val="Tabletext"/>
            </w:pPr>
            <w:r w:rsidRPr="009E2BBE">
              <w:t>Consultation within school</w:t>
            </w:r>
          </w:p>
        </w:tc>
        <w:tc>
          <w:tcPr>
            <w:cnfStyle w:val="000001000000" w:firstRow="0" w:lastRow="0" w:firstColumn="0" w:lastColumn="0" w:oddVBand="0" w:evenVBand="1" w:oddHBand="0" w:evenHBand="0" w:firstRowFirstColumn="0" w:firstRowLastColumn="0" w:lastRowFirstColumn="0" w:lastRowLastColumn="0"/>
            <w:tcW w:w="1701" w:type="dxa"/>
          </w:tcPr>
          <w:p w14:paraId="7F858E0E" w14:textId="6026904A" w:rsidR="000C6A12" w:rsidRPr="009E2BBE" w:rsidRDefault="00FE0E78" w:rsidP="008E46A2">
            <w:pPr>
              <w:pStyle w:val="Tabletext"/>
            </w:pPr>
            <w:r w:rsidRPr="009E2BBE">
              <w:t>Project lead</w:t>
            </w:r>
          </w:p>
        </w:tc>
        <w:tc>
          <w:tcPr>
            <w:cnfStyle w:val="000010000000" w:firstRow="0" w:lastRow="0" w:firstColumn="0" w:lastColumn="0" w:oddVBand="1" w:evenVBand="0" w:oddHBand="0" w:evenHBand="0" w:firstRowFirstColumn="0" w:firstRowLastColumn="0" w:lastRowFirstColumn="0" w:lastRowLastColumn="0"/>
            <w:tcW w:w="5523" w:type="dxa"/>
          </w:tcPr>
          <w:p w14:paraId="41A7B4C2" w14:textId="35C502B3" w:rsidR="000C6A12" w:rsidRPr="009E2BBE" w:rsidRDefault="00FE0E78" w:rsidP="008E46A2">
            <w:pPr>
              <w:pStyle w:val="Tabletext"/>
            </w:pPr>
            <w:r w:rsidRPr="009E2BBE">
              <w:t>The p</w:t>
            </w:r>
            <w:r w:rsidR="000C6A12" w:rsidRPr="009E2BBE">
              <w:t xml:space="preserve">roject lead consults within the school to avoid duplication and </w:t>
            </w:r>
            <w:r w:rsidR="00DF7DA0" w:rsidRPr="009E2BBE">
              <w:t xml:space="preserve">submits </w:t>
            </w:r>
            <w:r w:rsidRPr="009E2BBE">
              <w:t xml:space="preserve">a </w:t>
            </w:r>
            <w:r w:rsidR="000C6A12" w:rsidRPr="009E2BBE">
              <w:t xml:space="preserve">college </w:t>
            </w:r>
            <w:r w:rsidR="0061134D" w:rsidRPr="009E2BBE">
              <w:t>request for approval to proceed</w:t>
            </w:r>
            <w:r w:rsidR="00DF7DA0" w:rsidRPr="009E2BBE">
              <w:t>.</w:t>
            </w:r>
          </w:p>
        </w:tc>
      </w:tr>
      <w:tr w:rsidR="000C6A12" w:rsidRPr="009E2BBE" w14:paraId="65B42C28" w14:textId="77777777" w:rsidTr="0009533D">
        <w:tc>
          <w:tcPr>
            <w:cnfStyle w:val="000010000000" w:firstRow="0" w:lastRow="0" w:firstColumn="0" w:lastColumn="0" w:oddVBand="1" w:evenVBand="0" w:oddHBand="0" w:evenHBand="0" w:firstRowFirstColumn="0" w:firstRowLastColumn="0" w:lastRowFirstColumn="0" w:lastRowLastColumn="0"/>
            <w:tcW w:w="1843" w:type="dxa"/>
          </w:tcPr>
          <w:p w14:paraId="022656DA" w14:textId="77777777" w:rsidR="000C6A12" w:rsidRPr="009E2BBE" w:rsidRDefault="000C6A12" w:rsidP="008E46A2">
            <w:pPr>
              <w:pStyle w:val="Tabletext"/>
            </w:pPr>
            <w:r w:rsidRPr="009E2BBE">
              <w:t>Development commences</w:t>
            </w:r>
          </w:p>
        </w:tc>
        <w:tc>
          <w:tcPr>
            <w:cnfStyle w:val="000001000000" w:firstRow="0" w:lastRow="0" w:firstColumn="0" w:lastColumn="0" w:oddVBand="0" w:evenVBand="1" w:oddHBand="0" w:evenHBand="0" w:firstRowFirstColumn="0" w:firstRowLastColumn="0" w:lastRowFirstColumn="0" w:lastRowLastColumn="0"/>
            <w:tcW w:w="1701" w:type="dxa"/>
          </w:tcPr>
          <w:p w14:paraId="0629721E" w14:textId="0459638C" w:rsidR="000C6A12" w:rsidRPr="009E2BBE" w:rsidRDefault="00FE0E78" w:rsidP="008E46A2">
            <w:pPr>
              <w:pStyle w:val="Tabletext"/>
            </w:pPr>
            <w:r w:rsidRPr="009E2BBE">
              <w:t>Project lead</w:t>
            </w:r>
            <w:r w:rsidR="000C6A12" w:rsidRPr="009E2BBE">
              <w:t xml:space="preserve"> with </w:t>
            </w:r>
            <w:r w:rsidR="0061134D" w:rsidRPr="009E2BBE">
              <w:t>curriculum consultant</w:t>
            </w:r>
          </w:p>
          <w:p w14:paraId="13DE9A0D" w14:textId="3F756BFF" w:rsidR="009575B6" w:rsidRPr="009E2BBE" w:rsidRDefault="009575B6" w:rsidP="009575B6">
            <w:pPr>
              <w:pStyle w:val="Tabletext"/>
            </w:pPr>
            <w:r w:rsidRPr="009E2BBE">
              <w:t>CVS</w:t>
            </w:r>
          </w:p>
        </w:tc>
        <w:tc>
          <w:tcPr>
            <w:cnfStyle w:val="000010000000" w:firstRow="0" w:lastRow="0" w:firstColumn="0" w:lastColumn="0" w:oddVBand="1" w:evenVBand="0" w:oddHBand="0" w:evenHBand="0" w:firstRowFirstColumn="0" w:firstRowLastColumn="0" w:lastRowFirstColumn="0" w:lastRowLastColumn="0"/>
            <w:tcW w:w="5523" w:type="dxa"/>
          </w:tcPr>
          <w:p w14:paraId="5DC8A8AF" w14:textId="349F8B23" w:rsidR="000C6A12" w:rsidRPr="009E2BBE" w:rsidRDefault="00FE0E78" w:rsidP="008E46A2">
            <w:pPr>
              <w:pStyle w:val="Tabletext"/>
            </w:pPr>
            <w:r w:rsidRPr="009E2BBE">
              <w:t xml:space="preserve">The project lead follows the </w:t>
            </w:r>
            <w:r w:rsidR="00470099" w:rsidRPr="009E2BBE">
              <w:t xml:space="preserve">new program development process map </w:t>
            </w:r>
            <w:r w:rsidR="000C6A12" w:rsidRPr="009E2BBE">
              <w:t>to ensure consistency</w:t>
            </w:r>
            <w:r w:rsidR="008D3497" w:rsidRPr="009E2BBE">
              <w:t xml:space="preserve"> with existing programs</w:t>
            </w:r>
            <w:r w:rsidR="000C6A12" w:rsidRPr="009E2BBE">
              <w:t xml:space="preserve"> and quality</w:t>
            </w:r>
            <w:r w:rsidRPr="009E2BBE">
              <w:t>, and works</w:t>
            </w:r>
            <w:r w:rsidR="000C6A12" w:rsidRPr="009E2BBE">
              <w:t xml:space="preserve"> with the </w:t>
            </w:r>
            <w:r w:rsidR="0061134D" w:rsidRPr="009E2BBE">
              <w:t>m</w:t>
            </w:r>
            <w:r w:rsidR="000C6A12" w:rsidRPr="009E2BBE">
              <w:t xml:space="preserve">inistry, college administration and </w:t>
            </w:r>
            <w:r w:rsidR="0009060A" w:rsidRPr="009E2BBE">
              <w:t xml:space="preserve">the </w:t>
            </w:r>
            <w:r w:rsidR="000A5A1F" w:rsidRPr="009E2BBE">
              <w:t xml:space="preserve">CVS </w:t>
            </w:r>
            <w:r w:rsidR="000C6A12" w:rsidRPr="009E2BBE">
              <w:t>to meet design standards.</w:t>
            </w:r>
          </w:p>
        </w:tc>
      </w:tr>
      <w:tr w:rsidR="000C6A12" w:rsidRPr="009E2BBE" w14:paraId="523A50F6" w14:textId="77777777" w:rsidTr="000953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4C0EF5A3" w14:textId="77777777" w:rsidR="000C6A12" w:rsidRPr="009E2BBE" w:rsidRDefault="000C6A12" w:rsidP="008E46A2">
            <w:pPr>
              <w:pStyle w:val="Tabletext"/>
            </w:pPr>
            <w:r w:rsidRPr="009E2BBE">
              <w:t>Stakeholder consultation</w:t>
            </w:r>
          </w:p>
        </w:tc>
        <w:tc>
          <w:tcPr>
            <w:cnfStyle w:val="000001000000" w:firstRow="0" w:lastRow="0" w:firstColumn="0" w:lastColumn="0" w:oddVBand="0" w:evenVBand="1" w:oddHBand="0" w:evenHBand="0" w:firstRowFirstColumn="0" w:firstRowLastColumn="0" w:lastRowFirstColumn="0" w:lastRowLastColumn="0"/>
            <w:tcW w:w="1701" w:type="dxa"/>
          </w:tcPr>
          <w:p w14:paraId="74F258C3" w14:textId="6DDDE393" w:rsidR="000C6A12" w:rsidRPr="009E2BBE" w:rsidRDefault="00FE0E78" w:rsidP="008E46A2">
            <w:pPr>
              <w:pStyle w:val="Tabletext"/>
            </w:pPr>
            <w:r w:rsidRPr="009E2BBE">
              <w:t>Project lead</w:t>
            </w:r>
          </w:p>
        </w:tc>
        <w:tc>
          <w:tcPr>
            <w:cnfStyle w:val="000010000000" w:firstRow="0" w:lastRow="0" w:firstColumn="0" w:lastColumn="0" w:oddVBand="1" w:evenVBand="0" w:oddHBand="0" w:evenHBand="0" w:firstRowFirstColumn="0" w:firstRowLastColumn="0" w:lastRowFirstColumn="0" w:lastRowLastColumn="0"/>
            <w:tcW w:w="5523" w:type="dxa"/>
          </w:tcPr>
          <w:p w14:paraId="104415EC" w14:textId="747063B4" w:rsidR="000C6A12" w:rsidRPr="009E2BBE" w:rsidRDefault="00FE0E78" w:rsidP="008E46A2">
            <w:pPr>
              <w:pStyle w:val="Tabletext"/>
            </w:pPr>
            <w:r w:rsidRPr="009E2BBE">
              <w:t>The project lead</w:t>
            </w:r>
            <w:r w:rsidR="000C6A12" w:rsidRPr="009E2BBE">
              <w:t xml:space="preserve"> advises all relevant stakeholders and regulatory bodies of the work. </w:t>
            </w:r>
          </w:p>
        </w:tc>
      </w:tr>
      <w:tr w:rsidR="000C6A12" w:rsidRPr="009E2BBE" w14:paraId="5A14D24C" w14:textId="77777777" w:rsidTr="0009533D">
        <w:tc>
          <w:tcPr>
            <w:cnfStyle w:val="000010000000" w:firstRow="0" w:lastRow="0" w:firstColumn="0" w:lastColumn="0" w:oddVBand="1" w:evenVBand="0" w:oddHBand="0" w:evenHBand="0" w:firstRowFirstColumn="0" w:firstRowLastColumn="0" w:lastRowFirstColumn="0" w:lastRowLastColumn="0"/>
            <w:tcW w:w="1843" w:type="dxa"/>
          </w:tcPr>
          <w:p w14:paraId="2240C94E" w14:textId="77777777" w:rsidR="000C6A12" w:rsidRPr="009E2BBE" w:rsidRDefault="000C6A12" w:rsidP="008E46A2">
            <w:pPr>
              <w:pStyle w:val="Tabletext"/>
            </w:pPr>
            <w:r w:rsidRPr="009E2BBE">
              <w:t>Apply to proceed</w:t>
            </w:r>
          </w:p>
        </w:tc>
        <w:tc>
          <w:tcPr>
            <w:cnfStyle w:val="000001000000" w:firstRow="0" w:lastRow="0" w:firstColumn="0" w:lastColumn="0" w:oddVBand="0" w:evenVBand="1" w:oddHBand="0" w:evenHBand="0" w:firstRowFirstColumn="0" w:firstRowLastColumn="0" w:lastRowFirstColumn="0" w:lastRowLastColumn="0"/>
            <w:tcW w:w="1701" w:type="dxa"/>
          </w:tcPr>
          <w:p w14:paraId="553EA52F" w14:textId="16ADE069" w:rsidR="000C6A12" w:rsidRPr="009E2BBE" w:rsidRDefault="00FE0E78" w:rsidP="008E46A2">
            <w:pPr>
              <w:pStyle w:val="Tabletext"/>
            </w:pPr>
            <w:r w:rsidRPr="009E2BBE">
              <w:t>Project lead</w:t>
            </w:r>
          </w:p>
          <w:p w14:paraId="2A778A4E" w14:textId="607FEEB3" w:rsidR="00B758D0" w:rsidRPr="009E2BBE" w:rsidRDefault="00B758D0" w:rsidP="00AC461D">
            <w:pPr>
              <w:pStyle w:val="Tabletext"/>
            </w:pPr>
            <w:r w:rsidRPr="009E2BBE">
              <w:t>Dean</w:t>
            </w:r>
          </w:p>
        </w:tc>
        <w:tc>
          <w:tcPr>
            <w:cnfStyle w:val="000010000000" w:firstRow="0" w:lastRow="0" w:firstColumn="0" w:lastColumn="0" w:oddVBand="1" w:evenVBand="0" w:oddHBand="0" w:evenHBand="0" w:firstRowFirstColumn="0" w:firstRowLastColumn="0" w:lastRowFirstColumn="0" w:lastRowLastColumn="0"/>
            <w:tcW w:w="5523" w:type="dxa"/>
          </w:tcPr>
          <w:p w14:paraId="43DC1485" w14:textId="2A7B8C30" w:rsidR="00B758D0" w:rsidRPr="009E2BBE" w:rsidRDefault="000C6A12" w:rsidP="008E46A2">
            <w:pPr>
              <w:pStyle w:val="Tabletext"/>
            </w:pPr>
            <w:r w:rsidRPr="009E2BBE">
              <w:t xml:space="preserve">The </w:t>
            </w:r>
            <w:r w:rsidR="00B758D0" w:rsidRPr="009E2BBE">
              <w:t xml:space="preserve">project lead sends the </w:t>
            </w:r>
            <w:r w:rsidRPr="009E2BBE">
              <w:t>proposed program to the college PAC for approval</w:t>
            </w:r>
            <w:r w:rsidR="00B758D0" w:rsidRPr="009E2BBE">
              <w:t xml:space="preserve"> and </w:t>
            </w:r>
            <w:r w:rsidR="000A5A1F" w:rsidRPr="009E2BBE">
              <w:t xml:space="preserve">then </w:t>
            </w:r>
            <w:r w:rsidRPr="009E2BBE">
              <w:t xml:space="preserve">applies </w:t>
            </w:r>
            <w:r w:rsidR="000A5A1F" w:rsidRPr="009E2BBE">
              <w:t>for approval from</w:t>
            </w:r>
            <w:r w:rsidRPr="009E2BBE">
              <w:t xml:space="preserve"> the </w:t>
            </w:r>
            <w:r w:rsidR="00492008" w:rsidRPr="009E2BBE">
              <w:t>program planning and review committe</w:t>
            </w:r>
            <w:r w:rsidRPr="009E2BBE">
              <w:t>e.</w:t>
            </w:r>
          </w:p>
          <w:p w14:paraId="4701AB6D" w14:textId="31088F39" w:rsidR="000C6A12" w:rsidRPr="009E2BBE" w:rsidRDefault="000C6A12" w:rsidP="008E46A2">
            <w:pPr>
              <w:pStyle w:val="Tabletext"/>
            </w:pPr>
            <w:r w:rsidRPr="009E2BBE">
              <w:t xml:space="preserve">After </w:t>
            </w:r>
            <w:r w:rsidR="00B758D0" w:rsidRPr="009E2BBE">
              <w:t xml:space="preserve">it is </w:t>
            </w:r>
            <w:r w:rsidRPr="009E2BBE">
              <w:t>approv</w:t>
            </w:r>
            <w:r w:rsidR="00B758D0" w:rsidRPr="009E2BBE">
              <w:t>ed</w:t>
            </w:r>
            <w:r w:rsidRPr="009E2BBE">
              <w:t xml:space="preserve">, </w:t>
            </w:r>
            <w:r w:rsidR="00B758D0" w:rsidRPr="009E2BBE">
              <w:t xml:space="preserve">the </w:t>
            </w:r>
            <w:r w:rsidR="00DC1410" w:rsidRPr="009E2BBE">
              <w:t>d</w:t>
            </w:r>
            <w:r w:rsidR="00B758D0" w:rsidRPr="009E2BBE">
              <w:t>ean sends the proposed program</w:t>
            </w:r>
            <w:r w:rsidRPr="009E2BBE">
              <w:t xml:space="preserve"> to the </w:t>
            </w:r>
            <w:r w:rsidR="00492008" w:rsidRPr="009E2BBE">
              <w:t xml:space="preserve">academic forum. If approved, it goes to a sub-committee of the college’s board of governors </w:t>
            </w:r>
            <w:r w:rsidRPr="009E2BBE">
              <w:t>for final approval.</w:t>
            </w:r>
          </w:p>
        </w:tc>
      </w:tr>
      <w:tr w:rsidR="000C6A12" w:rsidRPr="009E2BBE" w14:paraId="7C5ED8C1" w14:textId="77777777" w:rsidTr="000953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6BD49E73" w14:textId="77777777" w:rsidR="000C6A12" w:rsidRPr="009E2BBE" w:rsidRDefault="000C6A12" w:rsidP="008E46A2">
            <w:pPr>
              <w:pStyle w:val="Tabletext"/>
            </w:pPr>
            <w:r w:rsidRPr="009E2BBE">
              <w:t>Draft development and submission to CVS</w:t>
            </w:r>
          </w:p>
        </w:tc>
        <w:tc>
          <w:tcPr>
            <w:cnfStyle w:val="000001000000" w:firstRow="0" w:lastRow="0" w:firstColumn="0" w:lastColumn="0" w:oddVBand="0" w:evenVBand="1" w:oddHBand="0" w:evenHBand="0" w:firstRowFirstColumn="0" w:firstRowLastColumn="0" w:lastRowFirstColumn="0" w:lastRowLastColumn="0"/>
            <w:tcW w:w="1701" w:type="dxa"/>
          </w:tcPr>
          <w:p w14:paraId="56CF90BF" w14:textId="3D698F27" w:rsidR="000C6A12" w:rsidRPr="009E2BBE" w:rsidRDefault="000C6A12" w:rsidP="008E46A2">
            <w:pPr>
              <w:pStyle w:val="Tabletext"/>
            </w:pPr>
            <w:r w:rsidRPr="009E2BBE">
              <w:t xml:space="preserve">Curriculum </w:t>
            </w:r>
            <w:r w:rsidR="0061134D" w:rsidRPr="009E2BBE">
              <w:t>c</w:t>
            </w:r>
            <w:r w:rsidRPr="009E2BBE">
              <w:t>onsultant</w:t>
            </w:r>
          </w:p>
        </w:tc>
        <w:tc>
          <w:tcPr>
            <w:cnfStyle w:val="000010000000" w:firstRow="0" w:lastRow="0" w:firstColumn="0" w:lastColumn="0" w:oddVBand="1" w:evenVBand="0" w:oddHBand="0" w:evenHBand="0" w:firstRowFirstColumn="0" w:firstRowLastColumn="0" w:lastRowFirstColumn="0" w:lastRowLastColumn="0"/>
            <w:tcW w:w="5523" w:type="dxa"/>
          </w:tcPr>
          <w:p w14:paraId="1EDBC10F" w14:textId="5338B47C" w:rsidR="000A5A1F" w:rsidRPr="009E2BBE" w:rsidRDefault="00B758D0" w:rsidP="008E46A2">
            <w:pPr>
              <w:pStyle w:val="Tabletext"/>
            </w:pPr>
            <w:r w:rsidRPr="009E2BBE">
              <w:t>The c</w:t>
            </w:r>
            <w:r w:rsidR="000C6A12" w:rsidRPr="009E2BBE">
              <w:t>onsultant prepare</w:t>
            </w:r>
            <w:r w:rsidR="0009533D" w:rsidRPr="009E2BBE">
              <w:t>s</w:t>
            </w:r>
            <w:r w:rsidR="000C6A12" w:rsidRPr="009E2BBE">
              <w:t xml:space="preserve"> the draft for submission to the CVS, along with all relevant documentation. </w:t>
            </w:r>
            <w:r w:rsidR="000A5A1F" w:rsidRPr="009E2BBE">
              <w:t xml:space="preserve">The </w:t>
            </w:r>
            <w:r w:rsidR="000C6A12" w:rsidRPr="009E2BBE">
              <w:t xml:space="preserve">CVS considers draft and works with </w:t>
            </w:r>
            <w:r w:rsidR="000A5A1F" w:rsidRPr="009E2BBE">
              <w:t xml:space="preserve">the </w:t>
            </w:r>
            <w:r w:rsidR="000C6A12" w:rsidRPr="009E2BBE">
              <w:t>consultant to refine program.</w:t>
            </w:r>
          </w:p>
          <w:p w14:paraId="73F0C9AC" w14:textId="1234ED8A" w:rsidR="000C6A12" w:rsidRPr="009E2BBE" w:rsidRDefault="000A5A1F" w:rsidP="008E46A2">
            <w:pPr>
              <w:pStyle w:val="Tabletext"/>
            </w:pPr>
            <w:r w:rsidRPr="009E2BBE">
              <w:t xml:space="preserve">The </w:t>
            </w:r>
            <w:r w:rsidR="000C6A12" w:rsidRPr="009E2BBE">
              <w:t xml:space="preserve">CVS </w:t>
            </w:r>
            <w:r w:rsidR="001A7348" w:rsidRPr="009E2BBE">
              <w:t xml:space="preserve">validates </w:t>
            </w:r>
            <w:r w:rsidR="00BC230F" w:rsidRPr="009E2BBE">
              <w:t>that the</w:t>
            </w:r>
            <w:r w:rsidRPr="009E2BBE">
              <w:t xml:space="preserve"> program</w:t>
            </w:r>
            <w:r w:rsidR="00BC230F" w:rsidRPr="009E2BBE">
              <w:t xml:space="preserve"> is consistent with </w:t>
            </w:r>
            <w:r w:rsidR="00DC1410" w:rsidRPr="009E2BBE">
              <w:t xml:space="preserve">the </w:t>
            </w:r>
            <w:r w:rsidR="00F86B7A" w:rsidRPr="009E2BBE">
              <w:t>Credential Framework.</w:t>
            </w:r>
          </w:p>
        </w:tc>
      </w:tr>
    </w:tbl>
    <w:p w14:paraId="5DAE5B06" w14:textId="1CEFC48E" w:rsidR="008E46A2" w:rsidRPr="009E2BBE" w:rsidRDefault="008E46A2" w:rsidP="0009533D">
      <w:pPr>
        <w:pStyle w:val="Source"/>
      </w:pPr>
      <w:r w:rsidRPr="009E2BBE">
        <w:t xml:space="preserve">Source: </w:t>
      </w:r>
      <w:r w:rsidRPr="009E2BBE">
        <w:fldChar w:fldCharType="begin"/>
      </w:r>
      <w:r w:rsidR="00426A80" w:rsidRPr="009E2BBE">
        <w:instrText xml:space="preserve"> ADDIN EN.CITE &lt;EndNote&gt;&lt;Cite&gt;&lt;Author&gt;Conestoga College&lt;/Author&gt;&lt;Year&gt;2019&lt;/Year&gt;&lt;RecNum&gt;97&lt;/RecNum&gt;&lt;DisplayText&gt;(Conestoga College 2019)&lt;/DisplayText&gt;&lt;record&gt;&lt;rec-number&gt;97&lt;/rec-number&gt;&lt;foreign-keys&gt;&lt;key app="EN" db-id="9ze0v2p5ut9294eed99p2s2tzvzzwsadrf2t" timestamp="1600907578"&gt;97&lt;/key&gt;&lt;/foreign-keys&gt;&lt;ref-type name="Standard"&gt;58&lt;/ref-type&gt;&lt;contributors&gt;&lt;authors&gt;&lt;author&gt;Conestoga College,&lt;/author&gt;&lt;/authors&gt;&lt;/contributors&gt;&lt;titles&gt;&lt;title&gt;Program development procedure&lt;/title&gt;&lt;/titles&gt;&lt;dates&gt;&lt;year&gt;2019&lt;/year&gt;&lt;/dates&gt;&lt;pub-location&gt;Ontario&lt;/pub-location&gt;&lt;publisher&gt;Conestoga College&lt;/publisher&gt;&lt;urls&gt;&lt;related-urls&gt;&lt;url&gt;https://cms.conestogac.on.ca/sites/corporate-websites/policies/PDFDocuments/Curriculum/Program%20Development%20Procedure.pdf&lt;/url&gt;&lt;/related-urls&gt;&lt;/urls&gt;&lt;access-date&gt;September 2020&lt;/access-date&gt;&lt;/record&gt;&lt;/Cite&gt;&lt;/EndNote&gt;</w:instrText>
      </w:r>
      <w:r w:rsidRPr="009E2BBE">
        <w:fldChar w:fldCharType="separate"/>
      </w:r>
      <w:r w:rsidR="00426A80" w:rsidRPr="009E2BBE">
        <w:t xml:space="preserve">Conestoga College </w:t>
      </w:r>
      <w:r w:rsidR="00DC1410" w:rsidRPr="009E2BBE">
        <w:t>(</w:t>
      </w:r>
      <w:r w:rsidR="00426A80" w:rsidRPr="009E2BBE">
        <w:t>2019)</w:t>
      </w:r>
      <w:r w:rsidRPr="009E2BBE">
        <w:fldChar w:fldCharType="end"/>
      </w:r>
      <w:r w:rsidR="00DC1410" w:rsidRPr="009E2BBE">
        <w:t>.</w:t>
      </w:r>
    </w:p>
    <w:p w14:paraId="04E6D936" w14:textId="761A828B" w:rsidR="008E46A2" w:rsidRPr="009E2BBE" w:rsidRDefault="008E46A2" w:rsidP="008E46A2">
      <w:pPr>
        <w:pStyle w:val="Text"/>
      </w:pPr>
      <w:r w:rsidRPr="009E2BBE">
        <w:t xml:space="preserve">After the CVS has </w:t>
      </w:r>
      <w:r w:rsidR="001A7348" w:rsidRPr="009E2BBE">
        <w:t xml:space="preserve">validated </w:t>
      </w:r>
      <w:r w:rsidRPr="009E2BBE">
        <w:t>a program, colleges have a series of processes to work through to add the program to their student information systems, develop course/s against the new program standard</w:t>
      </w:r>
      <w:r w:rsidR="009A6A74" w:rsidRPr="009E2BBE">
        <w:t>,</w:t>
      </w:r>
      <w:r w:rsidRPr="009E2BBE">
        <w:t xml:space="preserve"> and advertise them to students. Colleges keep a record of the development process, for example</w:t>
      </w:r>
      <w:r w:rsidR="009A6A74" w:rsidRPr="009E2BBE">
        <w:t>,</w:t>
      </w:r>
      <w:r w:rsidRPr="009E2BBE">
        <w:t xml:space="preserve"> Conestoga College keeps records for </w:t>
      </w:r>
      <w:r w:rsidR="004A57B1" w:rsidRPr="009E2BBE">
        <w:t>seven</w:t>
      </w:r>
      <w:r w:rsidRPr="009E2BBE">
        <w:t xml:space="preserve"> years </w:t>
      </w:r>
      <w:r w:rsidRPr="009E2BBE">
        <w:fldChar w:fldCharType="begin"/>
      </w:r>
      <w:r w:rsidRPr="009E2BBE">
        <w:instrText xml:space="preserve"> ADDIN EN.CITE &lt;EndNote&gt;&lt;Cite&gt;&lt;Author&gt;Conestoga College&lt;/Author&gt;&lt;Year&gt;2019&lt;/Year&gt;&lt;RecNum&gt;97&lt;/RecNum&gt;&lt;DisplayText&gt;(Conestoga College 2019)&lt;/DisplayText&gt;&lt;record&gt;&lt;rec-number&gt;97&lt;/rec-number&gt;&lt;foreign-keys&gt;&lt;key app="EN" db-id="9ze0v2p5ut9294eed99p2s2tzvzzwsadrf2t" timestamp="1600907578"&gt;97&lt;/key&gt;&lt;/foreign-keys&gt;&lt;ref-type name="Standard"&gt;58&lt;/ref-type&gt;&lt;contributors&gt;&lt;authors&gt;&lt;author&gt;Conestoga College,&lt;/author&gt;&lt;/authors&gt;&lt;/contributors&gt;&lt;titles&gt;&lt;title&gt;Program development procedure&lt;/title&gt;&lt;/titles&gt;&lt;dates&gt;&lt;year&gt;2019&lt;/year&gt;&lt;/dates&gt;&lt;pub-location&gt;Ontario&lt;/pub-location&gt;&lt;publisher&gt;Conestoga College&lt;/publisher&gt;&lt;urls&gt;&lt;related-urls&gt;&lt;url&gt;https://cms.conestogac.on.ca/sites/corporate-websites/policies/PDFDocuments/Curriculum/Program%20Development%20Procedure.pdf&lt;/url&gt;&lt;/related-urls&gt;&lt;/urls&gt;&lt;access-date&gt;September 2020&lt;/access-date&gt;&lt;/record&gt;&lt;/Cite&gt;&lt;/EndNote&gt;</w:instrText>
      </w:r>
      <w:r w:rsidRPr="009E2BBE">
        <w:fldChar w:fldCharType="separate"/>
      </w:r>
      <w:r w:rsidRPr="009E2BBE">
        <w:t>(Conestoga College 2019)</w:t>
      </w:r>
      <w:r w:rsidRPr="009E2BBE">
        <w:fldChar w:fldCharType="end"/>
      </w:r>
      <w:r w:rsidRPr="009E2BBE">
        <w:t xml:space="preserve">. It is not clear from the </w:t>
      </w:r>
      <w:r w:rsidR="009A6A74" w:rsidRPr="009E2BBE">
        <w:t xml:space="preserve">available </w:t>
      </w:r>
      <w:r w:rsidRPr="009E2BBE">
        <w:t xml:space="preserve">information how long this process takes. </w:t>
      </w:r>
    </w:p>
    <w:p w14:paraId="2727B2E7" w14:textId="7E16AB3E" w:rsidR="008E46A2" w:rsidRPr="009E2BBE" w:rsidRDefault="008E46A2" w:rsidP="008E46A2">
      <w:pPr>
        <w:pStyle w:val="Text"/>
      </w:pPr>
      <w:r w:rsidRPr="009E2BBE">
        <w:t>The process to review an existing program is slightly different, but still demands several layers of approvals and an application to the CVS. Reviews are conducted annually by colleges</w:t>
      </w:r>
      <w:r w:rsidR="00E53C17" w:rsidRPr="009E2BBE">
        <w:t>,</w:t>
      </w:r>
      <w:r w:rsidRPr="009E2BBE">
        <w:t xml:space="preserve"> according to their own internal policies, ensuring that standards are regularly reviewed for currency and relevance as occupational needs change. </w:t>
      </w:r>
      <w:r w:rsidR="0009533D" w:rsidRPr="009E2BBE">
        <w:t>An example is provided in the table below</w:t>
      </w:r>
      <w:r w:rsidR="00861AD2" w:rsidRPr="009E2BBE">
        <w:t>, which begins between May and June each year</w:t>
      </w:r>
      <w:r w:rsidR="0009533D" w:rsidRPr="009E2BBE">
        <w:t>.</w:t>
      </w:r>
    </w:p>
    <w:p w14:paraId="390709EE" w14:textId="276BB111" w:rsidR="008E46A2" w:rsidRPr="009E2BBE" w:rsidRDefault="0009533D" w:rsidP="00B47A97">
      <w:pPr>
        <w:pStyle w:val="tabletitle"/>
      </w:pPr>
      <w:r w:rsidRPr="009E2BBE">
        <w:t>Table 4</w:t>
      </w:r>
      <w:r w:rsidR="00B47A97" w:rsidRPr="009E2BBE">
        <w:tab/>
      </w:r>
      <w:r w:rsidR="008E46A2" w:rsidRPr="009E2BBE">
        <w:t>College program review process for Conestoga College</w:t>
      </w:r>
    </w:p>
    <w:tbl>
      <w:tblPr>
        <w:tblStyle w:val="PlainTable2"/>
        <w:tblpPr w:leftFromText="180" w:rightFromText="180" w:vertAnchor="text" w:horzAnchor="margin" w:tblpY="203"/>
        <w:tblW w:w="0" w:type="auto"/>
        <w:tblLook w:val="0000" w:firstRow="0" w:lastRow="0" w:firstColumn="0" w:lastColumn="0" w:noHBand="0" w:noVBand="0"/>
      </w:tblPr>
      <w:tblGrid>
        <w:gridCol w:w="1843"/>
        <w:gridCol w:w="1701"/>
        <w:gridCol w:w="4111"/>
        <w:gridCol w:w="1406"/>
      </w:tblGrid>
      <w:tr w:rsidR="008E46A2" w:rsidRPr="009E2BBE" w14:paraId="2A95915C" w14:textId="77777777" w:rsidTr="008E46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5E14CA46" w14:textId="77777777" w:rsidR="008E46A2" w:rsidRPr="009E2BBE" w:rsidRDefault="008E46A2" w:rsidP="008E46A2">
            <w:pPr>
              <w:pStyle w:val="Tablehead1"/>
            </w:pPr>
            <w:r w:rsidRPr="009E2BBE">
              <w:t>Stage</w:t>
            </w:r>
          </w:p>
        </w:tc>
        <w:tc>
          <w:tcPr>
            <w:cnfStyle w:val="000001000000" w:firstRow="0" w:lastRow="0" w:firstColumn="0" w:lastColumn="0" w:oddVBand="0" w:evenVBand="1" w:oddHBand="0" w:evenHBand="0" w:firstRowFirstColumn="0" w:firstRowLastColumn="0" w:lastRowFirstColumn="0" w:lastRowLastColumn="0"/>
            <w:tcW w:w="1701" w:type="dxa"/>
          </w:tcPr>
          <w:p w14:paraId="5EA0BEF6" w14:textId="77777777" w:rsidR="008E46A2" w:rsidRPr="009E2BBE" w:rsidRDefault="008E46A2" w:rsidP="008E46A2">
            <w:pPr>
              <w:pStyle w:val="Tablehead1"/>
            </w:pPr>
            <w:r w:rsidRPr="009E2BBE">
              <w:t>Responsibility</w:t>
            </w:r>
          </w:p>
        </w:tc>
        <w:tc>
          <w:tcPr>
            <w:cnfStyle w:val="000010000000" w:firstRow="0" w:lastRow="0" w:firstColumn="0" w:lastColumn="0" w:oddVBand="1" w:evenVBand="0" w:oddHBand="0" w:evenHBand="0" w:firstRowFirstColumn="0" w:firstRowLastColumn="0" w:lastRowFirstColumn="0" w:lastRowLastColumn="0"/>
            <w:tcW w:w="4111" w:type="dxa"/>
          </w:tcPr>
          <w:p w14:paraId="57CAD3E9" w14:textId="77777777" w:rsidR="008E46A2" w:rsidRPr="009E2BBE" w:rsidRDefault="008E46A2" w:rsidP="008E46A2">
            <w:pPr>
              <w:pStyle w:val="Tablehead1"/>
            </w:pPr>
            <w:r w:rsidRPr="009E2BBE">
              <w:t>Summary of stage</w:t>
            </w:r>
          </w:p>
        </w:tc>
        <w:tc>
          <w:tcPr>
            <w:cnfStyle w:val="000001000000" w:firstRow="0" w:lastRow="0" w:firstColumn="0" w:lastColumn="0" w:oddVBand="0" w:evenVBand="1" w:oddHBand="0" w:evenHBand="0" w:firstRowFirstColumn="0" w:firstRowLastColumn="0" w:lastRowFirstColumn="0" w:lastRowLastColumn="0"/>
            <w:tcW w:w="1406" w:type="dxa"/>
          </w:tcPr>
          <w:p w14:paraId="1B3064BE" w14:textId="77777777" w:rsidR="008E46A2" w:rsidRPr="009E2BBE" w:rsidRDefault="008E46A2" w:rsidP="008E46A2">
            <w:pPr>
              <w:pStyle w:val="Tablehead1"/>
            </w:pPr>
            <w:r w:rsidRPr="009E2BBE">
              <w:t>Timeframe</w:t>
            </w:r>
          </w:p>
        </w:tc>
      </w:tr>
      <w:tr w:rsidR="008E46A2" w:rsidRPr="009E2BBE" w14:paraId="0D059954" w14:textId="77777777" w:rsidTr="008E46A2">
        <w:tc>
          <w:tcPr>
            <w:cnfStyle w:val="000010000000" w:firstRow="0" w:lastRow="0" w:firstColumn="0" w:lastColumn="0" w:oddVBand="1" w:evenVBand="0" w:oddHBand="0" w:evenHBand="0" w:firstRowFirstColumn="0" w:firstRowLastColumn="0" w:lastRowFirstColumn="0" w:lastRowLastColumn="0"/>
            <w:tcW w:w="1843" w:type="dxa"/>
          </w:tcPr>
          <w:p w14:paraId="46F64313" w14:textId="10578CC5" w:rsidR="008E46A2" w:rsidRPr="009E2BBE" w:rsidRDefault="008E46A2" w:rsidP="008E46A2">
            <w:pPr>
              <w:pStyle w:val="Tabletext"/>
            </w:pPr>
            <w:r w:rsidRPr="009E2BBE">
              <w:t xml:space="preserve">Annual </w:t>
            </w:r>
            <w:r w:rsidR="00E53C17" w:rsidRPr="009E2BBE">
              <w:t>program reflection</w:t>
            </w:r>
          </w:p>
        </w:tc>
        <w:tc>
          <w:tcPr>
            <w:cnfStyle w:val="000001000000" w:firstRow="0" w:lastRow="0" w:firstColumn="0" w:lastColumn="0" w:oddVBand="0" w:evenVBand="1" w:oddHBand="0" w:evenHBand="0" w:firstRowFirstColumn="0" w:firstRowLastColumn="0" w:lastRowFirstColumn="0" w:lastRowLastColumn="0"/>
            <w:tcW w:w="1701" w:type="dxa"/>
          </w:tcPr>
          <w:p w14:paraId="707802C5" w14:textId="77777777" w:rsidR="008E46A2" w:rsidRPr="009E2BBE" w:rsidRDefault="008E46A2" w:rsidP="008E46A2">
            <w:pPr>
              <w:pStyle w:val="Tabletext"/>
            </w:pPr>
            <w:r w:rsidRPr="009E2BBE">
              <w:t>Chair &amp; program team</w:t>
            </w:r>
          </w:p>
        </w:tc>
        <w:tc>
          <w:tcPr>
            <w:cnfStyle w:val="000010000000" w:firstRow="0" w:lastRow="0" w:firstColumn="0" w:lastColumn="0" w:oddVBand="1" w:evenVBand="0" w:oddHBand="0" w:evenHBand="0" w:firstRowFirstColumn="0" w:firstRowLastColumn="0" w:lastRowFirstColumn="0" w:lastRowLastColumn="0"/>
            <w:tcW w:w="4111" w:type="dxa"/>
          </w:tcPr>
          <w:p w14:paraId="470F3BB9" w14:textId="2AC0BF93" w:rsidR="008E46A2" w:rsidRPr="009E2BBE" w:rsidRDefault="008E46A2" w:rsidP="008E46A2">
            <w:pPr>
              <w:pStyle w:val="Tabletext"/>
            </w:pPr>
            <w:r w:rsidRPr="009E2BBE">
              <w:t xml:space="preserve">An </w:t>
            </w:r>
            <w:r w:rsidR="00E53C17" w:rsidRPr="009E2BBE">
              <w:t xml:space="preserve">annual program reflection </w:t>
            </w:r>
            <w:r w:rsidRPr="009E2BBE">
              <w:t xml:space="preserve">list is published in May. The </w:t>
            </w:r>
            <w:r w:rsidR="00E53C17" w:rsidRPr="009E2BBE">
              <w:t>c</w:t>
            </w:r>
            <w:r w:rsidRPr="009E2BBE">
              <w:t>hair and team must review the program according to requirements and compete a suspension or program design change form</w:t>
            </w:r>
            <w:r w:rsidR="00936A1C" w:rsidRPr="009E2BBE">
              <w:t>,</w:t>
            </w:r>
            <w:r w:rsidRPr="009E2BBE">
              <w:t xml:space="preserve"> as required</w:t>
            </w:r>
            <w:r w:rsidR="00936A1C" w:rsidRPr="009E2BBE">
              <w:t>,</w:t>
            </w:r>
            <w:r w:rsidRPr="009E2BBE">
              <w:t xml:space="preserve"> by end of June.</w:t>
            </w:r>
          </w:p>
        </w:tc>
        <w:tc>
          <w:tcPr>
            <w:cnfStyle w:val="000001000000" w:firstRow="0" w:lastRow="0" w:firstColumn="0" w:lastColumn="0" w:oddVBand="0" w:evenVBand="1" w:oddHBand="0" w:evenHBand="0" w:firstRowFirstColumn="0" w:firstRowLastColumn="0" w:lastRowFirstColumn="0" w:lastRowLastColumn="0"/>
            <w:tcW w:w="1406" w:type="dxa"/>
          </w:tcPr>
          <w:p w14:paraId="2E73014C" w14:textId="49CFBF83" w:rsidR="008E46A2" w:rsidRPr="009E2BBE" w:rsidRDefault="008E46A2" w:rsidP="008E46A2">
            <w:pPr>
              <w:pStyle w:val="Tabletext"/>
            </w:pPr>
            <w:r w:rsidRPr="009E2BBE">
              <w:t>May</w:t>
            </w:r>
            <w:r w:rsidR="005A58CC" w:rsidRPr="009E2BBE">
              <w:t>-</w:t>
            </w:r>
            <w:r w:rsidRPr="009E2BBE">
              <w:t>June each year</w:t>
            </w:r>
          </w:p>
        </w:tc>
      </w:tr>
      <w:tr w:rsidR="008E46A2" w:rsidRPr="009E2BBE" w14:paraId="782479DF" w14:textId="77777777" w:rsidTr="008E46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2AD7E164" w14:textId="77777777" w:rsidR="008E46A2" w:rsidRPr="009E2BBE" w:rsidRDefault="008E46A2" w:rsidP="008E46A2">
            <w:pPr>
              <w:pStyle w:val="Tabletext"/>
            </w:pPr>
            <w:r w:rsidRPr="009E2BBE">
              <w:t>Approval of change request</w:t>
            </w:r>
          </w:p>
        </w:tc>
        <w:tc>
          <w:tcPr>
            <w:cnfStyle w:val="000001000000" w:firstRow="0" w:lastRow="0" w:firstColumn="0" w:lastColumn="0" w:oddVBand="0" w:evenVBand="1" w:oddHBand="0" w:evenHBand="0" w:firstRowFirstColumn="0" w:firstRowLastColumn="0" w:lastRowFirstColumn="0" w:lastRowLastColumn="0"/>
            <w:tcW w:w="1701" w:type="dxa"/>
          </w:tcPr>
          <w:p w14:paraId="36EE83CF" w14:textId="77777777" w:rsidR="008E46A2" w:rsidRPr="009E2BBE" w:rsidRDefault="008E46A2" w:rsidP="008E46A2">
            <w:pPr>
              <w:pStyle w:val="Tabletext"/>
            </w:pPr>
            <w:r w:rsidRPr="009E2BBE">
              <w:t>Executive dean/dean</w:t>
            </w:r>
          </w:p>
        </w:tc>
        <w:tc>
          <w:tcPr>
            <w:cnfStyle w:val="000010000000" w:firstRow="0" w:lastRow="0" w:firstColumn="0" w:lastColumn="0" w:oddVBand="1" w:evenVBand="0" w:oddHBand="0" w:evenHBand="0" w:firstRowFirstColumn="0" w:firstRowLastColumn="0" w:lastRowFirstColumn="0" w:lastRowLastColumn="0"/>
            <w:tcW w:w="4111" w:type="dxa"/>
          </w:tcPr>
          <w:p w14:paraId="774364CD" w14:textId="2121CAA7" w:rsidR="008E46A2" w:rsidRPr="009E2BBE" w:rsidRDefault="004A57B1" w:rsidP="008E46A2">
            <w:pPr>
              <w:pStyle w:val="Tabletext"/>
            </w:pPr>
            <w:r w:rsidRPr="009E2BBE">
              <w:t xml:space="preserve">The </w:t>
            </w:r>
            <w:r w:rsidR="00936A1C" w:rsidRPr="009E2BBE">
              <w:t>dean reviews the program design change form and approves it and then notifie</w:t>
            </w:r>
            <w:r w:rsidRPr="009E2BBE">
              <w:t>s</w:t>
            </w:r>
            <w:r w:rsidR="008E46A2" w:rsidRPr="009E2BBE">
              <w:t xml:space="preserve"> the </w:t>
            </w:r>
            <w:r w:rsidR="00F47339" w:rsidRPr="009E2BBE">
              <w:t>curriculum planning and operations de</w:t>
            </w:r>
            <w:r w:rsidRPr="009E2BBE">
              <w:t>partment.</w:t>
            </w:r>
          </w:p>
        </w:tc>
        <w:tc>
          <w:tcPr>
            <w:cnfStyle w:val="000001000000" w:firstRow="0" w:lastRow="0" w:firstColumn="0" w:lastColumn="0" w:oddVBand="0" w:evenVBand="1" w:oddHBand="0" w:evenHBand="0" w:firstRowFirstColumn="0" w:firstRowLastColumn="0" w:lastRowFirstColumn="0" w:lastRowLastColumn="0"/>
            <w:tcW w:w="1406" w:type="dxa"/>
          </w:tcPr>
          <w:p w14:paraId="6F7F0D0C" w14:textId="77777777" w:rsidR="008E46A2" w:rsidRPr="009E2BBE" w:rsidRDefault="008E46A2" w:rsidP="008E46A2">
            <w:pPr>
              <w:pStyle w:val="Tabletext"/>
            </w:pPr>
            <w:r w:rsidRPr="009E2BBE">
              <w:t>August</w:t>
            </w:r>
          </w:p>
        </w:tc>
      </w:tr>
      <w:tr w:rsidR="008E46A2" w:rsidRPr="009E2BBE" w14:paraId="2CBDBD90" w14:textId="77777777" w:rsidTr="008E46A2">
        <w:tc>
          <w:tcPr>
            <w:cnfStyle w:val="000010000000" w:firstRow="0" w:lastRow="0" w:firstColumn="0" w:lastColumn="0" w:oddVBand="1" w:evenVBand="0" w:oddHBand="0" w:evenHBand="0" w:firstRowFirstColumn="0" w:firstRowLastColumn="0" w:lastRowFirstColumn="0" w:lastRowLastColumn="0"/>
            <w:tcW w:w="1843" w:type="dxa"/>
          </w:tcPr>
          <w:p w14:paraId="2A644B3C" w14:textId="77777777" w:rsidR="008E46A2" w:rsidRPr="009E2BBE" w:rsidRDefault="008E46A2" w:rsidP="008E46A2">
            <w:pPr>
              <w:pStyle w:val="Tabletext"/>
            </w:pPr>
            <w:r w:rsidRPr="009E2BBE">
              <w:t>Action plan developed</w:t>
            </w:r>
          </w:p>
        </w:tc>
        <w:tc>
          <w:tcPr>
            <w:cnfStyle w:val="000001000000" w:firstRow="0" w:lastRow="0" w:firstColumn="0" w:lastColumn="0" w:oddVBand="0" w:evenVBand="1" w:oddHBand="0" w:evenHBand="0" w:firstRowFirstColumn="0" w:firstRowLastColumn="0" w:lastRowFirstColumn="0" w:lastRowLastColumn="0"/>
            <w:tcW w:w="1701" w:type="dxa"/>
          </w:tcPr>
          <w:p w14:paraId="64A713F0" w14:textId="77777777" w:rsidR="008E46A2" w:rsidRPr="009E2BBE" w:rsidRDefault="008E46A2" w:rsidP="008E46A2">
            <w:pPr>
              <w:pStyle w:val="Tabletext"/>
            </w:pPr>
            <w:r w:rsidRPr="009E2BBE">
              <w:t>Chair</w:t>
            </w:r>
          </w:p>
        </w:tc>
        <w:tc>
          <w:tcPr>
            <w:cnfStyle w:val="000010000000" w:firstRow="0" w:lastRow="0" w:firstColumn="0" w:lastColumn="0" w:oddVBand="1" w:evenVBand="0" w:oddHBand="0" w:evenHBand="0" w:firstRowFirstColumn="0" w:firstRowLastColumn="0" w:lastRowFirstColumn="0" w:lastRowLastColumn="0"/>
            <w:tcW w:w="4111" w:type="dxa"/>
          </w:tcPr>
          <w:p w14:paraId="78B4C18A" w14:textId="546FF685" w:rsidR="008E46A2" w:rsidRPr="009E2BBE" w:rsidRDefault="004A57B1" w:rsidP="008E46A2">
            <w:pPr>
              <w:pStyle w:val="Tabletext"/>
            </w:pPr>
            <w:r w:rsidRPr="009E2BBE">
              <w:t xml:space="preserve">The </w:t>
            </w:r>
            <w:r w:rsidR="00936A1C" w:rsidRPr="009E2BBE">
              <w:t>c</w:t>
            </w:r>
            <w:r w:rsidRPr="009E2BBE">
              <w:t>hair records the p</w:t>
            </w:r>
            <w:r w:rsidR="008E46A2" w:rsidRPr="009E2BBE">
              <w:t xml:space="preserve">rogram changes in </w:t>
            </w:r>
            <w:r w:rsidRPr="009E2BBE">
              <w:t xml:space="preserve">an </w:t>
            </w:r>
            <w:r w:rsidR="008E46A2" w:rsidRPr="009E2BBE">
              <w:t>action plan</w:t>
            </w:r>
            <w:r w:rsidRPr="009E2BBE">
              <w:t>.</w:t>
            </w:r>
          </w:p>
        </w:tc>
        <w:tc>
          <w:tcPr>
            <w:cnfStyle w:val="000001000000" w:firstRow="0" w:lastRow="0" w:firstColumn="0" w:lastColumn="0" w:oddVBand="0" w:evenVBand="1" w:oddHBand="0" w:evenHBand="0" w:firstRowFirstColumn="0" w:firstRowLastColumn="0" w:lastRowFirstColumn="0" w:lastRowLastColumn="0"/>
            <w:tcW w:w="1406" w:type="dxa"/>
          </w:tcPr>
          <w:p w14:paraId="4971C5CA" w14:textId="77777777" w:rsidR="008E46A2" w:rsidRPr="009E2BBE" w:rsidRDefault="008E46A2" w:rsidP="008E46A2">
            <w:pPr>
              <w:pStyle w:val="Tabletext"/>
            </w:pPr>
          </w:p>
        </w:tc>
      </w:tr>
      <w:tr w:rsidR="008E46A2" w:rsidRPr="009E2BBE" w14:paraId="2D3A7B1F" w14:textId="77777777" w:rsidTr="008E46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061DF55D" w14:textId="0698E621" w:rsidR="008E46A2" w:rsidRPr="009E2BBE" w:rsidRDefault="008E46A2" w:rsidP="008E46A2">
            <w:pPr>
              <w:pStyle w:val="Tabletext"/>
            </w:pPr>
            <w:r w:rsidRPr="009E2BBE">
              <w:t xml:space="preserve">Annual </w:t>
            </w:r>
            <w:r w:rsidR="00E53C17" w:rsidRPr="009E2BBE">
              <w:t>program performance scorecard</w:t>
            </w:r>
          </w:p>
        </w:tc>
        <w:tc>
          <w:tcPr>
            <w:cnfStyle w:val="000001000000" w:firstRow="0" w:lastRow="0" w:firstColumn="0" w:lastColumn="0" w:oddVBand="0" w:evenVBand="1" w:oddHBand="0" w:evenHBand="0" w:firstRowFirstColumn="0" w:firstRowLastColumn="0" w:lastRowFirstColumn="0" w:lastRowLastColumn="0"/>
            <w:tcW w:w="1701" w:type="dxa"/>
          </w:tcPr>
          <w:p w14:paraId="465A9F2A" w14:textId="229CBEBC" w:rsidR="008E46A2" w:rsidRPr="009E2BBE" w:rsidRDefault="008E46A2" w:rsidP="008E46A2">
            <w:pPr>
              <w:pStyle w:val="Tabletext"/>
            </w:pPr>
            <w:r w:rsidRPr="009E2BBE">
              <w:t xml:space="preserve">Institutional </w:t>
            </w:r>
            <w:r w:rsidR="00F95AC2" w:rsidRPr="009E2BBE">
              <w:t>research &amp; planning</w:t>
            </w:r>
          </w:p>
        </w:tc>
        <w:tc>
          <w:tcPr>
            <w:cnfStyle w:val="000010000000" w:firstRow="0" w:lastRow="0" w:firstColumn="0" w:lastColumn="0" w:oddVBand="1" w:evenVBand="0" w:oddHBand="0" w:evenHBand="0" w:firstRowFirstColumn="0" w:firstRowLastColumn="0" w:lastRowFirstColumn="0" w:lastRowLastColumn="0"/>
            <w:tcW w:w="4111" w:type="dxa"/>
          </w:tcPr>
          <w:p w14:paraId="1D98F8CF" w14:textId="507D7C54" w:rsidR="008E46A2" w:rsidRPr="009E2BBE" w:rsidRDefault="00636153" w:rsidP="008E46A2">
            <w:pPr>
              <w:pStyle w:val="Tabletext"/>
            </w:pPr>
            <w:r w:rsidRPr="009E2BBE">
              <w:t xml:space="preserve">Institutional </w:t>
            </w:r>
            <w:r w:rsidR="001C7E83" w:rsidRPr="009E2BBE">
              <w:t xml:space="preserve">research &amp; planning </w:t>
            </w:r>
            <w:r w:rsidRPr="009E2BBE">
              <w:t>completes a</w:t>
            </w:r>
            <w:r w:rsidR="008E46A2" w:rsidRPr="009E2BBE">
              <w:t xml:space="preserve"> scorecard on the program</w:t>
            </w:r>
            <w:r w:rsidR="00A26B8A" w:rsidRPr="009E2BBE">
              <w:t>’</w:t>
            </w:r>
            <w:r w:rsidR="008E46A2" w:rsidRPr="009E2BBE">
              <w:t>s currency, relevance and fitness for purpose</w:t>
            </w:r>
            <w:r w:rsidRPr="009E2BBE">
              <w:t xml:space="preserve"> and </w:t>
            </w:r>
            <w:r w:rsidR="008E46A2" w:rsidRPr="009E2BBE">
              <w:t>provide</w:t>
            </w:r>
            <w:r w:rsidRPr="009E2BBE">
              <w:t>s it</w:t>
            </w:r>
            <w:r w:rsidR="008E46A2" w:rsidRPr="009E2BBE">
              <w:t xml:space="preserve"> to</w:t>
            </w:r>
            <w:r w:rsidRPr="009E2BBE">
              <w:t xml:space="preserve"> the</w:t>
            </w:r>
            <w:r w:rsidR="008E46A2" w:rsidRPr="009E2BBE">
              <w:t xml:space="preserve"> </w:t>
            </w:r>
            <w:r w:rsidR="001C7E83" w:rsidRPr="009E2BBE">
              <w:t xml:space="preserve">academic forum for </w:t>
            </w:r>
            <w:r w:rsidR="008E46A2" w:rsidRPr="009E2BBE">
              <w:t>review and approval to continue with the plan to make changes to the program.</w:t>
            </w:r>
          </w:p>
        </w:tc>
        <w:tc>
          <w:tcPr>
            <w:cnfStyle w:val="000001000000" w:firstRow="0" w:lastRow="0" w:firstColumn="0" w:lastColumn="0" w:oddVBand="0" w:evenVBand="1" w:oddHBand="0" w:evenHBand="0" w:firstRowFirstColumn="0" w:firstRowLastColumn="0" w:lastRowFirstColumn="0" w:lastRowLastColumn="0"/>
            <w:tcW w:w="1406" w:type="dxa"/>
          </w:tcPr>
          <w:p w14:paraId="108DDBEB" w14:textId="77777777" w:rsidR="008E46A2" w:rsidRPr="009E2BBE" w:rsidRDefault="008E46A2" w:rsidP="008E46A2">
            <w:pPr>
              <w:pStyle w:val="Tabletext"/>
            </w:pPr>
          </w:p>
        </w:tc>
      </w:tr>
      <w:tr w:rsidR="008E46A2" w:rsidRPr="009E2BBE" w14:paraId="6745702D" w14:textId="77777777" w:rsidTr="008E46A2">
        <w:tc>
          <w:tcPr>
            <w:cnfStyle w:val="000010000000" w:firstRow="0" w:lastRow="0" w:firstColumn="0" w:lastColumn="0" w:oddVBand="1" w:evenVBand="0" w:oddHBand="0" w:evenHBand="0" w:firstRowFirstColumn="0" w:firstRowLastColumn="0" w:lastRowFirstColumn="0" w:lastRowLastColumn="0"/>
            <w:tcW w:w="1843" w:type="dxa"/>
          </w:tcPr>
          <w:p w14:paraId="3792294E" w14:textId="36EEF2A6" w:rsidR="008E46A2" w:rsidRPr="009E2BBE" w:rsidRDefault="008E46A2" w:rsidP="008E46A2">
            <w:pPr>
              <w:pStyle w:val="Tabletext"/>
            </w:pPr>
            <w:r w:rsidRPr="009E2BBE">
              <w:t xml:space="preserve">Major </w:t>
            </w:r>
            <w:r w:rsidR="00E53C17" w:rsidRPr="009E2BBE">
              <w:t>program review</w:t>
            </w:r>
          </w:p>
        </w:tc>
        <w:tc>
          <w:tcPr>
            <w:cnfStyle w:val="000001000000" w:firstRow="0" w:lastRow="0" w:firstColumn="0" w:lastColumn="0" w:oddVBand="0" w:evenVBand="1" w:oddHBand="0" w:evenHBand="0" w:firstRowFirstColumn="0" w:firstRowLastColumn="0" w:lastRowFirstColumn="0" w:lastRowLastColumn="0"/>
            <w:tcW w:w="1701" w:type="dxa"/>
          </w:tcPr>
          <w:p w14:paraId="7D477564" w14:textId="0B40772A" w:rsidR="008E46A2" w:rsidRPr="009E2BBE" w:rsidRDefault="008E46A2" w:rsidP="008E46A2">
            <w:pPr>
              <w:pStyle w:val="Tabletext"/>
            </w:pPr>
            <w:r w:rsidRPr="009E2BBE">
              <w:t xml:space="preserve">Team assigned by </w:t>
            </w:r>
            <w:r w:rsidR="00181C2D" w:rsidRPr="009E2BBE">
              <w:t>c</w:t>
            </w:r>
            <w:r w:rsidRPr="009E2BBE">
              <w:t>hair</w:t>
            </w:r>
          </w:p>
        </w:tc>
        <w:tc>
          <w:tcPr>
            <w:cnfStyle w:val="000010000000" w:firstRow="0" w:lastRow="0" w:firstColumn="0" w:lastColumn="0" w:oddVBand="1" w:evenVBand="0" w:oddHBand="0" w:evenHBand="0" w:firstRowFirstColumn="0" w:firstRowLastColumn="0" w:lastRowFirstColumn="0" w:lastRowLastColumn="0"/>
            <w:tcW w:w="4111" w:type="dxa"/>
          </w:tcPr>
          <w:p w14:paraId="41A2ACB5" w14:textId="781F1FC5" w:rsidR="00636153" w:rsidRPr="009E2BBE" w:rsidRDefault="00636153" w:rsidP="008E46A2">
            <w:pPr>
              <w:pStyle w:val="Tabletext"/>
            </w:pPr>
            <w:r w:rsidRPr="009E2BBE">
              <w:t>The p</w:t>
            </w:r>
            <w:r w:rsidR="008E46A2" w:rsidRPr="009E2BBE">
              <w:t xml:space="preserve">rogram is reviewed by the team with stakeholder input. </w:t>
            </w:r>
            <w:r w:rsidRPr="009E2BBE">
              <w:t>The team prepares a</w:t>
            </w:r>
            <w:r w:rsidR="008E46A2" w:rsidRPr="009E2BBE">
              <w:t xml:space="preserve"> strategic program assessment and submit</w:t>
            </w:r>
            <w:r w:rsidRPr="009E2BBE">
              <w:t>s it</w:t>
            </w:r>
            <w:r w:rsidR="008E46A2" w:rsidRPr="009E2BBE">
              <w:t xml:space="preserve"> to the </w:t>
            </w:r>
            <w:r w:rsidR="00181C2D" w:rsidRPr="009E2BBE">
              <w:t>d</w:t>
            </w:r>
            <w:r w:rsidR="008E46A2" w:rsidRPr="009E2BBE">
              <w:t>ean for approval.</w:t>
            </w:r>
          </w:p>
          <w:p w14:paraId="396F7849" w14:textId="6C31D600" w:rsidR="008E46A2" w:rsidRPr="009E2BBE" w:rsidRDefault="008E46A2" w:rsidP="008E46A2">
            <w:pPr>
              <w:pStyle w:val="Tabletext"/>
            </w:pPr>
            <w:r w:rsidRPr="009E2BBE">
              <w:t xml:space="preserve">A program review consultant is informed and work on </w:t>
            </w:r>
            <w:r w:rsidR="00181C2D" w:rsidRPr="009E2BBE">
              <w:t xml:space="preserve">program update/renewal </w:t>
            </w:r>
            <w:r w:rsidR="00636153" w:rsidRPr="009E2BBE">
              <w:t xml:space="preserve">(PUR) </w:t>
            </w:r>
            <w:r w:rsidRPr="009E2BBE">
              <w:t>commences. During PUR</w:t>
            </w:r>
            <w:r w:rsidR="00636153" w:rsidRPr="009E2BBE">
              <w:t>,</w:t>
            </w:r>
            <w:r w:rsidRPr="009E2BBE">
              <w:t xml:space="preserve"> further consultation is undertaken. At its conclusion</w:t>
            </w:r>
            <w:r w:rsidR="00FC6ABA" w:rsidRPr="009E2BBE">
              <w:t>,</w:t>
            </w:r>
            <w:r w:rsidRPr="009E2BBE">
              <w:t xml:space="preserve"> all documents are submitted to </w:t>
            </w:r>
            <w:r w:rsidR="00FC6ABA" w:rsidRPr="009E2BBE">
              <w:t>d</w:t>
            </w:r>
            <w:r w:rsidRPr="009E2BBE">
              <w:t>ean for approval.</w:t>
            </w:r>
          </w:p>
        </w:tc>
        <w:tc>
          <w:tcPr>
            <w:cnfStyle w:val="000001000000" w:firstRow="0" w:lastRow="0" w:firstColumn="0" w:lastColumn="0" w:oddVBand="0" w:evenVBand="1" w:oddHBand="0" w:evenHBand="0" w:firstRowFirstColumn="0" w:firstRowLastColumn="0" w:lastRowFirstColumn="0" w:lastRowLastColumn="0"/>
            <w:tcW w:w="1406" w:type="dxa"/>
          </w:tcPr>
          <w:p w14:paraId="04666536" w14:textId="77777777" w:rsidR="008E46A2" w:rsidRPr="009E2BBE" w:rsidRDefault="008E46A2" w:rsidP="008E46A2">
            <w:pPr>
              <w:pStyle w:val="Tabletext"/>
            </w:pPr>
          </w:p>
        </w:tc>
      </w:tr>
      <w:tr w:rsidR="008E46A2" w:rsidRPr="009E2BBE" w14:paraId="552ABD08" w14:textId="77777777" w:rsidTr="008E46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6DED6AF3" w14:textId="77777777" w:rsidR="008E46A2" w:rsidRPr="009E2BBE" w:rsidRDefault="008E46A2" w:rsidP="008E46A2">
            <w:pPr>
              <w:pStyle w:val="Tabletext"/>
            </w:pPr>
            <w:r w:rsidRPr="009E2BBE">
              <w:t>Changes to the number of electives</w:t>
            </w:r>
          </w:p>
        </w:tc>
        <w:tc>
          <w:tcPr>
            <w:cnfStyle w:val="000001000000" w:firstRow="0" w:lastRow="0" w:firstColumn="0" w:lastColumn="0" w:oddVBand="0" w:evenVBand="1" w:oddHBand="0" w:evenHBand="0" w:firstRowFirstColumn="0" w:firstRowLastColumn="0" w:lastRowFirstColumn="0" w:lastRowLastColumn="0"/>
            <w:tcW w:w="1701" w:type="dxa"/>
          </w:tcPr>
          <w:p w14:paraId="482CEF1A" w14:textId="77777777" w:rsidR="008E46A2" w:rsidRPr="009E2BBE" w:rsidRDefault="008E46A2" w:rsidP="008E46A2">
            <w:pPr>
              <w:pStyle w:val="Tabletext"/>
            </w:pPr>
            <w:r w:rsidRPr="009E2BBE">
              <w:t>Chair</w:t>
            </w:r>
          </w:p>
        </w:tc>
        <w:tc>
          <w:tcPr>
            <w:cnfStyle w:val="000010000000" w:firstRow="0" w:lastRow="0" w:firstColumn="0" w:lastColumn="0" w:oddVBand="1" w:evenVBand="0" w:oddHBand="0" w:evenHBand="0" w:firstRowFirstColumn="0" w:firstRowLastColumn="0" w:lastRowFirstColumn="0" w:lastRowLastColumn="0"/>
            <w:tcW w:w="4111" w:type="dxa"/>
          </w:tcPr>
          <w:p w14:paraId="7EDD97FA" w14:textId="6AC775F2" w:rsidR="008E46A2" w:rsidRPr="009E2BBE" w:rsidRDefault="008E46A2" w:rsidP="008E46A2">
            <w:pPr>
              <w:pStyle w:val="Tabletext"/>
            </w:pPr>
            <w:r w:rsidRPr="009E2BBE">
              <w:t xml:space="preserve">If the program review requires changes to the number of electives, </w:t>
            </w:r>
            <w:r w:rsidR="00636153" w:rsidRPr="009E2BBE">
              <w:t xml:space="preserve">the </w:t>
            </w:r>
            <w:r w:rsidR="00FC6ABA" w:rsidRPr="009E2BBE">
              <w:t xml:space="preserve">chair consults with the chair of liberal studies and the ministry on </w:t>
            </w:r>
            <w:r w:rsidRPr="009E2BBE">
              <w:t>elective rules and communicates elective changes to the PAC.</w:t>
            </w:r>
          </w:p>
        </w:tc>
        <w:tc>
          <w:tcPr>
            <w:cnfStyle w:val="000001000000" w:firstRow="0" w:lastRow="0" w:firstColumn="0" w:lastColumn="0" w:oddVBand="0" w:evenVBand="1" w:oddHBand="0" w:evenHBand="0" w:firstRowFirstColumn="0" w:firstRowLastColumn="0" w:lastRowFirstColumn="0" w:lastRowLastColumn="0"/>
            <w:tcW w:w="1406" w:type="dxa"/>
          </w:tcPr>
          <w:p w14:paraId="161C425E" w14:textId="77777777" w:rsidR="008E46A2" w:rsidRPr="009E2BBE" w:rsidRDefault="008E46A2" w:rsidP="008E46A2">
            <w:pPr>
              <w:pStyle w:val="Tabletext"/>
            </w:pPr>
          </w:p>
        </w:tc>
      </w:tr>
      <w:tr w:rsidR="008E46A2" w:rsidRPr="009E2BBE" w14:paraId="5135905D" w14:textId="77777777" w:rsidTr="008E46A2">
        <w:tc>
          <w:tcPr>
            <w:cnfStyle w:val="000010000000" w:firstRow="0" w:lastRow="0" w:firstColumn="0" w:lastColumn="0" w:oddVBand="1" w:evenVBand="0" w:oddHBand="0" w:evenHBand="0" w:firstRowFirstColumn="0" w:firstRowLastColumn="0" w:lastRowFirstColumn="0" w:lastRowLastColumn="0"/>
            <w:tcW w:w="1843" w:type="dxa"/>
          </w:tcPr>
          <w:p w14:paraId="63A2AE2D" w14:textId="77777777" w:rsidR="008E46A2" w:rsidRPr="009E2BBE" w:rsidRDefault="008E46A2" w:rsidP="008E46A2">
            <w:pPr>
              <w:pStyle w:val="Tabletext"/>
            </w:pPr>
            <w:r w:rsidRPr="009E2BBE">
              <w:t>Accreditation application</w:t>
            </w:r>
          </w:p>
        </w:tc>
        <w:tc>
          <w:tcPr>
            <w:cnfStyle w:val="000001000000" w:firstRow="0" w:lastRow="0" w:firstColumn="0" w:lastColumn="0" w:oddVBand="0" w:evenVBand="1" w:oddHBand="0" w:evenHBand="0" w:firstRowFirstColumn="0" w:firstRowLastColumn="0" w:lastRowFirstColumn="0" w:lastRowLastColumn="0"/>
            <w:tcW w:w="1701" w:type="dxa"/>
          </w:tcPr>
          <w:p w14:paraId="7300DF1E" w14:textId="77777777" w:rsidR="008E46A2" w:rsidRPr="009E2BBE" w:rsidRDefault="008E46A2" w:rsidP="008E46A2">
            <w:pPr>
              <w:pStyle w:val="Tabletext"/>
            </w:pPr>
            <w:r w:rsidRPr="009E2BBE">
              <w:t>Chair</w:t>
            </w:r>
          </w:p>
        </w:tc>
        <w:tc>
          <w:tcPr>
            <w:cnfStyle w:val="000010000000" w:firstRow="0" w:lastRow="0" w:firstColumn="0" w:lastColumn="0" w:oddVBand="1" w:evenVBand="0" w:oddHBand="0" w:evenHBand="0" w:firstRowFirstColumn="0" w:firstRowLastColumn="0" w:lastRowFirstColumn="0" w:lastRowLastColumn="0"/>
            <w:tcW w:w="4111" w:type="dxa"/>
          </w:tcPr>
          <w:p w14:paraId="037C7BE3" w14:textId="2DEE4E60" w:rsidR="008E46A2" w:rsidRPr="009E2BBE" w:rsidRDefault="001A7348" w:rsidP="008E46A2">
            <w:pPr>
              <w:pStyle w:val="Tabletext"/>
            </w:pPr>
            <w:r w:rsidRPr="009E2BBE">
              <w:t xml:space="preserve">If there are substantial changes to the program, </w:t>
            </w:r>
            <w:proofErr w:type="gramStart"/>
            <w:r w:rsidR="00636153" w:rsidRPr="009E2BBE">
              <w:t>The</w:t>
            </w:r>
            <w:proofErr w:type="gramEnd"/>
            <w:r w:rsidR="00636153" w:rsidRPr="009E2BBE">
              <w:t xml:space="preserve"> </w:t>
            </w:r>
            <w:r w:rsidR="00FC6ABA" w:rsidRPr="009E2BBE">
              <w:t>c</w:t>
            </w:r>
            <w:r w:rsidR="00636153" w:rsidRPr="009E2BBE">
              <w:t>hair s</w:t>
            </w:r>
            <w:r w:rsidR="008E46A2" w:rsidRPr="009E2BBE">
              <w:t>eek</w:t>
            </w:r>
            <w:r w:rsidR="00636153" w:rsidRPr="009E2BBE">
              <w:t>s</w:t>
            </w:r>
            <w:r w:rsidR="008E46A2" w:rsidRPr="009E2BBE">
              <w:t xml:space="preserve"> approval </w:t>
            </w:r>
            <w:r w:rsidR="00636153" w:rsidRPr="009E2BBE">
              <w:t xml:space="preserve">of the </w:t>
            </w:r>
            <w:r w:rsidR="008E46A2" w:rsidRPr="009E2BBE">
              <w:t xml:space="preserve">final product from </w:t>
            </w:r>
            <w:r w:rsidR="00636153" w:rsidRPr="009E2BBE">
              <w:t xml:space="preserve">the </w:t>
            </w:r>
            <w:r w:rsidR="008E46A2" w:rsidRPr="009E2BBE">
              <w:t>CVS</w:t>
            </w:r>
            <w:r w:rsidR="00636153" w:rsidRPr="009E2BBE">
              <w:t>.</w:t>
            </w:r>
          </w:p>
        </w:tc>
        <w:tc>
          <w:tcPr>
            <w:cnfStyle w:val="000001000000" w:firstRow="0" w:lastRow="0" w:firstColumn="0" w:lastColumn="0" w:oddVBand="0" w:evenVBand="1" w:oddHBand="0" w:evenHBand="0" w:firstRowFirstColumn="0" w:firstRowLastColumn="0" w:lastRowFirstColumn="0" w:lastRowLastColumn="0"/>
            <w:tcW w:w="1406" w:type="dxa"/>
          </w:tcPr>
          <w:p w14:paraId="59A95BDA" w14:textId="77777777" w:rsidR="008E46A2" w:rsidRPr="009E2BBE" w:rsidRDefault="008E46A2" w:rsidP="008E46A2">
            <w:pPr>
              <w:pStyle w:val="Tabletext"/>
            </w:pPr>
          </w:p>
        </w:tc>
      </w:tr>
      <w:tr w:rsidR="008E46A2" w:rsidRPr="009E2BBE" w14:paraId="7037CEEB" w14:textId="77777777" w:rsidTr="008E46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0EF01548" w14:textId="77777777" w:rsidR="008E46A2" w:rsidRPr="009E2BBE" w:rsidRDefault="008E46A2" w:rsidP="008E46A2">
            <w:pPr>
              <w:pStyle w:val="Tabletext"/>
            </w:pPr>
            <w:r w:rsidRPr="009E2BBE">
              <w:t xml:space="preserve">Approval </w:t>
            </w:r>
          </w:p>
        </w:tc>
        <w:tc>
          <w:tcPr>
            <w:cnfStyle w:val="000001000000" w:firstRow="0" w:lastRow="0" w:firstColumn="0" w:lastColumn="0" w:oddVBand="0" w:evenVBand="1" w:oddHBand="0" w:evenHBand="0" w:firstRowFirstColumn="0" w:firstRowLastColumn="0" w:lastRowFirstColumn="0" w:lastRowLastColumn="0"/>
            <w:tcW w:w="1701" w:type="dxa"/>
          </w:tcPr>
          <w:p w14:paraId="2B6D284D" w14:textId="77777777" w:rsidR="008E46A2" w:rsidRPr="009E2BBE" w:rsidRDefault="008E46A2" w:rsidP="008E46A2">
            <w:pPr>
              <w:pStyle w:val="Tabletext"/>
            </w:pPr>
            <w:r w:rsidRPr="009E2BBE">
              <w:t>CVS</w:t>
            </w:r>
          </w:p>
        </w:tc>
        <w:tc>
          <w:tcPr>
            <w:cnfStyle w:val="000010000000" w:firstRow="0" w:lastRow="0" w:firstColumn="0" w:lastColumn="0" w:oddVBand="1" w:evenVBand="0" w:oddHBand="0" w:evenHBand="0" w:firstRowFirstColumn="0" w:firstRowLastColumn="0" w:lastRowFirstColumn="0" w:lastRowLastColumn="0"/>
            <w:tcW w:w="4111" w:type="dxa"/>
          </w:tcPr>
          <w:p w14:paraId="15AFCDD8" w14:textId="6B1D5F4A" w:rsidR="008E46A2" w:rsidRPr="009E2BBE" w:rsidRDefault="008E46A2" w:rsidP="008E46A2">
            <w:pPr>
              <w:pStyle w:val="Tabletext"/>
            </w:pPr>
            <w:r w:rsidRPr="009E2BBE">
              <w:t>CVS works with the program developer to review</w:t>
            </w:r>
            <w:r w:rsidR="008D3497" w:rsidRPr="009E2BBE">
              <w:t xml:space="preserve"> and </w:t>
            </w:r>
            <w:r w:rsidR="001A7348" w:rsidRPr="009E2BBE">
              <w:t xml:space="preserve">validate </w:t>
            </w:r>
            <w:r w:rsidRPr="009E2BBE">
              <w:t>the proposed program.</w:t>
            </w:r>
          </w:p>
        </w:tc>
        <w:tc>
          <w:tcPr>
            <w:cnfStyle w:val="000001000000" w:firstRow="0" w:lastRow="0" w:firstColumn="0" w:lastColumn="0" w:oddVBand="0" w:evenVBand="1" w:oddHBand="0" w:evenHBand="0" w:firstRowFirstColumn="0" w:firstRowLastColumn="0" w:lastRowFirstColumn="0" w:lastRowLastColumn="0"/>
            <w:tcW w:w="1406" w:type="dxa"/>
          </w:tcPr>
          <w:p w14:paraId="14788FF8" w14:textId="77777777" w:rsidR="008E46A2" w:rsidRPr="009E2BBE" w:rsidRDefault="008E46A2" w:rsidP="008E46A2">
            <w:pPr>
              <w:pStyle w:val="Tabletext"/>
            </w:pPr>
          </w:p>
        </w:tc>
      </w:tr>
    </w:tbl>
    <w:p w14:paraId="566B33CA" w14:textId="54CE40CF" w:rsidR="0009533D" w:rsidRPr="009E2BBE" w:rsidRDefault="008E46A2" w:rsidP="00D811C9">
      <w:pPr>
        <w:pStyle w:val="Source"/>
      </w:pPr>
      <w:r w:rsidRPr="009E2BBE">
        <w:t xml:space="preserve">Source: </w:t>
      </w:r>
      <w:r w:rsidRPr="009E2BBE">
        <w:fldChar w:fldCharType="begin"/>
      </w:r>
      <w:r w:rsidR="00426A80" w:rsidRPr="009E2BBE">
        <w:instrText xml:space="preserve"> ADDIN EN.CITE &lt;EndNote&gt;&lt;Cite&gt;&lt;Author&gt;Conestoga College&lt;/Author&gt;&lt;Year&gt;2019&lt;/Year&gt;&lt;RecNum&gt;98&lt;/RecNum&gt;&lt;DisplayText&gt;(Conestoga College 2019)&lt;/DisplayText&gt;&lt;record&gt;&lt;rec-number&gt;98&lt;/rec-number&gt;&lt;foreign-keys&gt;&lt;key app="EN" db-id="9ze0v2p5ut9294eed99p2s2tzvzzwsadrf2t" timestamp="1600910530"&gt;98&lt;/key&gt;&lt;/foreign-keys&gt;&lt;ref-type name="Report"&gt;27&lt;/ref-type&gt;&lt;contributors&gt;&lt;authors&gt;&lt;author&gt;Conestoga College,&lt;/author&gt;&lt;/authors&gt;&lt;/contributors&gt;&lt;titles&gt;&lt;title&gt;Program review procedure&lt;/title&gt;&lt;/titles&gt;&lt;dates&gt;&lt;year&gt;2019&lt;/year&gt;&lt;/dates&gt;&lt;pub-location&gt;Ontario&lt;/pub-location&gt;&lt;publisher&gt;Conestoga College&lt;/publisher&gt;&lt;urls&gt;&lt;related-urls&gt;&lt;url&gt;https://cms.conestogac.on.ca/sites/corporate-websites/policies/PDFDocuments/Curriculum/Program%20Review%20Procedure.pdf&lt;/url&gt;&lt;/related-urls&gt;&lt;/urls&gt;&lt;access-date&gt;September 2020&lt;/access-date&gt;&lt;/record&gt;&lt;/Cite&gt;&lt;/EndNote&gt;</w:instrText>
      </w:r>
      <w:r w:rsidRPr="009E2BBE">
        <w:fldChar w:fldCharType="separate"/>
      </w:r>
      <w:r w:rsidR="00426A80" w:rsidRPr="009E2BBE">
        <w:t xml:space="preserve">Conestoga College </w:t>
      </w:r>
      <w:r w:rsidR="00FC6ABA" w:rsidRPr="009E2BBE">
        <w:t>(</w:t>
      </w:r>
      <w:r w:rsidR="00426A80" w:rsidRPr="009E2BBE">
        <w:t>2019)</w:t>
      </w:r>
      <w:r w:rsidRPr="009E2BBE">
        <w:fldChar w:fldCharType="end"/>
      </w:r>
      <w:r w:rsidR="00FC6ABA" w:rsidRPr="009E2BBE">
        <w:t>.</w:t>
      </w:r>
    </w:p>
    <w:p w14:paraId="2383FFEA" w14:textId="40AD60E6" w:rsidR="008E46A2" w:rsidRPr="009E2BBE" w:rsidRDefault="008E46A2" w:rsidP="008E46A2">
      <w:pPr>
        <w:pStyle w:val="Heading3"/>
      </w:pPr>
      <w:r w:rsidRPr="009E2BBE">
        <w:t>The decision for a new qualification</w:t>
      </w:r>
    </w:p>
    <w:p w14:paraId="19FD79FE" w14:textId="29AFEE90" w:rsidR="008E46A2" w:rsidRPr="009E2BBE" w:rsidRDefault="008E46A2" w:rsidP="008E46A2">
      <w:pPr>
        <w:pStyle w:val="Text"/>
      </w:pPr>
      <w:r w:rsidRPr="009E2BBE">
        <w:t>In colleges</w:t>
      </w:r>
      <w:r w:rsidR="00861AD2" w:rsidRPr="009E2BBE">
        <w:t>,</w:t>
      </w:r>
      <w:r w:rsidRPr="009E2BBE">
        <w:t xml:space="preserve"> the </w:t>
      </w:r>
      <w:r w:rsidR="001A7348" w:rsidRPr="009E2BBE">
        <w:t xml:space="preserve">PACs, through the </w:t>
      </w:r>
      <w:r w:rsidRPr="009E2BBE">
        <w:t>deans</w:t>
      </w:r>
      <w:r w:rsidR="001A7348" w:rsidRPr="009E2BBE">
        <w:t>,</w:t>
      </w:r>
      <w:r w:rsidRPr="009E2BBE">
        <w:t xml:space="preserve"> identify the need for new programs. It is their responsibility to consult with subject matter experts in all schools to reduce duplication and promote collaboration. The results of this consultation are recorded and submitted along with a </w:t>
      </w:r>
      <w:r w:rsidR="001F47E3" w:rsidRPr="009E2BBE">
        <w:t xml:space="preserve">request for approval to proceed </w:t>
      </w:r>
      <w:r w:rsidRPr="009E2BBE">
        <w:t>within the college. The college develops a program in accordance with the guidelines provided by the CVS. These guidelines contain items designed to deter duplication.</w:t>
      </w:r>
    </w:p>
    <w:p w14:paraId="2C3DD1C7" w14:textId="3F0A301B" w:rsidR="008E46A2" w:rsidRPr="009E2BBE" w:rsidRDefault="008E46A2" w:rsidP="008E46A2">
      <w:pPr>
        <w:pStyle w:val="Text"/>
      </w:pPr>
      <w:r w:rsidRPr="009E2BBE">
        <w:t xml:space="preserve">The process of reviewing existing programs is slightly different </w:t>
      </w:r>
      <w:r w:rsidR="0041764C" w:rsidRPr="009E2BBE">
        <w:t>from the new program</w:t>
      </w:r>
      <w:r w:rsidR="001F47E3" w:rsidRPr="009E2BBE">
        <w:t>-</w:t>
      </w:r>
      <w:r w:rsidR="0041764C" w:rsidRPr="009E2BBE">
        <w:t>development process</w:t>
      </w:r>
      <w:r w:rsidR="001F47E3" w:rsidRPr="009E2BBE">
        <w:t>,</w:t>
      </w:r>
      <w:r w:rsidR="0041764C" w:rsidRPr="009E2BBE">
        <w:t xml:space="preserve"> </w:t>
      </w:r>
      <w:r w:rsidRPr="009E2BBE">
        <w:t xml:space="preserve">as an annual review system is used to prompt colleges and the ministry to review all current programs </w:t>
      </w:r>
      <w:r w:rsidRPr="009E2BBE">
        <w:fldChar w:fldCharType="begin"/>
      </w:r>
      <w:r w:rsidRPr="009E2BBE">
        <w:instrText xml:space="preserve"> ADDIN EN.CITE &lt;EndNote&gt;&lt;Cite&gt;&lt;Author&gt;Ontario Ministry of Colleges and Universities&lt;/Author&gt;&lt;Year&gt;2017&lt;/Year&gt;&lt;RecNum&gt;75&lt;/RecNum&gt;&lt;DisplayText&gt;(Ontario Ministry of Colleges and Universities 2017)&lt;/DisplayText&gt;&lt;record&gt;&lt;rec-number&gt;75&lt;/rec-number&gt;&lt;foreign-keys&gt;&lt;key app="EN" db-id="9ze0v2p5ut9294eed99p2s2tzvzzwsadrf2t" timestamp="1599027730"&gt;75&lt;/key&gt;&lt;/foreign-keys&gt;&lt;ref-type name="Web Page"&gt;12&lt;/ref-type&gt;&lt;contributors&gt;&lt;authors&gt;&lt;author&gt;Ontario Ministry of Colleges and Universities,&lt;/author&gt;&lt;/authors&gt;&lt;/contributors&gt;&lt;titles&gt;&lt;title&gt;Published College Program Standards&lt;/title&gt;&lt;/titles&gt;&lt;number&gt;September 2020&lt;/number&gt;&lt;dates&gt;&lt;year&gt;2017&lt;/year&gt;&lt;/dates&gt;&lt;pub-location&gt;Ontario&lt;/pub-location&gt;&lt;urls&gt;&lt;related-urls&gt;&lt;url&gt;http://www.tcu.gov.on.ca/pepg/audiences/colleges/progstan/&lt;/url&gt;&lt;/related-urls&gt;&lt;/urls&gt;&lt;/record&gt;&lt;/Cite&gt;&lt;/EndNote&gt;</w:instrText>
      </w:r>
      <w:r w:rsidRPr="009E2BBE">
        <w:fldChar w:fldCharType="separate"/>
      </w:r>
      <w:r w:rsidRPr="009E2BBE">
        <w:t>(Ontario Ministry of Colleges and Universities 2017)</w:t>
      </w:r>
      <w:r w:rsidRPr="009E2BBE">
        <w:fldChar w:fldCharType="end"/>
      </w:r>
      <w:r w:rsidRPr="009E2BBE">
        <w:t xml:space="preserve">. </w:t>
      </w:r>
    </w:p>
    <w:p w14:paraId="5AA5843A" w14:textId="77777777" w:rsidR="008E46A2" w:rsidRPr="009E2BBE" w:rsidRDefault="008E46A2" w:rsidP="008E46A2">
      <w:pPr>
        <w:pStyle w:val="Heading3"/>
      </w:pPr>
      <w:r w:rsidRPr="009E2BBE">
        <w:t>Stakeholders involved</w:t>
      </w:r>
    </w:p>
    <w:p w14:paraId="1ACE831C" w14:textId="5F713EAC" w:rsidR="008E46A2" w:rsidRPr="009E2BBE" w:rsidRDefault="008E46A2" w:rsidP="008E46A2">
      <w:pPr>
        <w:pStyle w:val="Text"/>
      </w:pPr>
      <w:r w:rsidRPr="009E2BBE">
        <w:t>A program standard is developed through a broad-based consultation process</w:t>
      </w:r>
      <w:r w:rsidR="002F0368" w:rsidRPr="009E2BBE">
        <w:t>,</w:t>
      </w:r>
      <w:r w:rsidRPr="009E2BBE">
        <w:t xml:space="preserve"> involving a range of stakeholders with a direct interest in the program area, including employers, professional associations and program graduates working in the field, </w:t>
      </w:r>
      <w:r w:rsidR="00964276" w:rsidRPr="009E2BBE">
        <w:t>along with</w:t>
      </w:r>
      <w:r w:rsidRPr="009E2BBE">
        <w:t xml:space="preserve"> college students, </w:t>
      </w:r>
      <w:proofErr w:type="gramStart"/>
      <w:r w:rsidRPr="009E2BBE">
        <w:t>faculty</w:t>
      </w:r>
      <w:proofErr w:type="gramEnd"/>
      <w:r w:rsidRPr="009E2BBE">
        <w:t xml:space="preserve"> and administrators. Program standards are updated </w:t>
      </w:r>
      <w:r w:rsidR="00964276" w:rsidRPr="009E2BBE">
        <w:t>according to</w:t>
      </w:r>
      <w:r w:rsidRPr="009E2BBE">
        <w:t xml:space="preserve"> changing requirements of the sector. This ensures that standards continue to be appropriate and relevant to the needs of </w:t>
      </w:r>
      <w:r w:rsidR="00175F90" w:rsidRPr="009E2BBE">
        <w:t xml:space="preserve">both </w:t>
      </w:r>
      <w:r w:rsidRPr="009E2BBE">
        <w:t xml:space="preserve">students and employers </w:t>
      </w:r>
      <w:r w:rsidRPr="009E2BBE">
        <w:fldChar w:fldCharType="begin"/>
      </w:r>
      <w:r w:rsidRPr="009E2BBE">
        <w:instrText xml:space="preserve"> ADDIN EN.CITE &lt;EndNote&gt;&lt;Cite&gt;&lt;Author&gt;Ontario Ministry of Colleges and Universities&lt;/Author&gt;&lt;Year&gt;2017&lt;/Year&gt;&lt;RecNum&gt;75&lt;/RecNum&gt;&lt;DisplayText&gt;(Ontario Ministry of Colleges and Universities 2017)&lt;/DisplayText&gt;&lt;record&gt;&lt;rec-number&gt;75&lt;/rec-number&gt;&lt;foreign-keys&gt;&lt;key app="EN" db-id="9ze0v2p5ut9294eed99p2s2tzvzzwsadrf2t" timestamp="1599027730"&gt;75&lt;/key&gt;&lt;/foreign-keys&gt;&lt;ref-type name="Web Page"&gt;12&lt;/ref-type&gt;&lt;contributors&gt;&lt;authors&gt;&lt;author&gt;Ontario Ministry of Colleges and Universities,&lt;/author&gt;&lt;/authors&gt;&lt;/contributors&gt;&lt;titles&gt;&lt;title&gt;Published College Program Standards&lt;/title&gt;&lt;/titles&gt;&lt;number&gt;September 2020&lt;/number&gt;&lt;dates&gt;&lt;year&gt;2017&lt;/year&gt;&lt;/dates&gt;&lt;pub-location&gt;Ontario&lt;/pub-location&gt;&lt;urls&gt;&lt;related-urls&gt;&lt;url&gt;http://www.tcu.gov.on.ca/pepg/audiences/colleges/progstan/&lt;/url&gt;&lt;/related-urls&gt;&lt;/urls&gt;&lt;/record&gt;&lt;/Cite&gt;&lt;/EndNote&gt;</w:instrText>
      </w:r>
      <w:r w:rsidRPr="009E2BBE">
        <w:fldChar w:fldCharType="separate"/>
      </w:r>
      <w:r w:rsidRPr="009E2BBE">
        <w:t>(Ontario Ministry of Colleges and Universities 2017)</w:t>
      </w:r>
      <w:r w:rsidRPr="009E2BBE">
        <w:fldChar w:fldCharType="end"/>
      </w:r>
      <w:r w:rsidRPr="009E2BBE">
        <w:t xml:space="preserve">. </w:t>
      </w:r>
    </w:p>
    <w:p w14:paraId="7F887B12" w14:textId="140AFDCB" w:rsidR="008E46A2" w:rsidRPr="009E2BBE" w:rsidRDefault="008E46A2" w:rsidP="008E46A2">
      <w:pPr>
        <w:pStyle w:val="Text"/>
      </w:pPr>
      <w:r w:rsidRPr="009E2BBE">
        <w:t xml:space="preserve">The Program Standards Unit of the Ministry of </w:t>
      </w:r>
      <w:r w:rsidR="0041764C" w:rsidRPr="009E2BBE">
        <w:t>Colleges and Universities</w:t>
      </w:r>
      <w:r w:rsidR="0041764C" w:rsidRPr="009E2BBE" w:rsidDel="0041764C">
        <w:t xml:space="preserve"> </w:t>
      </w:r>
      <w:r w:rsidRPr="009E2BBE">
        <w:t xml:space="preserve">has responsibility for the development, </w:t>
      </w:r>
      <w:proofErr w:type="gramStart"/>
      <w:r w:rsidRPr="009E2BBE">
        <w:t>review</w:t>
      </w:r>
      <w:proofErr w:type="gramEnd"/>
      <w:r w:rsidRPr="009E2BBE">
        <w:t xml:space="preserve"> and approval of system-wide standards. Assessment of programs is conducted via consultations and in collaboration between the Ministry of Colleges and Universities, industry, individual colleges and OCQAS.</w:t>
      </w:r>
    </w:p>
    <w:p w14:paraId="31E660B2" w14:textId="1247D64C" w:rsidR="008E46A2" w:rsidRPr="009E2BBE" w:rsidRDefault="008E46A2" w:rsidP="008E46A2">
      <w:pPr>
        <w:pStyle w:val="Text"/>
      </w:pPr>
      <w:r w:rsidRPr="009E2BBE">
        <w:t>Program advisory committee</w:t>
      </w:r>
      <w:r w:rsidR="0009533D" w:rsidRPr="009E2BBE">
        <w:t>s</w:t>
      </w:r>
      <w:r w:rsidRPr="009E2BBE">
        <w:t xml:space="preserve"> develop these standards at each college. The </w:t>
      </w:r>
      <w:r w:rsidR="007F50C6" w:rsidRPr="009E2BBE">
        <w:t>m</w:t>
      </w:r>
      <w:r w:rsidRPr="009E2BBE">
        <w:t>inist</w:t>
      </w:r>
      <w:r w:rsidR="001A7348" w:rsidRPr="009E2BBE">
        <w:t>er</w:t>
      </w:r>
      <w:r w:rsidR="00A26B8A" w:rsidRPr="009E2BBE">
        <w:t>’</w:t>
      </w:r>
      <w:r w:rsidR="001A7348" w:rsidRPr="009E2BBE">
        <w:t xml:space="preserve">s </w:t>
      </w:r>
      <w:r w:rsidR="007F50C6" w:rsidRPr="009E2BBE">
        <w:t>binding policy directive for programs of instruction</w:t>
      </w:r>
      <w:r w:rsidRPr="009E2BBE">
        <w:t xml:space="preserve"> requires a program advisory committee for each college program, or related program cluster</w:t>
      </w:r>
      <w:r w:rsidR="004A13E8" w:rsidRPr="009E2BBE">
        <w:t xml:space="preserve">. </w:t>
      </w:r>
      <w:r w:rsidRPr="009E2BBE">
        <w:t xml:space="preserve">PAC members are leaders in their sectors with program-related experience and expertise. PACs identify current and future industry trends and shifts in the skills and knowledge </w:t>
      </w:r>
      <w:r w:rsidR="00A02FC7" w:rsidRPr="009E2BBE">
        <w:t xml:space="preserve">that </w:t>
      </w:r>
      <w:r w:rsidRPr="009E2BBE">
        <w:t xml:space="preserve">graduates </w:t>
      </w:r>
      <w:r w:rsidR="00A02FC7" w:rsidRPr="009E2BBE">
        <w:t>require</w:t>
      </w:r>
      <w:r w:rsidRPr="009E2BBE">
        <w:t xml:space="preserve"> to meet employer requirements. They advise on the need for new programs and participate in their development and quality assurance (equivalent to Australia</w:t>
      </w:r>
      <w:r w:rsidR="00A26B8A" w:rsidRPr="009E2BBE">
        <w:t>’</w:t>
      </w:r>
      <w:r w:rsidRPr="009E2BBE">
        <w:t>s IRCs</w:t>
      </w:r>
      <w:r w:rsidR="00A02FC7" w:rsidRPr="009E2BBE">
        <w:t>,</w:t>
      </w:r>
      <w:r w:rsidRPr="009E2BBE">
        <w:t xml:space="preserve"> except</w:t>
      </w:r>
      <w:r w:rsidR="00A02FC7" w:rsidRPr="009E2BBE">
        <w:t xml:space="preserve"> that</w:t>
      </w:r>
      <w:r w:rsidRPr="009E2BBE">
        <w:t xml:space="preserve"> PACs are unique to each college). </w:t>
      </w:r>
    </w:p>
    <w:p w14:paraId="6E184994" w14:textId="633D0D81" w:rsidR="008E46A2" w:rsidRPr="009E2BBE" w:rsidRDefault="008E46A2" w:rsidP="008E46A2">
      <w:pPr>
        <w:pStyle w:val="Text"/>
      </w:pPr>
      <w:r w:rsidRPr="009E2BBE">
        <w:t>Each college sets its own PAC terms of reference. For example, at Seneca College</w:t>
      </w:r>
      <w:r w:rsidR="00ED142E" w:rsidRPr="009E2BBE">
        <w:t>,</w:t>
      </w:r>
      <w:r w:rsidRPr="009E2BBE">
        <w:t xml:space="preserve"> PAC appointments are by invitation, for a four-year term, with a second term permissible. PACs meet </w:t>
      </w:r>
      <w:r w:rsidR="00966545" w:rsidRPr="009E2BBE">
        <w:t>once or twice</w:t>
      </w:r>
      <w:r w:rsidRPr="009E2BBE">
        <w:t xml:space="preserve"> annually and comprise </w:t>
      </w:r>
      <w:r w:rsidR="00966545" w:rsidRPr="009E2BBE">
        <w:t xml:space="preserve">six to </w:t>
      </w:r>
      <w:r w:rsidRPr="009E2BBE">
        <w:t xml:space="preserve">12 members, and its college employees are ineligible. Seneca College has 99 PACs listed on its website, for programs ranging from </w:t>
      </w:r>
      <w:r w:rsidR="00B15344" w:rsidRPr="009E2BBE">
        <w:t>child and youth care to underwater skills</w:t>
      </w:r>
      <w:r w:rsidRPr="009E2BBE">
        <w:t xml:space="preserve">. The Seneca College PAC terms of reference includes a requirement to review programs and </w:t>
      </w:r>
      <w:r w:rsidR="00A26B8A" w:rsidRPr="009E2BBE">
        <w:t>‘</w:t>
      </w:r>
      <w:r w:rsidRPr="009E2BBE">
        <w:t>advise, recommend and assist in identifying the need for program development and/or discontinuation</w:t>
      </w:r>
      <w:r w:rsidR="00A26B8A" w:rsidRPr="009E2BBE">
        <w:t>’</w:t>
      </w:r>
      <w:r w:rsidRPr="009E2BBE">
        <w:t xml:space="preserve"> </w:t>
      </w:r>
      <w:r w:rsidRPr="009E2BBE">
        <w:fldChar w:fldCharType="begin"/>
      </w:r>
      <w:r w:rsidRPr="009E2BBE">
        <w:instrText xml:space="preserve"> ADDIN EN.CITE &lt;EndNote&gt;&lt;Cite&gt;&lt;Author&gt;Seneca College&lt;/Author&gt;&lt;Year&gt;2020&lt;/Year&gt;&lt;RecNum&gt;76&lt;/RecNum&gt;&lt;DisplayText&gt;(Seneca College 2020)&lt;/DisplayText&gt;&lt;record&gt;&lt;rec-number&gt;76&lt;/rec-number&gt;&lt;foreign-keys&gt;&lt;key app="EN" db-id="9ze0v2p5ut9294eed99p2s2tzvzzwsadrf2t" timestamp="1599095981"&gt;76&lt;/key&gt;&lt;/foreign-keys&gt;&lt;ref-type name="Web Page"&gt;12&lt;/ref-type&gt;&lt;contributors&gt;&lt;authors&gt;&lt;author&gt;Seneca College,&lt;/author&gt;&lt;/authors&gt;&lt;/contributors&gt;&lt;titles&gt;&lt;title&gt;Program Advisory Committees&lt;/title&gt;&lt;/titles&gt;&lt;number&gt;September 2020&lt;/number&gt;&lt;dates&gt;&lt;year&gt;2020&lt;/year&gt;&lt;/dates&gt;&lt;pub-location&gt;Toronto&lt;/pub-location&gt;&lt;urls&gt;&lt;related-urls&gt;&lt;url&gt;https://www.senecacollege.ca/about/advisory/committees.html&lt;/url&gt;&lt;/related-urls&gt;&lt;/urls&gt;&lt;/record&gt;&lt;/Cite&gt;&lt;/EndNote&gt;</w:instrText>
      </w:r>
      <w:r w:rsidRPr="009E2BBE">
        <w:fldChar w:fldCharType="separate"/>
      </w:r>
      <w:r w:rsidRPr="009E2BBE">
        <w:t>(Seneca College 2020)</w:t>
      </w:r>
      <w:r w:rsidRPr="009E2BBE">
        <w:fldChar w:fldCharType="end"/>
      </w:r>
      <w:r w:rsidRPr="009E2BBE">
        <w:t>.</w:t>
      </w:r>
    </w:p>
    <w:p w14:paraId="34CBA675" w14:textId="0D4F419F" w:rsidR="008E46A2" w:rsidRPr="009E2BBE" w:rsidRDefault="008E46A2" w:rsidP="008E46A2">
      <w:pPr>
        <w:pStyle w:val="Text"/>
      </w:pPr>
      <w:r w:rsidRPr="009E2BBE">
        <w:t>The length of PAC terms varies between colleges</w:t>
      </w:r>
      <w:r w:rsidR="003B62C8" w:rsidRPr="009E2BBE">
        <w:t xml:space="preserve">. </w:t>
      </w:r>
      <w:r w:rsidR="0061450C" w:rsidRPr="009E2BBE">
        <w:t>A</w:t>
      </w:r>
      <w:r w:rsidRPr="009E2BBE">
        <w:t>t Centennial College</w:t>
      </w:r>
      <w:r w:rsidR="0061450C" w:rsidRPr="009E2BBE">
        <w:t>,</w:t>
      </w:r>
      <w:r w:rsidRPr="009E2BBE">
        <w:t xml:space="preserve"> PAC terms are </w:t>
      </w:r>
      <w:r w:rsidR="00B15344" w:rsidRPr="009E2BBE">
        <w:t>three</w:t>
      </w:r>
      <w:r w:rsidRPr="009E2BBE">
        <w:t xml:space="preserve"> academic years, with a second term permissible if the member is an active participant. Retirement from the relevant industry requires retirement from the PAC. PACs at this college comprise </w:t>
      </w:r>
      <w:r w:rsidR="00B15344" w:rsidRPr="009E2BBE">
        <w:t>eight</w:t>
      </w:r>
      <w:r w:rsidR="00173C82" w:rsidRPr="009E2BBE">
        <w:t xml:space="preserve"> to </w:t>
      </w:r>
      <w:r w:rsidRPr="009E2BBE">
        <w:t>10 members</w:t>
      </w:r>
      <w:r w:rsidR="00020D7A" w:rsidRPr="009E2BBE">
        <w:t>,</w:t>
      </w:r>
      <w:r w:rsidRPr="009E2BBE">
        <w:t xml:space="preserve"> with only one member from any single organisation. College staff and students may attend as non-voting members. Each PAC appoints a </w:t>
      </w:r>
      <w:r w:rsidR="00020D7A" w:rsidRPr="009E2BBE">
        <w:t>chair, vice-</w:t>
      </w:r>
      <w:proofErr w:type="gramStart"/>
      <w:r w:rsidR="00020D7A" w:rsidRPr="009E2BBE">
        <w:t>chair</w:t>
      </w:r>
      <w:proofErr w:type="gramEnd"/>
      <w:r w:rsidR="00020D7A" w:rsidRPr="009E2BBE">
        <w:t xml:space="preserve"> and secretary; chairs </w:t>
      </w:r>
      <w:r w:rsidRPr="009E2BBE">
        <w:t>have a two-year term. Meetings must be held at least twice annually. A quorum is at least one</w:t>
      </w:r>
      <w:r w:rsidR="00020D7A" w:rsidRPr="009E2BBE">
        <w:t>-</w:t>
      </w:r>
      <w:r w:rsidRPr="009E2BBE">
        <w:t xml:space="preserve">half of voting membership </w:t>
      </w:r>
      <w:r w:rsidRPr="009E2BBE">
        <w:fldChar w:fldCharType="begin"/>
      </w:r>
      <w:r w:rsidRPr="009E2BBE">
        <w:instrText xml:space="preserve"> ADDIN EN.CITE &lt;EndNote&gt;&lt;Cite&gt;&lt;Author&gt;Centennial College&lt;/Author&gt;&lt;Year&gt;2018&lt;/Year&gt;&lt;RecNum&gt;77&lt;/RecNum&gt;&lt;DisplayText&gt;(Centennial College 2018)&lt;/DisplayText&gt;&lt;record&gt;&lt;rec-number&gt;77&lt;/rec-number&gt;&lt;foreign-keys&gt;&lt;key app="EN" db-id="9ze0v2p5ut9294eed99p2s2tzvzzwsadrf2t" timestamp="1599097423"&gt;77&lt;/key&gt;&lt;/foreign-keys&gt;&lt;ref-type name="Standard"&gt;58&lt;/ref-type&gt;&lt;contributors&gt;&lt;authors&gt;&lt;author&gt;Centennial College,&lt;/author&gt;&lt;/authors&gt;&lt;/contributors&gt;&lt;titles&gt;&lt;title&gt;Program Advisory Committee member guide&lt;/title&gt;&lt;/titles&gt;&lt;dates&gt;&lt;year&gt;2018&lt;/year&gt;&lt;/dates&gt;&lt;pub-location&gt;Ontario&lt;/pub-location&gt;&lt;publisher&gt;Centennial College&lt;/publisher&gt;&lt;urls&gt;&lt;/urls&gt;&lt;/record&gt;&lt;/Cite&gt;&lt;/EndNote&gt;</w:instrText>
      </w:r>
      <w:r w:rsidRPr="009E2BBE">
        <w:fldChar w:fldCharType="separate"/>
      </w:r>
      <w:r w:rsidRPr="009E2BBE">
        <w:t>(Centennial College 2018)</w:t>
      </w:r>
      <w:r w:rsidRPr="009E2BBE">
        <w:fldChar w:fldCharType="end"/>
      </w:r>
      <w:r w:rsidRPr="009E2BBE">
        <w:t xml:space="preserve">. </w:t>
      </w:r>
    </w:p>
    <w:p w14:paraId="03BD9B5E" w14:textId="34952523" w:rsidR="008E46A2" w:rsidRPr="009E2BBE" w:rsidRDefault="00C3266D" w:rsidP="008E46A2">
      <w:pPr>
        <w:pStyle w:val="Text"/>
      </w:pPr>
      <w:r w:rsidRPr="009E2BBE">
        <w:t>Each c</w:t>
      </w:r>
      <w:r w:rsidR="008E46A2" w:rsidRPr="009E2BBE">
        <w:t>ollege determin</w:t>
      </w:r>
      <w:r w:rsidRPr="009E2BBE">
        <w:t>es its</w:t>
      </w:r>
      <w:r w:rsidR="008E46A2" w:rsidRPr="009E2BBE">
        <w:t xml:space="preserve"> own criteria for decision-making and removal of members. For example, at Seneca College, PAC decisions are made by vote. A quorum is 50% plus one. If a member misses two consecutive meetings</w:t>
      </w:r>
      <w:r w:rsidR="00173C82" w:rsidRPr="009E2BBE">
        <w:t>,</w:t>
      </w:r>
      <w:r w:rsidR="008E46A2" w:rsidRPr="009E2BBE">
        <w:t xml:space="preserve"> the PAC </w:t>
      </w:r>
      <w:r w:rsidR="00822EC3" w:rsidRPr="009E2BBE">
        <w:t>c</w:t>
      </w:r>
      <w:r w:rsidR="008E46A2" w:rsidRPr="009E2BBE">
        <w:t>hair may terminate their membership.</w:t>
      </w:r>
    </w:p>
    <w:p w14:paraId="1BFE15DB" w14:textId="3685D1DF" w:rsidR="008E46A2" w:rsidRPr="009E2BBE" w:rsidRDefault="008E46A2" w:rsidP="008E46A2">
      <w:pPr>
        <w:pStyle w:val="Heading3"/>
      </w:pPr>
      <w:r w:rsidRPr="009E2BBE">
        <w:t>Speed-to-market</w:t>
      </w:r>
    </w:p>
    <w:p w14:paraId="7D992894" w14:textId="1B5448AD" w:rsidR="008E46A2" w:rsidRPr="009E2BBE" w:rsidRDefault="008E46A2" w:rsidP="008E46A2">
      <w:pPr>
        <w:pStyle w:val="Text"/>
      </w:pPr>
      <w:r w:rsidRPr="009E2BBE">
        <w:t>It is unclear how long it takes for programs to be developed or for approved programs to reach the training market</w:t>
      </w:r>
      <w:r w:rsidR="00822EC3" w:rsidRPr="009E2BBE">
        <w:t>;</w:t>
      </w:r>
      <w:r w:rsidR="00687428" w:rsidRPr="009E2BBE">
        <w:t xml:space="preserve"> unofficial sources suggest a September</w:t>
      </w:r>
      <w:r w:rsidR="00822EC3" w:rsidRPr="009E2BBE">
        <w:t>—</w:t>
      </w:r>
      <w:r w:rsidR="00687428" w:rsidRPr="009E2BBE">
        <w:t>June review period</w:t>
      </w:r>
      <w:r w:rsidRPr="009E2BBE">
        <w:t>.</w:t>
      </w:r>
      <w:r w:rsidR="00687428" w:rsidRPr="009E2BBE">
        <w:t xml:space="preserve"> Colleges typically have one academic year to implement a modified program standard</w:t>
      </w:r>
      <w:r w:rsidRPr="009E2BBE">
        <w:t xml:space="preserve">. </w:t>
      </w:r>
    </w:p>
    <w:p w14:paraId="77B6B48B" w14:textId="77777777" w:rsidR="008E46A2" w:rsidRPr="009E2BBE" w:rsidRDefault="008E46A2" w:rsidP="008E46A2">
      <w:pPr>
        <w:pStyle w:val="Heading2"/>
      </w:pPr>
      <w:bookmarkStart w:id="40" w:name="_Toc50622097"/>
      <w:bookmarkStart w:id="41" w:name="_Toc65741359"/>
      <w:r w:rsidRPr="009E2BBE">
        <w:t>Qualification design</w:t>
      </w:r>
      <w:bookmarkEnd w:id="40"/>
      <w:bookmarkEnd w:id="41"/>
      <w:r w:rsidRPr="009E2BBE">
        <w:t xml:space="preserve"> </w:t>
      </w:r>
    </w:p>
    <w:p w14:paraId="37391F39" w14:textId="77777777" w:rsidR="008E46A2" w:rsidRPr="009E2BBE" w:rsidRDefault="008E46A2" w:rsidP="008E46A2">
      <w:pPr>
        <w:pStyle w:val="Heading3"/>
      </w:pPr>
      <w:r w:rsidRPr="009E2BBE">
        <w:t>Specificity of qualifications</w:t>
      </w:r>
    </w:p>
    <w:p w14:paraId="256FA8BF" w14:textId="73CD6897" w:rsidR="008E46A2" w:rsidRPr="009E2BBE" w:rsidRDefault="008E46A2" w:rsidP="008E46A2">
      <w:pPr>
        <w:pStyle w:val="Text"/>
      </w:pPr>
      <w:r w:rsidRPr="009E2BBE">
        <w:t>Provincial</w:t>
      </w:r>
      <w:r w:rsidR="006A72B6" w:rsidRPr="009E2BBE">
        <w:t xml:space="preserve"> (system-wide)</w:t>
      </w:r>
      <w:r w:rsidRPr="009E2BBE">
        <w:t xml:space="preserve"> program standards identify the minimum requirements for credentials to be awarded, the scope of the outcomes and the breadth and depth of knowledge required (according to qualification level). </w:t>
      </w:r>
      <w:r w:rsidR="001A7348" w:rsidRPr="009E2BBE">
        <w:t>P</w:t>
      </w:r>
      <w:r w:rsidRPr="009E2BBE">
        <w:t>rograms</w:t>
      </w:r>
      <w:r w:rsidR="001A7348" w:rsidRPr="009E2BBE">
        <w:t xml:space="preserve"> for Ontario College </w:t>
      </w:r>
      <w:r w:rsidR="00D51224" w:rsidRPr="009E2BBE">
        <w:t xml:space="preserve">certificate, diplomas and advanced diplomas </w:t>
      </w:r>
      <w:r w:rsidRPr="009E2BBE">
        <w:t>must include:</w:t>
      </w:r>
    </w:p>
    <w:p w14:paraId="47A97576" w14:textId="1A9B2970" w:rsidR="008E46A2" w:rsidRPr="009E2BBE" w:rsidRDefault="00D51224" w:rsidP="008E46A2">
      <w:pPr>
        <w:pStyle w:val="Dotpoint10"/>
      </w:pPr>
      <w:r w:rsidRPr="009E2BBE">
        <w:t>v</w:t>
      </w:r>
      <w:r w:rsidR="008E46A2" w:rsidRPr="009E2BBE">
        <w:t>ocational standards</w:t>
      </w:r>
      <w:r w:rsidR="002E7A4D" w:rsidRPr="009E2BBE">
        <w:t xml:space="preserve">: </w:t>
      </w:r>
      <w:r w:rsidR="008E46A2" w:rsidRPr="009E2BBE">
        <w:t xml:space="preserve">the vocationally specific learning outcomes </w:t>
      </w:r>
      <w:r w:rsidR="00060F63" w:rsidRPr="009E2BBE">
        <w:t>that</w:t>
      </w:r>
      <w:r w:rsidR="008E46A2" w:rsidRPr="009E2BBE">
        <w:t xml:space="preserve"> apply to the programs in question</w:t>
      </w:r>
    </w:p>
    <w:p w14:paraId="4B0C140C" w14:textId="4D9167FB" w:rsidR="008E46A2" w:rsidRPr="009E2BBE" w:rsidRDefault="00D51224" w:rsidP="008E46A2">
      <w:pPr>
        <w:pStyle w:val="Dotpoint10"/>
      </w:pPr>
      <w:r w:rsidRPr="009E2BBE">
        <w:t>e</w:t>
      </w:r>
      <w:r w:rsidR="008E46A2" w:rsidRPr="009E2BBE">
        <w:t>ssential employability skills</w:t>
      </w:r>
      <w:r w:rsidR="002E7A4D" w:rsidRPr="009E2BBE">
        <w:t xml:space="preserve">: </w:t>
      </w:r>
      <w:r w:rsidR="008E46A2" w:rsidRPr="009E2BBE">
        <w:t>skills that are critical for success in the workplace, in day-to-day living, and for lifelong learning. The essential areas where graduates must demonstrate skills and knowledge</w:t>
      </w:r>
      <w:r w:rsidR="0009533D" w:rsidRPr="009E2BBE">
        <w:t xml:space="preserve"> </w:t>
      </w:r>
      <w:proofErr w:type="gramStart"/>
      <w:r w:rsidR="0009533D" w:rsidRPr="009E2BBE">
        <w:t>are</w:t>
      </w:r>
      <w:r w:rsidR="008E46A2" w:rsidRPr="009E2BBE">
        <w:t>:</w:t>
      </w:r>
      <w:proofErr w:type="gramEnd"/>
      <w:r w:rsidR="008E46A2" w:rsidRPr="009E2BBE">
        <w:t xml:space="preserve"> </w:t>
      </w:r>
      <w:r w:rsidR="00FC2EF0" w:rsidRPr="009E2BBE">
        <w:t xml:space="preserve">communication, numeracy, critical thinking </w:t>
      </w:r>
      <w:r w:rsidR="00B26DF9" w:rsidRPr="009E2BBE">
        <w:t>and</w:t>
      </w:r>
      <w:r w:rsidR="00FC2EF0" w:rsidRPr="009E2BBE">
        <w:t xml:space="preserve"> problem solving, information management, interpersonal, and personal</w:t>
      </w:r>
      <w:r w:rsidR="008E46A2" w:rsidRPr="009E2BBE">
        <w:t xml:space="preserve"> </w:t>
      </w:r>
    </w:p>
    <w:p w14:paraId="2969E495" w14:textId="5E4EEE29" w:rsidR="008E46A2" w:rsidRPr="009E2BBE" w:rsidRDefault="00D51224" w:rsidP="008E46A2">
      <w:pPr>
        <w:pStyle w:val="Dotpoint10"/>
      </w:pPr>
      <w:r w:rsidRPr="009E2BBE">
        <w:t>g</w:t>
      </w:r>
      <w:r w:rsidR="008E46A2" w:rsidRPr="009E2BBE">
        <w:t>eneral education requirement</w:t>
      </w:r>
      <w:r w:rsidR="002E7A4D" w:rsidRPr="009E2BBE">
        <w:t xml:space="preserve">: </w:t>
      </w:r>
      <w:r w:rsidR="008E46A2" w:rsidRPr="009E2BBE">
        <w:t xml:space="preserve">the requirements for </w:t>
      </w:r>
      <w:r w:rsidR="00FC2EF0" w:rsidRPr="009E2BBE">
        <w:t>g</w:t>
      </w:r>
      <w:r w:rsidR="008E46A2" w:rsidRPr="009E2BBE">
        <w:t xml:space="preserve">eneral education courses that contribute to the development of citizens who are conscious of the diversity, complexity and richness of the human experience and the society in which they live and work. Specific themes </w:t>
      </w:r>
      <w:r w:rsidR="00FC2EF0" w:rsidRPr="009E2BBE">
        <w:t xml:space="preserve">for general education courses to cover </w:t>
      </w:r>
      <w:proofErr w:type="gramStart"/>
      <w:r w:rsidR="00FC2EF0" w:rsidRPr="009E2BBE">
        <w:t>are:</w:t>
      </w:r>
      <w:proofErr w:type="gramEnd"/>
      <w:r w:rsidR="00FC2EF0" w:rsidRPr="009E2BBE">
        <w:t xml:space="preserve"> arts in society, civic life, social and cultural understanding, personal understanding, and science and technology</w:t>
      </w:r>
      <w:r w:rsidR="008E46A2" w:rsidRPr="009E2BBE">
        <w:t>.</w:t>
      </w:r>
    </w:p>
    <w:p w14:paraId="7851101D" w14:textId="79E19846" w:rsidR="008E46A2" w:rsidRPr="009E2BBE" w:rsidRDefault="006A72B6" w:rsidP="008E46A2">
      <w:pPr>
        <w:pStyle w:val="Text"/>
      </w:pPr>
      <w:r w:rsidRPr="009E2BBE">
        <w:t>Ontario system-wide p</w:t>
      </w:r>
      <w:r w:rsidR="008E46A2" w:rsidRPr="009E2BBE">
        <w:t>rogram standards are quite lengthy and detailed</w:t>
      </w:r>
      <w:r w:rsidRPr="009E2BBE">
        <w:t>, outlining the essential skills and knowledge a graduate must demonstrate</w:t>
      </w:r>
      <w:r w:rsidR="008E46A2" w:rsidRPr="009E2BBE">
        <w:t xml:space="preserve">. As an example, the </w:t>
      </w:r>
      <w:r w:rsidR="00A26B8A" w:rsidRPr="009E2BBE">
        <w:t>‘</w:t>
      </w:r>
      <w:bookmarkStart w:id="42" w:name="_Hlk61527728"/>
      <w:r w:rsidR="0037442A" w:rsidRPr="009E2BBE">
        <w:t>Recreation and leisure services program standard</w:t>
      </w:r>
      <w:bookmarkEnd w:id="42"/>
      <w:r w:rsidR="00A26B8A" w:rsidRPr="009E2BBE">
        <w:t>’</w:t>
      </w:r>
      <w:r w:rsidR="008E46A2" w:rsidRPr="009E2BBE">
        <w:t xml:space="preserve"> </w:t>
      </w:r>
      <w:r w:rsidR="0037442A" w:rsidRPr="009E2BBE">
        <w:t>encompasses</w:t>
      </w:r>
      <w:r w:rsidR="008E46A2" w:rsidRPr="009E2BBE">
        <w:t xml:space="preserve"> 3</w:t>
      </w:r>
      <w:r w:rsidRPr="009E2BBE">
        <w:t>0</w:t>
      </w:r>
      <w:r w:rsidR="008E46A2" w:rsidRPr="009E2BBE">
        <w:t xml:space="preserve"> pages, although there is a </w:t>
      </w:r>
      <w:r w:rsidR="00393327" w:rsidRPr="009E2BBE">
        <w:t>seven</w:t>
      </w:r>
      <w:r w:rsidR="00A228EE" w:rsidRPr="009E2BBE">
        <w:t>-</w:t>
      </w:r>
      <w:r w:rsidR="008E46A2" w:rsidRPr="009E2BBE">
        <w:t xml:space="preserve">page introduction with </w:t>
      </w:r>
      <w:r w:rsidR="006C624A" w:rsidRPr="009E2BBE">
        <w:t xml:space="preserve">an </w:t>
      </w:r>
      <w:r w:rsidR="008E46A2" w:rsidRPr="009E2BBE">
        <w:t xml:space="preserve">explanatory template text and a further </w:t>
      </w:r>
      <w:r w:rsidR="00393327" w:rsidRPr="009E2BBE">
        <w:t>seven</w:t>
      </w:r>
      <w:r w:rsidR="008E46A2" w:rsidRPr="009E2BBE">
        <w:t xml:space="preserve"> pages of appendices</w:t>
      </w:r>
      <w:r w:rsidR="009C4493" w:rsidRPr="009E2BBE">
        <w:t>, which</w:t>
      </w:r>
      <w:r w:rsidR="008E46A2" w:rsidRPr="009E2BBE">
        <w:t xml:space="preserve"> define the technical industry terms found in the standard (similar to </w:t>
      </w:r>
      <w:r w:rsidR="003D450A" w:rsidRPr="009E2BBE">
        <w:t>the</w:t>
      </w:r>
      <w:r w:rsidR="008E46A2" w:rsidRPr="009E2BBE">
        <w:t xml:space="preserve"> </w:t>
      </w:r>
      <w:r w:rsidR="006C624A" w:rsidRPr="009E2BBE">
        <w:t xml:space="preserve">range statement </w:t>
      </w:r>
      <w:r w:rsidR="008E46A2" w:rsidRPr="009E2BBE">
        <w:t xml:space="preserve">in Australian units of competency). </w:t>
      </w:r>
      <w:r w:rsidRPr="009E2BBE">
        <w:t xml:space="preserve">Nine </w:t>
      </w:r>
      <w:r w:rsidR="008E46A2" w:rsidRPr="009E2BBE">
        <w:t>vocational learning outcomes are specified</w:t>
      </w:r>
      <w:r w:rsidR="00017F87" w:rsidRPr="009E2BBE">
        <w:t>;</w:t>
      </w:r>
      <w:r w:rsidR="008E46A2" w:rsidRPr="009E2BBE">
        <w:t xml:space="preserve"> </w:t>
      </w:r>
      <w:r w:rsidR="00A228EE" w:rsidRPr="009E2BBE">
        <w:t>t</w:t>
      </w:r>
      <w:r w:rsidR="00393327" w:rsidRPr="009E2BBE">
        <w:t>he</w:t>
      </w:r>
      <w:r w:rsidR="008E46A2" w:rsidRPr="009E2BBE">
        <w:t xml:space="preserve"> </w:t>
      </w:r>
      <w:r w:rsidRPr="009E2BBE">
        <w:t xml:space="preserve">first </w:t>
      </w:r>
      <w:r w:rsidR="008E46A2" w:rsidRPr="009E2BBE">
        <w:t xml:space="preserve">vocational outcome has </w:t>
      </w:r>
      <w:r w:rsidR="00160403" w:rsidRPr="009E2BBE">
        <w:t xml:space="preserve">17 </w:t>
      </w:r>
      <w:r w:rsidR="008E46A2" w:rsidRPr="009E2BBE">
        <w:t xml:space="preserve">elements of performance, including such standards as </w:t>
      </w:r>
      <w:r w:rsidR="00A26B8A" w:rsidRPr="009E2BBE">
        <w:t>‘</w:t>
      </w:r>
      <w:r w:rsidR="00160403" w:rsidRPr="009E2BBE">
        <w:t>Apply the concepts of inclusion and accessibility to program and service philosophy, policy and practice</w:t>
      </w:r>
      <w:r w:rsidR="00A26B8A" w:rsidRPr="009E2BBE">
        <w:t>’</w:t>
      </w:r>
      <w:r w:rsidR="00160403" w:rsidRPr="009E2BBE">
        <w:t xml:space="preserve"> (</w:t>
      </w:r>
      <w:r w:rsidR="001462FF" w:rsidRPr="009E2BBE">
        <w:t>Ontario</w:t>
      </w:r>
      <w:r w:rsidR="00A248DB" w:rsidRPr="009E2BBE">
        <w:t xml:space="preserve"> </w:t>
      </w:r>
      <w:r w:rsidR="00160403" w:rsidRPr="009E2BBE">
        <w:t>Ministry of Training 2014)</w:t>
      </w:r>
      <w:r w:rsidR="008E46A2" w:rsidRPr="009E2BBE">
        <w:t>. The</w:t>
      </w:r>
      <w:r w:rsidR="00160403" w:rsidRPr="009E2BBE">
        <w:t xml:space="preserve"> essential employability skills and</w:t>
      </w:r>
      <w:r w:rsidR="008E46A2" w:rsidRPr="009E2BBE">
        <w:t xml:space="preserve"> general education requirements are outlined </w:t>
      </w:r>
      <w:r w:rsidR="00160403" w:rsidRPr="009E2BBE">
        <w:t xml:space="preserve">by reference to a standard matrix </w:t>
      </w:r>
      <w:r w:rsidR="008E46A2" w:rsidRPr="009E2BBE">
        <w:t>in terms that are not specific to the program content</w:t>
      </w:r>
      <w:r w:rsidR="00160403" w:rsidRPr="009E2BBE">
        <w:t xml:space="preserve"> (</w:t>
      </w:r>
      <w:r w:rsidR="00A248DB" w:rsidRPr="009E2BBE">
        <w:t xml:space="preserve">Ontario </w:t>
      </w:r>
      <w:r w:rsidR="00160403" w:rsidRPr="009E2BBE">
        <w:t>Ministry of Training 2014)</w:t>
      </w:r>
      <w:r w:rsidR="008E46A2" w:rsidRPr="009E2BBE">
        <w:t xml:space="preserve">. </w:t>
      </w:r>
    </w:p>
    <w:p w14:paraId="58E42763" w14:textId="7C64441D" w:rsidR="008E46A2" w:rsidRPr="009E2BBE" w:rsidRDefault="008E46A2" w:rsidP="008E46A2">
      <w:pPr>
        <w:pStyle w:val="Text"/>
      </w:pPr>
      <w:r w:rsidRPr="009E2BBE">
        <w:t>Canada maintains the National Occupational Classification (NOS)</w:t>
      </w:r>
      <w:r w:rsidR="00A248DB" w:rsidRPr="009E2BBE">
        <w:t>,</w:t>
      </w:r>
      <w:r w:rsidRPr="009E2BBE">
        <w:t xml:space="preserve"> with </w:t>
      </w:r>
      <w:r w:rsidR="003D450A" w:rsidRPr="009E2BBE">
        <w:t>nine</w:t>
      </w:r>
      <w:r w:rsidRPr="009E2BBE">
        <w:t xml:space="preserve"> broad occupational categories</w:t>
      </w:r>
      <w:r w:rsidR="00A248DB" w:rsidRPr="009E2BBE">
        <w:t>,</w:t>
      </w:r>
      <w:r w:rsidRPr="009E2BBE">
        <w:t xml:space="preserve"> </w:t>
      </w:r>
      <w:r w:rsidR="00A248DB" w:rsidRPr="009E2BBE">
        <w:t>which</w:t>
      </w:r>
      <w:r w:rsidRPr="009E2BBE">
        <w:t xml:space="preserve"> functions as a framework to collect data on and analyse national career, labour market and work behaviour </w:t>
      </w:r>
      <w:r w:rsidRPr="009E2BBE">
        <w:fldChar w:fldCharType="begin"/>
      </w:r>
      <w:r w:rsidRPr="009E2BBE">
        <w:instrText xml:space="preserve"> ADDIN EN.CITE &lt;EndNote&gt;&lt;Cite&gt;&lt;Author&gt;Government of Canada&lt;/Author&gt;&lt;Year&gt;2020&lt;/Year&gt;&lt;RecNum&gt;78&lt;/RecNum&gt;&lt;DisplayText&gt;(Government of Canada 2020)&lt;/DisplayText&gt;&lt;record&gt;&lt;rec-number&gt;78&lt;/rec-number&gt;&lt;foreign-keys&gt;&lt;key app="EN" db-id="9ze0v2p5ut9294eed99p2s2tzvzzwsadrf2t" timestamp="1599098252"&gt;78&lt;/key&gt;&lt;/foreign-keys&gt;&lt;ref-type name="Web Page"&gt;12&lt;/ref-type&gt;&lt;contributors&gt;&lt;authors&gt;&lt;author&gt;Government of Canada,&lt;/author&gt;&lt;/authors&gt;&lt;/contributors&gt;&lt;titles&gt;&lt;title&gt;National Occupational Classification&lt;/title&gt;&lt;/titles&gt;&lt;number&gt;September 2020&lt;/number&gt;&lt;dates&gt;&lt;year&gt;2020&lt;/year&gt;&lt;/dates&gt;&lt;publisher&gt;Government of Canada&lt;/publisher&gt;&lt;urls&gt;&lt;related-urls&gt;&lt;url&gt;https://noc.esdc.gc.ca/Home/Welcome/fa59668ab36a47bda4484e6f5f03e664&lt;/url&gt;&lt;/related-urls&gt;&lt;/urls&gt;&lt;/record&gt;&lt;/Cite&gt;&lt;/EndNote&gt;</w:instrText>
      </w:r>
      <w:r w:rsidRPr="009E2BBE">
        <w:fldChar w:fldCharType="separate"/>
      </w:r>
      <w:r w:rsidRPr="009E2BBE">
        <w:t>(Government of Canada 2020)</w:t>
      </w:r>
      <w:r w:rsidRPr="009E2BBE">
        <w:fldChar w:fldCharType="end"/>
      </w:r>
      <w:r w:rsidRPr="009E2BBE">
        <w:t>. Ontario</w:t>
      </w:r>
      <w:r w:rsidR="00A26B8A" w:rsidRPr="009E2BBE">
        <w:t>’</w:t>
      </w:r>
      <w:r w:rsidRPr="009E2BBE">
        <w:t>s vocational program standards appear not to be linked to the NOS.</w:t>
      </w:r>
    </w:p>
    <w:p w14:paraId="0145D5EB" w14:textId="6FCFA7DA" w:rsidR="0009533D" w:rsidRPr="009E2BBE" w:rsidRDefault="008E46A2" w:rsidP="00F82877">
      <w:pPr>
        <w:pStyle w:val="Text"/>
      </w:pPr>
      <w:r w:rsidRPr="009E2BBE">
        <w:t xml:space="preserve">Information about how quickly standards may be updated is not readily available. OCQAS audits each </w:t>
      </w:r>
      <w:r w:rsidR="001A7348" w:rsidRPr="009E2BBE">
        <w:t>college</w:t>
      </w:r>
      <w:r w:rsidR="00A26B8A" w:rsidRPr="009E2BBE">
        <w:t>’</w:t>
      </w:r>
      <w:r w:rsidR="001A7348" w:rsidRPr="009E2BBE">
        <w:t xml:space="preserve">s </w:t>
      </w:r>
      <w:r w:rsidRPr="009E2BBE">
        <w:t>quality assurance processes on an eight-year cycle.</w:t>
      </w:r>
    </w:p>
    <w:p w14:paraId="681E801B" w14:textId="2F3AFC63" w:rsidR="008E46A2" w:rsidRPr="009E2BBE" w:rsidRDefault="008E46A2" w:rsidP="008E46A2">
      <w:pPr>
        <w:pStyle w:val="Heading3"/>
      </w:pPr>
      <w:r w:rsidRPr="009E2BBE">
        <w:t xml:space="preserve">Facilitation of pathways between school and </w:t>
      </w:r>
      <w:r w:rsidR="0063575D" w:rsidRPr="009E2BBE">
        <w:t>higher education</w:t>
      </w:r>
    </w:p>
    <w:p w14:paraId="75257588" w14:textId="71E3F78B" w:rsidR="008E46A2" w:rsidRPr="009E2BBE" w:rsidRDefault="008E46A2" w:rsidP="008E46A2">
      <w:pPr>
        <w:pStyle w:val="Text"/>
      </w:pPr>
      <w:r w:rsidRPr="009E2BBE">
        <w:t xml:space="preserve">The provincial program standards appear not to interact with the secondary schooling system or curriculum in Ontario. The Ontario Council on Articulation and Transfer (ONCAT) was set up to facilitate academic pathways for students looking to transfer between colleges and universities. </w:t>
      </w:r>
      <w:r w:rsidR="008F69CF" w:rsidRPr="009E2BBE">
        <w:t>‘</w:t>
      </w:r>
      <w:r w:rsidRPr="009E2BBE">
        <w:t xml:space="preserve">Transfer </w:t>
      </w:r>
      <w:r w:rsidR="003D450A" w:rsidRPr="009E2BBE">
        <w:t>credit</w:t>
      </w:r>
      <w:r w:rsidR="008F69CF" w:rsidRPr="009E2BBE">
        <w:t>’</w:t>
      </w:r>
      <w:r w:rsidR="003D450A" w:rsidRPr="009E2BBE">
        <w:t xml:space="preserve"> </w:t>
      </w:r>
      <w:r w:rsidRPr="009E2BBE">
        <w:t xml:space="preserve">is the term used to refer to the crediting of courses taken at one institution towards a degree or diploma at another institution. </w:t>
      </w:r>
    </w:p>
    <w:p w14:paraId="391AC78F" w14:textId="196A293D" w:rsidR="008E46A2" w:rsidRPr="009E2BBE" w:rsidRDefault="008E46A2" w:rsidP="008E46A2">
      <w:pPr>
        <w:pStyle w:val="Text"/>
      </w:pPr>
      <w:r w:rsidRPr="009E2BBE">
        <w:t xml:space="preserve">The decision to award </w:t>
      </w:r>
      <w:r w:rsidR="003D450A" w:rsidRPr="009E2BBE">
        <w:t xml:space="preserve">transfer credit lies </w:t>
      </w:r>
      <w:r w:rsidRPr="009E2BBE">
        <w:t>with each institution and the completion of bridging courses may be required. ONCAT has published principles for credit transfer</w:t>
      </w:r>
      <w:r w:rsidR="00A5747A" w:rsidRPr="009E2BBE">
        <w:t>, which</w:t>
      </w:r>
      <w:r w:rsidRPr="009E2BBE">
        <w:t xml:space="preserve"> educational institutions are encouraged to follow</w:t>
      </w:r>
      <w:r w:rsidR="0092120F" w:rsidRPr="009E2BBE">
        <w:t>,</w:t>
      </w:r>
      <w:r w:rsidRPr="009E2BBE">
        <w:t xml:space="preserve"> and hosts a user-friendly online directory of credit transfer pathways for students </w:t>
      </w:r>
      <w:r w:rsidRPr="009E2BBE">
        <w:fldChar w:fldCharType="begin"/>
      </w:r>
      <w:r w:rsidRPr="009E2BBE">
        <w:instrText xml:space="preserve"> ADDIN EN.CITE &lt;EndNote&gt;&lt;Cite&gt;&lt;Author&gt;ONCAT&lt;/Author&gt;&lt;Year&gt;2020&lt;/Year&gt;&lt;RecNum&gt;99&lt;/RecNum&gt;&lt;DisplayText&gt;(ONCAT 2020)&lt;/DisplayText&gt;&lt;record&gt;&lt;rec-number&gt;99&lt;/rec-number&gt;&lt;foreign-keys&gt;&lt;key app="EN" db-id="9ze0v2p5ut9294eed99p2s2tzvzzwsadrf2t" timestamp="1600912849"&gt;99&lt;/key&gt;&lt;/foreign-keys&gt;&lt;ref-type name="Web Page"&gt;12&lt;/ref-type&gt;&lt;contributors&gt;&lt;authors&gt;&lt;author&gt;ONCAT&lt;/author&gt;&lt;/authors&gt;&lt;/contributors&gt;&lt;titles&gt;&lt;title&gt;About transfer&lt;/title&gt;&lt;/titles&gt;&lt;number&gt;September 2020&lt;/number&gt;&lt;dates&gt;&lt;year&gt;2020&lt;/year&gt;&lt;/dates&gt;&lt;urls&gt;&lt;related-urls&gt;&lt;url&gt;https://www.oncat.ca/en/about-us/about-transfer&lt;/url&gt;&lt;/related-urls&gt;&lt;/urls&gt;&lt;/record&gt;&lt;/Cite&gt;&lt;/EndNote&gt;</w:instrText>
      </w:r>
      <w:r w:rsidRPr="009E2BBE">
        <w:fldChar w:fldCharType="separate"/>
      </w:r>
      <w:r w:rsidRPr="009E2BBE">
        <w:t>(</w:t>
      </w:r>
      <w:r w:rsidR="00951823" w:rsidRPr="009E2BBE">
        <w:t>Ontario Council on Articulation and Transfer</w:t>
      </w:r>
      <w:r w:rsidRPr="009E2BBE">
        <w:t xml:space="preserve"> 2020)</w:t>
      </w:r>
      <w:r w:rsidRPr="009E2BBE">
        <w:fldChar w:fldCharType="end"/>
      </w:r>
      <w:r w:rsidRPr="009E2BBE">
        <w:t>. Data published in 2020 revealed that over 60</w:t>
      </w:r>
      <w:r w:rsidR="003A01F5" w:rsidRPr="009E2BBE">
        <w:t xml:space="preserve"> </w:t>
      </w:r>
      <w:r w:rsidRPr="009E2BBE">
        <w:t>000 students transfer each year</w:t>
      </w:r>
      <w:r w:rsidR="00303AEF" w:rsidRPr="009E2BBE">
        <w:t>;</w:t>
      </w:r>
      <w:r w:rsidRPr="009E2BBE">
        <w:t xml:space="preserve"> the top five transfer programs are: business, health, social science, engineering and general arts</w:t>
      </w:r>
      <w:r w:rsidR="003A01F5" w:rsidRPr="009E2BBE">
        <w:t>,</w:t>
      </w:r>
      <w:r w:rsidRPr="009E2BBE">
        <w:t xml:space="preserve"> </w:t>
      </w:r>
      <w:r w:rsidR="003A01F5" w:rsidRPr="009E2BBE">
        <w:t>although</w:t>
      </w:r>
      <w:r w:rsidRPr="009E2BBE">
        <w:t xml:space="preserve"> not all of those transfers would be between vocational and degree qualifications</w:t>
      </w:r>
      <w:r w:rsidR="003A01F5" w:rsidRPr="009E2BBE">
        <w:t xml:space="preserve"> </w:t>
      </w:r>
      <w:r w:rsidR="003A01F5" w:rsidRPr="009E2BBE">
        <w:fldChar w:fldCharType="begin"/>
      </w:r>
      <w:r w:rsidR="003A01F5" w:rsidRPr="009E2BBE">
        <w:instrText xml:space="preserve"> ADDIN EN.CITE &lt;EndNote&gt;&lt;Cite&gt;&lt;Author&gt;Ontario Colleges&lt;/Author&gt;&lt;Year&gt;2020&lt;/Year&gt;&lt;RecNum&gt;100&lt;/RecNum&gt;&lt;DisplayText&gt;(Ontario Colleges 2020)&lt;/DisplayText&gt;&lt;record&gt;&lt;rec-number&gt;100&lt;/rec-number&gt;&lt;foreign-keys&gt;&lt;key app="EN" db-id="9ze0v2p5ut9294eed99p2s2tzvzzwsadrf2t" timestamp="1600914050"&gt;100&lt;/key&gt;&lt;/foreign-keys&gt;&lt;ref-type name="Web Page"&gt;12&lt;/ref-type&gt;&lt;contributors&gt;&lt;authors&gt;&lt;author&gt;Ontario Colleges,&lt;/author&gt;&lt;/authors&gt;&lt;/contributors&gt;&lt;titles&gt;&lt;title&gt;Credit transfer between colleges and universities in Ontario&lt;/title&gt;&lt;/titles&gt;&lt;number&gt;September 2020&lt;/number&gt;&lt;dates&gt;&lt;year&gt;2020&lt;/year&gt;&lt;/dates&gt;&lt;pub-location&gt;Ontario&lt;/pub-location&gt;&lt;publisher&gt;Ontario Colleges&lt;/publisher&gt;&lt;urls&gt;&lt;related-urls&gt;&lt;url&gt;https://www.ontariocolleges.ca/en/apply/transfer-credits&lt;/url&gt;&lt;/related-urls&gt;&lt;/urls&gt;&lt;/record&gt;&lt;/Cite&gt;&lt;/EndNote&gt;</w:instrText>
      </w:r>
      <w:r w:rsidR="003A01F5" w:rsidRPr="009E2BBE">
        <w:fldChar w:fldCharType="separate"/>
      </w:r>
      <w:r w:rsidR="003A01F5" w:rsidRPr="009E2BBE">
        <w:t>(Ontario Colleges 2020)</w:t>
      </w:r>
      <w:r w:rsidR="003A01F5" w:rsidRPr="009E2BBE">
        <w:fldChar w:fldCharType="end"/>
      </w:r>
      <w:r w:rsidRPr="009E2BBE">
        <w:t xml:space="preserve">. </w:t>
      </w:r>
    </w:p>
    <w:p w14:paraId="53669B2E" w14:textId="368E53EE" w:rsidR="008E46A2" w:rsidRPr="009E2BBE" w:rsidRDefault="008E46A2" w:rsidP="008E46A2">
      <w:pPr>
        <w:pStyle w:val="Heading2"/>
      </w:pPr>
      <w:bookmarkStart w:id="43" w:name="_Toc50622098"/>
      <w:bookmarkStart w:id="44" w:name="_Toc65741360"/>
      <w:r w:rsidRPr="009E2BBE">
        <w:t xml:space="preserve">Review of </w:t>
      </w:r>
      <w:r w:rsidR="00EA3747" w:rsidRPr="009E2BBE">
        <w:t>qualification development process</w:t>
      </w:r>
      <w:bookmarkEnd w:id="43"/>
      <w:bookmarkEnd w:id="44"/>
    </w:p>
    <w:p w14:paraId="225C1293" w14:textId="5736D135" w:rsidR="008E46A2" w:rsidRPr="009E2BBE" w:rsidRDefault="008E46A2" w:rsidP="008E46A2">
      <w:pPr>
        <w:pStyle w:val="Text"/>
      </w:pPr>
      <w:bookmarkStart w:id="45" w:name="_Hlk52268482"/>
      <w:r w:rsidRPr="009E2BBE">
        <w:t>There is no evidence online of a review of the provincial program standard</w:t>
      </w:r>
      <w:r w:rsidR="00C371CA" w:rsidRPr="009E2BBE">
        <w:t>-</w:t>
      </w:r>
      <w:r w:rsidRPr="009E2BBE">
        <w:t xml:space="preserve">development process. </w:t>
      </w:r>
    </w:p>
    <w:p w14:paraId="4141433B" w14:textId="77777777" w:rsidR="008E46A2" w:rsidRPr="009E2BBE" w:rsidRDefault="008E46A2" w:rsidP="008E46A2">
      <w:pPr>
        <w:pStyle w:val="Heading2"/>
      </w:pPr>
      <w:bookmarkStart w:id="46" w:name="_Toc65741361"/>
      <w:bookmarkEnd w:id="45"/>
      <w:r w:rsidRPr="009E2BBE">
        <w:t>Other Canadian systems of interest</w:t>
      </w:r>
      <w:bookmarkEnd w:id="46"/>
    </w:p>
    <w:p w14:paraId="7FBD0040" w14:textId="77777777" w:rsidR="008E46A2" w:rsidRPr="009E2BBE" w:rsidRDefault="008E46A2" w:rsidP="008E46A2">
      <w:pPr>
        <w:pStyle w:val="Heading3"/>
      </w:pPr>
      <w:r w:rsidRPr="009E2BBE">
        <w:t>Skilled Trades and Apprenticeship program (Red Seal Program)</w:t>
      </w:r>
    </w:p>
    <w:p w14:paraId="10BFA4F1" w14:textId="322AEDFE" w:rsidR="008E46A2" w:rsidRPr="009E2BBE" w:rsidRDefault="008E46A2" w:rsidP="008E46A2">
      <w:pPr>
        <w:pStyle w:val="Text"/>
      </w:pPr>
      <w:r w:rsidRPr="009E2BBE">
        <w:t>Canada</w:t>
      </w:r>
      <w:r w:rsidR="00A26B8A" w:rsidRPr="009E2BBE">
        <w:t>’</w:t>
      </w:r>
      <w:r w:rsidRPr="009E2BBE">
        <w:t xml:space="preserve">s only national vocational training program, the Red Seal Program, is intended to improve the transferability of essential trades workers across the provinces and territories by harmonising training requirements. Employment and Social Development Canada (ESDC) is responsible for managing this program and works directly with industry to develop the apprentice and trade standards and exams. The </w:t>
      </w:r>
      <w:r w:rsidR="00A26B8A" w:rsidRPr="009E2BBE">
        <w:t>‘</w:t>
      </w:r>
      <w:r w:rsidRPr="009E2BBE">
        <w:t>red seal</w:t>
      </w:r>
      <w:r w:rsidR="00A26B8A" w:rsidRPr="009E2BBE">
        <w:t>’</w:t>
      </w:r>
      <w:r w:rsidRPr="009E2BBE">
        <w:t xml:space="preserve"> is the award that tradespeople receive upon successful completion of their studies. </w:t>
      </w:r>
    </w:p>
    <w:p w14:paraId="2327779C" w14:textId="67F7E765" w:rsidR="008E46A2" w:rsidRPr="009E2BBE" w:rsidRDefault="008E46A2" w:rsidP="008E46A2">
      <w:pPr>
        <w:pStyle w:val="Text"/>
      </w:pPr>
      <w:r w:rsidRPr="009E2BBE">
        <w:t>The process of developing harmonised standards require</w:t>
      </w:r>
      <w:r w:rsidR="00A80954" w:rsidRPr="009E2BBE">
        <w:t>s</w:t>
      </w:r>
      <w:r w:rsidRPr="009E2BBE">
        <w:t xml:space="preserve"> industry to: </w:t>
      </w:r>
    </w:p>
    <w:p w14:paraId="3C246F24" w14:textId="1104D9E8" w:rsidR="008E46A2" w:rsidRPr="009E2BBE" w:rsidRDefault="008E46A2" w:rsidP="008E46A2">
      <w:pPr>
        <w:pStyle w:val="Dotpoint10"/>
      </w:pPr>
      <w:r w:rsidRPr="009E2BBE">
        <w:t xml:space="preserve">conduct research and analyse the harmonisation priorities </w:t>
      </w:r>
    </w:p>
    <w:p w14:paraId="5CC89F41" w14:textId="77777777" w:rsidR="008E46A2" w:rsidRPr="009E2BBE" w:rsidRDefault="008E46A2" w:rsidP="008E46A2">
      <w:pPr>
        <w:pStyle w:val="Dotpoint10"/>
      </w:pPr>
      <w:r w:rsidRPr="009E2BBE">
        <w:t xml:space="preserve">consult with stakeholders </w:t>
      </w:r>
    </w:p>
    <w:p w14:paraId="17925F07" w14:textId="72584872" w:rsidR="008E46A2" w:rsidRPr="009E2BBE" w:rsidRDefault="008E46A2" w:rsidP="008E46A2">
      <w:pPr>
        <w:pStyle w:val="Dotpoint10"/>
      </w:pPr>
      <w:r w:rsidRPr="009E2BBE">
        <w:t>achieve a consensus based on stakeholders</w:t>
      </w:r>
      <w:r w:rsidR="00A26B8A" w:rsidRPr="009E2BBE">
        <w:t>’</w:t>
      </w:r>
      <w:r w:rsidRPr="009E2BBE">
        <w:t xml:space="preserve"> feedback and through national webinars</w:t>
      </w:r>
    </w:p>
    <w:p w14:paraId="65543DEC" w14:textId="77777777" w:rsidR="008E46A2" w:rsidRPr="009E2BBE" w:rsidRDefault="008E46A2" w:rsidP="008E46A2">
      <w:pPr>
        <w:pStyle w:val="Dotpoint10"/>
      </w:pPr>
      <w:r w:rsidRPr="009E2BBE">
        <w:t xml:space="preserve">implement the plans and apply changes to the apprenticeship systems. </w:t>
      </w:r>
    </w:p>
    <w:p w14:paraId="6BD87148" w14:textId="7ED79AEF" w:rsidR="008E46A2" w:rsidRPr="009E2BBE" w:rsidRDefault="008E46A2" w:rsidP="008E46A2">
      <w:pPr>
        <w:pStyle w:val="Text"/>
      </w:pPr>
      <w:r w:rsidRPr="009E2BBE">
        <w:t>The Red Seal Occupational Standards (RSOS), introduced in 2015, set the standard for a Red Seal trades</w:t>
      </w:r>
      <w:r w:rsidR="00CF466E" w:rsidRPr="009E2BBE">
        <w:t xml:space="preserve">, </w:t>
      </w:r>
      <w:r w:rsidR="00D0419F" w:rsidRPr="009E2BBE">
        <w:t>with</w:t>
      </w:r>
      <w:r w:rsidRPr="009E2BBE">
        <w:t xml:space="preserve"> provincial and territorial apprenticeship training programs and exams based on them. The Red Seal harmonisation plan intended that 30 trades would be ready to deliver by 2020. The trades selected for Red Seal were the highest volume</w:t>
      </w:r>
      <w:r w:rsidR="00E34743" w:rsidRPr="009E2BBE">
        <w:t xml:space="preserve"> and</w:t>
      </w:r>
      <w:r w:rsidRPr="009E2BBE">
        <w:t xml:space="preserve"> highest demand and had strong similarity in training content with other trades, </w:t>
      </w:r>
      <w:r w:rsidR="00CF466E" w:rsidRPr="009E2BBE">
        <w:t>for example</w:t>
      </w:r>
      <w:r w:rsidR="00AE18F0" w:rsidRPr="009E2BBE">
        <w:t>,</w:t>
      </w:r>
      <w:r w:rsidRPr="009E2BBE">
        <w:t xml:space="preserve"> </w:t>
      </w:r>
      <w:r w:rsidR="00AE18F0" w:rsidRPr="009E2BBE">
        <w:t xml:space="preserve">welder and metal fabricator </w:t>
      </w:r>
      <w:r w:rsidRPr="009E2BBE">
        <w:t>(fitter)</w:t>
      </w:r>
      <w:r w:rsidR="00F82877" w:rsidRPr="009E2BBE">
        <w:t xml:space="preserve"> (Canadian Council of Directors of Apprenticeship 2020)</w:t>
      </w:r>
      <w:r w:rsidRPr="009E2BBE">
        <w:t xml:space="preserve">. </w:t>
      </w:r>
    </w:p>
    <w:p w14:paraId="697EBC3B" w14:textId="77777777" w:rsidR="008E46A2" w:rsidRPr="009E2BBE" w:rsidRDefault="008E46A2" w:rsidP="008E46A2">
      <w:pPr>
        <w:pStyle w:val="Heading4"/>
      </w:pPr>
      <w:r w:rsidRPr="009E2BBE">
        <w:t>Stakeholders involved</w:t>
      </w:r>
    </w:p>
    <w:p w14:paraId="3E0824FC" w14:textId="21CAB5FC" w:rsidR="008E46A2" w:rsidRPr="009E2BBE" w:rsidRDefault="008E46A2" w:rsidP="008E46A2">
      <w:pPr>
        <w:pStyle w:val="Text"/>
      </w:pPr>
      <w:r w:rsidRPr="009E2BBE">
        <w:t xml:space="preserve">Industry participates in RSOS development, </w:t>
      </w:r>
      <w:proofErr w:type="gramStart"/>
      <w:r w:rsidRPr="009E2BBE">
        <w:t>review</w:t>
      </w:r>
      <w:proofErr w:type="gramEnd"/>
      <w:r w:rsidRPr="009E2BBE">
        <w:t xml:space="preserve"> and validation, supported by training providers. The need to update a standard is considered four years after its publication, in consultation with the jurisdiction and industry. Where a small review is required, an industry review will be allowed</w:t>
      </w:r>
      <w:r w:rsidR="0050145D" w:rsidRPr="009E2BBE">
        <w:t>,</w:t>
      </w:r>
      <w:r w:rsidRPr="009E2BBE">
        <w:t xml:space="preserve"> as this is considered an efficient and low-cost option. Where </w:t>
      </w:r>
      <w:r w:rsidR="004D3215" w:rsidRPr="009E2BBE">
        <w:t xml:space="preserve">more extensive </w:t>
      </w:r>
      <w:r w:rsidRPr="009E2BBE">
        <w:t>changes are required</w:t>
      </w:r>
      <w:r w:rsidR="009F49BF" w:rsidRPr="009E2BBE">
        <w:t>,</w:t>
      </w:r>
      <w:r w:rsidRPr="009E2BBE">
        <w:t xml:space="preserve"> a workshop must be held. Full reviews follow th</w:t>
      </w:r>
      <w:r w:rsidR="009F49BF" w:rsidRPr="009E2BBE">
        <w:t>e following</w:t>
      </w:r>
      <w:r w:rsidRPr="009E2BBE">
        <w:t xml:space="preserve"> procedure: </w:t>
      </w:r>
    </w:p>
    <w:p w14:paraId="597FB38F" w14:textId="6CEF1816" w:rsidR="008E46A2" w:rsidRPr="009E2BBE" w:rsidRDefault="0050145D" w:rsidP="008E46A2">
      <w:pPr>
        <w:pStyle w:val="Dotpoint10"/>
      </w:pPr>
      <w:r w:rsidRPr="009E2BBE">
        <w:t>U</w:t>
      </w:r>
      <w:r w:rsidR="008E46A2" w:rsidRPr="009E2BBE">
        <w:t xml:space="preserve">se web-based platform for updating </w:t>
      </w:r>
      <w:r w:rsidR="006A72B6" w:rsidRPr="009E2BBE">
        <w:t xml:space="preserve">the </w:t>
      </w:r>
      <w:r w:rsidR="008E46A2" w:rsidRPr="009E2BBE">
        <w:t>occupational standard</w:t>
      </w:r>
      <w:r w:rsidRPr="009E2BBE">
        <w:t>.</w:t>
      </w:r>
    </w:p>
    <w:p w14:paraId="131850E4" w14:textId="585D14D2" w:rsidR="008E46A2" w:rsidRPr="009E2BBE" w:rsidRDefault="0050145D" w:rsidP="008E46A2">
      <w:pPr>
        <w:pStyle w:val="Dotpoint10"/>
      </w:pPr>
      <w:r w:rsidRPr="009E2BBE">
        <w:t>S</w:t>
      </w:r>
      <w:r w:rsidR="008E46A2" w:rsidRPr="009E2BBE">
        <w:t>elect one employer and one employee to be involved</w:t>
      </w:r>
      <w:r w:rsidRPr="009E2BBE">
        <w:t>.</w:t>
      </w:r>
    </w:p>
    <w:p w14:paraId="26E3E96F" w14:textId="2ECC6A45" w:rsidR="008E46A2" w:rsidRPr="009E2BBE" w:rsidRDefault="0050145D" w:rsidP="008E46A2">
      <w:pPr>
        <w:pStyle w:val="Dotpoint10"/>
      </w:pPr>
      <w:r w:rsidRPr="009E2BBE">
        <w:t>A</w:t>
      </w:r>
      <w:r w:rsidR="008E46A2" w:rsidRPr="009E2BBE">
        <w:t>nalyst works with the employer and employee to update the standard</w:t>
      </w:r>
      <w:r w:rsidRPr="009E2BBE">
        <w:t>.</w:t>
      </w:r>
    </w:p>
    <w:p w14:paraId="107F206B" w14:textId="4B5E846C" w:rsidR="008E46A2" w:rsidRPr="009E2BBE" w:rsidRDefault="00AA5CA1" w:rsidP="008E46A2">
      <w:pPr>
        <w:pStyle w:val="Dotpoint10"/>
      </w:pPr>
      <w:r w:rsidRPr="009E2BBE">
        <w:t>U</w:t>
      </w:r>
      <w:r w:rsidR="008E46A2" w:rsidRPr="009E2BBE">
        <w:t>se an online instrument to validate the update standard with a group of selected stakeholders</w:t>
      </w:r>
      <w:r w:rsidRPr="009E2BBE">
        <w:t>.</w:t>
      </w:r>
    </w:p>
    <w:p w14:paraId="780B5B38" w14:textId="34E37058" w:rsidR="008E46A2" w:rsidRPr="009E2BBE" w:rsidRDefault="00AA5CA1" w:rsidP="008E46A2">
      <w:pPr>
        <w:pStyle w:val="Dotpoint10"/>
      </w:pPr>
      <w:r w:rsidRPr="009E2BBE">
        <w:t>U</w:t>
      </w:r>
      <w:r w:rsidR="008E46A2" w:rsidRPr="009E2BBE">
        <w:t xml:space="preserve">se the result of the validation to finalise the updating process </w:t>
      </w:r>
      <w:r w:rsidR="008E46A2" w:rsidRPr="009E2BBE">
        <w:fldChar w:fldCharType="begin"/>
      </w:r>
      <w:r w:rsidR="008E46A2" w:rsidRPr="009E2BBE">
        <w:instrText xml:space="preserve"> ADDIN EN.CITE &lt;EndNote&gt;&lt;Cite&gt;&lt;Author&gt;Red Seal&lt;/Author&gt;&lt;Year&gt;2020&lt;/Year&gt;&lt;RecNum&gt;96&lt;/RecNum&gt;&lt;DisplayText&gt;(Red Seal 2020)&lt;/DisplayText&gt;&lt;record&gt;&lt;rec-number&gt;96&lt;/rec-number&gt;&lt;foreign-keys&gt;&lt;key app="EN" db-id="9ze0v2p5ut9294eed99p2s2tzvzzwsadrf2t" timestamp="1600828181"&gt;96&lt;/key&gt;&lt;/foreign-keys&gt;&lt;ref-type name="Web Page"&gt;12&lt;/ref-type&gt;&lt;contributors&gt;&lt;authors&gt;&lt;author&gt;Red Seal,&lt;/author&gt;&lt;/authors&gt;&lt;/contributors&gt;&lt;titles&gt;&lt;title&gt;Updating occupational standards&lt;/title&gt;&lt;/titles&gt;&lt;number&gt;September 2020&lt;/number&gt;&lt;dates&gt;&lt;year&gt;2020&lt;/year&gt;&lt;/dates&gt;&lt;publisher&gt;Canadian Council of Directors of Apprenticeship (CCDA)&lt;/publisher&gt;&lt;urls&gt;&lt;related-urls&gt;&lt;url&gt;http://www.red-seal.ca/others/iesr/p-07-.5pd.1t.3ng-.4s-eng.html&lt;/url&gt;&lt;/related-urls&gt;&lt;/urls&gt;&lt;/record&gt;&lt;/Cite&gt;&lt;/EndNote&gt;</w:instrText>
      </w:r>
      <w:r w:rsidR="008E46A2" w:rsidRPr="009E2BBE">
        <w:fldChar w:fldCharType="separate"/>
      </w:r>
      <w:r w:rsidR="008E46A2" w:rsidRPr="009E2BBE">
        <w:t>(Red Seal 2020)</w:t>
      </w:r>
      <w:r w:rsidR="008E46A2" w:rsidRPr="009E2BBE">
        <w:fldChar w:fldCharType="end"/>
      </w:r>
      <w:r w:rsidR="008E46A2" w:rsidRPr="009E2BBE">
        <w:t xml:space="preserve">. </w:t>
      </w:r>
    </w:p>
    <w:p w14:paraId="66B775F1" w14:textId="77777777" w:rsidR="008E46A2" w:rsidRPr="009E2BBE" w:rsidRDefault="008E46A2" w:rsidP="008E46A2">
      <w:pPr>
        <w:pStyle w:val="Heading4"/>
      </w:pPr>
      <w:r w:rsidRPr="009E2BBE">
        <w:t>Qualification specifications</w:t>
      </w:r>
    </w:p>
    <w:p w14:paraId="27348F78" w14:textId="35BA77FB" w:rsidR="008E46A2" w:rsidRPr="009E2BBE" w:rsidRDefault="00393327" w:rsidP="008E46A2">
      <w:pPr>
        <w:pStyle w:val="Text"/>
      </w:pPr>
      <w:r w:rsidRPr="009E2BBE">
        <w:t xml:space="preserve">The </w:t>
      </w:r>
      <w:r w:rsidR="008E46A2" w:rsidRPr="009E2BBE">
        <w:t>RSOS outline</w:t>
      </w:r>
      <w:r w:rsidR="007B25DD" w:rsidRPr="009E2BBE">
        <w:t>s</w:t>
      </w:r>
      <w:r w:rsidR="008E46A2" w:rsidRPr="009E2BBE">
        <w:t xml:space="preserve"> requirements for training in a cascaded format, with each major work activity described having 15</w:t>
      </w:r>
      <w:r w:rsidR="00E93CEE" w:rsidRPr="009E2BBE">
        <w:t>—</w:t>
      </w:r>
      <w:r w:rsidR="008E46A2" w:rsidRPr="009E2BBE">
        <w:t xml:space="preserve">25 task descriptors, </w:t>
      </w:r>
      <w:r w:rsidR="00E93CEE" w:rsidRPr="009E2BBE">
        <w:t>followed by</w:t>
      </w:r>
      <w:r w:rsidR="008E46A2" w:rsidRPr="009E2BBE">
        <w:t xml:space="preserve"> 80</w:t>
      </w:r>
      <w:r w:rsidR="00E93CEE" w:rsidRPr="009E2BBE">
        <w:t>—</w:t>
      </w:r>
      <w:r w:rsidR="008E46A2" w:rsidRPr="009E2BBE">
        <w:t xml:space="preserve">120 sub-tasks. RSOSs comprise the following information for training program developers: </w:t>
      </w:r>
    </w:p>
    <w:p w14:paraId="2670BE2B" w14:textId="669D1F2A" w:rsidR="008E46A2" w:rsidRPr="009E2BBE" w:rsidRDefault="008E46A2" w:rsidP="008E46A2">
      <w:pPr>
        <w:pStyle w:val="Dotpoint10"/>
      </w:pPr>
      <w:r w:rsidRPr="009E2BBE">
        <w:t>trade activities (15</w:t>
      </w:r>
      <w:r w:rsidR="006876BD" w:rsidRPr="009E2BBE">
        <w:t>—</w:t>
      </w:r>
      <w:r w:rsidRPr="009E2BBE">
        <w:t>25 tasks and 20</w:t>
      </w:r>
      <w:r w:rsidR="006876BD" w:rsidRPr="009E2BBE">
        <w:t>—</w:t>
      </w:r>
      <w:r w:rsidRPr="009E2BBE">
        <w:t>120 sub-tasks)</w:t>
      </w:r>
    </w:p>
    <w:p w14:paraId="4E3C4DB7" w14:textId="77777777" w:rsidR="008E46A2" w:rsidRPr="009E2BBE" w:rsidRDefault="008E46A2" w:rsidP="008E46A2">
      <w:pPr>
        <w:pStyle w:val="Dotpoint10"/>
      </w:pPr>
      <w:r w:rsidRPr="009E2BBE">
        <w:t>performance criteria (evidence of attainment)</w:t>
      </w:r>
    </w:p>
    <w:p w14:paraId="7A7E3401" w14:textId="77777777" w:rsidR="008E46A2" w:rsidRPr="009E2BBE" w:rsidRDefault="008E46A2" w:rsidP="008E46A2">
      <w:pPr>
        <w:pStyle w:val="Dotpoint10"/>
      </w:pPr>
      <w:r w:rsidRPr="009E2BBE">
        <w:t>learning outcomes (learning objectives)</w:t>
      </w:r>
    </w:p>
    <w:p w14:paraId="569DF1FD" w14:textId="78BCBC55" w:rsidR="008E46A2" w:rsidRPr="009E2BBE" w:rsidRDefault="008E46A2" w:rsidP="008E46A2">
      <w:pPr>
        <w:pStyle w:val="Dotpoint10"/>
      </w:pPr>
      <w:r w:rsidRPr="009E2BBE">
        <w:t>summary of essential skills</w:t>
      </w:r>
      <w:r w:rsidR="004F4CD0" w:rsidRPr="009E2BBE">
        <w:t>.</w:t>
      </w:r>
    </w:p>
    <w:p w14:paraId="045958D8" w14:textId="77777777" w:rsidR="008E46A2" w:rsidRPr="009E2BBE" w:rsidRDefault="008E46A2" w:rsidP="008E46A2">
      <w:pPr>
        <w:pStyle w:val="Text"/>
      </w:pPr>
      <w:r w:rsidRPr="009E2BBE">
        <w:t xml:space="preserve">The standards are complemented by supporting information on: </w:t>
      </w:r>
    </w:p>
    <w:p w14:paraId="72B21974" w14:textId="77777777" w:rsidR="008E46A2" w:rsidRPr="009E2BBE" w:rsidRDefault="008E46A2" w:rsidP="008E46A2">
      <w:pPr>
        <w:pStyle w:val="Dotpoint10"/>
      </w:pPr>
      <w:r w:rsidRPr="009E2BBE">
        <w:t>industry expected performance</w:t>
      </w:r>
    </w:p>
    <w:p w14:paraId="35875FD1" w14:textId="77777777" w:rsidR="008E46A2" w:rsidRPr="009E2BBE" w:rsidRDefault="008E46A2" w:rsidP="008E46A2">
      <w:pPr>
        <w:pStyle w:val="Dotpoint10"/>
      </w:pPr>
      <w:r w:rsidRPr="009E2BBE">
        <w:t>language requirements</w:t>
      </w:r>
    </w:p>
    <w:p w14:paraId="2573A553" w14:textId="77777777" w:rsidR="008E46A2" w:rsidRPr="009E2BBE" w:rsidRDefault="008E46A2" w:rsidP="008E46A2">
      <w:pPr>
        <w:pStyle w:val="Dotpoint10"/>
      </w:pPr>
      <w:r w:rsidRPr="009E2BBE">
        <w:t>trends affecting the trade</w:t>
      </w:r>
    </w:p>
    <w:p w14:paraId="609A372B" w14:textId="77777777" w:rsidR="008E46A2" w:rsidRPr="009E2BBE" w:rsidRDefault="008E46A2" w:rsidP="008E46A2">
      <w:pPr>
        <w:pStyle w:val="Dotpoint10"/>
      </w:pPr>
      <w:r w:rsidRPr="009E2BBE">
        <w:t>relative weighting of work activities and tasks</w:t>
      </w:r>
    </w:p>
    <w:p w14:paraId="17435A8B" w14:textId="77777777" w:rsidR="008E46A2" w:rsidRPr="009E2BBE" w:rsidRDefault="008E46A2" w:rsidP="008E46A2">
      <w:pPr>
        <w:pStyle w:val="Dotpoint10"/>
      </w:pPr>
      <w:r w:rsidRPr="009E2BBE">
        <w:t>safety information</w:t>
      </w:r>
    </w:p>
    <w:p w14:paraId="0DF54BE2" w14:textId="77777777" w:rsidR="008E46A2" w:rsidRPr="009E2BBE" w:rsidRDefault="008E46A2" w:rsidP="008E46A2">
      <w:pPr>
        <w:pStyle w:val="Dotpoint10"/>
      </w:pPr>
      <w:r w:rsidRPr="009E2BBE">
        <w:t>trade name, number of levels, total training hours and sequencing of training</w:t>
      </w:r>
    </w:p>
    <w:p w14:paraId="166CD839" w14:textId="0D7C685F" w:rsidR="008E46A2" w:rsidRPr="009E2BBE" w:rsidRDefault="008E46A2" w:rsidP="008E46A2">
      <w:pPr>
        <w:pStyle w:val="Dotpoint10"/>
      </w:pPr>
      <w:r w:rsidRPr="009E2BBE">
        <w:t>acronyms, tools and equipment and glossary</w:t>
      </w:r>
      <w:r w:rsidR="004F4CD0" w:rsidRPr="009E2BBE">
        <w:t>.</w:t>
      </w:r>
    </w:p>
    <w:p w14:paraId="68AFC23E" w14:textId="76C9CD12" w:rsidR="008E46A2" w:rsidRPr="009E2BBE" w:rsidRDefault="008E46A2" w:rsidP="008E46A2">
      <w:pPr>
        <w:pStyle w:val="Text"/>
      </w:pPr>
      <w:r w:rsidRPr="009E2BBE">
        <w:t>Additionally, RSOSs are supported by assessment and exam</w:t>
      </w:r>
      <w:r w:rsidR="00FC0651" w:rsidRPr="009E2BBE">
        <w:t>-</w:t>
      </w:r>
      <w:r w:rsidRPr="009E2BBE">
        <w:t xml:space="preserve">development products such as validation/weight worksheets and the interprovincial standards Red Seal examination. Apprenticeship </w:t>
      </w:r>
      <w:r w:rsidR="004D3215" w:rsidRPr="009E2BBE">
        <w:t>t</w:t>
      </w:r>
      <w:r w:rsidRPr="009E2BBE">
        <w:t xml:space="preserve">raining products are also produced for training providers, including items such as log books, on-the-job training guides and posters </w:t>
      </w:r>
      <w:r w:rsidRPr="009E2BBE">
        <w:fldChar w:fldCharType="begin"/>
      </w:r>
      <w:r w:rsidRPr="009E2BBE">
        <w:instrText xml:space="preserve"> ADDIN EN.CITE &lt;EndNote&gt;&lt;Cite&gt;&lt;Author&gt;Industry Training Authority&lt;/Author&gt;&lt;Year&gt;2016&lt;/Year&gt;&lt;RecNum&gt;95&lt;/RecNum&gt;&lt;DisplayText&gt;(Industry Training Authority 2016)&lt;/DisplayText&gt;&lt;record&gt;&lt;rec-number&gt;95&lt;/rec-number&gt;&lt;foreign-keys&gt;&lt;key app="EN" db-id="9ze0v2p5ut9294eed99p2s2tzvzzwsadrf2t" timestamp="1600827455"&gt;95&lt;/key&gt;&lt;/foreign-keys&gt;&lt;ref-type name="Government Document"&gt;46&lt;/ref-type&gt;&lt;contributors&gt;&lt;authors&gt;&lt;author&gt;Industry Training Authority,&lt;/author&gt;&lt;/authors&gt;&lt;/contributors&gt;&lt;titles&gt;&lt;title&gt;Canadian Council of Directors of Apprenticeship: update on Strengthening the Red Seal Program&lt;/title&gt;&lt;/titles&gt;&lt;dates&gt;&lt;year&gt;2016&lt;/year&gt;&lt;/dates&gt;&lt;pub-location&gt;British Columbia&lt;/pub-location&gt;&lt;urls&gt;&lt;related-urls&gt;&lt;url&gt;https://www.itabc.ca/sites/default/files/docs/Trades-Training/2A51-DECK-HarmoSRSNatStakeholderMtgUpdate-20160310-EN-V02-FINAL1MUL-4112016-610.pdf&lt;/url&gt;&lt;/related-urls&gt;&lt;/urls&gt;&lt;access-date&gt;September 2002&lt;/access-date&gt;&lt;/record&gt;&lt;/Cite&gt;&lt;/EndNote&gt;</w:instrText>
      </w:r>
      <w:r w:rsidRPr="009E2BBE">
        <w:fldChar w:fldCharType="separate"/>
      </w:r>
      <w:r w:rsidRPr="009E2BBE">
        <w:t>(</w:t>
      </w:r>
      <w:r w:rsidR="009E179C" w:rsidRPr="009E2BBE">
        <w:t xml:space="preserve">Canada </w:t>
      </w:r>
      <w:r w:rsidRPr="009E2BBE">
        <w:t>Industry Training Authority 2016)</w:t>
      </w:r>
      <w:r w:rsidRPr="009E2BBE">
        <w:fldChar w:fldCharType="end"/>
      </w:r>
      <w:r w:rsidRPr="009E2BBE">
        <w:t xml:space="preserve">. </w:t>
      </w:r>
    </w:p>
    <w:p w14:paraId="39BBC5ED" w14:textId="61C4810C" w:rsidR="008E46A2" w:rsidRPr="009E2BBE" w:rsidRDefault="008E46A2" w:rsidP="008E46A2">
      <w:pPr>
        <w:pStyle w:val="Heading3"/>
      </w:pPr>
      <w:r w:rsidRPr="009E2BBE">
        <w:t>Qu</w:t>
      </w:r>
      <w:r w:rsidR="00A30AB5" w:rsidRPr="009E2BBE">
        <w:t>é</w:t>
      </w:r>
      <w:r w:rsidRPr="009E2BBE">
        <w:t>bec</w:t>
      </w:r>
    </w:p>
    <w:p w14:paraId="73A4E32C" w14:textId="576961CF" w:rsidR="008E46A2" w:rsidRPr="009E2BBE" w:rsidRDefault="004D3215" w:rsidP="008E46A2">
      <w:pPr>
        <w:pStyle w:val="Text"/>
      </w:pPr>
      <w:r w:rsidRPr="009E2BBE">
        <w:t>T</w:t>
      </w:r>
      <w:r w:rsidR="00393327" w:rsidRPr="009E2BBE">
        <w:t xml:space="preserve">he Québec </w:t>
      </w:r>
      <w:r w:rsidR="009E179C" w:rsidRPr="009E2BBE">
        <w:t>G</w:t>
      </w:r>
      <w:r w:rsidR="00393327" w:rsidRPr="009E2BBE">
        <w:t>overnment has complete jurisdiction over its education system</w:t>
      </w:r>
      <w:r w:rsidR="00A30AB5" w:rsidRPr="009E2BBE">
        <w:t>.</w:t>
      </w:r>
      <w:r w:rsidR="00393327" w:rsidRPr="009E2BBE">
        <w:t xml:space="preserve"> </w:t>
      </w:r>
      <w:r w:rsidR="008E46A2" w:rsidRPr="009E2BBE">
        <w:t xml:space="preserve">Vocational and technical training (VTT) </w:t>
      </w:r>
      <w:r w:rsidR="00A30AB5" w:rsidRPr="009E2BBE">
        <w:t xml:space="preserve">in Québec </w:t>
      </w:r>
      <w:r w:rsidR="008E46A2" w:rsidRPr="009E2BBE">
        <w:t>is a competency-based system</w:t>
      </w:r>
      <w:r w:rsidR="008E1B06" w:rsidRPr="009E2BBE">
        <w:t>,</w:t>
      </w:r>
      <w:r w:rsidR="008E46A2" w:rsidRPr="009E2BBE">
        <w:t xml:space="preserve"> delivered through programs. VTT qualifications can be offered by </w:t>
      </w:r>
      <w:r w:rsidR="003D5DBF" w:rsidRPr="009E2BBE">
        <w:t xml:space="preserve">a </w:t>
      </w:r>
      <w:r w:rsidR="008E46A2" w:rsidRPr="009E2BBE">
        <w:t xml:space="preserve">public or private secondary school, private </w:t>
      </w:r>
      <w:proofErr w:type="gramStart"/>
      <w:r w:rsidR="008E46A2" w:rsidRPr="009E2BBE">
        <w:t>colleges</w:t>
      </w:r>
      <w:proofErr w:type="gramEnd"/>
      <w:r w:rsidR="008E46A2" w:rsidRPr="009E2BBE">
        <w:t xml:space="preserve"> and some government schools. Either a Diploma of Vocational Studies (DVS), Attestation of Vocational Specialization (AVS) or Skills Training Certificate (STC) is awarded. STCs are designed to meet periodic training needs (micro-credentials). The Ministère de l</w:t>
      </w:r>
      <w:r w:rsidR="00A26B8A" w:rsidRPr="009E2BBE">
        <w:t>’</w:t>
      </w:r>
      <w:r w:rsidR="008E46A2" w:rsidRPr="009E2BBE">
        <w:t>Éducation, du Loisir et du Sport (MELS) is responsible for program development, as well as issuing diplomas and funding VTT. The development of programs is managed by the following cycle of activity:</w:t>
      </w:r>
    </w:p>
    <w:p w14:paraId="17ABF32B" w14:textId="31D42C97" w:rsidR="008E46A2" w:rsidRPr="009E2BBE" w:rsidRDefault="008D3497" w:rsidP="008E46A2">
      <w:pPr>
        <w:pStyle w:val="Dotpoint10"/>
      </w:pPr>
      <w:r w:rsidRPr="009E2BBE">
        <w:t>p</w:t>
      </w:r>
      <w:r w:rsidR="008E46A2" w:rsidRPr="009E2BBE">
        <w:t>lanning: sector surveys; monitoring; priority</w:t>
      </w:r>
      <w:r w:rsidR="00F23FA5" w:rsidRPr="009E2BBE">
        <w:t>-</w:t>
      </w:r>
      <w:r w:rsidR="008E46A2" w:rsidRPr="009E2BBE">
        <w:t>setting between sectors</w:t>
      </w:r>
    </w:p>
    <w:p w14:paraId="3A9C668E" w14:textId="494F74B8" w:rsidR="008E46A2" w:rsidRPr="009E2BBE" w:rsidRDefault="008D3497" w:rsidP="008E46A2">
      <w:pPr>
        <w:pStyle w:val="Dotpoint10"/>
      </w:pPr>
      <w:r w:rsidRPr="009E2BBE">
        <w:t>p</w:t>
      </w:r>
      <w:r w:rsidR="008E46A2" w:rsidRPr="009E2BBE">
        <w:t>rogram development: job analysis; design of draft plan; validation of proposed plan; program development</w:t>
      </w:r>
    </w:p>
    <w:p w14:paraId="1D171654" w14:textId="083D9F99" w:rsidR="008E46A2" w:rsidRPr="009E2BBE" w:rsidRDefault="008D3497" w:rsidP="008E46A2">
      <w:pPr>
        <w:pStyle w:val="Dotpoint10"/>
      </w:pPr>
      <w:r w:rsidRPr="009E2BBE">
        <w:t>i</w:t>
      </w:r>
      <w:r w:rsidR="008E46A2" w:rsidRPr="009E2BBE">
        <w:t>mpact analysis: organisational guide; funding rules; distribution of program offerings</w:t>
      </w:r>
    </w:p>
    <w:p w14:paraId="19C04599" w14:textId="3F206183" w:rsidR="008E46A2" w:rsidRPr="009E2BBE" w:rsidRDefault="008D3497" w:rsidP="008E46A2">
      <w:pPr>
        <w:pStyle w:val="Dotpoint10"/>
      </w:pPr>
      <w:r w:rsidRPr="009E2BBE">
        <w:t>a</w:t>
      </w:r>
      <w:r w:rsidR="008E46A2" w:rsidRPr="009E2BBE">
        <w:t>pproval: institutional endorsements</w:t>
      </w:r>
    </w:p>
    <w:p w14:paraId="003AB117" w14:textId="5849A984" w:rsidR="008E46A2" w:rsidRPr="009E2BBE" w:rsidRDefault="008D3497" w:rsidP="008E46A2">
      <w:pPr>
        <w:pStyle w:val="Dotpoint10"/>
      </w:pPr>
      <w:r w:rsidRPr="009E2BBE">
        <w:t>i</w:t>
      </w:r>
      <w:r w:rsidR="008E46A2" w:rsidRPr="009E2BBE">
        <w:t>mplementation of training</w:t>
      </w:r>
    </w:p>
    <w:p w14:paraId="66A85CCD" w14:textId="615CE901" w:rsidR="008E46A2" w:rsidRPr="009E2BBE" w:rsidRDefault="008D3497" w:rsidP="008E46A2">
      <w:pPr>
        <w:pStyle w:val="Dotpoint10"/>
      </w:pPr>
      <w:r w:rsidRPr="009E2BBE">
        <w:t>e</w:t>
      </w:r>
      <w:r w:rsidR="008E46A2" w:rsidRPr="009E2BBE">
        <w:t xml:space="preserve">valuation of the system: programs; performance; job entry; employer satisfaction to inform </w:t>
      </w:r>
      <w:r w:rsidR="005E53E4" w:rsidRPr="009E2BBE">
        <w:t>s</w:t>
      </w:r>
      <w:r w:rsidR="008E46A2" w:rsidRPr="009E2BBE">
        <w:t>tep 1: planning.</w:t>
      </w:r>
    </w:p>
    <w:p w14:paraId="63FD0D12" w14:textId="590013EF" w:rsidR="008E46A2" w:rsidRPr="009E2BBE" w:rsidRDefault="008E46A2" w:rsidP="008E46A2">
      <w:pPr>
        <w:pStyle w:val="Text"/>
      </w:pPr>
      <w:r w:rsidRPr="009E2BBE">
        <w:t xml:space="preserve">MELS partners with schools, other government ministries and industry, </w:t>
      </w:r>
      <w:r w:rsidR="006B5BDF" w:rsidRPr="009E2BBE">
        <w:t xml:space="preserve">the </w:t>
      </w:r>
      <w:r w:rsidRPr="009E2BBE">
        <w:t xml:space="preserve">labour analysis organisation, </w:t>
      </w:r>
      <w:r w:rsidR="0009533D" w:rsidRPr="009E2BBE">
        <w:t xml:space="preserve">and </w:t>
      </w:r>
      <w:r w:rsidRPr="009E2BBE">
        <w:t>sector committees. Approximately 30 sector committees are established by Emploi-Québec, the workforce analysis organisation, to inform occupational competencies and run the apprenticeship program. For example, the Commission de la construction du Qu</w:t>
      </w:r>
      <w:r w:rsidR="00054945" w:rsidRPr="009E2BBE">
        <w:t>é</w:t>
      </w:r>
      <w:r w:rsidRPr="009E2BBE">
        <w:t xml:space="preserve">bec (CCQ) is vital in developing VTT programs </w:t>
      </w:r>
      <w:r w:rsidRPr="009E2BBE">
        <w:fldChar w:fldCharType="begin"/>
      </w:r>
      <w:r w:rsidR="00426A80" w:rsidRPr="009E2BBE">
        <w:instrText xml:space="preserve"> ADDIN EN.CITE &lt;EndNote&gt;&lt;Cite&gt;&lt;Author&gt;Gouvernement du Québec&lt;/Author&gt;&lt;Year&gt;2019&lt;/Year&gt;&lt;RecNum&gt;82&lt;/RecNum&gt;&lt;DisplayText&gt;(Gouvernement du Québec 2019)&lt;/DisplayText&gt;&lt;record&gt;&lt;rec-number&gt;82&lt;/rec-number&gt;&lt;foreign-keys&gt;&lt;key app="EN" db-id="9ze0v2p5ut9294eed99p2s2tzvzzwsadrf2t" timestamp="1599537303"&gt;82&lt;/key&gt;&lt;/foreign-keys&gt;&lt;ref-type name="Web Page"&gt;12&lt;/ref-type&gt;&lt;contributors&gt;&lt;authors&gt;&lt;author&gt;Gouvernement du Québec,&lt;/author&gt;&lt;/authors&gt;&lt;/contributors&gt;&lt;titles&gt;&lt;title&gt;Sectorial workforce committees&lt;/title&gt;&lt;/titles&gt;&lt;number&gt;September 2020&lt;/number&gt;&lt;dates&gt;&lt;year&gt;2019&lt;/year&gt;&lt;/dates&gt;&lt;publisher&gt;Gouvenement du Québec&lt;/publisher&gt;&lt;urls&gt;&lt;related-urls&gt;&lt;url&gt;https://www.cpmt.gouv.qc.ca/reseau-des-partenaires/comites-sectoriels_en.asp&lt;/url&gt;&lt;/related-urls&gt;&lt;/urls&gt;&lt;/record&gt;&lt;/Cite&gt;&lt;/EndNote&gt;</w:instrText>
      </w:r>
      <w:r w:rsidRPr="009E2BBE">
        <w:fldChar w:fldCharType="separate"/>
      </w:r>
      <w:r w:rsidR="00426A80" w:rsidRPr="009E2BBE">
        <w:t>(Gouvernement du Québec 2019)</w:t>
      </w:r>
      <w:r w:rsidRPr="009E2BBE">
        <w:fldChar w:fldCharType="end"/>
      </w:r>
      <w:r w:rsidRPr="009E2BBE">
        <w:t xml:space="preserve">. </w:t>
      </w:r>
    </w:p>
    <w:p w14:paraId="7DEB69A4" w14:textId="7BFE467A" w:rsidR="008E46A2" w:rsidRPr="009E2BBE" w:rsidRDefault="008E46A2" w:rsidP="008E46A2">
      <w:pPr>
        <w:pStyle w:val="Text"/>
      </w:pPr>
      <w:r w:rsidRPr="009E2BBE">
        <w:t>Businesses inform surveys and studies in the planning stage. Specialists from sectors are requested to identify the skills required in the job market. Program</w:t>
      </w:r>
      <w:r w:rsidR="00674FAE" w:rsidRPr="009E2BBE">
        <w:t>-</w:t>
      </w:r>
      <w:r w:rsidRPr="009E2BBE">
        <w:t xml:space="preserve">development teams comprise industry and education partners and work through the steps described above </w:t>
      </w:r>
      <w:r w:rsidRPr="009E2BBE">
        <w:fldChar w:fldCharType="begin"/>
      </w:r>
      <w:r w:rsidRPr="009E2BBE">
        <w:instrText xml:space="preserve"> ADDIN EN.CITE &lt;EndNote&gt;&lt;Cite&gt;&lt;Author&gt;Gouvernement du Quebec. Ministere de l’Education&lt;/Author&gt;&lt;Year&gt;2003&lt;/Year&gt;&lt;RecNum&gt;84&lt;/RecNum&gt;&lt;DisplayText&gt;(Gouvernement du Quebec. Ministere de l’Education 2003)&lt;/DisplayText&gt;&lt;record&gt;&lt;rec-number&gt;84&lt;/rec-number&gt;&lt;foreign-keys&gt;&lt;key app="EN" db-id="9ze0v2p5ut9294eed99p2s2tzvzzwsadrf2t" timestamp="1599539068"&gt;84&lt;/key&gt;&lt;/foreign-keys&gt;&lt;ref-type name="Generic"&gt;13&lt;/ref-type&gt;&lt;contributors&gt;&lt;authors&gt;&lt;author&gt;Gouvernement du Quebec. Ministere de l’Education,&lt;/author&gt;&lt;/authors&gt;&lt;/contributors&gt;&lt;titles&gt;&lt;title&gt;Vocational and technical education in Quebec: a system integrating educational and management engineering&lt;/title&gt;&lt;/titles&gt;&lt;keywords&gt;&lt;keyword&gt;North America&lt;/keyword&gt;&lt;keyword&gt;Canada&lt;/keyword&gt;&lt;keyword&gt;Future&lt;/keyword&gt;&lt;keyword&gt;Government policy&lt;/keyword&gt;&lt;keyword&gt;Educational administration&lt;/keyword&gt;&lt;keyword&gt;Curriculum development&lt;/keyword&gt;&lt;keyword&gt;Management system&lt;/keyword&gt;&lt;keyword&gt;Technical education and training&lt;/keyword&gt;&lt;keyword&gt;Education and training system&lt;/keyword&gt;&lt;keyword&gt;Education and training reform&lt;/keyword&gt;&lt;keyword&gt;Training administration&lt;/keyword&gt;&lt;keyword&gt;Outcomes&lt;/keyword&gt;&lt;keyword&gt;Policy&lt;/keyword&gt;&lt;keyword&gt;Teaching and learning&lt;/keyword&gt;&lt;keyword&gt;Vocational education and training&lt;/keyword&gt;&lt;keyword&gt;Governance&lt;/keyword&gt;&lt;keyword&gt;Management&lt;/keyword&gt;&lt;keyword&gt;Providers of education and training&lt;/keyword&gt;&lt;/keywords&gt;&lt;dates&gt;&lt;year&gt;2003&lt;/year&gt;&lt;/dates&gt;&lt;pub-location&gt;Quebec&lt;/pub-location&gt;&lt;publisher&gt;Gouvernement du Quebec, Ministere de l&amp;apos;Education&lt;/publisher&gt;&lt;isbn&gt;2550402820&lt;/isbn&gt;&lt;urls&gt;&lt;/urls&gt;&lt;remote-database-name&gt;VOCEDplus&lt;/remote-database-name&gt;&lt;access-date&gt;08 Sep 2020&lt;/access-date&gt;&lt;/record&gt;&lt;/Cite&gt;&lt;/EndNote&gt;</w:instrText>
      </w:r>
      <w:r w:rsidRPr="009E2BBE">
        <w:fldChar w:fldCharType="separate"/>
      </w:r>
      <w:r w:rsidRPr="009E2BBE">
        <w:t>(Gouvernement du Qu</w:t>
      </w:r>
      <w:r w:rsidR="00054945" w:rsidRPr="009E2BBE">
        <w:t>é</w:t>
      </w:r>
      <w:r w:rsidRPr="009E2BBE">
        <w:t>bec Minist</w:t>
      </w:r>
      <w:r w:rsidR="00054945" w:rsidRPr="009E2BBE">
        <w:t>è</w:t>
      </w:r>
      <w:r w:rsidRPr="009E2BBE">
        <w:t>re de l</w:t>
      </w:r>
      <w:r w:rsidR="00A26B8A" w:rsidRPr="009E2BBE">
        <w:t>’</w:t>
      </w:r>
      <w:r w:rsidRPr="009E2BBE">
        <w:t>Education 2003)</w:t>
      </w:r>
      <w:r w:rsidRPr="009E2BBE">
        <w:fldChar w:fldCharType="end"/>
      </w:r>
      <w:r w:rsidRPr="009E2BBE">
        <w:t>. There is also an overarching committee</w:t>
      </w:r>
      <w:r w:rsidR="008E54DE" w:rsidRPr="009E2BBE">
        <w:t>,</w:t>
      </w:r>
      <w:r w:rsidRPr="009E2BBE">
        <w:t xml:space="preserve"> comprising representative</w:t>
      </w:r>
      <w:r w:rsidR="0009533D" w:rsidRPr="009E2BBE">
        <w:t>s</w:t>
      </w:r>
      <w:r w:rsidRPr="009E2BBE">
        <w:t xml:space="preserve"> from business, unions, school boards, private educational institutions, </w:t>
      </w:r>
      <w:r w:rsidR="00EA3747" w:rsidRPr="009E2BBE">
        <w:t>technical colleges,</w:t>
      </w:r>
      <w:r w:rsidRPr="009E2BBE">
        <w:t xml:space="preserve"> and </w:t>
      </w:r>
      <w:r w:rsidR="00A30AB5" w:rsidRPr="009E2BBE">
        <w:t>Emploi-Québec</w:t>
      </w:r>
      <w:r w:rsidR="00134BE1" w:rsidRPr="009E2BBE">
        <w:t>, which</w:t>
      </w:r>
      <w:r w:rsidRPr="009E2BBE">
        <w:t xml:space="preserve"> advise</w:t>
      </w:r>
      <w:r w:rsidR="00134BE1" w:rsidRPr="009E2BBE">
        <w:t>s</w:t>
      </w:r>
      <w:r w:rsidRPr="009E2BBE">
        <w:t xml:space="preserve"> the MELS on all VTT issues. </w:t>
      </w:r>
    </w:p>
    <w:p w14:paraId="4B40AD51" w14:textId="6A1FD175" w:rsidR="008E46A2" w:rsidRPr="009E2BBE" w:rsidRDefault="008E46A2" w:rsidP="008E46A2">
      <w:pPr>
        <w:pStyle w:val="Text"/>
      </w:pPr>
      <w:r w:rsidRPr="009E2BBE">
        <w:t>Programs are competency-based, with sub-units of a program expressed as objectives. Programs are grouped by type</w:t>
      </w:r>
      <w:r w:rsidR="00D2641D" w:rsidRPr="009E2BBE">
        <w:t>,</w:t>
      </w:r>
      <w:r w:rsidRPr="009E2BBE">
        <w:t xml:space="preserve"> to be managed by a sector. Skills, knowledge and </w:t>
      </w:r>
      <w:r w:rsidR="00A26B8A" w:rsidRPr="009E2BBE">
        <w:t>‘</w:t>
      </w:r>
      <w:r w:rsidRPr="009E2BBE">
        <w:t>attitudes</w:t>
      </w:r>
      <w:r w:rsidR="00A26B8A" w:rsidRPr="009E2BBE">
        <w:t>’</w:t>
      </w:r>
      <w:r w:rsidRPr="009E2BBE">
        <w:t xml:space="preserve"> are included in programs and expressed in such a way as to enable measurement through performance in the workplace. Competencies in programs are described by an element, achievement context and performance criteria to ensure equivalence across training providers and facilitate </w:t>
      </w:r>
      <w:r w:rsidR="00A30AB5" w:rsidRPr="009E2BBE">
        <w:t xml:space="preserve">recognition </w:t>
      </w:r>
      <w:r w:rsidR="0063575D" w:rsidRPr="009E2BBE">
        <w:t>of</w:t>
      </w:r>
      <w:r w:rsidR="00A30AB5" w:rsidRPr="009E2BBE">
        <w:t xml:space="preserve"> prior learning</w:t>
      </w:r>
      <w:r w:rsidRPr="009E2BBE">
        <w:t xml:space="preserve">. </w:t>
      </w:r>
    </w:p>
    <w:p w14:paraId="0B45D645" w14:textId="77777777" w:rsidR="008E46A2" w:rsidRPr="009E2BBE" w:rsidRDefault="008E46A2" w:rsidP="008E46A2">
      <w:pPr>
        <w:pStyle w:val="Text"/>
      </w:pPr>
      <w:r w:rsidRPr="009E2BBE">
        <w:t xml:space="preserve">VTT program development and delivery is funded by a training levy for businesses with payrolls exceeding CAD$1 million. This fund is used to reimburse organisations that spend on employee skills development, qualification or competencies recognition </w:t>
      </w:r>
      <w:r w:rsidRPr="009E2BBE">
        <w:fldChar w:fldCharType="begin"/>
      </w:r>
      <w:r w:rsidRPr="009E2BBE">
        <w:instrText xml:space="preserve"> ADDIN EN.CITE &lt;EndNote&gt;&lt;Cite&gt;&lt;Author&gt;Foucher&lt;/Author&gt;&lt;Year&gt;2013&lt;/Year&gt;&lt;RecNum&gt;85&lt;/RecNum&gt;&lt;DisplayText&gt;(Foucher &amp;amp; Hassi 2013)&lt;/DisplayText&gt;&lt;record&gt;&lt;rec-number&gt;85&lt;/rec-number&gt;&lt;foreign-keys&gt;&lt;key app="EN" db-id="9ze0v2p5ut9294eed99p2s2tzvzzwsadrf2t" timestamp="1599539220"&gt;85&lt;/key&gt;&lt;/foreign-keys&gt;&lt;ref-type name="Generic"&gt;13&lt;/ref-type&gt;&lt;contributors&gt;&lt;authors&gt;&lt;author&gt;Foucher, Roland&lt;/author&gt;&lt;author&gt;Hassi, Abderrahman&lt;/author&gt;&lt;/authors&gt;&lt;/contributors&gt;&lt;titles&gt;&lt;title&gt;International briefing 28: training and development in Québec&lt;/title&gt;&lt;tertiary-title&gt;1&lt;/tertiary-title&gt;&lt;/titles&gt;&lt;volume&gt;17&lt;/volume&gt;&lt;number&gt;1&lt;/number&gt;&lt;keywords&gt;&lt;keyword&gt;Canada&lt;/keyword&gt;&lt;keyword&gt;North America&lt;/keyword&gt;&lt;keyword&gt;Education and training system&lt;/keyword&gt;&lt;keyword&gt;Small and medium enterprise&lt;/keyword&gt;&lt;keyword&gt;Training&lt;/keyword&gt;&lt;keyword&gt;Workforce development&lt;/keyword&gt;&lt;keyword&gt;Governance&lt;/keyword&gt;&lt;keyword&gt;Vocational education and training&lt;/keyword&gt;&lt;keyword&gt;Adult and community education&lt;/keyword&gt;&lt;keyword&gt;Policy&lt;/keyword&gt;&lt;keyword&gt;Industry&lt;/keyword&gt;&lt;keyword&gt;Teaching and learning&lt;/keyword&gt;&lt;/keywords&gt;&lt;dates&gt;&lt;year&gt;2013&lt;/year&gt;&lt;pub-dates&gt;&lt;date&gt;March 2013&lt;/date&gt;&lt;/pub-dates&gt;&lt;/dates&gt;&lt;pub-location&gt;Oxford&lt;/pub-location&gt;&lt;publisher&gt;Blackwell Publishing&lt;/publisher&gt;&lt;isbn&gt;1360-3736&lt;/isbn&gt;&lt;urls&gt;&lt;/urls&gt;&lt;remote-database-name&gt;VOCEDplus&lt;/remote-database-name&gt;&lt;access-date&gt;08 Sep 2020&lt;/access-date&gt;&lt;/record&gt;&lt;/Cite&gt;&lt;/EndNote&gt;</w:instrText>
      </w:r>
      <w:r w:rsidRPr="009E2BBE">
        <w:fldChar w:fldCharType="separate"/>
      </w:r>
      <w:r w:rsidRPr="009E2BBE">
        <w:t>(Foucher &amp; Hassi 2013)</w:t>
      </w:r>
      <w:r w:rsidRPr="009E2BBE">
        <w:fldChar w:fldCharType="end"/>
      </w:r>
      <w:r w:rsidRPr="009E2BBE">
        <w:t xml:space="preserve">. </w:t>
      </w:r>
    </w:p>
    <w:p w14:paraId="1139C061" w14:textId="77777777" w:rsidR="008E46A2" w:rsidRPr="009E2BBE" w:rsidRDefault="008E46A2" w:rsidP="008E46A2">
      <w:pPr>
        <w:pStyle w:val="Text"/>
      </w:pPr>
    </w:p>
    <w:p w14:paraId="6F95FC43" w14:textId="77777777" w:rsidR="008E46A2" w:rsidRPr="009E2BBE" w:rsidRDefault="008E46A2" w:rsidP="008E46A2">
      <w:pPr>
        <w:pStyle w:val="Text"/>
        <w:rPr>
          <w:rFonts w:ascii="Arial" w:hAnsi="Arial" w:cs="Tahoma"/>
          <w:color w:val="000000"/>
          <w:kern w:val="28"/>
          <w:sz w:val="44"/>
          <w:szCs w:val="56"/>
        </w:rPr>
      </w:pPr>
      <w:r w:rsidRPr="009E2BBE">
        <w:br w:type="page"/>
      </w:r>
    </w:p>
    <w:p w14:paraId="31D380F0" w14:textId="6C6F70A1" w:rsidR="002D5112" w:rsidRPr="009E2BBE" w:rsidRDefault="002D5112" w:rsidP="002D5112">
      <w:pPr>
        <w:pStyle w:val="Heading1"/>
      </w:pPr>
      <w:bookmarkStart w:id="47" w:name="_Toc65741362"/>
      <w:r w:rsidRPr="009E2BBE">
        <w:t>Finland</w:t>
      </w:r>
      <w:bookmarkEnd w:id="47"/>
    </w:p>
    <w:p w14:paraId="55054D3B" w14:textId="6D72B6A6" w:rsidR="00293753" w:rsidRPr="009E2BBE" w:rsidRDefault="00293753" w:rsidP="00A815CE">
      <w:pPr>
        <w:pStyle w:val="Heading2"/>
      </w:pPr>
      <w:bookmarkStart w:id="48" w:name="_Toc65741363"/>
      <w:r w:rsidRPr="009E2BBE">
        <w:t>Overview</w:t>
      </w:r>
      <w:bookmarkEnd w:id="48"/>
    </w:p>
    <w:p w14:paraId="3E2B670D" w14:textId="3C363A89" w:rsidR="00A21ADB" w:rsidRPr="009E2BBE" w:rsidRDefault="00A21ADB" w:rsidP="00A21ADB">
      <w:pPr>
        <w:pStyle w:val="Text"/>
      </w:pPr>
      <w:r w:rsidRPr="009E2BBE">
        <w:t xml:space="preserve">The Finnish vocational education system has undergone reforms over the past few years to reduce the number of qualifications available and </w:t>
      </w:r>
      <w:r w:rsidR="00B50107" w:rsidRPr="009E2BBE">
        <w:t xml:space="preserve">to </w:t>
      </w:r>
      <w:r w:rsidRPr="009E2BBE">
        <w:t xml:space="preserve">tie education </w:t>
      </w:r>
      <w:r w:rsidR="00C37269" w:rsidRPr="009E2BBE">
        <w:t xml:space="preserve">more closely </w:t>
      </w:r>
      <w:r w:rsidRPr="009E2BBE">
        <w:t xml:space="preserve">to emerging skill needs. This has resulted in the use of more broad-based qualifications. </w:t>
      </w:r>
      <w:r w:rsidR="000A74E0" w:rsidRPr="009E2BBE">
        <w:t xml:space="preserve">The </w:t>
      </w:r>
      <w:r w:rsidR="00EA3747" w:rsidRPr="009E2BBE">
        <w:t>qualification development process</w:t>
      </w:r>
      <w:r w:rsidR="000A74E0" w:rsidRPr="009E2BBE">
        <w:t xml:space="preserve"> is also largely managed by government</w:t>
      </w:r>
      <w:r w:rsidR="00C067A6" w:rsidRPr="009E2BBE">
        <w:t>,</w:t>
      </w:r>
      <w:r w:rsidR="000A74E0" w:rsidRPr="009E2BBE">
        <w:t xml:space="preserve"> in consultation with a range of stakeholders. </w:t>
      </w:r>
      <w:r w:rsidRPr="009E2BBE">
        <w:t>This case study will explore how these qualifications are developed, who is involved</w:t>
      </w:r>
      <w:r w:rsidR="000A74E0" w:rsidRPr="009E2BBE">
        <w:t xml:space="preserve"> and the length of the process.</w:t>
      </w:r>
    </w:p>
    <w:p w14:paraId="2424FAD5" w14:textId="7D5E1861" w:rsidR="00A815CE" w:rsidRPr="009E2BBE" w:rsidRDefault="00A815CE" w:rsidP="00A815CE">
      <w:pPr>
        <w:pStyle w:val="Heading2"/>
      </w:pPr>
      <w:bookmarkStart w:id="49" w:name="_Toc65741364"/>
      <w:r w:rsidRPr="009E2BBE">
        <w:t>Current</w:t>
      </w:r>
      <w:r w:rsidR="00293753" w:rsidRPr="009E2BBE">
        <w:t xml:space="preserve"> vocational</w:t>
      </w:r>
      <w:r w:rsidRPr="009E2BBE">
        <w:t xml:space="preserve"> </w:t>
      </w:r>
      <w:r w:rsidR="00EA3747" w:rsidRPr="009E2BBE">
        <w:t>qualification development process</w:t>
      </w:r>
      <w:bookmarkEnd w:id="49"/>
    </w:p>
    <w:p w14:paraId="7099D6F3" w14:textId="62013F72" w:rsidR="001E4812" w:rsidRPr="009E2BBE" w:rsidRDefault="001612F6" w:rsidP="001E4812">
      <w:pPr>
        <w:pStyle w:val="Text"/>
      </w:pPr>
      <w:r w:rsidRPr="009E2BBE">
        <w:t>Unless stated otherwise, i</w:t>
      </w:r>
      <w:r w:rsidR="001E4812" w:rsidRPr="009E2BBE">
        <w:t xml:space="preserve">nformation in this section has been adapted from Cedefop </w:t>
      </w:r>
      <w:r w:rsidR="00C37269" w:rsidRPr="009E2BBE">
        <w:t>and</w:t>
      </w:r>
      <w:r w:rsidR="001E4812" w:rsidRPr="009E2BBE">
        <w:t xml:space="preserve"> Finnish National Agency for Education </w:t>
      </w:r>
      <w:r w:rsidR="00C37269" w:rsidRPr="009E2BBE">
        <w:t>(</w:t>
      </w:r>
      <w:r w:rsidR="001E4812" w:rsidRPr="009E2BBE">
        <w:t>2019</w:t>
      </w:r>
      <w:r w:rsidR="00C37269" w:rsidRPr="009E2BBE">
        <w:t>)</w:t>
      </w:r>
      <w:r w:rsidR="001E4812" w:rsidRPr="009E2BBE">
        <w:t>.</w:t>
      </w:r>
    </w:p>
    <w:p w14:paraId="4E2EB5F0" w14:textId="23DA4725" w:rsidR="0005690C" w:rsidRPr="009E2BBE" w:rsidRDefault="0005690C" w:rsidP="00A815CE">
      <w:pPr>
        <w:pStyle w:val="Heading3"/>
      </w:pPr>
      <w:r w:rsidRPr="009E2BBE">
        <w:t>Summary of the process</w:t>
      </w:r>
      <w:r w:rsidR="00DA2102" w:rsidRPr="009E2BBE">
        <w:t xml:space="preserve"> to update qualifications</w:t>
      </w:r>
    </w:p>
    <w:p w14:paraId="007700FB" w14:textId="7CA17D95" w:rsidR="004E7351" w:rsidRPr="009E2BBE" w:rsidRDefault="004E7351" w:rsidP="004E7351">
      <w:pPr>
        <w:pStyle w:val="Text"/>
      </w:pPr>
      <w:r w:rsidRPr="009E2BBE">
        <w:t xml:space="preserve">This section will focus on the </w:t>
      </w:r>
      <w:r w:rsidR="00DA2102" w:rsidRPr="009E2BBE">
        <w:t>process</w:t>
      </w:r>
      <w:r w:rsidRPr="009E2BBE">
        <w:t xml:space="preserve"> </w:t>
      </w:r>
      <w:r w:rsidR="0039680B" w:rsidRPr="009E2BBE">
        <w:t>used</w:t>
      </w:r>
      <w:r w:rsidRPr="009E2BBE">
        <w:t xml:space="preserve"> to update existing qualifications</w:t>
      </w:r>
      <w:r w:rsidR="00932130" w:rsidRPr="009E2BBE">
        <w:t>,</w:t>
      </w:r>
      <w:r w:rsidRPr="009E2BBE">
        <w:t xml:space="preserve"> as specific information on the development of new qualifications could not be determined at this time. It is possible that the steps are very similar</w:t>
      </w:r>
      <w:r w:rsidR="006B47B0" w:rsidRPr="009E2BBE">
        <w:t>,</w:t>
      </w:r>
      <w:r w:rsidRPr="009E2BBE">
        <w:t xml:space="preserve"> with the same organisations involved. Additionally, the process seems to be the same for all vocational qualification types and industry sectors</w:t>
      </w:r>
      <w:r w:rsidR="00DA2102" w:rsidRPr="009E2BBE">
        <w:t>.</w:t>
      </w:r>
      <w:r w:rsidR="0058523C" w:rsidRPr="009E2BBE">
        <w:t xml:space="preserve"> The entire process tends to take one to two years.</w:t>
      </w:r>
    </w:p>
    <w:p w14:paraId="53AB8702" w14:textId="44DE2F7E" w:rsidR="004B568E" w:rsidRPr="009E2BBE" w:rsidRDefault="004B568E" w:rsidP="004B568E">
      <w:pPr>
        <w:pStyle w:val="Text"/>
      </w:pPr>
      <w:r w:rsidRPr="009E2BBE">
        <w:t>A decision to update a qualification arises from changes to the skills needs in the labour market, which can lead to changes in qualification requirements or changes to the qualification structure (</w:t>
      </w:r>
      <w:r w:rsidR="00932130" w:rsidRPr="009E2BBE">
        <w:t>that is,</w:t>
      </w:r>
      <w:r w:rsidRPr="009E2BBE">
        <w:t xml:space="preserve"> whether it is an initial, further or specialist qualification). </w:t>
      </w:r>
      <w:r w:rsidR="00AC6370" w:rsidRPr="009E2BBE">
        <w:t>Both</w:t>
      </w:r>
      <w:r w:rsidRPr="009E2BBE">
        <w:t xml:space="preserve"> require qualification requirements </w:t>
      </w:r>
      <w:r w:rsidR="00AC6370" w:rsidRPr="009E2BBE">
        <w:t>to be</w:t>
      </w:r>
      <w:r w:rsidRPr="009E2BBE">
        <w:t xml:space="preserve"> renewed</w:t>
      </w:r>
      <w:r w:rsidR="004D6623" w:rsidRPr="009E2BBE">
        <w:t xml:space="preserve"> </w:t>
      </w:r>
      <w:r w:rsidR="00ED3F5E" w:rsidRPr="009E2BBE">
        <w:t>—</w:t>
      </w:r>
      <w:r w:rsidR="004D6623" w:rsidRPr="009E2BBE">
        <w:t xml:space="preserve"> a process </w:t>
      </w:r>
      <w:r w:rsidR="00AC6370" w:rsidRPr="009E2BBE">
        <w:t>that</w:t>
      </w:r>
      <w:r w:rsidR="004D6623" w:rsidRPr="009E2BBE">
        <w:t xml:space="preserve"> can take one to two years.</w:t>
      </w:r>
    </w:p>
    <w:p w14:paraId="505A6507" w14:textId="224CC02A" w:rsidR="00784D43" w:rsidRPr="009E2BBE" w:rsidRDefault="00784D43" w:rsidP="004B568E">
      <w:pPr>
        <w:pStyle w:val="Text"/>
      </w:pPr>
      <w:r w:rsidRPr="009E2BBE">
        <w:t>The qualification requirements determine:</w:t>
      </w:r>
    </w:p>
    <w:p w14:paraId="55CBC69B" w14:textId="3E49DE94" w:rsidR="00784D43" w:rsidRPr="009E2BBE" w:rsidRDefault="00F773D7" w:rsidP="00784D43">
      <w:pPr>
        <w:pStyle w:val="Dotpoint10"/>
      </w:pPr>
      <w:r w:rsidRPr="009E2BBE">
        <w:t>the units included in the qualification</w:t>
      </w:r>
    </w:p>
    <w:p w14:paraId="24F452E0" w14:textId="32408FBE" w:rsidR="00784D43" w:rsidRPr="009E2BBE" w:rsidRDefault="00F773D7" w:rsidP="00784D43">
      <w:pPr>
        <w:pStyle w:val="Dotpoint10"/>
      </w:pPr>
      <w:r w:rsidRPr="009E2BBE">
        <w:t>any possible specialisations made up of different units</w:t>
      </w:r>
    </w:p>
    <w:p w14:paraId="6C8FB868" w14:textId="279D5102" w:rsidR="00784D43" w:rsidRPr="009E2BBE" w:rsidRDefault="004A12C2" w:rsidP="00784D43">
      <w:pPr>
        <w:pStyle w:val="Dotpoint10"/>
      </w:pPr>
      <w:r w:rsidRPr="009E2BBE">
        <w:t xml:space="preserve">the </w:t>
      </w:r>
      <w:r w:rsidR="00F773D7" w:rsidRPr="009E2BBE">
        <w:t>selection of optional units in addition to compulsory ones</w:t>
      </w:r>
    </w:p>
    <w:p w14:paraId="5C8FF980" w14:textId="5EB54C3C" w:rsidR="00784D43" w:rsidRPr="009E2BBE" w:rsidRDefault="00F773D7" w:rsidP="00784D43">
      <w:pPr>
        <w:pStyle w:val="Dotpoint10"/>
      </w:pPr>
      <w:r w:rsidRPr="009E2BBE">
        <w:t>the vocational skills required for each qualification unit</w:t>
      </w:r>
    </w:p>
    <w:p w14:paraId="5C3D5496" w14:textId="196D4626" w:rsidR="00784D43" w:rsidRPr="009E2BBE" w:rsidRDefault="00F773D7" w:rsidP="00784D43">
      <w:pPr>
        <w:pStyle w:val="Dotpoint10"/>
      </w:pPr>
      <w:r w:rsidRPr="009E2BBE">
        <w:t>the guidelines for assessment (targets and criteria of assessment)</w:t>
      </w:r>
    </w:p>
    <w:p w14:paraId="60116BEA" w14:textId="01319D0A" w:rsidR="00784D43" w:rsidRPr="009E2BBE" w:rsidRDefault="00F773D7" w:rsidP="00784D43">
      <w:pPr>
        <w:pStyle w:val="Dotpoint10"/>
      </w:pPr>
      <w:r w:rsidRPr="009E2BBE">
        <w:t>w</w:t>
      </w:r>
      <w:r w:rsidR="00784D43" w:rsidRPr="009E2BBE">
        <w:t>ays of demonstrating vocational skills</w:t>
      </w:r>
      <w:r w:rsidRPr="009E2BBE">
        <w:t>.</w:t>
      </w:r>
    </w:p>
    <w:p w14:paraId="1F7A6DC9" w14:textId="6B852BFD" w:rsidR="00784D43" w:rsidRPr="009E2BBE" w:rsidRDefault="009900CF" w:rsidP="00784D43">
      <w:pPr>
        <w:pStyle w:val="Text"/>
      </w:pPr>
      <w:r w:rsidRPr="009E2BBE">
        <w:t xml:space="preserve">The Finnish National Agency for Education leads the development of these requirements in cooperation with employers, </w:t>
      </w:r>
      <w:proofErr w:type="gramStart"/>
      <w:r w:rsidRPr="009E2BBE">
        <w:t>employees</w:t>
      </w:r>
      <w:proofErr w:type="gramEnd"/>
      <w:r w:rsidRPr="009E2BBE">
        <w:t xml:space="preserve"> and the education sector. Depending on the sector, self-employed people are also included</w:t>
      </w:r>
      <w:r w:rsidR="00F773D7" w:rsidRPr="009E2BBE">
        <w:t>,</w:t>
      </w:r>
      <w:r w:rsidRPr="009E2BBE">
        <w:t xml:space="preserve"> </w:t>
      </w:r>
      <w:r w:rsidR="00ED3F5E" w:rsidRPr="009E2BBE">
        <w:t xml:space="preserve">that is, </w:t>
      </w:r>
      <w:r w:rsidRPr="009E2BBE">
        <w:t xml:space="preserve">if self-employment is prevalent in that sector. </w:t>
      </w:r>
    </w:p>
    <w:p w14:paraId="35E029DC" w14:textId="4AFBD83A" w:rsidR="00A815CE" w:rsidRPr="009E2BBE" w:rsidRDefault="0005690C" w:rsidP="00DA2102">
      <w:pPr>
        <w:pStyle w:val="Heading4"/>
      </w:pPr>
      <w:r w:rsidRPr="009E2BBE">
        <w:t>Stakeholders involved</w:t>
      </w:r>
    </w:p>
    <w:p w14:paraId="3AA3120C" w14:textId="7ED9376A" w:rsidR="00DA2102" w:rsidRPr="009E2BBE" w:rsidRDefault="00DA2102" w:rsidP="00DA2102">
      <w:pPr>
        <w:pStyle w:val="Heading5"/>
      </w:pPr>
      <w:r w:rsidRPr="009E2BBE">
        <w:t>Development</w:t>
      </w:r>
    </w:p>
    <w:p w14:paraId="79D9F924" w14:textId="4AF6D4C2" w:rsidR="00DA2102" w:rsidRPr="009E2BBE" w:rsidRDefault="00DA2102" w:rsidP="001B59EE">
      <w:pPr>
        <w:pStyle w:val="Text"/>
      </w:pPr>
      <w:r w:rsidRPr="009E2BBE">
        <w:t>The Finnish National Agency for Education (EDUFI) is the main body involved in overseeing the development</w:t>
      </w:r>
      <w:r w:rsidR="00AB75CA" w:rsidRPr="009E2BBE">
        <w:t xml:space="preserve"> and </w:t>
      </w:r>
      <w:r w:rsidRPr="009E2BBE">
        <w:t xml:space="preserve">updating of qualifications. The agency sets up a qualification project and invites experts, such as employees, </w:t>
      </w:r>
      <w:proofErr w:type="gramStart"/>
      <w:r w:rsidRPr="009E2BBE">
        <w:t>employers</w:t>
      </w:r>
      <w:proofErr w:type="gramEnd"/>
      <w:r w:rsidRPr="009E2BBE">
        <w:t xml:space="preserve"> and teachers in the </w:t>
      </w:r>
      <w:r w:rsidR="00AC6370" w:rsidRPr="009E2BBE">
        <w:t>industry</w:t>
      </w:r>
      <w:r w:rsidRPr="009E2BBE">
        <w:t xml:space="preserve"> area</w:t>
      </w:r>
      <w:r w:rsidR="0004780F" w:rsidRPr="009E2BBE">
        <w:t>,</w:t>
      </w:r>
      <w:r w:rsidRPr="009E2BBE">
        <w:t xml:space="preserve"> to </w:t>
      </w:r>
      <w:r w:rsidR="00AC6370" w:rsidRPr="009E2BBE">
        <w:t>take part</w:t>
      </w:r>
      <w:r w:rsidRPr="009E2BBE">
        <w:t xml:space="preserve"> in the project. </w:t>
      </w:r>
      <w:r w:rsidR="001E4812" w:rsidRPr="009E2BBE">
        <w:t>This expert group drafts the new qualification requirements in consultation with other experts in the area. The draft of the requirements is also sent to representatives from unions</w:t>
      </w:r>
      <w:r w:rsidR="00BC0616" w:rsidRPr="009E2BBE">
        <w:t>,</w:t>
      </w:r>
      <w:r w:rsidR="001E4812" w:rsidRPr="009E2BBE">
        <w:t xml:space="preserve"> organisations, the world of work</w:t>
      </w:r>
      <w:r w:rsidR="00BC0616" w:rsidRPr="009E2BBE">
        <w:t xml:space="preserve"> —</w:t>
      </w:r>
      <w:r w:rsidR="00E304DC" w:rsidRPr="009E2BBE">
        <w:t xml:space="preserve"> such as employers</w:t>
      </w:r>
      <w:r w:rsidR="00BC0616" w:rsidRPr="009E2BBE">
        <w:t xml:space="preserve"> —</w:t>
      </w:r>
      <w:r w:rsidR="001E4812" w:rsidRPr="009E2BBE">
        <w:t xml:space="preserve"> and VET providers for feedback.</w:t>
      </w:r>
      <w:r w:rsidR="00CF0C3D" w:rsidRPr="009E2BBE">
        <w:t xml:space="preserve"> </w:t>
      </w:r>
    </w:p>
    <w:p w14:paraId="5549474B" w14:textId="77777777" w:rsidR="00DA2102" w:rsidRPr="009E2BBE" w:rsidRDefault="00DA2102" w:rsidP="00DA2102">
      <w:pPr>
        <w:pStyle w:val="Heading5"/>
      </w:pPr>
      <w:r w:rsidRPr="009E2BBE">
        <w:t>Approval</w:t>
      </w:r>
    </w:p>
    <w:p w14:paraId="41EAD721" w14:textId="3C97D3D9" w:rsidR="001B59EE" w:rsidRPr="009E2BBE" w:rsidRDefault="001E4812" w:rsidP="001B59EE">
      <w:pPr>
        <w:pStyle w:val="Text"/>
      </w:pPr>
      <w:r w:rsidRPr="009E2BBE">
        <w:t>Once consultation is completed on the draft qualification requirements developed by the expert group, the Finnish National Agency for Education adopts the qualification requirements as a nationally binding regulation. The qualification requirements are also published on the agency</w:t>
      </w:r>
      <w:r w:rsidR="00A26B8A" w:rsidRPr="009E2BBE">
        <w:t>’</w:t>
      </w:r>
      <w:r w:rsidRPr="009E2BBE">
        <w:t xml:space="preserve">s website. </w:t>
      </w:r>
    </w:p>
    <w:p w14:paraId="101FACCE" w14:textId="33FE71E6" w:rsidR="00DA2102" w:rsidRPr="009E2BBE" w:rsidRDefault="00DA2102" w:rsidP="00DA2102">
      <w:pPr>
        <w:pStyle w:val="Heading5"/>
      </w:pPr>
      <w:r w:rsidRPr="009E2BBE">
        <w:t>Quality assurance</w:t>
      </w:r>
    </w:p>
    <w:p w14:paraId="3B34C95F" w14:textId="7491F999" w:rsidR="000F7AC4" w:rsidRPr="009E2BBE" w:rsidRDefault="000F7AC4" w:rsidP="001B59EE">
      <w:pPr>
        <w:pStyle w:val="Text"/>
      </w:pPr>
      <w:r w:rsidRPr="009E2BBE">
        <w:t xml:space="preserve">While many bodies are involved in the quality of VET in Finland, the quality assurance of qualifications falls mainly to VET providers and </w:t>
      </w:r>
      <w:r w:rsidR="00A26B8A" w:rsidRPr="009E2BBE">
        <w:t>‘</w:t>
      </w:r>
      <w:r w:rsidR="00415127" w:rsidRPr="009E2BBE">
        <w:t>w</w:t>
      </w:r>
      <w:r w:rsidRPr="009E2BBE">
        <w:t>orking life</w:t>
      </w:r>
      <w:r w:rsidR="00A26B8A" w:rsidRPr="009E2BBE">
        <w:t>’</w:t>
      </w:r>
      <w:r w:rsidRPr="009E2BBE">
        <w:t xml:space="preserve"> committees.</w:t>
      </w:r>
    </w:p>
    <w:p w14:paraId="07808913" w14:textId="125AA86E" w:rsidR="006E2DBF" w:rsidRPr="009E2BBE" w:rsidRDefault="00CC3934" w:rsidP="001B59EE">
      <w:pPr>
        <w:pStyle w:val="Text"/>
      </w:pPr>
      <w:r w:rsidRPr="009E2BBE">
        <w:t xml:space="preserve">The responsibility of </w:t>
      </w:r>
      <w:r w:rsidR="006E2DBF" w:rsidRPr="009E2BBE">
        <w:t xml:space="preserve">VET providers for the quality of </w:t>
      </w:r>
      <w:r w:rsidR="006C1926" w:rsidRPr="009E2BBE">
        <w:t xml:space="preserve">the </w:t>
      </w:r>
      <w:r w:rsidR="006E2DBF" w:rsidRPr="009E2BBE">
        <w:t>qualifications and programs offer</w:t>
      </w:r>
      <w:r w:rsidRPr="009E2BBE">
        <w:t>ed and for continuous improvement</w:t>
      </w:r>
      <w:r w:rsidR="006E2DBF" w:rsidRPr="009E2BBE">
        <w:t xml:space="preserve"> </w:t>
      </w:r>
      <w:r w:rsidRPr="009E2BBE">
        <w:t>is enshrined in VET legislation</w:t>
      </w:r>
      <w:r w:rsidR="006E2DBF" w:rsidRPr="009E2BBE">
        <w:t xml:space="preserve">. All VET providers must have a functioning quality assurance system in place. VET providers must also </w:t>
      </w:r>
      <w:r w:rsidRPr="009E2BBE">
        <w:t>implement a quality</w:t>
      </w:r>
      <w:r w:rsidR="006C56E9" w:rsidRPr="009E2BBE">
        <w:t>-</w:t>
      </w:r>
      <w:r w:rsidRPr="009E2BBE">
        <w:t xml:space="preserve">management system and </w:t>
      </w:r>
      <w:r w:rsidR="006E2DBF" w:rsidRPr="009E2BBE">
        <w:t xml:space="preserve">participate in regular self-evaluations and external evaluations of their operations. These evaluations include those made by </w:t>
      </w:r>
      <w:r w:rsidR="006C56E9" w:rsidRPr="009E2BBE">
        <w:t>w</w:t>
      </w:r>
      <w:r w:rsidR="006E2DBF" w:rsidRPr="009E2BBE">
        <w:t>orking life committees and the Finnish Education Evaluation Centre.</w:t>
      </w:r>
    </w:p>
    <w:p w14:paraId="27A9BBB6" w14:textId="32F5D7C0" w:rsidR="001B59EE" w:rsidRPr="009E2BBE" w:rsidRDefault="00445B3C" w:rsidP="001B59EE">
      <w:pPr>
        <w:pStyle w:val="Text"/>
      </w:pPr>
      <w:r w:rsidRPr="009E2BBE">
        <w:t xml:space="preserve">As well as their involvement in the qualification requirements, the </w:t>
      </w:r>
      <w:r w:rsidR="00415127" w:rsidRPr="009E2BBE">
        <w:t>w</w:t>
      </w:r>
      <w:r w:rsidRPr="009E2BBE">
        <w:t xml:space="preserve">orking life committees also </w:t>
      </w:r>
      <w:r w:rsidR="0058523C" w:rsidRPr="009E2BBE">
        <w:t>have a role in ensuring the quality of c</w:t>
      </w:r>
      <w:r w:rsidRPr="009E2BBE">
        <w:t>ompetence demonstrations and</w:t>
      </w:r>
      <w:r w:rsidR="00CC3934" w:rsidRPr="009E2BBE">
        <w:t xml:space="preserve"> </w:t>
      </w:r>
      <w:r w:rsidRPr="009E2BBE">
        <w:t>assessment</w:t>
      </w:r>
      <w:r w:rsidR="0058523C" w:rsidRPr="009E2BBE">
        <w:t xml:space="preserve">, which is tied to their </w:t>
      </w:r>
      <w:r w:rsidR="001E12A7" w:rsidRPr="009E2BBE">
        <w:t>overall aim of ensur</w:t>
      </w:r>
      <w:r w:rsidR="0058523C" w:rsidRPr="009E2BBE">
        <w:t>ing</w:t>
      </w:r>
      <w:r w:rsidR="001E12A7" w:rsidRPr="009E2BBE">
        <w:t xml:space="preserve"> the quality and working life orientation of VET.</w:t>
      </w:r>
      <w:r w:rsidR="00AE2B59" w:rsidRPr="009E2BBE">
        <w:t xml:space="preserve"> Working life committees consist of a maximum of </w:t>
      </w:r>
      <w:r w:rsidR="003A2AAC" w:rsidRPr="009E2BBE">
        <w:t>nine</w:t>
      </w:r>
      <w:r w:rsidR="00AE2B59" w:rsidRPr="009E2BBE">
        <w:t xml:space="preserve"> representatives from </w:t>
      </w:r>
      <w:r w:rsidR="003A2AAC" w:rsidRPr="009E2BBE">
        <w:t xml:space="preserve">employers, employees, </w:t>
      </w:r>
      <w:proofErr w:type="gramStart"/>
      <w:r w:rsidR="003A2AAC" w:rsidRPr="009E2BBE">
        <w:t>teachers</w:t>
      </w:r>
      <w:proofErr w:type="gramEnd"/>
      <w:r w:rsidR="003A2AAC" w:rsidRPr="009E2BBE">
        <w:t xml:space="preserve"> and self-employed professionals, if self-employment is common in the sector. Membership </w:t>
      </w:r>
      <w:r w:rsidR="00CC3934" w:rsidRPr="009E2BBE">
        <w:t>of</w:t>
      </w:r>
      <w:r w:rsidR="003A2AAC" w:rsidRPr="009E2BBE">
        <w:t xml:space="preserve"> the committee is for a term of three years. There are currently 39 </w:t>
      </w:r>
      <w:r w:rsidR="000857CD" w:rsidRPr="009E2BBE">
        <w:t>w</w:t>
      </w:r>
      <w:r w:rsidR="003A2AAC" w:rsidRPr="009E2BBE">
        <w:t>orking life committees, and each is responsible for a</w:t>
      </w:r>
      <w:r w:rsidR="00CC3934" w:rsidRPr="009E2BBE">
        <w:t>t</w:t>
      </w:r>
      <w:r w:rsidR="003A2AAC" w:rsidRPr="009E2BBE">
        <w:t xml:space="preserve"> least one qualification. </w:t>
      </w:r>
      <w:r w:rsidR="00AB75CA" w:rsidRPr="009E2BBE">
        <w:t>T</w:t>
      </w:r>
      <w:r w:rsidR="00CF0C3D" w:rsidRPr="009E2BBE">
        <w:t xml:space="preserve">he Finnish National Agency for Education decides </w:t>
      </w:r>
      <w:r w:rsidR="000857CD" w:rsidRPr="009E2BBE">
        <w:t xml:space="preserve">under </w:t>
      </w:r>
      <w:r w:rsidR="00CF0C3D" w:rsidRPr="009E2BBE">
        <w:t xml:space="preserve">which </w:t>
      </w:r>
      <w:r w:rsidR="000857CD" w:rsidRPr="009E2BBE">
        <w:t>w</w:t>
      </w:r>
      <w:r w:rsidR="00CF0C3D" w:rsidRPr="009E2BBE">
        <w:t xml:space="preserve">orking life committee a qualification </w:t>
      </w:r>
      <w:proofErr w:type="gramStart"/>
      <w:r w:rsidR="00CF0C3D" w:rsidRPr="009E2BBE">
        <w:t>falls</w:t>
      </w:r>
      <w:proofErr w:type="gramEnd"/>
      <w:r w:rsidR="00CF0C3D" w:rsidRPr="009E2BBE">
        <w:t xml:space="preserve">. They are also able to establish new </w:t>
      </w:r>
      <w:r w:rsidR="000857CD" w:rsidRPr="009E2BBE">
        <w:t>w</w:t>
      </w:r>
      <w:r w:rsidR="00CF0C3D" w:rsidRPr="009E2BBE">
        <w:t>orking life committee</w:t>
      </w:r>
      <w:r w:rsidR="00A43E62" w:rsidRPr="009E2BBE">
        <w:t>s</w:t>
      </w:r>
      <w:r w:rsidR="00CF0C3D" w:rsidRPr="009E2BBE">
        <w:t xml:space="preserve"> for new qualification</w:t>
      </w:r>
      <w:r w:rsidR="00CC3934" w:rsidRPr="009E2BBE">
        <w:t>s</w:t>
      </w:r>
      <w:r w:rsidR="00CF0C3D" w:rsidRPr="009E2BBE">
        <w:t xml:space="preserve">. </w:t>
      </w:r>
    </w:p>
    <w:p w14:paraId="70EC9062" w14:textId="0199E96C" w:rsidR="00A815CE" w:rsidRPr="009E2BBE" w:rsidRDefault="00A815CE" w:rsidP="00A815CE">
      <w:pPr>
        <w:pStyle w:val="Heading2"/>
      </w:pPr>
      <w:bookmarkStart w:id="50" w:name="_Toc65741365"/>
      <w:r w:rsidRPr="009E2BBE">
        <w:t>Qualification design</w:t>
      </w:r>
      <w:bookmarkEnd w:id="50"/>
      <w:r w:rsidRPr="009E2BBE">
        <w:t xml:space="preserve"> </w:t>
      </w:r>
    </w:p>
    <w:p w14:paraId="7AD9D1D5" w14:textId="366973F9" w:rsidR="00AC3753" w:rsidRPr="009E2BBE" w:rsidRDefault="003A711F" w:rsidP="003A711F">
      <w:pPr>
        <w:pStyle w:val="Text"/>
      </w:pPr>
      <w:r w:rsidRPr="009E2BBE">
        <w:t>Finland has three main types of vocational qualifications</w:t>
      </w:r>
      <w:r w:rsidR="001E643D" w:rsidRPr="009E2BBE">
        <w:t>:</w:t>
      </w:r>
      <w:r w:rsidRPr="009E2BBE">
        <w:t xml:space="preserve"> initial vocational qualifications, further vocational </w:t>
      </w:r>
      <w:proofErr w:type="gramStart"/>
      <w:r w:rsidRPr="009E2BBE">
        <w:t>qualifications</w:t>
      </w:r>
      <w:proofErr w:type="gramEnd"/>
      <w:r w:rsidRPr="009E2BBE">
        <w:t xml:space="preserve"> and specialist vocational qualifications</w:t>
      </w:r>
      <w:r w:rsidR="00AC3753" w:rsidRPr="009E2BBE">
        <w:t>.</w:t>
      </w:r>
      <w:r w:rsidRPr="009E2BBE">
        <w:t xml:space="preserve"> </w:t>
      </w:r>
      <w:r w:rsidR="00AC3753" w:rsidRPr="009E2BBE">
        <w:t>Each qualification is made up of units of learning outcomes, which can be either vocational units</w:t>
      </w:r>
      <w:r w:rsidR="008D2792" w:rsidRPr="009E2BBE">
        <w:t>,</w:t>
      </w:r>
      <w:r w:rsidR="00AC3753" w:rsidRPr="009E2BBE">
        <w:t xml:space="preserve"> tied to occupational areas</w:t>
      </w:r>
      <w:r w:rsidR="008D2792" w:rsidRPr="009E2BBE">
        <w:t>,</w:t>
      </w:r>
      <w:r w:rsidR="00AC3753" w:rsidRPr="009E2BBE">
        <w:t xml:space="preserve"> or common units, such as communication, mathematics and social competency (for initial vocational qualifications only) (Finnish National Agency for Education 2019). This is quite a modular way of structuring qualifications, with learners able to combine different parts of qualifications to suit their needs (Finland Ministry of Education and Culture 2019).</w:t>
      </w:r>
    </w:p>
    <w:p w14:paraId="6B1D0D23" w14:textId="25369DF2" w:rsidR="00241F3F" w:rsidRPr="009E2BBE" w:rsidRDefault="00241F3F" w:rsidP="000B7E55">
      <w:pPr>
        <w:pStyle w:val="Text"/>
      </w:pPr>
      <w:r w:rsidRPr="009E2BBE">
        <w:t>Qualification documents in Finland contain three main sections:</w:t>
      </w:r>
    </w:p>
    <w:p w14:paraId="0B9A9107" w14:textId="6968516E" w:rsidR="00241F3F" w:rsidRPr="009E2BBE" w:rsidRDefault="00B6753B" w:rsidP="00241F3F">
      <w:pPr>
        <w:pStyle w:val="Dotpoint10"/>
      </w:pPr>
      <w:r w:rsidRPr="009E2BBE">
        <w:t>c</w:t>
      </w:r>
      <w:r w:rsidR="00241F3F" w:rsidRPr="009E2BBE">
        <w:t>omposition of the qualification</w:t>
      </w:r>
      <w:r w:rsidR="00B515FF" w:rsidRPr="009E2BBE">
        <w:t>, which provides information regarding competence points required and compulsory units</w:t>
      </w:r>
    </w:p>
    <w:p w14:paraId="7583C695" w14:textId="52EBEC84" w:rsidR="00241F3F" w:rsidRPr="009E2BBE" w:rsidRDefault="00B6753B" w:rsidP="00241F3F">
      <w:pPr>
        <w:pStyle w:val="Dotpoint10"/>
      </w:pPr>
      <w:r w:rsidRPr="009E2BBE">
        <w:t>m</w:t>
      </w:r>
      <w:r w:rsidR="00241F3F" w:rsidRPr="009E2BBE">
        <w:t>odules</w:t>
      </w:r>
      <w:r w:rsidR="00B515FF" w:rsidRPr="009E2BBE">
        <w:t xml:space="preserve">, which outline the competence requirements, assessment criteria and methods of demonstrating competence for each of the different units </w:t>
      </w:r>
    </w:p>
    <w:p w14:paraId="4F4161BD" w14:textId="17407D4B" w:rsidR="00241F3F" w:rsidRPr="009E2BBE" w:rsidRDefault="008B74AF" w:rsidP="00241F3F">
      <w:pPr>
        <w:pStyle w:val="Dotpoint10"/>
      </w:pPr>
      <w:r w:rsidRPr="009E2BBE">
        <w:t>a</w:t>
      </w:r>
      <w:r w:rsidR="00241F3F" w:rsidRPr="009E2BBE">
        <w:t>ssessment scale</w:t>
      </w:r>
      <w:r w:rsidR="00B515FF" w:rsidRPr="009E2BBE">
        <w:t>, which relates to the criteria under the modules</w:t>
      </w:r>
      <w:r w:rsidR="00241F3F" w:rsidRPr="009E2BBE">
        <w:t xml:space="preserve"> (</w:t>
      </w:r>
      <w:r w:rsidR="0087304C" w:rsidRPr="009E2BBE">
        <w:t>Finnish National Agency for Education 2017</w:t>
      </w:r>
      <w:r w:rsidR="00241F3F" w:rsidRPr="009E2BBE">
        <w:t>).</w:t>
      </w:r>
    </w:p>
    <w:p w14:paraId="1B500A53" w14:textId="6B78CF07" w:rsidR="00AB75CA" w:rsidRPr="009E2BBE" w:rsidRDefault="0087304C" w:rsidP="00F82877">
      <w:pPr>
        <w:pStyle w:val="Text"/>
      </w:pPr>
      <w:r w:rsidRPr="009E2BBE">
        <w:t>Information regarding regulations applicable to the qualification</w:t>
      </w:r>
      <w:r w:rsidR="00916086" w:rsidRPr="009E2BBE">
        <w:t xml:space="preserve"> (</w:t>
      </w:r>
      <w:r w:rsidR="006B353C" w:rsidRPr="009E2BBE">
        <w:t>such as legislation surrounding serving alcohol</w:t>
      </w:r>
      <w:r w:rsidR="00904ACC" w:rsidRPr="009E2BBE">
        <w:t>)</w:t>
      </w:r>
      <w:r w:rsidRPr="009E2BBE">
        <w:t xml:space="preserve"> and competence areas </w:t>
      </w:r>
      <w:r w:rsidR="00916086" w:rsidRPr="009E2BBE">
        <w:t>(</w:t>
      </w:r>
      <w:r w:rsidR="006B353C" w:rsidRPr="009E2BBE">
        <w:t xml:space="preserve">demonstrating </w:t>
      </w:r>
      <w:r w:rsidR="00073C78" w:rsidRPr="009E2BBE">
        <w:t xml:space="preserve">the </w:t>
      </w:r>
      <w:r w:rsidR="006B353C" w:rsidRPr="009E2BBE">
        <w:t xml:space="preserve">main occupational tasks </w:t>
      </w:r>
      <w:r w:rsidR="00A258D2" w:rsidRPr="009E2BBE">
        <w:t>in which</w:t>
      </w:r>
      <w:r w:rsidR="00073C78" w:rsidRPr="009E2BBE">
        <w:t xml:space="preserve"> </w:t>
      </w:r>
      <w:r w:rsidR="006B353C" w:rsidRPr="009E2BBE">
        <w:t>completers should be competent</w:t>
      </w:r>
      <w:r w:rsidR="00916086" w:rsidRPr="009E2BBE">
        <w:t>)</w:t>
      </w:r>
      <w:r w:rsidR="006B353C" w:rsidRPr="009E2BBE">
        <w:t xml:space="preserve"> are </w:t>
      </w:r>
      <w:r w:rsidRPr="009E2BBE">
        <w:t>also included</w:t>
      </w:r>
      <w:r w:rsidR="006B353C" w:rsidRPr="009E2BBE">
        <w:t xml:space="preserve"> for further vocational qualifications</w:t>
      </w:r>
      <w:r w:rsidRPr="009E2BBE">
        <w:t xml:space="preserve"> (Finnish National Agency for Education 2018).</w:t>
      </w:r>
    </w:p>
    <w:p w14:paraId="67F3CF36" w14:textId="77777777" w:rsidR="00FB0899" w:rsidRPr="009E2BBE" w:rsidRDefault="00FB0899">
      <w:pPr>
        <w:spacing w:before="0" w:line="240" w:lineRule="auto"/>
        <w:rPr>
          <w:rFonts w:ascii="Arial" w:hAnsi="Arial" w:cs="Tahoma"/>
          <w:color w:val="000000"/>
          <w:sz w:val="24"/>
        </w:rPr>
      </w:pPr>
      <w:r w:rsidRPr="009E2BBE">
        <w:br w:type="page"/>
      </w:r>
    </w:p>
    <w:p w14:paraId="60BAF40A" w14:textId="174FB588" w:rsidR="00C47A98" w:rsidRPr="009E2BBE" w:rsidRDefault="00C47A98" w:rsidP="00C47A98">
      <w:pPr>
        <w:pStyle w:val="Heading3"/>
      </w:pPr>
      <w:r w:rsidRPr="009E2BBE">
        <w:t>Specificity of qualifications</w:t>
      </w:r>
    </w:p>
    <w:p w14:paraId="265FFDB2" w14:textId="04047FF8" w:rsidR="00437361" w:rsidRPr="009E2BBE" w:rsidRDefault="00437361" w:rsidP="00437361">
      <w:pPr>
        <w:pStyle w:val="Text"/>
      </w:pPr>
      <w:r w:rsidRPr="009E2BBE">
        <w:t xml:space="preserve">Finland reformed </w:t>
      </w:r>
      <w:r w:rsidR="00A258D2" w:rsidRPr="009E2BBE">
        <w:t>its</w:t>
      </w:r>
      <w:r w:rsidRPr="009E2BBE">
        <w:t xml:space="preserve"> vocational qualifications </w:t>
      </w:r>
      <w:r w:rsidR="00073C78" w:rsidRPr="009E2BBE">
        <w:t xml:space="preserve">during </w:t>
      </w:r>
      <w:r w:rsidR="00B80F74" w:rsidRPr="009E2BBE">
        <w:t>2017</w:t>
      </w:r>
      <w:r w:rsidR="002A60F6" w:rsidRPr="009E2BBE">
        <w:t>—</w:t>
      </w:r>
      <w:r w:rsidR="00B80F74" w:rsidRPr="009E2BBE">
        <w:t>18</w:t>
      </w:r>
      <w:r w:rsidRPr="009E2BBE">
        <w:t xml:space="preserve"> to be more broad-based</w:t>
      </w:r>
      <w:r w:rsidR="00A7430D" w:rsidRPr="009E2BBE">
        <w:t>, with every qualification grouped in the following areas: education; humanities and arts; social sciences; business, administration and law; natural sciences; information and communication technologies (ICT); technology; agriculture and forestry; health and welfare; and service industries (Finnish National Agency for Education 2019).</w:t>
      </w:r>
      <w:r w:rsidRPr="009E2BBE">
        <w:t xml:space="preserve"> </w:t>
      </w:r>
      <w:r w:rsidR="00A7430D" w:rsidRPr="009E2BBE">
        <w:t xml:space="preserve">This </w:t>
      </w:r>
      <w:r w:rsidR="00073C78" w:rsidRPr="009E2BBE">
        <w:t xml:space="preserve">grouping system </w:t>
      </w:r>
      <w:r w:rsidR="00A7430D" w:rsidRPr="009E2BBE">
        <w:t>has been identified as a form of occupational clustering (Wibrow &amp; Waugh 2020).</w:t>
      </w:r>
    </w:p>
    <w:p w14:paraId="21703481" w14:textId="380468F6" w:rsidR="00412ECA" w:rsidRPr="009E2BBE" w:rsidRDefault="00A7430D" w:rsidP="00437361">
      <w:pPr>
        <w:pStyle w:val="Text"/>
      </w:pPr>
      <w:r w:rsidRPr="009E2BBE">
        <w:t>One reason for having more broad-based qualifications is that, a</w:t>
      </w:r>
      <w:r w:rsidR="00412ECA" w:rsidRPr="009E2BBE">
        <w:t xml:space="preserve">ccording to CEDEFOP </w:t>
      </w:r>
      <w:r w:rsidR="002A60F6" w:rsidRPr="009E2BBE">
        <w:t>and</w:t>
      </w:r>
      <w:r w:rsidR="00412ECA" w:rsidRPr="009E2BBE">
        <w:t xml:space="preserve"> </w:t>
      </w:r>
      <w:r w:rsidR="001F1115" w:rsidRPr="009E2BBE">
        <w:t>Finnish National</w:t>
      </w:r>
      <w:r w:rsidR="00412ECA" w:rsidRPr="009E2BBE">
        <w:t xml:space="preserve"> Agency for Education (2019)</w:t>
      </w:r>
      <w:r w:rsidRPr="009E2BBE">
        <w:t>,</w:t>
      </w:r>
      <w:r w:rsidR="001F1115" w:rsidRPr="009E2BBE">
        <w:t xml:space="preserve"> the labour market in Finland is very flexible and few professions require a specific type of education, such as higher education, and only a few regulated professions require a vocational qualification, for example</w:t>
      </w:r>
      <w:r w:rsidR="003E004D" w:rsidRPr="009E2BBE">
        <w:t>,</w:t>
      </w:r>
      <w:r w:rsidR="001F1115" w:rsidRPr="009E2BBE">
        <w:t xml:space="preserve"> nurses, prison and security guards, construction divers and chimney sweeps.</w:t>
      </w:r>
      <w:r w:rsidRPr="009E2BBE">
        <w:t xml:space="preserve"> This seems to be quite different </w:t>
      </w:r>
      <w:r w:rsidR="00D1627E" w:rsidRPr="009E2BBE">
        <w:t>from</w:t>
      </w:r>
      <w:r w:rsidRPr="009E2BBE">
        <w:t xml:space="preserve"> other countries</w:t>
      </w:r>
      <w:r w:rsidR="00D1627E" w:rsidRPr="009E2BBE">
        <w:t>,</w:t>
      </w:r>
      <w:r w:rsidRPr="009E2BBE">
        <w:t xml:space="preserve"> where vocational qualifications are tightly aligned with occupations.</w:t>
      </w:r>
    </w:p>
    <w:p w14:paraId="0D0D0CB3" w14:textId="1A184626" w:rsidR="00A7430D" w:rsidRPr="009E2BBE" w:rsidRDefault="00F9580B" w:rsidP="00A7430D">
      <w:pPr>
        <w:pStyle w:val="Text"/>
      </w:pPr>
      <w:r w:rsidRPr="009E2BBE">
        <w:t>Previously, t</w:t>
      </w:r>
      <w:r w:rsidR="00A7430D" w:rsidRPr="009E2BBE">
        <w:t xml:space="preserve">he qualifications </w:t>
      </w:r>
      <w:r w:rsidRPr="009E2BBE">
        <w:t>were</w:t>
      </w:r>
      <w:r w:rsidR="00A7430D" w:rsidRPr="009E2BBE">
        <w:t xml:space="preserve"> updated every </w:t>
      </w:r>
      <w:r w:rsidRPr="009E2BBE">
        <w:t>five</w:t>
      </w:r>
      <w:r w:rsidR="00A7430D" w:rsidRPr="009E2BBE">
        <w:t xml:space="preserve"> to 10 years</w:t>
      </w:r>
      <w:r w:rsidRPr="009E2BBE">
        <w:t>,</w:t>
      </w:r>
      <w:r w:rsidR="00A7430D" w:rsidRPr="009E2BBE">
        <w:t xml:space="preserve"> but with the introduction of more broad-based qualifications this has moved to an ongoing</w:t>
      </w:r>
      <w:r w:rsidR="00722110" w:rsidRPr="009E2BBE">
        <w:t>,</w:t>
      </w:r>
      <w:r w:rsidR="00A7430D" w:rsidRPr="009E2BBE">
        <w:t xml:space="preserve"> or </w:t>
      </w:r>
      <w:r w:rsidR="00CA1978" w:rsidRPr="009E2BBE">
        <w:t xml:space="preserve">an </w:t>
      </w:r>
      <w:r w:rsidR="00A7430D" w:rsidRPr="009E2BBE">
        <w:t xml:space="preserve">as needed process. The updates are tied to changing needs in the workforce or industry (Cedefop 2019). </w:t>
      </w:r>
    </w:p>
    <w:p w14:paraId="1885E303" w14:textId="60652885" w:rsidR="00A815CE" w:rsidRPr="009E2BBE" w:rsidRDefault="00A815CE" w:rsidP="00C47A98">
      <w:pPr>
        <w:pStyle w:val="Heading3"/>
      </w:pPr>
      <w:r w:rsidRPr="009E2BBE">
        <w:t xml:space="preserve">Facilitation of pathways between school and </w:t>
      </w:r>
      <w:r w:rsidR="0063575D" w:rsidRPr="009E2BBE">
        <w:t>higher education</w:t>
      </w:r>
    </w:p>
    <w:p w14:paraId="05CF226A" w14:textId="6644509B" w:rsidR="00437361" w:rsidRPr="009E2BBE" w:rsidRDefault="00437361" w:rsidP="00437361">
      <w:pPr>
        <w:pStyle w:val="Text"/>
      </w:pPr>
      <w:r w:rsidRPr="009E2BBE">
        <w:t xml:space="preserve">Finland has streamed educational pathways from around 16 years of age. At this point students either continue with their matriculation examination or move to vocational institutions. </w:t>
      </w:r>
      <w:r w:rsidR="00B255DB" w:rsidRPr="009E2BBE">
        <w:t xml:space="preserve">However, there is flexibility for the students to change pathways. </w:t>
      </w:r>
      <w:r w:rsidR="00BB38CC" w:rsidRPr="009E2BBE">
        <w:t xml:space="preserve">There are also clear pathways from vocational qualifications to further education, such as </w:t>
      </w:r>
      <w:r w:rsidR="00716C61" w:rsidRPr="009E2BBE">
        <w:t>bachelor</w:t>
      </w:r>
      <w:r w:rsidR="00A26B8A" w:rsidRPr="009E2BBE">
        <w:t>’</w:t>
      </w:r>
      <w:r w:rsidR="00716C61" w:rsidRPr="009E2BBE">
        <w:t>s</w:t>
      </w:r>
      <w:r w:rsidR="00BB38CC" w:rsidRPr="009E2BBE">
        <w:t xml:space="preserve"> degrees, </w:t>
      </w:r>
      <w:r w:rsidR="00716C61" w:rsidRPr="009E2BBE">
        <w:t>master</w:t>
      </w:r>
      <w:r w:rsidR="00A26B8A" w:rsidRPr="009E2BBE">
        <w:t>’</w:t>
      </w:r>
      <w:r w:rsidR="00716C61" w:rsidRPr="009E2BBE">
        <w:t>s</w:t>
      </w:r>
      <w:r w:rsidR="00BB38CC" w:rsidRPr="009E2BBE">
        <w:t xml:space="preserve"> </w:t>
      </w:r>
      <w:proofErr w:type="gramStart"/>
      <w:r w:rsidR="00BB38CC" w:rsidRPr="009E2BBE">
        <w:t>degrees</w:t>
      </w:r>
      <w:proofErr w:type="gramEnd"/>
      <w:r w:rsidR="00BB38CC" w:rsidRPr="009E2BBE">
        <w:t xml:space="preserve"> and doctoral degrees</w:t>
      </w:r>
      <w:r w:rsidR="00B80F74" w:rsidRPr="009E2BBE">
        <w:t xml:space="preserve"> (</w:t>
      </w:r>
      <w:r w:rsidR="00A7430D" w:rsidRPr="009E2BBE">
        <w:t>Finland Ministry of Education and Culture 2019</w:t>
      </w:r>
      <w:r w:rsidR="00B80F74" w:rsidRPr="009E2BBE">
        <w:t>)</w:t>
      </w:r>
      <w:r w:rsidR="00BB38CC" w:rsidRPr="009E2BBE">
        <w:t>.</w:t>
      </w:r>
    </w:p>
    <w:p w14:paraId="1AFD93DF" w14:textId="1BC58708" w:rsidR="00A815CE" w:rsidRPr="009E2BBE" w:rsidRDefault="00A815CE" w:rsidP="00A815CE">
      <w:pPr>
        <w:pStyle w:val="Heading2"/>
      </w:pPr>
      <w:bookmarkStart w:id="51" w:name="_Toc65741366"/>
      <w:r w:rsidRPr="009E2BBE">
        <w:t xml:space="preserve">Review of </w:t>
      </w:r>
      <w:r w:rsidR="00EA3747" w:rsidRPr="009E2BBE">
        <w:t>qualification development process</w:t>
      </w:r>
      <w:bookmarkEnd w:id="51"/>
    </w:p>
    <w:p w14:paraId="6DE51181" w14:textId="3E6EF940" w:rsidR="002D5112" w:rsidRPr="009E2BBE" w:rsidRDefault="00AB75CA" w:rsidP="00832B18">
      <w:pPr>
        <w:pStyle w:val="Text"/>
        <w:rPr>
          <w:kern w:val="28"/>
          <w:sz w:val="44"/>
          <w:szCs w:val="56"/>
        </w:rPr>
      </w:pPr>
      <w:r w:rsidRPr="009E2BBE">
        <w:t xml:space="preserve">There is no evidence online of a review of the vocational </w:t>
      </w:r>
      <w:r w:rsidR="00EA3747" w:rsidRPr="009E2BBE">
        <w:t>qualification development process</w:t>
      </w:r>
      <w:r w:rsidRPr="009E2BBE">
        <w:t xml:space="preserve">. </w:t>
      </w:r>
      <w:r w:rsidR="002D5112" w:rsidRPr="009E2BBE">
        <w:br w:type="page"/>
      </w:r>
    </w:p>
    <w:p w14:paraId="6E9921B0" w14:textId="77777777" w:rsidR="008E46A2" w:rsidRPr="009E2BBE" w:rsidRDefault="008E46A2" w:rsidP="008E46A2">
      <w:pPr>
        <w:pStyle w:val="Heading1"/>
      </w:pPr>
      <w:bookmarkStart w:id="52" w:name="_Toc50622104"/>
      <w:bookmarkStart w:id="53" w:name="_Toc65741367"/>
      <w:r w:rsidRPr="009E2BBE">
        <w:t>New Zealand</w:t>
      </w:r>
      <w:bookmarkEnd w:id="52"/>
      <w:bookmarkEnd w:id="53"/>
    </w:p>
    <w:p w14:paraId="03AE58A6" w14:textId="77777777" w:rsidR="008E46A2" w:rsidRPr="009E2BBE" w:rsidRDefault="008E46A2" w:rsidP="008E46A2">
      <w:pPr>
        <w:pStyle w:val="Heading2"/>
      </w:pPr>
      <w:bookmarkStart w:id="54" w:name="_Toc50622105"/>
      <w:bookmarkStart w:id="55" w:name="_Toc65741368"/>
      <w:r w:rsidRPr="009E2BBE">
        <w:t>Overview</w:t>
      </w:r>
      <w:bookmarkEnd w:id="54"/>
      <w:bookmarkEnd w:id="55"/>
    </w:p>
    <w:p w14:paraId="528B8795" w14:textId="02B43DDB" w:rsidR="008E46A2" w:rsidRPr="009E2BBE" w:rsidRDefault="008E46A2" w:rsidP="008E46A2">
      <w:pPr>
        <w:pStyle w:val="Text"/>
      </w:pPr>
      <w:r w:rsidRPr="009E2BBE">
        <w:t xml:space="preserve">Like Australia, the </w:t>
      </w:r>
      <w:r w:rsidR="00EA3747" w:rsidRPr="009E2BBE">
        <w:t>qualification development process</w:t>
      </w:r>
      <w:r w:rsidRPr="009E2BBE">
        <w:t xml:space="preserve"> is industry-led and separate from curriculum development. New Zealand has a comprehensive qualification</w:t>
      </w:r>
      <w:r w:rsidR="00597F88" w:rsidRPr="009E2BBE">
        <w:t>s</w:t>
      </w:r>
      <w:r w:rsidRPr="009E2BBE">
        <w:t xml:space="preserve"> framework</w:t>
      </w:r>
      <w:r w:rsidR="0020164C" w:rsidRPr="009E2BBE">
        <w:t xml:space="preserve"> — the New Zealand Qualifications Framework (NZQF) —</w:t>
      </w:r>
      <w:r w:rsidR="00357188" w:rsidRPr="009E2BBE">
        <w:t xml:space="preserve"> which</w:t>
      </w:r>
      <w:r w:rsidRPr="009E2BBE">
        <w:t xml:space="preserve"> outlines all senior secondary school and tertiary education qualifications. The NZQF details the knowledge and experience </w:t>
      </w:r>
      <w:r w:rsidR="00FB64A6" w:rsidRPr="009E2BBE">
        <w:t xml:space="preserve">that </w:t>
      </w:r>
      <w:r w:rsidRPr="009E2BBE">
        <w:t xml:space="preserve">holders of qualifications at each level will have and the further education and/or employment opportunities a qualification may lead to. </w:t>
      </w:r>
    </w:p>
    <w:p w14:paraId="4DDD5092" w14:textId="713591AE" w:rsidR="008E46A2" w:rsidRPr="009E2BBE" w:rsidRDefault="008E46A2" w:rsidP="008E46A2">
      <w:pPr>
        <w:pStyle w:val="Heading2"/>
      </w:pPr>
      <w:bookmarkStart w:id="56" w:name="_Toc50622106"/>
      <w:bookmarkStart w:id="57" w:name="_Toc65741369"/>
      <w:r w:rsidRPr="009E2BBE">
        <w:t xml:space="preserve">Current vocational </w:t>
      </w:r>
      <w:r w:rsidR="00EA3747" w:rsidRPr="009E2BBE">
        <w:t>qualification development process</w:t>
      </w:r>
      <w:bookmarkEnd w:id="56"/>
      <w:bookmarkEnd w:id="57"/>
    </w:p>
    <w:p w14:paraId="3E68CB07" w14:textId="77777777" w:rsidR="008E46A2" w:rsidRPr="009E2BBE" w:rsidRDefault="008E46A2" w:rsidP="008E46A2">
      <w:pPr>
        <w:pStyle w:val="Heading3"/>
      </w:pPr>
      <w:r w:rsidRPr="009E2BBE">
        <w:t>Summary of the process/steps</w:t>
      </w:r>
    </w:p>
    <w:p w14:paraId="5541AB27" w14:textId="4B8D3818" w:rsidR="008E46A2" w:rsidRPr="009E2BBE" w:rsidRDefault="008E46A2" w:rsidP="008E46A2">
      <w:pPr>
        <w:pStyle w:val="Text"/>
      </w:pPr>
      <w:r w:rsidRPr="009E2BBE">
        <w:t xml:space="preserve">Qualification types on the NZQF are periodically reviewed to ensure fitness for purpose. Proposed changes are reviewed by the </w:t>
      </w:r>
      <w:r w:rsidR="00D82798" w:rsidRPr="009E2BBE">
        <w:t>New Zealand Qualifications Authority (</w:t>
      </w:r>
      <w:r w:rsidRPr="009E2BBE">
        <w:t>NZQA</w:t>
      </w:r>
      <w:r w:rsidR="00D82798" w:rsidRPr="009E2BBE">
        <w:t>)</w:t>
      </w:r>
      <w:r w:rsidR="00B17D83" w:rsidRPr="009E2BBE">
        <w:t>,</w:t>
      </w:r>
      <w:r w:rsidRPr="009E2BBE">
        <w:t xml:space="preserve"> in consultation with Universities New Zealand and the wider sector </w:t>
      </w:r>
      <w:r w:rsidRPr="009E2BBE">
        <w:fldChar w:fldCharType="begin"/>
      </w:r>
      <w:r w:rsidR="00426A80" w:rsidRPr="009E2BBE">
        <w:instrText xml:space="preserve"> ADDIN EN.CITE &lt;EndNote&gt;&lt;Cite&gt;&lt;Author&gt;New Zealand Qualifications Authority&lt;/Author&gt;&lt;Year&gt;2016&lt;/Year&gt;&lt;RecNum&gt;80&lt;/RecNum&gt;&lt;DisplayText&gt;(New Zealand Qualifications Authority 2016)&lt;/DisplayText&gt;&lt;record&gt;&lt;rec-number&gt;80&lt;/rec-number&gt;&lt;foreign-keys&gt;&lt;key app="EN" db-id="9ze0v2p5ut9294eed99p2s2tzvzzwsadrf2t" timestamp="1599442019"&gt;80&lt;/key&gt;&lt;/foreign-keys&gt;&lt;ref-type name="Government Document"&gt;46&lt;/ref-type&gt;&lt;contributors&gt;&lt;authors&gt;&lt;author&gt;New Zealand Qualifications Authority,&lt;/author&gt;&lt;/authors&gt;&lt;secondary-authors&gt;&lt;author&gt;New Zealand Qualifications Authority&lt;/author&gt;&lt;/secondary-authors&gt;&lt;/contributors&gt;&lt;titles&gt;&lt;title&gt;The New Zealand Qualifications Framework&lt;/title&gt;&lt;/titles&gt;&lt;dates&gt;&lt;year&gt;2016&lt;/year&gt;&lt;/dates&gt;&lt;pub-location&gt;Wellington&lt;/pub-location&gt;&lt;urls&gt;&lt;related-urls&gt;&lt;url&gt;https://www.nzqa.govt.nz/assets/Studying-in-NZ/New-Zealand-Qualification-Framework/requirements-nzqf.pdf&lt;/url&gt;&lt;/related-urls&gt;&lt;/urls&gt;&lt;access-date&gt;September 2020&lt;/access-date&gt;&lt;/record&gt;&lt;/Cite&gt;&lt;/EndNote&gt;</w:instrText>
      </w:r>
      <w:r w:rsidRPr="009E2BBE">
        <w:fldChar w:fldCharType="separate"/>
      </w:r>
      <w:r w:rsidR="00426A80" w:rsidRPr="009E2BBE">
        <w:t>(New Zealand Qualifications Authority 2016)</w:t>
      </w:r>
      <w:r w:rsidRPr="009E2BBE">
        <w:fldChar w:fldCharType="end"/>
      </w:r>
      <w:r w:rsidRPr="009E2BBE">
        <w:t>. Vocational qualifications are levels 1</w:t>
      </w:r>
      <w:r w:rsidR="00B17D83" w:rsidRPr="009E2BBE">
        <w:t>—</w:t>
      </w:r>
      <w:r w:rsidRPr="009E2BBE">
        <w:t>6 (</w:t>
      </w:r>
      <w:r w:rsidR="00B17D83" w:rsidRPr="009E2BBE">
        <w:t>certificates and diplomas</w:t>
      </w:r>
      <w:r w:rsidRPr="009E2BBE">
        <w:t>) on the NZQF and have a set of guidelines for approval</w:t>
      </w:r>
      <w:r w:rsidR="00314057" w:rsidRPr="009E2BBE">
        <w:t>, which</w:t>
      </w:r>
      <w:r w:rsidRPr="009E2BBE">
        <w:t xml:space="preserve"> is distinct from levels 7 and over. </w:t>
      </w:r>
    </w:p>
    <w:p w14:paraId="534FC851" w14:textId="77777777" w:rsidR="008E46A2" w:rsidRPr="009E2BBE" w:rsidRDefault="008E46A2" w:rsidP="008E46A2">
      <w:pPr>
        <w:pStyle w:val="Text"/>
      </w:pPr>
      <w:r w:rsidRPr="009E2BBE">
        <w:t xml:space="preserve">Developers must be recognised by NZQA in order to develop qualifications for the NZQA. Several entities are automatically recognised as developers, including: </w:t>
      </w:r>
    </w:p>
    <w:p w14:paraId="36C49A67" w14:textId="77777777" w:rsidR="008E46A2" w:rsidRPr="009E2BBE" w:rsidRDefault="008E46A2" w:rsidP="008E46A2">
      <w:pPr>
        <w:pStyle w:val="Dotpoint10"/>
      </w:pPr>
      <w:r w:rsidRPr="009E2BBE">
        <w:t xml:space="preserve">transitional industry training organisations </w:t>
      </w:r>
    </w:p>
    <w:p w14:paraId="2F642621" w14:textId="77777777" w:rsidR="008E46A2" w:rsidRPr="009E2BBE" w:rsidRDefault="008E46A2" w:rsidP="008E46A2">
      <w:pPr>
        <w:pStyle w:val="Dotpoint10"/>
      </w:pPr>
      <w:r w:rsidRPr="009E2BBE">
        <w:t>New Zealand Institute of Skills and Technology subsidiaries</w:t>
      </w:r>
    </w:p>
    <w:p w14:paraId="3017891F" w14:textId="086580E9" w:rsidR="008E46A2" w:rsidRPr="009E2BBE" w:rsidRDefault="00511467" w:rsidP="008E46A2">
      <w:pPr>
        <w:pStyle w:val="Dotpoint10"/>
      </w:pPr>
      <w:r w:rsidRPr="009E2BBE">
        <w:t>p</w:t>
      </w:r>
      <w:r w:rsidR="008E46A2" w:rsidRPr="009E2BBE">
        <w:t>rivate training establishments</w:t>
      </w:r>
    </w:p>
    <w:p w14:paraId="11F42888" w14:textId="0FA5EB32" w:rsidR="008E46A2" w:rsidRPr="009E2BBE" w:rsidRDefault="007370DB" w:rsidP="008E46A2">
      <w:pPr>
        <w:pStyle w:val="Dotpoint10"/>
      </w:pPr>
      <w:r w:rsidRPr="009E2BBE">
        <w:t>w</w:t>
      </w:r>
      <w:r w:rsidR="008E46A2" w:rsidRPr="009E2BBE">
        <w:t>ānanga</w:t>
      </w:r>
      <w:r w:rsidR="007123E3" w:rsidRPr="009E2BBE">
        <w:rPr>
          <w:rStyle w:val="FootnoteReference"/>
        </w:rPr>
        <w:footnoteReference w:id="1"/>
      </w:r>
    </w:p>
    <w:p w14:paraId="5EC39AB5" w14:textId="77777777" w:rsidR="008E46A2" w:rsidRPr="009E2BBE" w:rsidRDefault="008E46A2" w:rsidP="008E46A2">
      <w:pPr>
        <w:pStyle w:val="Dotpoint10"/>
      </w:pPr>
      <w:r w:rsidRPr="009E2BBE">
        <w:t>government training enterprises</w:t>
      </w:r>
    </w:p>
    <w:p w14:paraId="1112FF87" w14:textId="77777777" w:rsidR="008E46A2" w:rsidRPr="009E2BBE" w:rsidRDefault="008E46A2" w:rsidP="008E46A2">
      <w:pPr>
        <w:pStyle w:val="Dotpoint10"/>
      </w:pPr>
      <w:r w:rsidRPr="009E2BBE">
        <w:t>universities</w:t>
      </w:r>
    </w:p>
    <w:p w14:paraId="20E1957E" w14:textId="77777777" w:rsidR="008E46A2" w:rsidRPr="009E2BBE" w:rsidRDefault="008E46A2" w:rsidP="008E46A2">
      <w:pPr>
        <w:pStyle w:val="Dotpoint10"/>
      </w:pPr>
      <w:r w:rsidRPr="009E2BBE">
        <w:t>current course owners</w:t>
      </w:r>
    </w:p>
    <w:p w14:paraId="0930C623" w14:textId="12291247" w:rsidR="008E46A2" w:rsidRPr="009E2BBE" w:rsidRDefault="00511467" w:rsidP="008E46A2">
      <w:pPr>
        <w:pStyle w:val="Dotpoint10"/>
      </w:pPr>
      <w:r w:rsidRPr="009E2BBE">
        <w:t>new workforce development committees</w:t>
      </w:r>
      <w:r w:rsidR="008E46A2" w:rsidRPr="009E2BBE">
        <w:t>.</w:t>
      </w:r>
    </w:p>
    <w:p w14:paraId="2F2DEB82" w14:textId="4DCCDC4B" w:rsidR="008E46A2" w:rsidRPr="009E2BBE" w:rsidRDefault="008E46A2" w:rsidP="008E46A2">
      <w:pPr>
        <w:pStyle w:val="Text"/>
      </w:pPr>
      <w:r w:rsidRPr="009E2BBE">
        <w:t xml:space="preserve">There is a two-step process for approving a new qualification: </w:t>
      </w:r>
      <w:r w:rsidR="00511467" w:rsidRPr="009E2BBE">
        <w:t>a</w:t>
      </w:r>
      <w:r w:rsidRPr="009E2BBE">
        <w:t xml:space="preserve">pproval to develop and </w:t>
      </w:r>
      <w:r w:rsidR="00511467" w:rsidRPr="009E2BBE">
        <w:t>a</w:t>
      </w:r>
      <w:r w:rsidRPr="009E2BBE">
        <w:t xml:space="preserve">pproval to list. The </w:t>
      </w:r>
      <w:r w:rsidR="00511467" w:rsidRPr="009E2BBE">
        <w:t xml:space="preserve">approval to develop </w:t>
      </w:r>
      <w:r w:rsidRPr="009E2BBE">
        <w:t xml:space="preserve">stage is designed to answer the question: </w:t>
      </w:r>
      <w:r w:rsidRPr="009E2BBE">
        <w:rPr>
          <w:i/>
          <w:iCs/>
        </w:rPr>
        <w:t>How well do</w:t>
      </w:r>
      <w:r w:rsidR="001135AB" w:rsidRPr="009E2BBE">
        <w:rPr>
          <w:i/>
          <w:iCs/>
        </w:rPr>
        <w:t>es</w:t>
      </w:r>
      <w:r w:rsidRPr="009E2BBE">
        <w:rPr>
          <w:i/>
          <w:iCs/>
        </w:rPr>
        <w:t xml:space="preserve"> the qualification</w:t>
      </w:r>
      <w:r w:rsidR="00A26B8A" w:rsidRPr="009E2BBE">
        <w:rPr>
          <w:i/>
          <w:iCs/>
        </w:rPr>
        <w:t>’</w:t>
      </w:r>
      <w:r w:rsidRPr="009E2BBE">
        <w:rPr>
          <w:i/>
          <w:iCs/>
        </w:rPr>
        <w:t>s strategic purpose and outcome statement match the identified needs of employers, industry and/or communities (i.e. relevant stakeholders)?</w:t>
      </w:r>
      <w:r w:rsidRPr="009E2BBE">
        <w:t xml:space="preserve"> The </w:t>
      </w:r>
      <w:r w:rsidR="001135AB" w:rsidRPr="009E2BBE">
        <w:t xml:space="preserve">approval to list </w:t>
      </w:r>
      <w:r w:rsidRPr="009E2BBE">
        <w:t xml:space="preserve">stage answers the question: </w:t>
      </w:r>
      <w:r w:rsidRPr="009E2BBE">
        <w:rPr>
          <w:i/>
          <w:iCs/>
        </w:rPr>
        <w:t>How well does the qualification meet the overall requirements for listing on the NZQF</w:t>
      </w:r>
      <w:r w:rsidRPr="009E2BBE">
        <w:t xml:space="preserve">? </w:t>
      </w:r>
    </w:p>
    <w:p w14:paraId="177BD580" w14:textId="77777777" w:rsidR="00FB0899" w:rsidRPr="009E2BBE" w:rsidRDefault="00FB0899">
      <w:pPr>
        <w:spacing w:before="0" w:line="240" w:lineRule="auto"/>
        <w:rPr>
          <w:rFonts w:ascii="Arial" w:hAnsi="Arial"/>
          <w:b/>
          <w:sz w:val="17"/>
        </w:rPr>
      </w:pPr>
      <w:r w:rsidRPr="009E2BBE">
        <w:br w:type="page"/>
      </w:r>
    </w:p>
    <w:p w14:paraId="0FB095F3" w14:textId="12FD38E1" w:rsidR="008E46A2" w:rsidRPr="009E2BBE" w:rsidRDefault="007123E3" w:rsidP="00B47A97">
      <w:pPr>
        <w:pStyle w:val="tabletitle"/>
      </w:pPr>
      <w:r w:rsidRPr="009E2BBE">
        <w:t>Table 5</w:t>
      </w:r>
      <w:r w:rsidR="00B47A97" w:rsidRPr="009E2BBE">
        <w:tab/>
      </w:r>
      <w:r w:rsidR="008E46A2" w:rsidRPr="009E2BBE">
        <w:t>Development process for new qualifications</w:t>
      </w:r>
    </w:p>
    <w:tbl>
      <w:tblPr>
        <w:tblStyle w:val="PlainTable2"/>
        <w:tblpPr w:leftFromText="180" w:rightFromText="180" w:vertAnchor="text" w:horzAnchor="margin" w:tblpY="203"/>
        <w:tblW w:w="0" w:type="auto"/>
        <w:tblLook w:val="0000" w:firstRow="0" w:lastRow="0" w:firstColumn="0" w:lastColumn="0" w:noHBand="0" w:noVBand="0"/>
      </w:tblPr>
      <w:tblGrid>
        <w:gridCol w:w="1843"/>
        <w:gridCol w:w="1701"/>
        <w:gridCol w:w="5387"/>
      </w:tblGrid>
      <w:tr w:rsidR="007123E3" w:rsidRPr="009E2BBE" w14:paraId="2C28145B" w14:textId="77777777" w:rsidTr="007123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047535D7" w14:textId="77777777" w:rsidR="007123E3" w:rsidRPr="009E2BBE" w:rsidRDefault="007123E3" w:rsidP="008E46A2">
            <w:pPr>
              <w:pStyle w:val="Tablehead1"/>
            </w:pPr>
            <w:r w:rsidRPr="009E2BBE">
              <w:t>Stage</w:t>
            </w:r>
          </w:p>
        </w:tc>
        <w:tc>
          <w:tcPr>
            <w:cnfStyle w:val="000001000000" w:firstRow="0" w:lastRow="0" w:firstColumn="0" w:lastColumn="0" w:oddVBand="0" w:evenVBand="1" w:oddHBand="0" w:evenHBand="0" w:firstRowFirstColumn="0" w:firstRowLastColumn="0" w:lastRowFirstColumn="0" w:lastRowLastColumn="0"/>
            <w:tcW w:w="1701" w:type="dxa"/>
          </w:tcPr>
          <w:p w14:paraId="1F9F332D" w14:textId="77777777" w:rsidR="007123E3" w:rsidRPr="009E2BBE" w:rsidRDefault="007123E3" w:rsidP="008E46A2">
            <w:pPr>
              <w:pStyle w:val="Tablehead1"/>
            </w:pPr>
            <w:r w:rsidRPr="009E2BBE">
              <w:t>Responsibility</w:t>
            </w:r>
          </w:p>
        </w:tc>
        <w:tc>
          <w:tcPr>
            <w:cnfStyle w:val="000010000000" w:firstRow="0" w:lastRow="0" w:firstColumn="0" w:lastColumn="0" w:oddVBand="1" w:evenVBand="0" w:oddHBand="0" w:evenHBand="0" w:firstRowFirstColumn="0" w:firstRowLastColumn="0" w:lastRowFirstColumn="0" w:lastRowLastColumn="0"/>
            <w:tcW w:w="5387" w:type="dxa"/>
          </w:tcPr>
          <w:p w14:paraId="397B166C" w14:textId="77777777" w:rsidR="007123E3" w:rsidRPr="009E2BBE" w:rsidRDefault="007123E3" w:rsidP="008E46A2">
            <w:pPr>
              <w:pStyle w:val="Tablehead1"/>
            </w:pPr>
            <w:r w:rsidRPr="009E2BBE">
              <w:t>Summary of stage</w:t>
            </w:r>
          </w:p>
        </w:tc>
      </w:tr>
      <w:tr w:rsidR="007123E3" w:rsidRPr="009E2BBE" w14:paraId="097F8458" w14:textId="77777777" w:rsidTr="007123E3">
        <w:tc>
          <w:tcPr>
            <w:cnfStyle w:val="000010000000" w:firstRow="0" w:lastRow="0" w:firstColumn="0" w:lastColumn="0" w:oddVBand="1" w:evenVBand="0" w:oddHBand="0" w:evenHBand="0" w:firstRowFirstColumn="0" w:firstRowLastColumn="0" w:lastRowFirstColumn="0" w:lastRowLastColumn="0"/>
            <w:tcW w:w="1843" w:type="dxa"/>
          </w:tcPr>
          <w:p w14:paraId="18A1AFD1" w14:textId="4F362449" w:rsidR="007123E3" w:rsidRPr="009E2BBE" w:rsidRDefault="007123E3" w:rsidP="008E46A2">
            <w:pPr>
              <w:pStyle w:val="Tabletext"/>
              <w:rPr>
                <w:b/>
                <w:bCs/>
              </w:rPr>
            </w:pPr>
            <w:r w:rsidRPr="009E2BBE">
              <w:rPr>
                <w:b/>
                <w:bCs/>
              </w:rPr>
              <w:t xml:space="preserve">Approval to </w:t>
            </w:r>
            <w:r w:rsidR="00F72BFB" w:rsidRPr="009E2BBE">
              <w:rPr>
                <w:b/>
                <w:bCs/>
              </w:rPr>
              <w:t>d</w:t>
            </w:r>
            <w:r w:rsidRPr="009E2BBE">
              <w:rPr>
                <w:b/>
                <w:bCs/>
              </w:rPr>
              <w:t>evelop process:</w:t>
            </w:r>
          </w:p>
        </w:tc>
        <w:tc>
          <w:tcPr>
            <w:cnfStyle w:val="000001000000" w:firstRow="0" w:lastRow="0" w:firstColumn="0" w:lastColumn="0" w:oddVBand="0" w:evenVBand="1" w:oddHBand="0" w:evenHBand="0" w:firstRowFirstColumn="0" w:firstRowLastColumn="0" w:lastRowFirstColumn="0" w:lastRowLastColumn="0"/>
            <w:tcW w:w="1701" w:type="dxa"/>
          </w:tcPr>
          <w:p w14:paraId="0DE2A6B7" w14:textId="77777777" w:rsidR="007123E3" w:rsidRPr="009E2BBE" w:rsidRDefault="007123E3" w:rsidP="008E46A2">
            <w:pPr>
              <w:pStyle w:val="Tabletext"/>
            </w:pPr>
          </w:p>
        </w:tc>
        <w:tc>
          <w:tcPr>
            <w:cnfStyle w:val="000010000000" w:firstRow="0" w:lastRow="0" w:firstColumn="0" w:lastColumn="0" w:oddVBand="1" w:evenVBand="0" w:oddHBand="0" w:evenHBand="0" w:firstRowFirstColumn="0" w:firstRowLastColumn="0" w:lastRowFirstColumn="0" w:lastRowLastColumn="0"/>
            <w:tcW w:w="5387" w:type="dxa"/>
          </w:tcPr>
          <w:p w14:paraId="4B228063" w14:textId="77777777" w:rsidR="007123E3" w:rsidRPr="009E2BBE" w:rsidRDefault="007123E3" w:rsidP="008E46A2">
            <w:pPr>
              <w:pStyle w:val="Tabletext"/>
            </w:pPr>
          </w:p>
        </w:tc>
      </w:tr>
      <w:tr w:rsidR="007123E3" w:rsidRPr="009E2BBE" w14:paraId="6A88627A" w14:textId="77777777" w:rsidTr="007123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7C04DB43" w14:textId="77777777" w:rsidR="007123E3" w:rsidRPr="009E2BBE" w:rsidRDefault="007123E3" w:rsidP="008E46A2">
            <w:pPr>
              <w:pStyle w:val="Tabletext"/>
            </w:pPr>
            <w:r w:rsidRPr="009E2BBE">
              <w:t>Establish need for qualification</w:t>
            </w:r>
          </w:p>
        </w:tc>
        <w:tc>
          <w:tcPr>
            <w:cnfStyle w:val="000001000000" w:firstRow="0" w:lastRow="0" w:firstColumn="0" w:lastColumn="0" w:oddVBand="0" w:evenVBand="1" w:oddHBand="0" w:evenHBand="0" w:firstRowFirstColumn="0" w:firstRowLastColumn="0" w:lastRowFirstColumn="0" w:lastRowLastColumn="0"/>
            <w:tcW w:w="1701" w:type="dxa"/>
          </w:tcPr>
          <w:p w14:paraId="615C9B7D" w14:textId="77777777" w:rsidR="007123E3" w:rsidRPr="009E2BBE" w:rsidRDefault="007123E3" w:rsidP="008E46A2">
            <w:pPr>
              <w:pStyle w:val="Tabletext"/>
            </w:pPr>
            <w:r w:rsidRPr="009E2BBE">
              <w:t>Developer</w:t>
            </w:r>
          </w:p>
        </w:tc>
        <w:tc>
          <w:tcPr>
            <w:cnfStyle w:val="000010000000" w:firstRow="0" w:lastRow="0" w:firstColumn="0" w:lastColumn="0" w:oddVBand="1" w:evenVBand="0" w:oddHBand="0" w:evenHBand="0" w:firstRowFirstColumn="0" w:firstRowLastColumn="0" w:lastRowFirstColumn="0" w:lastRowLastColumn="0"/>
            <w:tcW w:w="5387" w:type="dxa"/>
          </w:tcPr>
          <w:p w14:paraId="38C5F7E2" w14:textId="437B896C" w:rsidR="007123E3" w:rsidRPr="009E2BBE" w:rsidRDefault="007123E3" w:rsidP="008E46A2">
            <w:pPr>
              <w:pStyle w:val="Tabletext"/>
            </w:pPr>
            <w:r w:rsidRPr="009E2BBE">
              <w:t xml:space="preserve">Develop evidence of the need for a new qualification through consultation with the industry, </w:t>
            </w:r>
            <w:proofErr w:type="gramStart"/>
            <w:r w:rsidRPr="009E2BBE">
              <w:t>sector</w:t>
            </w:r>
            <w:proofErr w:type="gramEnd"/>
            <w:r w:rsidRPr="009E2BBE">
              <w:t xml:space="preserve"> or community. The report should consider workforce trends, future skill needs, characteristics of the learners (including equity groups), current qualifications available, rationale for need. Evidence may be in the form of sector</w:t>
            </w:r>
            <w:r w:rsidR="00FF5C2B" w:rsidRPr="009E2BBE">
              <w:t>-</w:t>
            </w:r>
            <w:r w:rsidRPr="009E2BBE">
              <w:t xml:space="preserve">specific reports, NZ </w:t>
            </w:r>
            <w:r w:rsidR="00751D49" w:rsidRPr="009E2BBE">
              <w:t>G</w:t>
            </w:r>
            <w:r w:rsidRPr="009E2BBE">
              <w:t>overnment reports, qualification</w:t>
            </w:r>
            <w:r w:rsidR="00751D49" w:rsidRPr="009E2BBE">
              <w:t>-</w:t>
            </w:r>
            <w:r w:rsidRPr="009E2BBE">
              <w:t xml:space="preserve">usage data, industry/community organisation workforce data, information included in </w:t>
            </w:r>
            <w:r w:rsidR="00751D49" w:rsidRPr="009E2BBE">
              <w:t>investment plans</w:t>
            </w:r>
            <w:r w:rsidRPr="009E2BBE">
              <w:t>, and national and international benchmarking.</w:t>
            </w:r>
          </w:p>
        </w:tc>
      </w:tr>
      <w:tr w:rsidR="007123E3" w:rsidRPr="009E2BBE" w14:paraId="45A6A082" w14:textId="77777777" w:rsidTr="007123E3">
        <w:tc>
          <w:tcPr>
            <w:cnfStyle w:val="000010000000" w:firstRow="0" w:lastRow="0" w:firstColumn="0" w:lastColumn="0" w:oddVBand="1" w:evenVBand="0" w:oddHBand="0" w:evenHBand="0" w:firstRowFirstColumn="0" w:firstRowLastColumn="0" w:lastRowFirstColumn="0" w:lastRowLastColumn="0"/>
            <w:tcW w:w="1843" w:type="dxa"/>
          </w:tcPr>
          <w:p w14:paraId="0D36C5FA" w14:textId="77777777" w:rsidR="007123E3" w:rsidRPr="009E2BBE" w:rsidRDefault="007123E3" w:rsidP="008E46A2">
            <w:pPr>
              <w:pStyle w:val="Tabletext"/>
            </w:pPr>
            <w:r w:rsidRPr="009E2BBE">
              <w:t>Establish stakeholder profile and consult to inform qualification</w:t>
            </w:r>
          </w:p>
        </w:tc>
        <w:tc>
          <w:tcPr>
            <w:cnfStyle w:val="000001000000" w:firstRow="0" w:lastRow="0" w:firstColumn="0" w:lastColumn="0" w:oddVBand="0" w:evenVBand="1" w:oddHBand="0" w:evenHBand="0" w:firstRowFirstColumn="0" w:firstRowLastColumn="0" w:lastRowFirstColumn="0" w:lastRowLastColumn="0"/>
            <w:tcW w:w="1701" w:type="dxa"/>
          </w:tcPr>
          <w:p w14:paraId="0955D1A1" w14:textId="77777777" w:rsidR="007123E3" w:rsidRPr="009E2BBE" w:rsidRDefault="007123E3" w:rsidP="008E46A2">
            <w:pPr>
              <w:pStyle w:val="Tabletext"/>
            </w:pPr>
            <w:r w:rsidRPr="009E2BBE">
              <w:t>Developer</w:t>
            </w:r>
          </w:p>
        </w:tc>
        <w:tc>
          <w:tcPr>
            <w:cnfStyle w:val="000010000000" w:firstRow="0" w:lastRow="0" w:firstColumn="0" w:lastColumn="0" w:oddVBand="1" w:evenVBand="0" w:oddHBand="0" w:evenHBand="0" w:firstRowFirstColumn="0" w:firstRowLastColumn="0" w:lastRowFirstColumn="0" w:lastRowLastColumn="0"/>
            <w:tcW w:w="5387" w:type="dxa"/>
          </w:tcPr>
          <w:p w14:paraId="3C57BDBE" w14:textId="664D8716" w:rsidR="007123E3" w:rsidRPr="009E2BBE" w:rsidRDefault="007123E3" w:rsidP="008E46A2">
            <w:pPr>
              <w:pStyle w:val="Tabletext"/>
            </w:pPr>
            <w:r w:rsidRPr="009E2BBE">
              <w:t>Mandatory stakeholders: transitional</w:t>
            </w:r>
            <w:r w:rsidR="00AE0CC0" w:rsidRPr="009E2BBE">
              <w:t xml:space="preserve"> industry training organisations</w:t>
            </w:r>
            <w:r w:rsidRPr="009E2BBE">
              <w:t xml:space="preserve"> </w:t>
            </w:r>
            <w:r w:rsidR="00AE0CC0" w:rsidRPr="009E2BBE">
              <w:t>(</w:t>
            </w:r>
            <w:r w:rsidRPr="009E2BBE">
              <w:t>ITO</w:t>
            </w:r>
            <w:r w:rsidR="00AE0CC0" w:rsidRPr="009E2BBE">
              <w:t>s)</w:t>
            </w:r>
            <w:r w:rsidRPr="009E2BBE">
              <w:t xml:space="preserve">, </w:t>
            </w:r>
            <w:r w:rsidR="00AE0CC0" w:rsidRPr="009E2BBE">
              <w:t>standard</w:t>
            </w:r>
            <w:r w:rsidR="00520D7E" w:rsidRPr="009E2BBE">
              <w:t>-</w:t>
            </w:r>
            <w:r w:rsidR="00AE0CC0" w:rsidRPr="009E2BBE">
              <w:t>setting bodies (</w:t>
            </w:r>
            <w:r w:rsidRPr="009E2BBE">
              <w:t>SSBs</w:t>
            </w:r>
            <w:r w:rsidR="00AE0CC0" w:rsidRPr="009E2BBE">
              <w:t>)</w:t>
            </w:r>
            <w:r w:rsidRPr="009E2BBE">
              <w:t>, regulatory bodies and education providers. Others may include employers, registration bodies,</w:t>
            </w:r>
            <w:r w:rsidR="00AE0CC0" w:rsidRPr="009E2BBE">
              <w:t xml:space="preserve"> tertiary education organisation</w:t>
            </w:r>
            <w:r w:rsidR="000A3299" w:rsidRPr="009E2BBE">
              <w:t>s</w:t>
            </w:r>
            <w:r w:rsidRPr="009E2BBE">
              <w:t xml:space="preserve"> </w:t>
            </w:r>
            <w:r w:rsidR="00AE0CC0" w:rsidRPr="009E2BBE">
              <w:t>(</w:t>
            </w:r>
            <w:r w:rsidRPr="009E2BBE">
              <w:t>TEOs</w:t>
            </w:r>
            <w:r w:rsidR="00AE0CC0" w:rsidRPr="009E2BBE">
              <w:t>)</w:t>
            </w:r>
            <w:r w:rsidRPr="009E2BBE">
              <w:t xml:space="preserve">, peak bodies, local government etc. </w:t>
            </w:r>
          </w:p>
        </w:tc>
      </w:tr>
      <w:tr w:rsidR="007123E3" w:rsidRPr="009E2BBE" w14:paraId="508D2EF9" w14:textId="77777777" w:rsidTr="007123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24687FB5" w14:textId="77777777" w:rsidR="007123E3" w:rsidRPr="009E2BBE" w:rsidRDefault="007123E3" w:rsidP="008E46A2">
            <w:pPr>
              <w:pStyle w:val="Tabletext"/>
            </w:pPr>
            <w:r w:rsidRPr="009E2BBE">
              <w:t>Develop qualification using template</w:t>
            </w:r>
          </w:p>
        </w:tc>
        <w:tc>
          <w:tcPr>
            <w:cnfStyle w:val="000001000000" w:firstRow="0" w:lastRow="0" w:firstColumn="0" w:lastColumn="0" w:oddVBand="0" w:evenVBand="1" w:oddHBand="0" w:evenHBand="0" w:firstRowFirstColumn="0" w:firstRowLastColumn="0" w:lastRowFirstColumn="0" w:lastRowLastColumn="0"/>
            <w:tcW w:w="1701" w:type="dxa"/>
          </w:tcPr>
          <w:p w14:paraId="57F80C7B" w14:textId="77777777" w:rsidR="007123E3" w:rsidRPr="009E2BBE" w:rsidRDefault="007123E3" w:rsidP="008E46A2">
            <w:pPr>
              <w:pStyle w:val="Tabletext"/>
            </w:pPr>
            <w:r w:rsidRPr="009E2BBE">
              <w:t>Developer</w:t>
            </w:r>
          </w:p>
        </w:tc>
        <w:tc>
          <w:tcPr>
            <w:cnfStyle w:val="000010000000" w:firstRow="0" w:lastRow="0" w:firstColumn="0" w:lastColumn="0" w:oddVBand="1" w:evenVBand="0" w:oddHBand="0" w:evenHBand="0" w:firstRowFirstColumn="0" w:firstRowLastColumn="0" w:lastRowFirstColumn="0" w:lastRowLastColumn="0"/>
            <w:tcW w:w="5387" w:type="dxa"/>
          </w:tcPr>
          <w:p w14:paraId="6203C0B2" w14:textId="77777777" w:rsidR="007123E3" w:rsidRPr="009E2BBE" w:rsidRDefault="007123E3" w:rsidP="008E46A2">
            <w:pPr>
              <w:pStyle w:val="Tabletext"/>
            </w:pPr>
            <w:r w:rsidRPr="009E2BBE">
              <w:t>A qualification template and guidelines inform the development work.</w:t>
            </w:r>
          </w:p>
        </w:tc>
      </w:tr>
      <w:tr w:rsidR="007123E3" w:rsidRPr="009E2BBE" w14:paraId="7C08018E" w14:textId="77777777" w:rsidTr="007123E3">
        <w:tc>
          <w:tcPr>
            <w:cnfStyle w:val="000010000000" w:firstRow="0" w:lastRow="0" w:firstColumn="0" w:lastColumn="0" w:oddVBand="1" w:evenVBand="0" w:oddHBand="0" w:evenHBand="0" w:firstRowFirstColumn="0" w:firstRowLastColumn="0" w:lastRowFirstColumn="0" w:lastRowLastColumn="0"/>
            <w:tcW w:w="1843" w:type="dxa"/>
          </w:tcPr>
          <w:p w14:paraId="534FEE75" w14:textId="77777777" w:rsidR="007123E3" w:rsidRPr="009E2BBE" w:rsidRDefault="007123E3" w:rsidP="008E46A2">
            <w:pPr>
              <w:pStyle w:val="Tabletext"/>
            </w:pPr>
            <w:r w:rsidRPr="009E2BBE">
              <w:t>Stakeholder attestation</w:t>
            </w:r>
          </w:p>
        </w:tc>
        <w:tc>
          <w:tcPr>
            <w:cnfStyle w:val="000001000000" w:firstRow="0" w:lastRow="0" w:firstColumn="0" w:lastColumn="0" w:oddVBand="0" w:evenVBand="1" w:oddHBand="0" w:evenHBand="0" w:firstRowFirstColumn="0" w:firstRowLastColumn="0" w:lastRowFirstColumn="0" w:lastRowLastColumn="0"/>
            <w:tcW w:w="1701" w:type="dxa"/>
          </w:tcPr>
          <w:p w14:paraId="3C7BDCD7" w14:textId="77777777" w:rsidR="007123E3" w:rsidRPr="009E2BBE" w:rsidRDefault="007123E3" w:rsidP="008E46A2">
            <w:pPr>
              <w:pStyle w:val="Tabletext"/>
            </w:pPr>
            <w:r w:rsidRPr="009E2BBE">
              <w:t>Stakeholders</w:t>
            </w:r>
          </w:p>
        </w:tc>
        <w:tc>
          <w:tcPr>
            <w:cnfStyle w:val="000010000000" w:firstRow="0" w:lastRow="0" w:firstColumn="0" w:lastColumn="0" w:oddVBand="1" w:evenVBand="0" w:oddHBand="0" w:evenHBand="0" w:firstRowFirstColumn="0" w:firstRowLastColumn="0" w:lastRowFirstColumn="0" w:lastRowLastColumn="0"/>
            <w:tcW w:w="5387" w:type="dxa"/>
          </w:tcPr>
          <w:p w14:paraId="76D3F1E1" w14:textId="434B3AC3" w:rsidR="007123E3" w:rsidRPr="009E2BBE" w:rsidRDefault="007123E3" w:rsidP="008E46A2">
            <w:pPr>
              <w:pStyle w:val="Tabletext"/>
            </w:pPr>
            <w:r w:rsidRPr="009E2BBE">
              <w:t>Stakeholder attestations are required from all involved directly in the qualification development. They are intended to provide evidence of the support for the qualifications and extent of collaboration. If a stakeholder withholds support</w:t>
            </w:r>
            <w:r w:rsidR="00520D7E" w:rsidRPr="009E2BBE">
              <w:t>,</w:t>
            </w:r>
            <w:r w:rsidRPr="009E2BBE">
              <w:t xml:space="preserve"> the developer must explain why the development is continuing without them.</w:t>
            </w:r>
          </w:p>
        </w:tc>
      </w:tr>
      <w:tr w:rsidR="007123E3" w:rsidRPr="009E2BBE" w14:paraId="476BE453" w14:textId="77777777" w:rsidTr="007123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5A30B08D" w14:textId="77777777" w:rsidR="007123E3" w:rsidRPr="009E2BBE" w:rsidRDefault="007123E3" w:rsidP="008E46A2">
            <w:pPr>
              <w:pStyle w:val="Tabletext"/>
            </w:pPr>
            <w:r w:rsidRPr="009E2BBE">
              <w:t>Submit qualification application forms</w:t>
            </w:r>
          </w:p>
        </w:tc>
        <w:tc>
          <w:tcPr>
            <w:cnfStyle w:val="000001000000" w:firstRow="0" w:lastRow="0" w:firstColumn="0" w:lastColumn="0" w:oddVBand="0" w:evenVBand="1" w:oddHBand="0" w:evenHBand="0" w:firstRowFirstColumn="0" w:firstRowLastColumn="0" w:lastRowFirstColumn="0" w:lastRowLastColumn="0"/>
            <w:tcW w:w="1701" w:type="dxa"/>
          </w:tcPr>
          <w:p w14:paraId="18F1F6C1" w14:textId="77777777" w:rsidR="007123E3" w:rsidRPr="009E2BBE" w:rsidRDefault="007123E3" w:rsidP="008E46A2">
            <w:pPr>
              <w:pStyle w:val="Tabletext"/>
            </w:pPr>
            <w:r w:rsidRPr="009E2BBE">
              <w:t>Developer</w:t>
            </w:r>
          </w:p>
        </w:tc>
        <w:tc>
          <w:tcPr>
            <w:cnfStyle w:val="000010000000" w:firstRow="0" w:lastRow="0" w:firstColumn="0" w:lastColumn="0" w:oddVBand="1" w:evenVBand="0" w:oddHBand="0" w:evenHBand="0" w:firstRowFirstColumn="0" w:firstRowLastColumn="0" w:lastRowFirstColumn="0" w:lastRowLastColumn="0"/>
            <w:tcW w:w="5387" w:type="dxa"/>
          </w:tcPr>
          <w:p w14:paraId="6A297361" w14:textId="71FFBE54" w:rsidR="007123E3" w:rsidRPr="009E2BBE" w:rsidRDefault="007123E3" w:rsidP="00707C2B">
            <w:pPr>
              <w:pStyle w:val="Tabletext"/>
            </w:pPr>
            <w:r w:rsidRPr="009E2BBE">
              <w:t xml:space="preserve">Developers must submit three forms: qualification template for each proposed qualification; application for approval to develop a qualification form; and involvement in pre-development stage stakeholder attestation form. A needs analysis and evidence of how development decisions were made must also be submitted, called </w:t>
            </w:r>
            <w:r w:rsidR="00A26B8A" w:rsidRPr="009E2BBE">
              <w:t>‘</w:t>
            </w:r>
            <w:r w:rsidRPr="009E2BBE">
              <w:t>the story</w:t>
            </w:r>
            <w:r w:rsidR="00A26B8A" w:rsidRPr="009E2BBE">
              <w:t>’</w:t>
            </w:r>
            <w:r w:rsidRPr="009E2BBE">
              <w:t xml:space="preserve">. </w:t>
            </w:r>
          </w:p>
        </w:tc>
      </w:tr>
      <w:tr w:rsidR="007123E3" w:rsidRPr="009E2BBE" w14:paraId="4F7035A7" w14:textId="77777777" w:rsidTr="007123E3">
        <w:tc>
          <w:tcPr>
            <w:cnfStyle w:val="000010000000" w:firstRow="0" w:lastRow="0" w:firstColumn="0" w:lastColumn="0" w:oddVBand="1" w:evenVBand="0" w:oddHBand="0" w:evenHBand="0" w:firstRowFirstColumn="0" w:firstRowLastColumn="0" w:lastRowFirstColumn="0" w:lastRowLastColumn="0"/>
            <w:tcW w:w="1843" w:type="dxa"/>
          </w:tcPr>
          <w:p w14:paraId="1123183A" w14:textId="77777777" w:rsidR="007123E3" w:rsidRPr="009E2BBE" w:rsidRDefault="007123E3" w:rsidP="008E46A2">
            <w:pPr>
              <w:pStyle w:val="Tabletext"/>
            </w:pPr>
            <w:r w:rsidRPr="009E2BBE">
              <w:t>Make approval decision and write report</w:t>
            </w:r>
          </w:p>
        </w:tc>
        <w:tc>
          <w:tcPr>
            <w:cnfStyle w:val="000001000000" w:firstRow="0" w:lastRow="0" w:firstColumn="0" w:lastColumn="0" w:oddVBand="0" w:evenVBand="1" w:oddHBand="0" w:evenHBand="0" w:firstRowFirstColumn="0" w:firstRowLastColumn="0" w:lastRowFirstColumn="0" w:lastRowLastColumn="0"/>
            <w:tcW w:w="1701" w:type="dxa"/>
          </w:tcPr>
          <w:p w14:paraId="0A6514E8" w14:textId="77777777" w:rsidR="007123E3" w:rsidRPr="009E2BBE" w:rsidRDefault="007123E3" w:rsidP="008E46A2">
            <w:pPr>
              <w:pStyle w:val="Tabletext"/>
            </w:pPr>
            <w:r w:rsidRPr="009E2BBE">
              <w:t>NZQA</w:t>
            </w:r>
          </w:p>
        </w:tc>
        <w:tc>
          <w:tcPr>
            <w:cnfStyle w:val="000010000000" w:firstRow="0" w:lastRow="0" w:firstColumn="0" w:lastColumn="0" w:oddVBand="1" w:evenVBand="0" w:oddHBand="0" w:evenHBand="0" w:firstRowFirstColumn="0" w:firstRowLastColumn="0" w:lastRowFirstColumn="0" w:lastRowLastColumn="0"/>
            <w:tcW w:w="5387" w:type="dxa"/>
          </w:tcPr>
          <w:p w14:paraId="62DFC5B8" w14:textId="6BB6729B" w:rsidR="007123E3" w:rsidRPr="009E2BBE" w:rsidRDefault="007123E3" w:rsidP="008E46A2">
            <w:pPr>
              <w:pStyle w:val="Tabletext"/>
            </w:pPr>
            <w:r w:rsidRPr="009E2BBE">
              <w:t xml:space="preserve">NZQA reviews the application to </w:t>
            </w:r>
            <w:r w:rsidR="00A841ED" w:rsidRPr="009E2BBE">
              <w:t>d</w:t>
            </w:r>
            <w:r w:rsidRPr="009E2BBE">
              <w:t>evelop a qualification and make an approval decision. NZQA writes a report outlining the reason for its decision and provides it to the developer.</w:t>
            </w:r>
          </w:p>
        </w:tc>
      </w:tr>
      <w:tr w:rsidR="007123E3" w:rsidRPr="009E2BBE" w14:paraId="73604917" w14:textId="77777777" w:rsidTr="007123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1EC7215C" w14:textId="77777777" w:rsidR="007123E3" w:rsidRPr="009E2BBE" w:rsidRDefault="007123E3" w:rsidP="008E46A2">
            <w:pPr>
              <w:pStyle w:val="Tabletext"/>
              <w:rPr>
                <w:b/>
                <w:bCs/>
              </w:rPr>
            </w:pPr>
            <w:r w:rsidRPr="009E2BBE">
              <w:rPr>
                <w:b/>
                <w:bCs/>
              </w:rPr>
              <w:t>Approval to list:</w:t>
            </w:r>
          </w:p>
        </w:tc>
        <w:tc>
          <w:tcPr>
            <w:cnfStyle w:val="000001000000" w:firstRow="0" w:lastRow="0" w:firstColumn="0" w:lastColumn="0" w:oddVBand="0" w:evenVBand="1" w:oddHBand="0" w:evenHBand="0" w:firstRowFirstColumn="0" w:firstRowLastColumn="0" w:lastRowFirstColumn="0" w:lastRowLastColumn="0"/>
            <w:tcW w:w="1701" w:type="dxa"/>
          </w:tcPr>
          <w:p w14:paraId="58578A28" w14:textId="77777777" w:rsidR="007123E3" w:rsidRPr="009E2BBE" w:rsidRDefault="007123E3" w:rsidP="008E46A2">
            <w:pPr>
              <w:pStyle w:val="Tabletext"/>
            </w:pPr>
          </w:p>
        </w:tc>
        <w:tc>
          <w:tcPr>
            <w:cnfStyle w:val="000010000000" w:firstRow="0" w:lastRow="0" w:firstColumn="0" w:lastColumn="0" w:oddVBand="1" w:evenVBand="0" w:oddHBand="0" w:evenHBand="0" w:firstRowFirstColumn="0" w:firstRowLastColumn="0" w:lastRowFirstColumn="0" w:lastRowLastColumn="0"/>
            <w:tcW w:w="5387" w:type="dxa"/>
          </w:tcPr>
          <w:p w14:paraId="315C022A" w14:textId="77777777" w:rsidR="007123E3" w:rsidRPr="009E2BBE" w:rsidRDefault="007123E3" w:rsidP="008E46A2">
            <w:pPr>
              <w:pStyle w:val="Tabletext"/>
            </w:pPr>
          </w:p>
        </w:tc>
      </w:tr>
      <w:tr w:rsidR="007123E3" w:rsidRPr="009E2BBE" w14:paraId="2D9D5F35" w14:textId="77777777" w:rsidTr="007123E3">
        <w:tc>
          <w:tcPr>
            <w:cnfStyle w:val="000010000000" w:firstRow="0" w:lastRow="0" w:firstColumn="0" w:lastColumn="0" w:oddVBand="1" w:evenVBand="0" w:oddHBand="0" w:evenHBand="0" w:firstRowFirstColumn="0" w:firstRowLastColumn="0" w:lastRowFirstColumn="0" w:lastRowLastColumn="0"/>
            <w:tcW w:w="1843" w:type="dxa"/>
          </w:tcPr>
          <w:p w14:paraId="4FE0EC8B" w14:textId="77777777" w:rsidR="007123E3" w:rsidRPr="009E2BBE" w:rsidRDefault="007123E3" w:rsidP="008E46A2">
            <w:pPr>
              <w:pStyle w:val="Tabletext"/>
            </w:pPr>
            <w:r w:rsidRPr="009E2BBE">
              <w:t>Submit application forms to NZQA</w:t>
            </w:r>
          </w:p>
        </w:tc>
        <w:tc>
          <w:tcPr>
            <w:cnfStyle w:val="000001000000" w:firstRow="0" w:lastRow="0" w:firstColumn="0" w:lastColumn="0" w:oddVBand="0" w:evenVBand="1" w:oddHBand="0" w:evenHBand="0" w:firstRowFirstColumn="0" w:firstRowLastColumn="0" w:lastRowFirstColumn="0" w:lastRowLastColumn="0"/>
            <w:tcW w:w="1701" w:type="dxa"/>
          </w:tcPr>
          <w:p w14:paraId="02DF6DA3" w14:textId="77777777" w:rsidR="007123E3" w:rsidRPr="009E2BBE" w:rsidRDefault="007123E3" w:rsidP="008E46A2">
            <w:pPr>
              <w:pStyle w:val="Tabletext"/>
            </w:pPr>
            <w:r w:rsidRPr="009E2BBE">
              <w:t>Developer</w:t>
            </w:r>
          </w:p>
        </w:tc>
        <w:tc>
          <w:tcPr>
            <w:cnfStyle w:val="000010000000" w:firstRow="0" w:lastRow="0" w:firstColumn="0" w:lastColumn="0" w:oddVBand="1" w:evenVBand="0" w:oddHBand="0" w:evenHBand="0" w:firstRowFirstColumn="0" w:firstRowLastColumn="0" w:lastRowFirstColumn="0" w:lastRowLastColumn="0"/>
            <w:tcW w:w="5387" w:type="dxa"/>
          </w:tcPr>
          <w:p w14:paraId="507DB139" w14:textId="400144E5" w:rsidR="007123E3" w:rsidRPr="009E2BBE" w:rsidRDefault="007123E3" w:rsidP="008E46A2">
            <w:pPr>
              <w:pStyle w:val="Tabletext"/>
            </w:pPr>
            <w:r w:rsidRPr="009E2BBE">
              <w:t xml:space="preserve">Two forms must be submitted: application for approval of qualification at level 1–6; and involvement in </w:t>
            </w:r>
            <w:r w:rsidR="00EA3747" w:rsidRPr="009E2BBE">
              <w:t>qualification development</w:t>
            </w:r>
            <w:r w:rsidR="001F1DE9">
              <w:t xml:space="preserve"> </w:t>
            </w:r>
            <w:r w:rsidRPr="009E2BBE">
              <w:t xml:space="preserve">stakeholder attestation forms. </w:t>
            </w:r>
          </w:p>
        </w:tc>
      </w:tr>
    </w:tbl>
    <w:p w14:paraId="095A3572" w14:textId="727BF6F1" w:rsidR="008E46A2" w:rsidRPr="009E2BBE" w:rsidRDefault="008E46A2" w:rsidP="007123E3">
      <w:pPr>
        <w:pStyle w:val="Source"/>
        <w:rPr>
          <w:rFonts w:cs="Arial"/>
          <w:rtl/>
          <w:lang w:bidi="he-IL"/>
        </w:rPr>
      </w:pPr>
      <w:r w:rsidRPr="009E2BBE">
        <w:t xml:space="preserve">Source: derived from </w:t>
      </w:r>
      <w:r w:rsidR="00A26B8A" w:rsidRPr="009E2BBE">
        <w:t>‘</w:t>
      </w:r>
      <w:r w:rsidRPr="009E2BBE">
        <w:t>Guidelines for approval of New Zealand qualifications at levels 1–6 listing on the NZQF</w:t>
      </w:r>
      <w:r w:rsidR="00A26B8A" w:rsidRPr="009E2BBE">
        <w:t>’</w:t>
      </w:r>
      <w:r w:rsidRPr="009E2BBE">
        <w:t xml:space="preserve"> on the NZQA website.</w:t>
      </w:r>
    </w:p>
    <w:p w14:paraId="60D794F7" w14:textId="2D53BA2F" w:rsidR="007123E3" w:rsidRPr="009E2BBE" w:rsidRDefault="008E46A2" w:rsidP="008E46A2">
      <w:pPr>
        <w:pStyle w:val="Text"/>
      </w:pPr>
      <w:r w:rsidRPr="009E2BBE">
        <w:t xml:space="preserve">The process to review an existing qualification is slightly different. The process is triggered by a schedule </w:t>
      </w:r>
      <w:r w:rsidR="00A841ED" w:rsidRPr="009E2BBE">
        <w:t>maintained by</w:t>
      </w:r>
      <w:r w:rsidRPr="009E2BBE">
        <w:t xml:space="preserve"> the NZQA. Developers do not need to seek permission to </w:t>
      </w:r>
      <w:r w:rsidR="00716C61" w:rsidRPr="009E2BBE">
        <w:t>review but</w:t>
      </w:r>
      <w:r w:rsidRPr="009E2BBE">
        <w:t xml:space="preserve"> work with stakeholders to undertake the review and then </w:t>
      </w:r>
      <w:proofErr w:type="gramStart"/>
      <w:r w:rsidRPr="009E2BBE">
        <w:t>submit an application</w:t>
      </w:r>
      <w:proofErr w:type="gramEnd"/>
      <w:r w:rsidRPr="009E2BBE">
        <w:t xml:space="preserve"> to list on the NZQF. </w:t>
      </w:r>
    </w:p>
    <w:p w14:paraId="64C11670" w14:textId="1BD5B928" w:rsidR="008E46A2" w:rsidRPr="009E2BBE" w:rsidRDefault="007123E3" w:rsidP="00B47A97">
      <w:pPr>
        <w:pStyle w:val="tabletitle"/>
      </w:pPr>
      <w:r w:rsidRPr="009E2BBE">
        <w:t>Table 6</w:t>
      </w:r>
      <w:r w:rsidR="00B47A97" w:rsidRPr="009E2BBE">
        <w:tab/>
      </w:r>
      <w:r w:rsidRPr="009E2BBE">
        <w:t>Review process for existing qualifications</w:t>
      </w:r>
      <w:r w:rsidR="008E46A2" w:rsidRPr="009E2BBE">
        <w:t xml:space="preserve"> </w:t>
      </w:r>
    </w:p>
    <w:tbl>
      <w:tblPr>
        <w:tblStyle w:val="PlainTable2"/>
        <w:tblpPr w:leftFromText="180" w:rightFromText="180" w:vertAnchor="text" w:horzAnchor="margin" w:tblpY="203"/>
        <w:tblW w:w="0" w:type="auto"/>
        <w:tblLook w:val="0000" w:firstRow="0" w:lastRow="0" w:firstColumn="0" w:lastColumn="0" w:noHBand="0" w:noVBand="0"/>
      </w:tblPr>
      <w:tblGrid>
        <w:gridCol w:w="1843"/>
        <w:gridCol w:w="1701"/>
        <w:gridCol w:w="4111"/>
        <w:gridCol w:w="1406"/>
      </w:tblGrid>
      <w:tr w:rsidR="008E46A2" w:rsidRPr="009E2BBE" w14:paraId="21930BAF" w14:textId="77777777" w:rsidTr="008E46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5E86BBD6" w14:textId="77777777" w:rsidR="008E46A2" w:rsidRPr="009E2BBE" w:rsidRDefault="008E46A2" w:rsidP="008E46A2">
            <w:pPr>
              <w:pStyle w:val="Tablehead1"/>
            </w:pPr>
            <w:r w:rsidRPr="009E2BBE">
              <w:t>Stage</w:t>
            </w:r>
          </w:p>
        </w:tc>
        <w:tc>
          <w:tcPr>
            <w:cnfStyle w:val="000001000000" w:firstRow="0" w:lastRow="0" w:firstColumn="0" w:lastColumn="0" w:oddVBand="0" w:evenVBand="1" w:oddHBand="0" w:evenHBand="0" w:firstRowFirstColumn="0" w:firstRowLastColumn="0" w:lastRowFirstColumn="0" w:lastRowLastColumn="0"/>
            <w:tcW w:w="1701" w:type="dxa"/>
          </w:tcPr>
          <w:p w14:paraId="71E0ED89" w14:textId="77777777" w:rsidR="008E46A2" w:rsidRPr="009E2BBE" w:rsidRDefault="008E46A2" w:rsidP="008E46A2">
            <w:pPr>
              <w:pStyle w:val="Tablehead1"/>
            </w:pPr>
            <w:r w:rsidRPr="009E2BBE">
              <w:t>Responsibility</w:t>
            </w:r>
          </w:p>
        </w:tc>
        <w:tc>
          <w:tcPr>
            <w:cnfStyle w:val="000010000000" w:firstRow="0" w:lastRow="0" w:firstColumn="0" w:lastColumn="0" w:oddVBand="1" w:evenVBand="0" w:oddHBand="0" w:evenHBand="0" w:firstRowFirstColumn="0" w:firstRowLastColumn="0" w:lastRowFirstColumn="0" w:lastRowLastColumn="0"/>
            <w:tcW w:w="4111" w:type="dxa"/>
          </w:tcPr>
          <w:p w14:paraId="5D059714" w14:textId="77777777" w:rsidR="008E46A2" w:rsidRPr="009E2BBE" w:rsidRDefault="008E46A2" w:rsidP="008E46A2">
            <w:pPr>
              <w:pStyle w:val="Tablehead1"/>
            </w:pPr>
            <w:r w:rsidRPr="009E2BBE">
              <w:t>Summary of stage</w:t>
            </w:r>
          </w:p>
        </w:tc>
        <w:tc>
          <w:tcPr>
            <w:cnfStyle w:val="000001000000" w:firstRow="0" w:lastRow="0" w:firstColumn="0" w:lastColumn="0" w:oddVBand="0" w:evenVBand="1" w:oddHBand="0" w:evenHBand="0" w:firstRowFirstColumn="0" w:firstRowLastColumn="0" w:lastRowFirstColumn="0" w:lastRowLastColumn="0"/>
            <w:tcW w:w="1406" w:type="dxa"/>
          </w:tcPr>
          <w:p w14:paraId="3A81D347" w14:textId="77777777" w:rsidR="008E46A2" w:rsidRPr="009E2BBE" w:rsidRDefault="008E46A2" w:rsidP="008E46A2">
            <w:pPr>
              <w:pStyle w:val="Tablehead1"/>
            </w:pPr>
            <w:r w:rsidRPr="009E2BBE">
              <w:t>Timeframe</w:t>
            </w:r>
          </w:p>
        </w:tc>
      </w:tr>
      <w:tr w:rsidR="008E46A2" w:rsidRPr="009E2BBE" w14:paraId="07270860" w14:textId="77777777" w:rsidTr="008E46A2">
        <w:tc>
          <w:tcPr>
            <w:cnfStyle w:val="000010000000" w:firstRow="0" w:lastRow="0" w:firstColumn="0" w:lastColumn="0" w:oddVBand="1" w:evenVBand="0" w:oddHBand="0" w:evenHBand="0" w:firstRowFirstColumn="0" w:firstRowLastColumn="0" w:lastRowFirstColumn="0" w:lastRowLastColumn="0"/>
            <w:tcW w:w="1843" w:type="dxa"/>
          </w:tcPr>
          <w:p w14:paraId="2133F797" w14:textId="38F96495" w:rsidR="008E46A2" w:rsidRPr="009E2BBE" w:rsidRDefault="008E46A2" w:rsidP="008E46A2">
            <w:pPr>
              <w:pStyle w:val="Tabletext"/>
            </w:pPr>
            <w:r w:rsidRPr="009E2BBE">
              <w:t>Review is instigated according to NZQA</w:t>
            </w:r>
            <w:r w:rsidR="00A26B8A" w:rsidRPr="009E2BBE">
              <w:t>’</w:t>
            </w:r>
            <w:r w:rsidRPr="009E2BBE">
              <w:t>s schedule</w:t>
            </w:r>
          </w:p>
        </w:tc>
        <w:tc>
          <w:tcPr>
            <w:cnfStyle w:val="000001000000" w:firstRow="0" w:lastRow="0" w:firstColumn="0" w:lastColumn="0" w:oddVBand="0" w:evenVBand="1" w:oddHBand="0" w:evenHBand="0" w:firstRowFirstColumn="0" w:firstRowLastColumn="0" w:lastRowFirstColumn="0" w:lastRowLastColumn="0"/>
            <w:tcW w:w="1701" w:type="dxa"/>
          </w:tcPr>
          <w:p w14:paraId="61AE2C7A" w14:textId="77777777" w:rsidR="008E46A2" w:rsidRPr="009E2BBE" w:rsidRDefault="008E46A2" w:rsidP="008E46A2">
            <w:pPr>
              <w:pStyle w:val="Tabletext"/>
            </w:pPr>
            <w:r w:rsidRPr="009E2BBE">
              <w:t>NZQA</w:t>
            </w:r>
          </w:p>
        </w:tc>
        <w:tc>
          <w:tcPr>
            <w:cnfStyle w:val="000010000000" w:firstRow="0" w:lastRow="0" w:firstColumn="0" w:lastColumn="0" w:oddVBand="1" w:evenVBand="0" w:oddHBand="0" w:evenHBand="0" w:firstRowFirstColumn="0" w:firstRowLastColumn="0" w:lastRowFirstColumn="0" w:lastRowLastColumn="0"/>
            <w:tcW w:w="4111" w:type="dxa"/>
          </w:tcPr>
          <w:p w14:paraId="71ED2F3E" w14:textId="77777777" w:rsidR="008E46A2" w:rsidRPr="009E2BBE" w:rsidRDefault="008E46A2" w:rsidP="008E46A2">
            <w:pPr>
              <w:pStyle w:val="Tabletext"/>
            </w:pPr>
            <w:r w:rsidRPr="009E2BBE">
              <w:t xml:space="preserve">NZQA contacts qualification developer to deliver support pack that includes data on qualification usage, graduate </w:t>
            </w:r>
            <w:proofErr w:type="gramStart"/>
            <w:r w:rsidRPr="009E2BBE">
              <w:t>information</w:t>
            </w:r>
            <w:proofErr w:type="gramEnd"/>
            <w:r w:rsidRPr="009E2BBE">
              <w:t xml:space="preserve"> and other data to inform analysis of the qualification. </w:t>
            </w:r>
          </w:p>
          <w:p w14:paraId="333A3F15" w14:textId="24F2E8F7" w:rsidR="008E46A2" w:rsidRPr="009E2BBE" w:rsidRDefault="008E46A2" w:rsidP="008E46A2">
            <w:pPr>
              <w:pStyle w:val="Tabletext"/>
            </w:pPr>
            <w:r w:rsidRPr="009E2BBE">
              <w:t>All education organisations that deliver the relevant program are notified about the review</w:t>
            </w:r>
            <w:r w:rsidR="006A2EA1" w:rsidRPr="009E2BBE">
              <w:t>.</w:t>
            </w:r>
          </w:p>
        </w:tc>
        <w:tc>
          <w:tcPr>
            <w:cnfStyle w:val="000001000000" w:firstRow="0" w:lastRow="0" w:firstColumn="0" w:lastColumn="0" w:oddVBand="0" w:evenVBand="1" w:oddHBand="0" w:evenHBand="0" w:firstRowFirstColumn="0" w:firstRowLastColumn="0" w:lastRowFirstColumn="0" w:lastRowLastColumn="0"/>
            <w:tcW w:w="1406" w:type="dxa"/>
          </w:tcPr>
          <w:p w14:paraId="5C92CF49" w14:textId="709EB2DD" w:rsidR="008E46A2" w:rsidRPr="009E2BBE" w:rsidRDefault="008E46A2" w:rsidP="008E46A2">
            <w:pPr>
              <w:pStyle w:val="Tabletext"/>
            </w:pPr>
            <w:r w:rsidRPr="009E2BBE">
              <w:t>Review schedule is developed and maintained by NZQA, max</w:t>
            </w:r>
            <w:r w:rsidR="002B47EB" w:rsidRPr="009E2BBE">
              <w:t>.</w:t>
            </w:r>
            <w:r w:rsidRPr="009E2BBE">
              <w:t xml:space="preserve"> 5 years between reviews</w:t>
            </w:r>
          </w:p>
        </w:tc>
      </w:tr>
      <w:tr w:rsidR="008E46A2" w:rsidRPr="009E2BBE" w14:paraId="41C47E93" w14:textId="77777777" w:rsidTr="008E46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7F791114" w14:textId="77777777" w:rsidR="008E46A2" w:rsidRPr="009E2BBE" w:rsidRDefault="008E46A2" w:rsidP="008E46A2">
            <w:pPr>
              <w:pStyle w:val="Tabletext"/>
            </w:pPr>
            <w:r w:rsidRPr="009E2BBE">
              <w:t>Prepare to review</w:t>
            </w:r>
          </w:p>
        </w:tc>
        <w:tc>
          <w:tcPr>
            <w:cnfStyle w:val="000001000000" w:firstRow="0" w:lastRow="0" w:firstColumn="0" w:lastColumn="0" w:oddVBand="0" w:evenVBand="1" w:oddHBand="0" w:evenHBand="0" w:firstRowFirstColumn="0" w:firstRowLastColumn="0" w:lastRowFirstColumn="0" w:lastRowLastColumn="0"/>
            <w:tcW w:w="1701" w:type="dxa"/>
          </w:tcPr>
          <w:p w14:paraId="62913409" w14:textId="77777777" w:rsidR="008E46A2" w:rsidRPr="009E2BBE" w:rsidRDefault="008E46A2" w:rsidP="008E46A2">
            <w:pPr>
              <w:pStyle w:val="Tabletext"/>
            </w:pPr>
            <w:r w:rsidRPr="009E2BBE">
              <w:t>Developer</w:t>
            </w:r>
          </w:p>
        </w:tc>
        <w:tc>
          <w:tcPr>
            <w:cnfStyle w:val="000010000000" w:firstRow="0" w:lastRow="0" w:firstColumn="0" w:lastColumn="0" w:oddVBand="1" w:evenVBand="0" w:oddHBand="0" w:evenHBand="0" w:firstRowFirstColumn="0" w:firstRowLastColumn="0" w:lastRowFirstColumn="0" w:lastRowLastColumn="0"/>
            <w:tcW w:w="4111" w:type="dxa"/>
          </w:tcPr>
          <w:p w14:paraId="77861C33" w14:textId="27FCE53D" w:rsidR="008E46A2" w:rsidRPr="009E2BBE" w:rsidRDefault="008E46A2" w:rsidP="008E46A2">
            <w:pPr>
              <w:pStyle w:val="Tabletext"/>
            </w:pPr>
            <w:r w:rsidRPr="009E2BBE">
              <w:t>Gathers additional data about the qualification</w:t>
            </w:r>
            <w:r w:rsidR="00A26B8A" w:rsidRPr="009E2BBE">
              <w:t>’</w:t>
            </w:r>
            <w:r w:rsidRPr="009E2BBE">
              <w:t>s performance and establish</w:t>
            </w:r>
            <w:r w:rsidR="007123E3" w:rsidRPr="009E2BBE">
              <w:t>es</w:t>
            </w:r>
            <w:r w:rsidRPr="009E2BBE">
              <w:t xml:space="preserve"> a stakeholder profile</w:t>
            </w:r>
            <w:r w:rsidR="006A2EA1" w:rsidRPr="009E2BBE">
              <w:t>.</w:t>
            </w:r>
          </w:p>
        </w:tc>
        <w:tc>
          <w:tcPr>
            <w:cnfStyle w:val="000001000000" w:firstRow="0" w:lastRow="0" w:firstColumn="0" w:lastColumn="0" w:oddVBand="0" w:evenVBand="1" w:oddHBand="0" w:evenHBand="0" w:firstRowFirstColumn="0" w:firstRowLastColumn="0" w:lastRowFirstColumn="0" w:lastRowLastColumn="0"/>
            <w:tcW w:w="1406" w:type="dxa"/>
          </w:tcPr>
          <w:p w14:paraId="6EF4D60C" w14:textId="77777777" w:rsidR="008E46A2" w:rsidRPr="009E2BBE" w:rsidRDefault="008E46A2" w:rsidP="008E46A2">
            <w:pPr>
              <w:pStyle w:val="Tabletext"/>
            </w:pPr>
          </w:p>
        </w:tc>
      </w:tr>
      <w:tr w:rsidR="008E46A2" w:rsidRPr="009E2BBE" w14:paraId="1AA902A9" w14:textId="77777777" w:rsidTr="008E46A2">
        <w:tc>
          <w:tcPr>
            <w:cnfStyle w:val="000010000000" w:firstRow="0" w:lastRow="0" w:firstColumn="0" w:lastColumn="0" w:oddVBand="1" w:evenVBand="0" w:oddHBand="0" w:evenHBand="0" w:firstRowFirstColumn="0" w:firstRowLastColumn="0" w:lastRowFirstColumn="0" w:lastRowLastColumn="0"/>
            <w:tcW w:w="1843" w:type="dxa"/>
          </w:tcPr>
          <w:p w14:paraId="2A389CC1" w14:textId="77777777" w:rsidR="008E46A2" w:rsidRPr="009E2BBE" w:rsidRDefault="008E46A2" w:rsidP="008E46A2">
            <w:pPr>
              <w:pStyle w:val="Tabletext"/>
            </w:pPr>
            <w:r w:rsidRPr="009E2BBE">
              <w:t>Plan the review</w:t>
            </w:r>
          </w:p>
        </w:tc>
        <w:tc>
          <w:tcPr>
            <w:cnfStyle w:val="000001000000" w:firstRow="0" w:lastRow="0" w:firstColumn="0" w:lastColumn="0" w:oddVBand="0" w:evenVBand="1" w:oddHBand="0" w:evenHBand="0" w:firstRowFirstColumn="0" w:firstRowLastColumn="0" w:lastRowFirstColumn="0" w:lastRowLastColumn="0"/>
            <w:tcW w:w="1701" w:type="dxa"/>
          </w:tcPr>
          <w:p w14:paraId="58E2594D" w14:textId="77777777" w:rsidR="008E46A2" w:rsidRPr="009E2BBE" w:rsidRDefault="008E46A2" w:rsidP="008E46A2">
            <w:pPr>
              <w:pStyle w:val="Tabletext"/>
            </w:pPr>
            <w:r w:rsidRPr="009E2BBE">
              <w:t>Developer</w:t>
            </w:r>
          </w:p>
        </w:tc>
        <w:tc>
          <w:tcPr>
            <w:cnfStyle w:val="000010000000" w:firstRow="0" w:lastRow="0" w:firstColumn="0" w:lastColumn="0" w:oddVBand="1" w:evenVBand="0" w:oddHBand="0" w:evenHBand="0" w:firstRowFirstColumn="0" w:firstRowLastColumn="0" w:lastRowFirstColumn="0" w:lastRowLastColumn="0"/>
            <w:tcW w:w="4111" w:type="dxa"/>
          </w:tcPr>
          <w:p w14:paraId="7E88B9DB" w14:textId="77777777" w:rsidR="008E46A2" w:rsidRPr="009E2BBE" w:rsidRDefault="008E46A2" w:rsidP="008E46A2">
            <w:pPr>
              <w:pStyle w:val="Tabletext"/>
            </w:pPr>
            <w:proofErr w:type="gramStart"/>
            <w:r w:rsidRPr="009E2BBE">
              <w:t>Make a plan</w:t>
            </w:r>
            <w:proofErr w:type="gramEnd"/>
            <w:r w:rsidRPr="009E2BBE">
              <w:t xml:space="preserve"> specifying the agreed review approach, timelines and roles and responsibilities of participants to the review. Cost should be considered, and the resources required and risks. Seek feedback from education organisations and industry, </w:t>
            </w:r>
            <w:proofErr w:type="gramStart"/>
            <w:r w:rsidRPr="009E2BBE">
              <w:t>community</w:t>
            </w:r>
            <w:proofErr w:type="gramEnd"/>
            <w:r w:rsidRPr="009E2BBE">
              <w:t xml:space="preserve"> or other users. Publish the plan for the review.</w:t>
            </w:r>
          </w:p>
        </w:tc>
        <w:tc>
          <w:tcPr>
            <w:cnfStyle w:val="000001000000" w:firstRow="0" w:lastRow="0" w:firstColumn="0" w:lastColumn="0" w:oddVBand="0" w:evenVBand="1" w:oddHBand="0" w:evenHBand="0" w:firstRowFirstColumn="0" w:firstRowLastColumn="0" w:lastRowFirstColumn="0" w:lastRowLastColumn="0"/>
            <w:tcW w:w="1406" w:type="dxa"/>
          </w:tcPr>
          <w:p w14:paraId="5E4F136C" w14:textId="77777777" w:rsidR="008E46A2" w:rsidRPr="009E2BBE" w:rsidRDefault="008E46A2" w:rsidP="008E46A2">
            <w:pPr>
              <w:pStyle w:val="Tabletext"/>
            </w:pPr>
            <w:r w:rsidRPr="009E2BBE">
              <w:t>As agreed in plan, suggested timeline is 5 months</w:t>
            </w:r>
          </w:p>
        </w:tc>
      </w:tr>
      <w:tr w:rsidR="008E46A2" w:rsidRPr="009E2BBE" w14:paraId="5825EBEE" w14:textId="77777777" w:rsidTr="008E46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60D7BA80" w14:textId="77777777" w:rsidR="008E46A2" w:rsidRPr="009E2BBE" w:rsidRDefault="008E46A2" w:rsidP="008E46A2">
            <w:pPr>
              <w:pStyle w:val="Tabletext"/>
            </w:pPr>
            <w:r w:rsidRPr="009E2BBE">
              <w:t>Conduct the review</w:t>
            </w:r>
          </w:p>
        </w:tc>
        <w:tc>
          <w:tcPr>
            <w:cnfStyle w:val="000001000000" w:firstRow="0" w:lastRow="0" w:firstColumn="0" w:lastColumn="0" w:oddVBand="0" w:evenVBand="1" w:oddHBand="0" w:evenHBand="0" w:firstRowFirstColumn="0" w:firstRowLastColumn="0" w:lastRowFirstColumn="0" w:lastRowLastColumn="0"/>
            <w:tcW w:w="1701" w:type="dxa"/>
          </w:tcPr>
          <w:p w14:paraId="4F1AA7AD" w14:textId="77777777" w:rsidR="008E46A2" w:rsidRPr="009E2BBE" w:rsidRDefault="008E46A2" w:rsidP="008E46A2">
            <w:pPr>
              <w:pStyle w:val="Tabletext"/>
            </w:pPr>
            <w:r w:rsidRPr="009E2BBE">
              <w:t>Developer</w:t>
            </w:r>
          </w:p>
        </w:tc>
        <w:tc>
          <w:tcPr>
            <w:cnfStyle w:val="000010000000" w:firstRow="0" w:lastRow="0" w:firstColumn="0" w:lastColumn="0" w:oddVBand="1" w:evenVBand="0" w:oddHBand="0" w:evenHBand="0" w:firstRowFirstColumn="0" w:firstRowLastColumn="0" w:lastRowFirstColumn="0" w:lastRowLastColumn="0"/>
            <w:tcW w:w="4111" w:type="dxa"/>
          </w:tcPr>
          <w:p w14:paraId="4C9F7642" w14:textId="77777777" w:rsidR="008E46A2" w:rsidRPr="009E2BBE" w:rsidRDefault="008E46A2" w:rsidP="008E46A2">
            <w:pPr>
              <w:pStyle w:val="Tabletext"/>
            </w:pPr>
            <w:r w:rsidRPr="009E2BBE">
              <w:t>Work with stakeholders to map relationships between current qualification and current workforce roles/skills to identify skills gaps. Stakeholders to inform any changes. Four possible outcomes to a reviewed qualification:</w:t>
            </w:r>
          </w:p>
          <w:p w14:paraId="1C8896B9" w14:textId="4B9DD367" w:rsidR="008E46A2" w:rsidRPr="009E2BBE" w:rsidRDefault="008E46A2" w:rsidP="008E46A2">
            <w:pPr>
              <w:pStyle w:val="Tabletext"/>
            </w:pPr>
            <w:r w:rsidRPr="009E2BBE">
              <w:t xml:space="preserve">No change to </w:t>
            </w:r>
            <w:r w:rsidR="00177376" w:rsidRPr="009E2BBE">
              <w:t xml:space="preserve">the </w:t>
            </w:r>
            <w:r w:rsidRPr="009E2BBE">
              <w:t>qual</w:t>
            </w:r>
            <w:r w:rsidR="00177376" w:rsidRPr="009E2BBE">
              <w:t xml:space="preserve">ification – the </w:t>
            </w:r>
            <w:r w:rsidRPr="009E2BBE">
              <w:t>NZQF ID and version number remain the same</w:t>
            </w:r>
            <w:r w:rsidR="00177376" w:rsidRPr="009E2BBE">
              <w:t>.</w:t>
            </w:r>
          </w:p>
          <w:p w14:paraId="3F0AFB64" w14:textId="3B589DFD" w:rsidR="008E46A2" w:rsidRPr="009E2BBE" w:rsidRDefault="008E46A2" w:rsidP="008E46A2">
            <w:pPr>
              <w:pStyle w:val="Tabletext"/>
            </w:pPr>
            <w:r w:rsidRPr="009E2BBE">
              <w:t xml:space="preserve">Minor changes to </w:t>
            </w:r>
            <w:r w:rsidR="00177376" w:rsidRPr="009E2BBE">
              <w:t xml:space="preserve">the </w:t>
            </w:r>
            <w:r w:rsidRPr="009E2BBE">
              <w:t>qual</w:t>
            </w:r>
            <w:r w:rsidR="00177376" w:rsidRPr="009E2BBE">
              <w:t xml:space="preserve">ification – the </w:t>
            </w:r>
            <w:r w:rsidRPr="009E2BBE">
              <w:t xml:space="preserve">NZQF ID </w:t>
            </w:r>
            <w:proofErr w:type="gramStart"/>
            <w:r w:rsidRPr="009E2BBE">
              <w:t>remains</w:t>
            </w:r>
            <w:proofErr w:type="gramEnd"/>
            <w:r w:rsidRPr="009E2BBE">
              <w:t xml:space="preserve"> </w:t>
            </w:r>
            <w:r w:rsidR="00716C61" w:rsidRPr="009E2BBE">
              <w:t xml:space="preserve">the </w:t>
            </w:r>
            <w:r w:rsidRPr="009E2BBE">
              <w:t xml:space="preserve">same but </w:t>
            </w:r>
            <w:r w:rsidR="00177376" w:rsidRPr="009E2BBE">
              <w:t xml:space="preserve">a </w:t>
            </w:r>
            <w:r w:rsidRPr="009E2BBE">
              <w:t>new version</w:t>
            </w:r>
            <w:r w:rsidR="00177376" w:rsidRPr="009E2BBE">
              <w:t xml:space="preserve"> is created</w:t>
            </w:r>
            <w:r w:rsidRPr="009E2BBE">
              <w:t>.</w:t>
            </w:r>
          </w:p>
          <w:p w14:paraId="235B1069" w14:textId="779D08E1" w:rsidR="008E46A2" w:rsidRPr="009E2BBE" w:rsidRDefault="008E46A2" w:rsidP="008E46A2">
            <w:pPr>
              <w:pStyle w:val="Tabletext"/>
            </w:pPr>
            <w:r w:rsidRPr="009E2BBE">
              <w:t>Significant changes to</w:t>
            </w:r>
            <w:r w:rsidR="00177376" w:rsidRPr="009E2BBE">
              <w:t xml:space="preserve"> the</w:t>
            </w:r>
            <w:r w:rsidRPr="009E2BBE">
              <w:t xml:space="preserve"> qual</w:t>
            </w:r>
            <w:r w:rsidR="00177376" w:rsidRPr="009E2BBE">
              <w:t xml:space="preserve">ification – a </w:t>
            </w:r>
            <w:r w:rsidRPr="009E2BBE">
              <w:t xml:space="preserve">new qualification with </w:t>
            </w:r>
            <w:r w:rsidR="00177376" w:rsidRPr="009E2BBE">
              <w:t xml:space="preserve">a </w:t>
            </w:r>
            <w:r w:rsidRPr="009E2BBE">
              <w:t xml:space="preserve">new NZQF ID replaces </w:t>
            </w:r>
            <w:r w:rsidR="00177376" w:rsidRPr="009E2BBE">
              <w:t xml:space="preserve">the </w:t>
            </w:r>
            <w:r w:rsidRPr="009E2BBE">
              <w:t>existing qualification.</w:t>
            </w:r>
          </w:p>
          <w:p w14:paraId="779140E4" w14:textId="1DE39311" w:rsidR="008E46A2" w:rsidRPr="009E2BBE" w:rsidRDefault="008E46A2" w:rsidP="008E46A2">
            <w:pPr>
              <w:pStyle w:val="Tabletext"/>
            </w:pPr>
            <w:r w:rsidRPr="009E2BBE">
              <w:t>Qualification removed</w:t>
            </w:r>
            <w:r w:rsidR="00177376" w:rsidRPr="009E2BBE">
              <w:t xml:space="preserve"> </w:t>
            </w:r>
            <w:r w:rsidR="00FE302A" w:rsidRPr="009E2BBE">
              <w:t>–</w:t>
            </w:r>
            <w:r w:rsidR="00177376" w:rsidRPr="009E2BBE">
              <w:t xml:space="preserve"> </w:t>
            </w:r>
            <w:r w:rsidRPr="009E2BBE">
              <w:t>the qualification expires without replacement</w:t>
            </w:r>
            <w:r w:rsidR="00177376" w:rsidRPr="009E2BBE">
              <w:t>.</w:t>
            </w:r>
          </w:p>
        </w:tc>
        <w:tc>
          <w:tcPr>
            <w:cnfStyle w:val="000001000000" w:firstRow="0" w:lastRow="0" w:firstColumn="0" w:lastColumn="0" w:oddVBand="0" w:evenVBand="1" w:oddHBand="0" w:evenHBand="0" w:firstRowFirstColumn="0" w:firstRowLastColumn="0" w:lastRowFirstColumn="0" w:lastRowLastColumn="0"/>
            <w:tcW w:w="1406" w:type="dxa"/>
          </w:tcPr>
          <w:p w14:paraId="1A73663D" w14:textId="77777777" w:rsidR="008E46A2" w:rsidRPr="009E2BBE" w:rsidRDefault="008E46A2" w:rsidP="008E46A2">
            <w:pPr>
              <w:pStyle w:val="Tabletext"/>
            </w:pPr>
          </w:p>
        </w:tc>
      </w:tr>
      <w:tr w:rsidR="008E46A2" w:rsidRPr="009E2BBE" w14:paraId="066D350D" w14:textId="77777777" w:rsidTr="008E46A2">
        <w:tc>
          <w:tcPr>
            <w:cnfStyle w:val="000010000000" w:firstRow="0" w:lastRow="0" w:firstColumn="0" w:lastColumn="0" w:oddVBand="1" w:evenVBand="0" w:oddHBand="0" w:evenHBand="0" w:firstRowFirstColumn="0" w:firstRowLastColumn="0" w:lastRowFirstColumn="0" w:lastRowLastColumn="0"/>
            <w:tcW w:w="1843" w:type="dxa"/>
          </w:tcPr>
          <w:p w14:paraId="41D8E506" w14:textId="77777777" w:rsidR="008E46A2" w:rsidRPr="009E2BBE" w:rsidRDefault="008E46A2" w:rsidP="008E46A2">
            <w:pPr>
              <w:pStyle w:val="Tabletext"/>
            </w:pPr>
            <w:r w:rsidRPr="009E2BBE">
              <w:t>Report on the review</w:t>
            </w:r>
          </w:p>
        </w:tc>
        <w:tc>
          <w:tcPr>
            <w:cnfStyle w:val="000001000000" w:firstRow="0" w:lastRow="0" w:firstColumn="0" w:lastColumn="0" w:oddVBand="0" w:evenVBand="1" w:oddHBand="0" w:evenHBand="0" w:firstRowFirstColumn="0" w:firstRowLastColumn="0" w:lastRowFirstColumn="0" w:lastRowLastColumn="0"/>
            <w:tcW w:w="1701" w:type="dxa"/>
          </w:tcPr>
          <w:p w14:paraId="38D6EFAC" w14:textId="77777777" w:rsidR="008E46A2" w:rsidRPr="009E2BBE" w:rsidRDefault="008E46A2" w:rsidP="008E46A2">
            <w:pPr>
              <w:pStyle w:val="Tabletext"/>
            </w:pPr>
            <w:r w:rsidRPr="009E2BBE">
              <w:t>Developer</w:t>
            </w:r>
          </w:p>
        </w:tc>
        <w:tc>
          <w:tcPr>
            <w:cnfStyle w:val="000010000000" w:firstRow="0" w:lastRow="0" w:firstColumn="0" w:lastColumn="0" w:oddVBand="1" w:evenVBand="0" w:oddHBand="0" w:evenHBand="0" w:firstRowFirstColumn="0" w:firstRowLastColumn="0" w:lastRowFirstColumn="0" w:lastRowLastColumn="0"/>
            <w:tcW w:w="4111" w:type="dxa"/>
          </w:tcPr>
          <w:p w14:paraId="28B560D1" w14:textId="3E8DA8F0" w:rsidR="008E46A2" w:rsidRPr="009E2BBE" w:rsidRDefault="008E46A2" w:rsidP="008E46A2">
            <w:pPr>
              <w:pStyle w:val="Tabletext"/>
            </w:pPr>
            <w:r w:rsidRPr="009E2BBE">
              <w:t>The qualification developer write</w:t>
            </w:r>
            <w:r w:rsidR="007123E3" w:rsidRPr="009E2BBE">
              <w:t>s</w:t>
            </w:r>
            <w:r w:rsidRPr="009E2BBE">
              <w:t xml:space="preserve"> a change report, which includes the recommendations from the reviewed qualification/s. This is submitted to the NZQA</w:t>
            </w:r>
            <w:r w:rsidR="00FE302A" w:rsidRPr="009E2BBE">
              <w:t>,</w:t>
            </w:r>
            <w:r w:rsidRPr="009E2BBE">
              <w:t xml:space="preserve"> along with stakeholder attestations. </w:t>
            </w:r>
          </w:p>
        </w:tc>
        <w:tc>
          <w:tcPr>
            <w:cnfStyle w:val="000001000000" w:firstRow="0" w:lastRow="0" w:firstColumn="0" w:lastColumn="0" w:oddVBand="0" w:evenVBand="1" w:oddHBand="0" w:evenHBand="0" w:firstRowFirstColumn="0" w:firstRowLastColumn="0" w:lastRowFirstColumn="0" w:lastRowLastColumn="0"/>
            <w:tcW w:w="1406" w:type="dxa"/>
          </w:tcPr>
          <w:p w14:paraId="515008C4" w14:textId="77777777" w:rsidR="008E46A2" w:rsidRPr="009E2BBE" w:rsidRDefault="008E46A2" w:rsidP="008E46A2">
            <w:pPr>
              <w:pStyle w:val="Tabletext"/>
            </w:pPr>
          </w:p>
        </w:tc>
      </w:tr>
      <w:tr w:rsidR="008E46A2" w:rsidRPr="009E2BBE" w14:paraId="37C96835" w14:textId="77777777" w:rsidTr="008E46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2698F224" w14:textId="77777777" w:rsidR="008E46A2" w:rsidRPr="009E2BBE" w:rsidRDefault="008E46A2" w:rsidP="008E46A2">
            <w:pPr>
              <w:pStyle w:val="Tabletext"/>
            </w:pPr>
            <w:r w:rsidRPr="009E2BBE">
              <w:t>Submit application to list reviewed qualification</w:t>
            </w:r>
          </w:p>
        </w:tc>
        <w:tc>
          <w:tcPr>
            <w:cnfStyle w:val="000001000000" w:firstRow="0" w:lastRow="0" w:firstColumn="0" w:lastColumn="0" w:oddVBand="0" w:evenVBand="1" w:oddHBand="0" w:evenHBand="0" w:firstRowFirstColumn="0" w:firstRowLastColumn="0" w:lastRowFirstColumn="0" w:lastRowLastColumn="0"/>
            <w:tcW w:w="1701" w:type="dxa"/>
          </w:tcPr>
          <w:p w14:paraId="548E0E51" w14:textId="77777777" w:rsidR="008E46A2" w:rsidRPr="009E2BBE" w:rsidRDefault="008E46A2" w:rsidP="008E46A2">
            <w:pPr>
              <w:pStyle w:val="Tabletext"/>
            </w:pPr>
            <w:r w:rsidRPr="009E2BBE">
              <w:t>Developer</w:t>
            </w:r>
          </w:p>
        </w:tc>
        <w:tc>
          <w:tcPr>
            <w:cnfStyle w:val="000010000000" w:firstRow="0" w:lastRow="0" w:firstColumn="0" w:lastColumn="0" w:oddVBand="1" w:evenVBand="0" w:oddHBand="0" w:evenHBand="0" w:firstRowFirstColumn="0" w:firstRowLastColumn="0" w:lastRowFirstColumn="0" w:lastRowLastColumn="0"/>
            <w:tcW w:w="4111" w:type="dxa"/>
          </w:tcPr>
          <w:p w14:paraId="68C81EF4" w14:textId="4F7A1963" w:rsidR="008E46A2" w:rsidRPr="009E2BBE" w:rsidRDefault="008E46A2" w:rsidP="008E46A2">
            <w:pPr>
              <w:pStyle w:val="Tabletext"/>
            </w:pPr>
            <w:r w:rsidRPr="009E2BBE">
              <w:t>Submit</w:t>
            </w:r>
            <w:r w:rsidR="00177376" w:rsidRPr="009E2BBE">
              <w:t>s</w:t>
            </w:r>
            <w:r w:rsidRPr="009E2BBE">
              <w:t xml:space="preserve"> </w:t>
            </w:r>
            <w:r w:rsidR="00177376" w:rsidRPr="009E2BBE">
              <w:t xml:space="preserve">a </w:t>
            </w:r>
            <w:r w:rsidRPr="009E2BBE">
              <w:t>new qualification to the NZQA</w:t>
            </w:r>
            <w:r w:rsidR="009B3818" w:rsidRPr="009E2BBE">
              <w:t>,</w:t>
            </w:r>
            <w:r w:rsidRPr="009E2BBE">
              <w:t xml:space="preserve"> along with </w:t>
            </w:r>
            <w:r w:rsidR="00177376" w:rsidRPr="009E2BBE">
              <w:t xml:space="preserve">an </w:t>
            </w:r>
            <w:r w:rsidR="009B3818" w:rsidRPr="009E2BBE">
              <w:t>a</w:t>
            </w:r>
            <w:r w:rsidRPr="009E2BBE">
              <w:t xml:space="preserve">pplication to list a new qualification. </w:t>
            </w:r>
          </w:p>
        </w:tc>
        <w:tc>
          <w:tcPr>
            <w:cnfStyle w:val="000001000000" w:firstRow="0" w:lastRow="0" w:firstColumn="0" w:lastColumn="0" w:oddVBand="0" w:evenVBand="1" w:oddHBand="0" w:evenHBand="0" w:firstRowFirstColumn="0" w:firstRowLastColumn="0" w:lastRowFirstColumn="0" w:lastRowLastColumn="0"/>
            <w:tcW w:w="1406" w:type="dxa"/>
          </w:tcPr>
          <w:p w14:paraId="60585533" w14:textId="67760F70" w:rsidR="008E46A2" w:rsidRPr="009E2BBE" w:rsidRDefault="00616EAE" w:rsidP="008E46A2">
            <w:pPr>
              <w:pStyle w:val="Tabletext"/>
            </w:pPr>
            <w:r w:rsidRPr="009E2BBE">
              <w:t>Approvals take a minimum of 45 working days</w:t>
            </w:r>
          </w:p>
        </w:tc>
      </w:tr>
    </w:tbl>
    <w:p w14:paraId="44AF9B8F" w14:textId="632BDE78" w:rsidR="008E46A2" w:rsidRPr="009E2BBE" w:rsidRDefault="008E46A2" w:rsidP="007123E3">
      <w:pPr>
        <w:pStyle w:val="Source"/>
        <w:rPr>
          <w:rFonts w:cs="Arial"/>
          <w:rtl/>
          <w:lang w:bidi="he-IL"/>
        </w:rPr>
      </w:pPr>
      <w:r w:rsidRPr="009E2BBE">
        <w:t xml:space="preserve">Source: derived from </w:t>
      </w:r>
      <w:r w:rsidR="00A26B8A" w:rsidRPr="009E2BBE">
        <w:t>‘</w:t>
      </w:r>
      <w:r w:rsidRPr="009E2BBE">
        <w:t>Guidelines for review of New Zealand qualifications at levels 1–6 on the NZQF</w:t>
      </w:r>
      <w:r w:rsidR="00A26B8A" w:rsidRPr="009E2BBE">
        <w:t>’</w:t>
      </w:r>
      <w:r w:rsidRPr="009E2BBE">
        <w:t xml:space="preserve"> on the NZQA website.</w:t>
      </w:r>
    </w:p>
    <w:p w14:paraId="1FEFA2C7" w14:textId="77777777" w:rsidR="008E46A2" w:rsidRPr="009E2BBE" w:rsidRDefault="008E46A2" w:rsidP="008E46A2">
      <w:pPr>
        <w:pStyle w:val="Heading3"/>
      </w:pPr>
      <w:r w:rsidRPr="009E2BBE">
        <w:t>The decision for a new qualification</w:t>
      </w:r>
    </w:p>
    <w:p w14:paraId="4744805D" w14:textId="1C1AA6B5" w:rsidR="008E46A2" w:rsidRPr="009E2BBE" w:rsidRDefault="008E46A2" w:rsidP="008E46A2">
      <w:pPr>
        <w:pStyle w:val="Text"/>
      </w:pPr>
      <w:r w:rsidRPr="009E2BBE">
        <w:t xml:space="preserve">New Zealand takes an </w:t>
      </w:r>
      <w:r w:rsidR="00A26B8A" w:rsidRPr="009E2BBE">
        <w:t>‘</w:t>
      </w:r>
      <w:r w:rsidRPr="009E2BBE">
        <w:t>evaluative approach</w:t>
      </w:r>
      <w:r w:rsidR="00A26B8A" w:rsidRPr="009E2BBE">
        <w:t>’</w:t>
      </w:r>
      <w:r w:rsidRPr="009E2BBE">
        <w:t xml:space="preserve"> to qualification approval. This means that transparent and robust decisions to approve a qualification are made based on an assessment of its quality, </w:t>
      </w:r>
      <w:proofErr w:type="gramStart"/>
      <w:r w:rsidRPr="009E2BBE">
        <w:t>value</w:t>
      </w:r>
      <w:proofErr w:type="gramEnd"/>
      <w:r w:rsidRPr="009E2BBE">
        <w:t xml:space="preserve"> and importance. </w:t>
      </w:r>
    </w:p>
    <w:p w14:paraId="788C69B3" w14:textId="052C94CF" w:rsidR="00616EAE" w:rsidRPr="009E2BBE" w:rsidRDefault="008E46A2" w:rsidP="008E46A2">
      <w:pPr>
        <w:pStyle w:val="Text"/>
      </w:pPr>
      <w:r w:rsidRPr="009E2BBE">
        <w:t xml:space="preserve">In the </w:t>
      </w:r>
      <w:r w:rsidR="009B3818" w:rsidRPr="009E2BBE">
        <w:t xml:space="preserve">application to develop </w:t>
      </w:r>
      <w:r w:rsidRPr="009E2BBE">
        <w:t>a new qualification</w:t>
      </w:r>
      <w:r w:rsidR="009B3818" w:rsidRPr="009E2BBE">
        <w:t>,</w:t>
      </w:r>
      <w:r w:rsidRPr="009E2BBE">
        <w:t xml:space="preserve"> an assessment for duplication must be undertaken. Additionally, it must include a summary and rationale of the evidence to establish the need for each qualification</w:t>
      </w:r>
      <w:r w:rsidR="00D716A0" w:rsidRPr="009E2BBE">
        <w:t xml:space="preserve"> and</w:t>
      </w:r>
      <w:r w:rsidRPr="009E2BBE">
        <w:t xml:space="preserve"> a stakeholder profile</w:t>
      </w:r>
      <w:r w:rsidR="004E30EC" w:rsidRPr="009E2BBE">
        <w:t>,</w:t>
      </w:r>
      <w:r w:rsidRPr="009E2BBE">
        <w:t xml:space="preserve"> and their attestation to their involvement in identifying needs and </w:t>
      </w:r>
      <w:r w:rsidR="00D716A0" w:rsidRPr="009E2BBE">
        <w:t xml:space="preserve">the </w:t>
      </w:r>
      <w:r w:rsidRPr="009E2BBE">
        <w:t>suitability of the proposed qualification.</w:t>
      </w:r>
    </w:p>
    <w:p w14:paraId="071DD906" w14:textId="77777777" w:rsidR="008E46A2" w:rsidRPr="009E2BBE" w:rsidRDefault="008E46A2" w:rsidP="008E46A2">
      <w:pPr>
        <w:pStyle w:val="Heading3"/>
      </w:pPr>
      <w:r w:rsidRPr="009E2BBE">
        <w:t>Stakeholders involved</w:t>
      </w:r>
    </w:p>
    <w:p w14:paraId="1F1B7CD2" w14:textId="4370C055" w:rsidR="008E46A2" w:rsidRPr="009E2BBE" w:rsidRDefault="008E46A2" w:rsidP="008E46A2">
      <w:pPr>
        <w:pStyle w:val="Text"/>
      </w:pPr>
      <w:r w:rsidRPr="009E2BBE">
        <w:t xml:space="preserve">Stakeholders to the qualification must be involved at both stages of approval. Stakeholders must complete individual </w:t>
      </w:r>
      <w:r w:rsidR="00A26B8A" w:rsidRPr="009E2BBE">
        <w:t>‘</w:t>
      </w:r>
      <w:r w:rsidR="00D716A0" w:rsidRPr="009E2BBE">
        <w:t>a</w:t>
      </w:r>
      <w:r w:rsidRPr="009E2BBE">
        <w:t>ttestation</w:t>
      </w:r>
      <w:r w:rsidR="00A26B8A" w:rsidRPr="009E2BBE">
        <w:t>’</w:t>
      </w:r>
      <w:r w:rsidRPr="009E2BBE">
        <w:t xml:space="preserve"> forms, a record of the consultation that took place and a summary of how stakeholder feedback was used to inform qualification development. </w:t>
      </w:r>
    </w:p>
    <w:p w14:paraId="7C903C42" w14:textId="3D5720D5" w:rsidR="008E46A2" w:rsidRPr="009E2BBE" w:rsidRDefault="008E46A2" w:rsidP="008E46A2">
      <w:pPr>
        <w:pStyle w:val="Text"/>
      </w:pPr>
      <w:r w:rsidRPr="009E2BBE">
        <w:t xml:space="preserve">There are mandatory stakeholders: transitional </w:t>
      </w:r>
      <w:r w:rsidR="00AE0CC0" w:rsidRPr="009E2BBE">
        <w:t>industry training organisations</w:t>
      </w:r>
      <w:r w:rsidRPr="009E2BBE">
        <w:t xml:space="preserve"> or other </w:t>
      </w:r>
      <w:r w:rsidR="00AE0CC0" w:rsidRPr="009E2BBE">
        <w:t>standard</w:t>
      </w:r>
      <w:r w:rsidR="000F3399" w:rsidRPr="009E2BBE">
        <w:t>-</w:t>
      </w:r>
      <w:r w:rsidR="00AE0CC0" w:rsidRPr="009E2BBE">
        <w:t>setting bodies</w:t>
      </w:r>
      <w:r w:rsidRPr="009E2BBE">
        <w:t>, regulatory bodies, and the education providers who may</w:t>
      </w:r>
      <w:r w:rsidR="0090128A" w:rsidRPr="009E2BBE">
        <w:t xml:space="preserve"> </w:t>
      </w:r>
      <w:r w:rsidR="000F6839" w:rsidRPr="009E2BBE">
        <w:t>deliver,</w:t>
      </w:r>
      <w:r w:rsidRPr="009E2BBE">
        <w:t xml:space="preserve"> or are currently delivering</w:t>
      </w:r>
      <w:r w:rsidR="000F6839" w:rsidRPr="009E2BBE">
        <w:t>,</w:t>
      </w:r>
      <w:r w:rsidRPr="009E2BBE">
        <w:t xml:space="preserve"> a program linked to the qualification. Other stakeholders may include:</w:t>
      </w:r>
    </w:p>
    <w:p w14:paraId="4464A41E" w14:textId="77777777" w:rsidR="008E46A2" w:rsidRPr="009E2BBE" w:rsidRDefault="008E46A2" w:rsidP="008E46A2">
      <w:pPr>
        <w:pStyle w:val="Dotpoint10"/>
      </w:pPr>
      <w:r w:rsidRPr="009E2BBE">
        <w:t>employers</w:t>
      </w:r>
    </w:p>
    <w:p w14:paraId="63F8DB5A" w14:textId="77777777" w:rsidR="008E46A2" w:rsidRPr="009E2BBE" w:rsidRDefault="008E46A2" w:rsidP="008E46A2">
      <w:pPr>
        <w:pStyle w:val="Dotpoint10"/>
      </w:pPr>
      <w:r w:rsidRPr="009E2BBE">
        <w:t>registration bodies</w:t>
      </w:r>
    </w:p>
    <w:p w14:paraId="5D03FE56" w14:textId="77777777" w:rsidR="008E46A2" w:rsidRPr="009E2BBE" w:rsidRDefault="008E46A2" w:rsidP="008E46A2">
      <w:pPr>
        <w:pStyle w:val="Dotpoint10"/>
      </w:pPr>
      <w:r w:rsidRPr="009E2BBE">
        <w:t>industry and professional associations</w:t>
      </w:r>
    </w:p>
    <w:p w14:paraId="7D40FFA2" w14:textId="77777777" w:rsidR="008E46A2" w:rsidRPr="009E2BBE" w:rsidRDefault="008E46A2" w:rsidP="008E46A2">
      <w:pPr>
        <w:pStyle w:val="Dotpoint10"/>
      </w:pPr>
      <w:r w:rsidRPr="009E2BBE">
        <w:t>tertiary education organisations</w:t>
      </w:r>
    </w:p>
    <w:p w14:paraId="419BD440" w14:textId="77777777" w:rsidR="008E46A2" w:rsidRPr="009E2BBE" w:rsidRDefault="008E46A2" w:rsidP="008E46A2">
      <w:pPr>
        <w:pStyle w:val="Dotpoint10"/>
      </w:pPr>
      <w:r w:rsidRPr="009E2BBE">
        <w:t>national peak bodies</w:t>
      </w:r>
    </w:p>
    <w:p w14:paraId="122A7265" w14:textId="77777777" w:rsidR="008E46A2" w:rsidRPr="009E2BBE" w:rsidRDefault="008E46A2" w:rsidP="008E46A2">
      <w:pPr>
        <w:pStyle w:val="Dotpoint10"/>
      </w:pPr>
      <w:r w:rsidRPr="009E2BBE">
        <w:t>local government</w:t>
      </w:r>
    </w:p>
    <w:p w14:paraId="017349B0" w14:textId="77777777" w:rsidR="008E46A2" w:rsidRPr="009E2BBE" w:rsidRDefault="008E46A2" w:rsidP="008E46A2">
      <w:pPr>
        <w:pStyle w:val="Dotpoint10"/>
      </w:pPr>
      <w:r w:rsidRPr="009E2BBE">
        <w:t>community and cultural groups</w:t>
      </w:r>
    </w:p>
    <w:p w14:paraId="3EDE92DE" w14:textId="2C2F143A" w:rsidR="008E46A2" w:rsidRPr="009E2BBE" w:rsidRDefault="007A395B" w:rsidP="008E46A2">
      <w:pPr>
        <w:pStyle w:val="Dotpoint10"/>
      </w:pPr>
      <w:proofErr w:type="spellStart"/>
      <w:r w:rsidRPr="009E2BBE">
        <w:t>rūnanga</w:t>
      </w:r>
      <w:proofErr w:type="spellEnd"/>
      <w:r w:rsidRPr="009E2BBE">
        <w:rPr>
          <w:rStyle w:val="FootnoteReference"/>
        </w:rPr>
        <w:footnoteReference w:id="2"/>
      </w:r>
      <w:r w:rsidR="008E46A2" w:rsidRPr="009E2BBE">
        <w:t xml:space="preserve"> and </w:t>
      </w:r>
      <w:r w:rsidRPr="009E2BBE">
        <w:t>i</w:t>
      </w:r>
      <w:r w:rsidR="008E46A2" w:rsidRPr="009E2BBE">
        <w:t>wi</w:t>
      </w:r>
      <w:r w:rsidR="008A26A1" w:rsidRPr="009E2BBE">
        <w:rPr>
          <w:rStyle w:val="FootnoteReference"/>
        </w:rPr>
        <w:footnoteReference w:id="3"/>
      </w:r>
      <w:r w:rsidR="008E46A2" w:rsidRPr="009E2BBE">
        <w:t xml:space="preserve"> organisation</w:t>
      </w:r>
      <w:r w:rsidR="008A26A1" w:rsidRPr="009E2BBE">
        <w:t>s</w:t>
      </w:r>
    </w:p>
    <w:p w14:paraId="7BB535BF" w14:textId="77777777" w:rsidR="008E46A2" w:rsidRPr="009E2BBE" w:rsidRDefault="008E46A2" w:rsidP="008E46A2">
      <w:pPr>
        <w:pStyle w:val="Dotpoint10"/>
      </w:pPr>
      <w:r w:rsidRPr="009E2BBE">
        <w:t xml:space="preserve">non-government organisations, not-for-profit </w:t>
      </w:r>
      <w:proofErr w:type="gramStart"/>
      <w:r w:rsidRPr="009E2BBE">
        <w:t>organisations</w:t>
      </w:r>
      <w:proofErr w:type="gramEnd"/>
      <w:r w:rsidRPr="009E2BBE">
        <w:t xml:space="preserve"> and the voluntary sector</w:t>
      </w:r>
    </w:p>
    <w:p w14:paraId="71DBE9A7" w14:textId="77777777" w:rsidR="008E46A2" w:rsidRPr="009E2BBE" w:rsidRDefault="008E46A2" w:rsidP="008E46A2">
      <w:pPr>
        <w:pStyle w:val="Dotpoint10"/>
      </w:pPr>
      <w:r w:rsidRPr="009E2BBE">
        <w:t>international qualification developers</w:t>
      </w:r>
    </w:p>
    <w:p w14:paraId="1C9FA2E2" w14:textId="77777777" w:rsidR="008E46A2" w:rsidRPr="009E2BBE" w:rsidRDefault="008E46A2" w:rsidP="008E46A2">
      <w:pPr>
        <w:pStyle w:val="Dotpoint10"/>
      </w:pPr>
      <w:r w:rsidRPr="009E2BBE">
        <w:t>technical experts.</w:t>
      </w:r>
    </w:p>
    <w:p w14:paraId="33386B47" w14:textId="5F61DB02" w:rsidR="008E46A2" w:rsidRPr="009E2BBE" w:rsidRDefault="008E46A2" w:rsidP="008E46A2">
      <w:pPr>
        <w:pStyle w:val="Text"/>
      </w:pPr>
      <w:r w:rsidRPr="009E2BBE">
        <w:t>The NZQA is the approving body for qualifications. It is their role to maintain a qualification</w:t>
      </w:r>
      <w:r w:rsidR="00952122" w:rsidRPr="009E2BBE">
        <w:t>-</w:t>
      </w:r>
      <w:r w:rsidRPr="009E2BBE">
        <w:t xml:space="preserve">review schedule, in consultation with developers. It also maintains guidelines for review and development </w:t>
      </w:r>
      <w:r w:rsidR="007123E3" w:rsidRPr="009E2BBE">
        <w:t xml:space="preserve">and </w:t>
      </w:r>
      <w:r w:rsidRPr="009E2BBE">
        <w:t>gather</w:t>
      </w:r>
      <w:r w:rsidR="007123E3" w:rsidRPr="009E2BBE">
        <w:t>s</w:t>
      </w:r>
      <w:r w:rsidRPr="009E2BBE">
        <w:t xml:space="preserve"> data on qualification usage. It conducts review</w:t>
      </w:r>
      <w:r w:rsidR="007123E3" w:rsidRPr="009E2BBE">
        <w:t>s</w:t>
      </w:r>
      <w:r w:rsidRPr="009E2BBE">
        <w:t xml:space="preserve"> of qualifications not owned by other developers</w:t>
      </w:r>
      <w:r w:rsidR="00952122" w:rsidRPr="009E2BBE">
        <w:t xml:space="preserve">, for example, </w:t>
      </w:r>
      <w:r w:rsidRPr="009E2BBE">
        <w:t xml:space="preserve">Maori, Pasifika, and generic skills. </w:t>
      </w:r>
    </w:p>
    <w:p w14:paraId="16785EF5" w14:textId="4467A0F4" w:rsidR="008E46A2" w:rsidRPr="009E2BBE" w:rsidRDefault="008E46A2" w:rsidP="008E46A2">
      <w:pPr>
        <w:pStyle w:val="Text"/>
      </w:pPr>
      <w:r w:rsidRPr="009E2BBE">
        <w:t xml:space="preserve">Stakeholders should be appropriately credible and represent the relevant industry or community. </w:t>
      </w:r>
      <w:r w:rsidR="007123E3" w:rsidRPr="009E2BBE">
        <w:t xml:space="preserve">They must also be </w:t>
      </w:r>
      <w:r w:rsidRPr="009E2BBE">
        <w:t xml:space="preserve">recognised by the relevant industry or community as being suitable to speak on their behalf. It is up to qualification developers to ensure </w:t>
      </w:r>
      <w:r w:rsidR="00C76BAC" w:rsidRPr="009E2BBE">
        <w:t xml:space="preserve">that </w:t>
      </w:r>
      <w:r w:rsidRPr="009E2BBE">
        <w:t xml:space="preserve">the credentials of stakeholders are suitable. Terms of reference can be used for this purpose. </w:t>
      </w:r>
    </w:p>
    <w:p w14:paraId="22DFA084" w14:textId="3382858C" w:rsidR="008E46A2" w:rsidRPr="009E2BBE" w:rsidRDefault="008E46A2" w:rsidP="008E46A2">
      <w:pPr>
        <w:pStyle w:val="Text"/>
      </w:pPr>
      <w:r w:rsidRPr="009E2BBE">
        <w:t>A mandatory stakeholder may withdraw support for the new qualification but must provide a justified explanation. Similarly, the qualification developer must provide a justification for why the development is continuing without that stakeholder</w:t>
      </w:r>
      <w:r w:rsidR="00A26B8A" w:rsidRPr="009E2BBE">
        <w:t>’</w:t>
      </w:r>
      <w:r w:rsidRPr="009E2BBE">
        <w:t xml:space="preserve">s support. </w:t>
      </w:r>
      <w:r w:rsidR="00FA6845" w:rsidRPr="009E2BBE">
        <w:t>When requested,</w:t>
      </w:r>
      <w:r w:rsidR="00616EAE" w:rsidRPr="009E2BBE">
        <w:t xml:space="preserve"> or when the development timeline is exceeded,</w:t>
      </w:r>
      <w:r w:rsidR="00FA6845" w:rsidRPr="009E2BBE">
        <w:t xml:space="preserve"> the NZQA may work with stakeholders during development to facilitate </w:t>
      </w:r>
      <w:r w:rsidR="00616EAE" w:rsidRPr="009E2BBE">
        <w:t xml:space="preserve">the process. </w:t>
      </w:r>
      <w:r w:rsidRPr="009E2BBE">
        <w:t xml:space="preserve">Exemptions to the need for stakeholder endorsement of new qualifications can be </w:t>
      </w:r>
      <w:r w:rsidR="00FA6845" w:rsidRPr="009E2BBE">
        <w:t xml:space="preserve">made </w:t>
      </w:r>
      <w:r w:rsidRPr="009E2BBE">
        <w:t>in special circumstances</w:t>
      </w:r>
      <w:r w:rsidR="00673AEA" w:rsidRPr="009E2BBE">
        <w:t xml:space="preserve"> (New Zealand Qualifications Authority 2016)</w:t>
      </w:r>
      <w:r w:rsidRPr="009E2BBE">
        <w:t xml:space="preserve">. </w:t>
      </w:r>
    </w:p>
    <w:p w14:paraId="6D2CFFAA" w14:textId="295EBA36" w:rsidR="00616EAE" w:rsidRPr="009E2BBE" w:rsidRDefault="008D2ACC" w:rsidP="008E46A2">
      <w:pPr>
        <w:pStyle w:val="Text"/>
      </w:pPr>
      <w:r w:rsidRPr="009E2BBE">
        <w:t>T</w:t>
      </w:r>
      <w:r w:rsidR="0091086A" w:rsidRPr="009E2BBE">
        <w:t xml:space="preserve">he cost of developing a qualification is borne by the developer, but a </w:t>
      </w:r>
      <w:r w:rsidR="00EA3747" w:rsidRPr="009E2BBE">
        <w:t>qualification development</w:t>
      </w:r>
      <w:r w:rsidR="005A58CC" w:rsidRPr="009E2BBE">
        <w:t xml:space="preserve"> </w:t>
      </w:r>
      <w:r w:rsidR="00346F17" w:rsidRPr="009E2BBE">
        <w:t xml:space="preserve">fund </w:t>
      </w:r>
      <w:r w:rsidR="00616EAE" w:rsidRPr="009E2BBE">
        <w:t xml:space="preserve">(QDF) </w:t>
      </w:r>
      <w:r w:rsidR="00CC6718" w:rsidRPr="009E2BBE">
        <w:t xml:space="preserve">is </w:t>
      </w:r>
      <w:r w:rsidR="00616EAE" w:rsidRPr="009E2BBE">
        <w:t>available</w:t>
      </w:r>
      <w:r w:rsidR="00346F17" w:rsidRPr="009E2BBE">
        <w:t>,</w:t>
      </w:r>
      <w:r w:rsidR="00616EAE" w:rsidRPr="009E2BBE">
        <w:t xml:space="preserve"> administered by the Tertiary Education Commission. Treasury records show that</w:t>
      </w:r>
      <w:r w:rsidR="00346F17" w:rsidRPr="009E2BBE">
        <w:t>,</w:t>
      </w:r>
      <w:r w:rsidR="00616EAE" w:rsidRPr="009E2BBE">
        <w:t xml:space="preserve"> in 2020</w:t>
      </w:r>
      <w:r w:rsidR="00346F17" w:rsidRPr="009E2BBE">
        <w:t>,</w:t>
      </w:r>
      <w:r w:rsidR="00616EAE" w:rsidRPr="009E2BBE">
        <w:t xml:space="preserve"> $</w:t>
      </w:r>
      <w:r w:rsidR="00A228EE" w:rsidRPr="009E2BBE">
        <w:t xml:space="preserve">389 000 </w:t>
      </w:r>
      <w:r w:rsidR="00616EAE" w:rsidRPr="009E2BBE">
        <w:t>was allocated for the QDF (</w:t>
      </w:r>
      <w:r w:rsidR="00A228EE" w:rsidRPr="009E2BBE">
        <w:t>Tertiary Education Commission 2020b)</w:t>
      </w:r>
      <w:r w:rsidR="00616EAE" w:rsidRPr="009E2BBE">
        <w:t xml:space="preserve">. </w:t>
      </w:r>
    </w:p>
    <w:p w14:paraId="781DB4AD" w14:textId="77777777" w:rsidR="008E46A2" w:rsidRPr="009E2BBE" w:rsidRDefault="008E46A2" w:rsidP="008E46A2">
      <w:pPr>
        <w:pStyle w:val="Heading2"/>
      </w:pPr>
      <w:bookmarkStart w:id="58" w:name="_Toc50622107"/>
      <w:bookmarkStart w:id="59" w:name="_Toc65741370"/>
      <w:r w:rsidRPr="009E2BBE">
        <w:t>Qualification design</w:t>
      </w:r>
      <w:bookmarkEnd w:id="58"/>
      <w:bookmarkEnd w:id="59"/>
      <w:r w:rsidRPr="009E2BBE">
        <w:t xml:space="preserve"> </w:t>
      </w:r>
    </w:p>
    <w:p w14:paraId="26A9510D" w14:textId="77777777" w:rsidR="008E46A2" w:rsidRPr="009E2BBE" w:rsidRDefault="008E46A2" w:rsidP="008E46A2">
      <w:pPr>
        <w:pStyle w:val="Heading3"/>
      </w:pPr>
      <w:r w:rsidRPr="009E2BBE">
        <w:t>Specificity of qualifications</w:t>
      </w:r>
    </w:p>
    <w:p w14:paraId="48973178" w14:textId="0BACC0CE" w:rsidR="008E46A2" w:rsidRPr="009E2BBE" w:rsidRDefault="005F0A46" w:rsidP="008E46A2">
      <w:pPr>
        <w:pStyle w:val="Text"/>
      </w:pPr>
      <w:r w:rsidRPr="009E2BBE">
        <w:t>The NZQF contains</w:t>
      </w:r>
      <w:r w:rsidR="008E46A2" w:rsidRPr="009E2BBE">
        <w:t xml:space="preserve"> 10 levels</w:t>
      </w:r>
      <w:r w:rsidRPr="009E2BBE">
        <w:t>, which</w:t>
      </w:r>
      <w:r w:rsidR="008E46A2" w:rsidRPr="009E2BBE">
        <w:t xml:space="preserve"> describe the skills and knowledge a graduate has at each qualification level. The following sections feature in each qualification:</w:t>
      </w:r>
    </w:p>
    <w:p w14:paraId="6B51A8F3" w14:textId="77777777" w:rsidR="008E46A2" w:rsidRPr="009E2BBE" w:rsidRDefault="008E46A2" w:rsidP="008E46A2">
      <w:pPr>
        <w:pStyle w:val="Dotpoint10"/>
      </w:pPr>
      <w:r w:rsidRPr="009E2BBE">
        <w:t xml:space="preserve">qualification title, </w:t>
      </w:r>
      <w:proofErr w:type="gramStart"/>
      <w:r w:rsidRPr="009E2BBE">
        <w:t>type</w:t>
      </w:r>
      <w:proofErr w:type="gramEnd"/>
      <w:r w:rsidRPr="009E2BBE">
        <w:t xml:space="preserve"> and level</w:t>
      </w:r>
    </w:p>
    <w:p w14:paraId="36CB62BF" w14:textId="1B5B4831" w:rsidR="008E46A2" w:rsidRPr="009E2BBE" w:rsidRDefault="008E46A2" w:rsidP="008E46A2">
      <w:pPr>
        <w:pStyle w:val="Dotpoint2"/>
      </w:pPr>
      <w:r w:rsidRPr="009E2BBE">
        <w:t xml:space="preserve">level is determined by comparison to the </w:t>
      </w:r>
      <w:r w:rsidR="005F0A46" w:rsidRPr="009E2BBE">
        <w:t>10</w:t>
      </w:r>
      <w:r w:rsidRPr="009E2BBE">
        <w:t xml:space="preserve"> NZQF level descriptors</w:t>
      </w:r>
    </w:p>
    <w:p w14:paraId="33980597" w14:textId="19C5F51C" w:rsidR="008E46A2" w:rsidRPr="009E2BBE" w:rsidRDefault="008E46A2" w:rsidP="008E46A2">
      <w:pPr>
        <w:pStyle w:val="Dotpoint2"/>
      </w:pPr>
      <w:r w:rsidRPr="009E2BBE">
        <w:t xml:space="preserve">training schemes and programs must link to an NZQF qualification </w:t>
      </w:r>
    </w:p>
    <w:p w14:paraId="6A1B4147" w14:textId="0553A55D" w:rsidR="008E46A2" w:rsidRPr="009E2BBE" w:rsidRDefault="008E46A2" w:rsidP="008E46A2">
      <w:pPr>
        <w:pStyle w:val="Dotpoint2"/>
      </w:pPr>
      <w:r w:rsidRPr="009E2BBE">
        <w:t>training schemes are shorter than programs</w:t>
      </w:r>
    </w:p>
    <w:p w14:paraId="32A42F50" w14:textId="375FDE85" w:rsidR="008E46A2" w:rsidRPr="009E2BBE" w:rsidRDefault="00CD4691" w:rsidP="008E46A2">
      <w:pPr>
        <w:pStyle w:val="Dotpoint10"/>
      </w:pPr>
      <w:r w:rsidRPr="009E2BBE">
        <w:t>s</w:t>
      </w:r>
      <w:r w:rsidR="008E46A2" w:rsidRPr="009E2BBE">
        <w:t>trategic purpose statement</w:t>
      </w:r>
      <w:r w:rsidRPr="009E2BBE">
        <w:t>: t</w:t>
      </w:r>
      <w:r w:rsidR="008E46A2" w:rsidRPr="009E2BBE">
        <w:t>his identifies the target group of learners, industry and/or community that will benefit from the qualification and the standard at which the graduate will operate</w:t>
      </w:r>
      <w:r w:rsidRPr="009E2BBE">
        <w:t>, for example,</w:t>
      </w:r>
      <w:r w:rsidR="00871E18" w:rsidRPr="009E2BBE">
        <w:t xml:space="preserve"> </w:t>
      </w:r>
      <w:r w:rsidR="008E46A2" w:rsidRPr="009E2BBE">
        <w:t>for the Certificate in Hairdressing the standard is:</w:t>
      </w:r>
    </w:p>
    <w:p w14:paraId="5FB7E6D4" w14:textId="0E378993" w:rsidR="008E46A2" w:rsidRPr="009E2BBE" w:rsidRDefault="008E46A2" w:rsidP="008E46A2">
      <w:pPr>
        <w:pStyle w:val="Quote"/>
      </w:pPr>
      <w:r w:rsidRPr="009E2BBE">
        <w:t xml:space="preserve">The purpose of this qualification is to provide the hairdressing industry with individuals who have obtained sufficient knowledge, practical </w:t>
      </w:r>
      <w:proofErr w:type="gramStart"/>
      <w:r w:rsidRPr="009E2BBE">
        <w:t>skills</w:t>
      </w:r>
      <w:proofErr w:type="gramEnd"/>
      <w:r w:rsidRPr="009E2BBE">
        <w:t xml:space="preserve"> and attitudes to perform salon and client services that contribute to the effective operation of the salon. This qualification is suitable for learners with prior knowledge of salon support and client support services in a hairdressing salon, who wish to develop skills and knowledge towards becoming a hairstylist. Graduates will be capable of operating at an intermediate level under broad guidance</w:t>
      </w:r>
    </w:p>
    <w:p w14:paraId="2D1F39E5" w14:textId="77777777" w:rsidR="008E46A2" w:rsidRPr="009E2BBE" w:rsidRDefault="008E46A2" w:rsidP="008E46A2">
      <w:pPr>
        <w:pStyle w:val="Dotpoint10"/>
      </w:pPr>
      <w:r w:rsidRPr="009E2BBE">
        <w:t xml:space="preserve">outcome statements: </w:t>
      </w:r>
    </w:p>
    <w:p w14:paraId="21FCC8BB" w14:textId="019C1788" w:rsidR="008E46A2" w:rsidRPr="009E2BBE" w:rsidRDefault="008E46A2" w:rsidP="008E46A2">
      <w:pPr>
        <w:pStyle w:val="Dotpoint2"/>
      </w:pPr>
      <w:r w:rsidRPr="009E2BBE">
        <w:t>graduate profile: what the grad</w:t>
      </w:r>
      <w:r w:rsidR="008F5170" w:rsidRPr="009E2BBE">
        <w:t>u</w:t>
      </w:r>
      <w:r w:rsidRPr="009E2BBE">
        <w:t>ate will be able to do</w:t>
      </w:r>
    </w:p>
    <w:p w14:paraId="79AD6CCC" w14:textId="5C3F7E6B" w:rsidR="008E46A2" w:rsidRPr="009E2BBE" w:rsidRDefault="008E46A2" w:rsidP="008E46A2">
      <w:pPr>
        <w:pStyle w:val="Dotpoint2"/>
      </w:pPr>
      <w:r w:rsidRPr="009E2BBE">
        <w:t>education pathways: the pathways into and out of the qualification</w:t>
      </w:r>
    </w:p>
    <w:p w14:paraId="0D33B72A" w14:textId="0AE1A9B0" w:rsidR="008E46A2" w:rsidRPr="009E2BBE" w:rsidRDefault="008E46A2" w:rsidP="008E46A2">
      <w:pPr>
        <w:pStyle w:val="Dotpoint2"/>
      </w:pPr>
      <w:r w:rsidRPr="009E2BBE">
        <w:t xml:space="preserve">employment pathways: what jobs the graduate will be equipped to perform </w:t>
      </w:r>
    </w:p>
    <w:p w14:paraId="14066CD9" w14:textId="77777777" w:rsidR="008E46A2" w:rsidRPr="009E2BBE" w:rsidRDefault="008E46A2" w:rsidP="008E46A2">
      <w:pPr>
        <w:pStyle w:val="Dotpoint10"/>
      </w:pPr>
      <w:r w:rsidRPr="009E2BBE">
        <w:t>credit value of the qualification: one credit = 10 notional hours of learning</w:t>
      </w:r>
    </w:p>
    <w:p w14:paraId="558A8936" w14:textId="7BBE0DD0" w:rsidR="008E46A2" w:rsidRPr="009E2BBE" w:rsidRDefault="008E46A2" w:rsidP="008E46A2">
      <w:pPr>
        <w:pStyle w:val="Dotpoint2"/>
      </w:pPr>
      <w:r w:rsidRPr="009E2BBE">
        <w:t xml:space="preserve">notional hours include direct contact time with trainers, time spent studying and </w:t>
      </w:r>
      <w:r w:rsidR="00C360FA" w:rsidRPr="009E2BBE">
        <w:t xml:space="preserve">undertaking </w:t>
      </w:r>
      <w:r w:rsidRPr="009E2BBE">
        <w:t>assignments,</w:t>
      </w:r>
      <w:r w:rsidR="008F5170" w:rsidRPr="009E2BBE">
        <w:t xml:space="preserve"> and</w:t>
      </w:r>
      <w:r w:rsidRPr="009E2BBE">
        <w:t xml:space="preserve"> time spent in assessment</w:t>
      </w:r>
    </w:p>
    <w:p w14:paraId="3EBEC84A" w14:textId="77777777" w:rsidR="008E46A2" w:rsidRPr="009E2BBE" w:rsidRDefault="008E46A2" w:rsidP="008E46A2">
      <w:pPr>
        <w:pStyle w:val="Dotpoint10"/>
      </w:pPr>
      <w:r w:rsidRPr="009E2BBE">
        <w:t>subject area of the qualification</w:t>
      </w:r>
    </w:p>
    <w:p w14:paraId="38169966" w14:textId="77777777" w:rsidR="008E46A2" w:rsidRPr="009E2BBE" w:rsidRDefault="008E46A2" w:rsidP="008E46A2">
      <w:pPr>
        <w:pStyle w:val="Dotpoint10"/>
      </w:pPr>
      <w:r w:rsidRPr="009E2BBE">
        <w:t>status of the qualification (current, expiring or discontinued)</w:t>
      </w:r>
    </w:p>
    <w:p w14:paraId="5607A1B7" w14:textId="77777777" w:rsidR="008E46A2" w:rsidRPr="009E2BBE" w:rsidRDefault="008E46A2" w:rsidP="008E46A2">
      <w:pPr>
        <w:pStyle w:val="Dotpoint10"/>
      </w:pPr>
      <w:r w:rsidRPr="009E2BBE">
        <w:t xml:space="preserve">qualification review date: </w:t>
      </w:r>
    </w:p>
    <w:p w14:paraId="7DD3C424" w14:textId="1623ECFF" w:rsidR="008E46A2" w:rsidRPr="009E2BBE" w:rsidRDefault="008E46A2" w:rsidP="008E46A2">
      <w:pPr>
        <w:pStyle w:val="Dotpoint2"/>
      </w:pPr>
      <w:r w:rsidRPr="009E2BBE">
        <w:t xml:space="preserve">must be reviewed with </w:t>
      </w:r>
      <w:r w:rsidR="001D6153" w:rsidRPr="009E2BBE">
        <w:t>five</w:t>
      </w:r>
      <w:r w:rsidRPr="009E2BBE">
        <w:t xml:space="preserve"> years of listing or previous review</w:t>
      </w:r>
    </w:p>
    <w:p w14:paraId="4018910A" w14:textId="77B643B2" w:rsidR="008E46A2" w:rsidRPr="009E2BBE" w:rsidRDefault="00375E0C" w:rsidP="008E46A2">
      <w:pPr>
        <w:pStyle w:val="Dotpoint2"/>
      </w:pPr>
      <w:r w:rsidRPr="009E2BBE">
        <w:t xml:space="preserve">review period length influenced by </w:t>
      </w:r>
      <w:r w:rsidR="008E46A2" w:rsidRPr="009E2BBE">
        <w:t xml:space="preserve">factors such as rate of industry change and size of qualification </w:t>
      </w:r>
    </w:p>
    <w:p w14:paraId="0980FF22" w14:textId="3260AFAB" w:rsidR="008E46A2" w:rsidRPr="009E2BBE" w:rsidRDefault="008E46A2" w:rsidP="008E46A2">
      <w:pPr>
        <w:pStyle w:val="Dotpoint10"/>
      </w:pPr>
      <w:r w:rsidRPr="009E2BBE">
        <w:t xml:space="preserve">award of the qualification </w:t>
      </w:r>
      <w:r w:rsidRPr="009E2BBE">
        <w:fldChar w:fldCharType="begin"/>
      </w:r>
      <w:r w:rsidR="00426A80" w:rsidRPr="009E2BBE">
        <w:instrText xml:space="preserve"> ADDIN EN.CITE &lt;EndNote&gt;&lt;Cite ExcludeYear="1"&gt;&lt;Author&gt;New Zealand Qualifications Authority&lt;/Author&gt;&lt;Year&gt;2016&lt;/Year&gt;&lt;RecNum&gt;80&lt;/RecNum&gt;&lt;Pages&gt;6-7&lt;/Pages&gt;&lt;DisplayText&gt;(New Zealand Qualifications Authority)&lt;/DisplayText&gt;&lt;record&gt;&lt;rec-number&gt;80&lt;/rec-number&gt;&lt;foreign-keys&gt;&lt;key app="EN" db-id="9ze0v2p5ut9294eed99p2s2tzvzzwsadrf2t" timestamp="1599442019"&gt;80&lt;/key&gt;&lt;/foreign-keys&gt;&lt;ref-type name="Government Document"&gt;46&lt;/ref-type&gt;&lt;contributors&gt;&lt;authors&gt;&lt;author&gt;New Zealand Qualifications Authority,&lt;/author&gt;&lt;/authors&gt;&lt;secondary-authors&gt;&lt;author&gt;New Zealand Qualifications Authority&lt;/author&gt;&lt;/secondary-authors&gt;&lt;/contributors&gt;&lt;titles&gt;&lt;title&gt;The New Zealand Qualifications Framework&lt;/title&gt;&lt;/titles&gt;&lt;dates&gt;&lt;year&gt;2016&lt;/year&gt;&lt;/dates&gt;&lt;pub-location&gt;Wellington&lt;/pub-location&gt;&lt;urls&gt;&lt;related-urls&gt;&lt;url&gt;https://www.nzqa.govt.nz/assets/Studying-in-NZ/New-Zealand-Qualification-Framework/requirements-nzqf.pdf&lt;/url&gt;&lt;/related-urls&gt;&lt;/urls&gt;&lt;access-date&gt;September 2020&lt;/access-date&gt;&lt;/record&gt;&lt;/Cite&gt;&lt;/EndNote&gt;</w:instrText>
      </w:r>
      <w:r w:rsidRPr="009E2BBE">
        <w:fldChar w:fldCharType="separate"/>
      </w:r>
      <w:r w:rsidRPr="009E2BBE">
        <w:t>(New Zealand Qualifications Authority)</w:t>
      </w:r>
      <w:r w:rsidRPr="009E2BBE">
        <w:fldChar w:fldCharType="end"/>
      </w:r>
      <w:r w:rsidRPr="009E2BBE">
        <w:t>.</w:t>
      </w:r>
    </w:p>
    <w:p w14:paraId="34C86E4E" w14:textId="6C5EC17E" w:rsidR="008E46A2" w:rsidRPr="009E2BBE" w:rsidRDefault="008E46A2" w:rsidP="008E46A2">
      <w:pPr>
        <w:pStyle w:val="Text"/>
      </w:pPr>
      <w:r w:rsidRPr="009E2BBE">
        <w:t>Qualifications are made up of unit standards. Units are coherent sets of learning outcomes and performance criteria. Technical and management information</w:t>
      </w:r>
      <w:r w:rsidR="00883748" w:rsidRPr="009E2BBE">
        <w:t>,</w:t>
      </w:r>
      <w:r w:rsidRPr="009E2BBE">
        <w:t xml:space="preserve"> support</w:t>
      </w:r>
      <w:r w:rsidR="00883748" w:rsidRPr="009E2BBE">
        <w:t>ing</w:t>
      </w:r>
      <w:r w:rsidRPr="009E2BBE">
        <w:t xml:space="preserve"> delivery and assessment</w:t>
      </w:r>
      <w:r w:rsidR="00883748" w:rsidRPr="009E2BBE">
        <w:t>, accompanies them</w:t>
      </w:r>
      <w:r w:rsidRPr="009E2BBE">
        <w:t xml:space="preserve">. Units take levels and are assigned a credit value like qualifications. </w:t>
      </w:r>
    </w:p>
    <w:p w14:paraId="083C6D99" w14:textId="7CCA3392" w:rsidR="008E46A2" w:rsidRPr="009E2BBE" w:rsidRDefault="008E46A2" w:rsidP="008E46A2">
      <w:pPr>
        <w:pStyle w:val="Text"/>
      </w:pPr>
      <w:r w:rsidRPr="009E2BBE">
        <w:t>All qualifications on the NZQA are linked to the New Zealand Standard Classification of Education (NZSCED)</w:t>
      </w:r>
      <w:r w:rsidR="00375E0C" w:rsidRPr="009E2BBE">
        <w:t xml:space="preserve">; </w:t>
      </w:r>
      <w:r w:rsidRPr="009E2BBE">
        <w:t>this categorises qualifications into subject areas. Qualification</w:t>
      </w:r>
      <w:r w:rsidR="00FE0775" w:rsidRPr="009E2BBE">
        <w:t>-</w:t>
      </w:r>
      <w:r w:rsidRPr="009E2BBE">
        <w:t xml:space="preserve">type descriptors are succinct, specifying up to </w:t>
      </w:r>
      <w:r w:rsidR="00574DA4" w:rsidRPr="009E2BBE">
        <w:t>seven</w:t>
      </w:r>
      <w:r w:rsidRPr="009E2BBE">
        <w:t xml:space="preserve"> graduate outcomes. </w:t>
      </w:r>
    </w:p>
    <w:p w14:paraId="11453018" w14:textId="0974C226" w:rsidR="008E46A2" w:rsidRPr="009E2BBE" w:rsidRDefault="008E46A2" w:rsidP="008E46A2">
      <w:pPr>
        <w:pStyle w:val="Heading3"/>
      </w:pPr>
      <w:r w:rsidRPr="009E2BBE">
        <w:t xml:space="preserve">Facilitation of pathways between school and </w:t>
      </w:r>
      <w:r w:rsidR="0063575D" w:rsidRPr="009E2BBE">
        <w:t>higher education</w:t>
      </w:r>
    </w:p>
    <w:p w14:paraId="2652D453" w14:textId="0427DA9E" w:rsidR="008E46A2" w:rsidRPr="009E2BBE" w:rsidRDefault="005927E9" w:rsidP="00C900E8">
      <w:pPr>
        <w:pStyle w:val="Text"/>
      </w:pPr>
      <w:r w:rsidRPr="009E2BBE">
        <w:t xml:space="preserve">The New Zealand </w:t>
      </w:r>
      <w:r w:rsidR="00E16282" w:rsidRPr="009E2BBE">
        <w:t>G</w:t>
      </w:r>
      <w:r w:rsidRPr="009E2BBE">
        <w:t xml:space="preserve">overnment </w:t>
      </w:r>
      <w:r w:rsidR="00C900E8" w:rsidRPr="009E2BBE">
        <w:t>introduced</w:t>
      </w:r>
      <w:r w:rsidRPr="009E2BBE">
        <w:t xml:space="preserve"> a youth guarantee program </w:t>
      </w:r>
      <w:r w:rsidR="00C900E8" w:rsidRPr="009E2BBE">
        <w:t>in 2010</w:t>
      </w:r>
      <w:r w:rsidR="00713609" w:rsidRPr="009E2BBE">
        <w:t>, which</w:t>
      </w:r>
      <w:r w:rsidRPr="009E2BBE">
        <w:t xml:space="preserve"> is </w:t>
      </w:r>
      <w:r w:rsidR="00C900E8" w:rsidRPr="009E2BBE">
        <w:t xml:space="preserve">designed to </w:t>
      </w:r>
      <w:r w:rsidRPr="009E2BBE">
        <w:t xml:space="preserve">support youth transition from school to </w:t>
      </w:r>
      <w:r w:rsidR="00C900E8" w:rsidRPr="009E2BBE">
        <w:t>vocational education</w:t>
      </w:r>
      <w:r w:rsidRPr="009E2BBE">
        <w:t xml:space="preserve">. In the VET sector, this is supported by </w:t>
      </w:r>
      <w:r w:rsidR="00713609" w:rsidRPr="009E2BBE">
        <w:t xml:space="preserve">vocational pathways </w:t>
      </w:r>
      <w:r w:rsidRPr="009E2BBE">
        <w:t>that map levels 1</w:t>
      </w:r>
      <w:r w:rsidR="00713609" w:rsidRPr="009E2BBE">
        <w:t>—</w:t>
      </w:r>
      <w:r w:rsidRPr="009E2BBE">
        <w:t xml:space="preserve">3 of the </w:t>
      </w:r>
      <w:r w:rsidR="00713609" w:rsidRPr="009E2BBE">
        <w:t>National Certificate of Educational Achievement (</w:t>
      </w:r>
      <w:r w:rsidRPr="009E2BBE">
        <w:t>NCEA) (New Zealand</w:t>
      </w:r>
      <w:r w:rsidR="00A26B8A" w:rsidRPr="009E2BBE">
        <w:t>’</w:t>
      </w:r>
      <w:r w:rsidRPr="009E2BBE">
        <w:t>s secondary school certificate) to six industry sectors</w:t>
      </w:r>
      <w:r w:rsidR="00C900E8" w:rsidRPr="009E2BBE">
        <w:t>.</w:t>
      </w:r>
      <w:r w:rsidRPr="009E2BBE">
        <w:t xml:space="preserve"> Th</w:t>
      </w:r>
      <w:r w:rsidR="00C900E8" w:rsidRPr="009E2BBE">
        <w:t xml:space="preserve">e vocational competencies acquired by students undertaking vocational pathways in upper secondary education contribute towards a qualification </w:t>
      </w:r>
      <w:r w:rsidRPr="009E2BBE">
        <w:t xml:space="preserve">and </w:t>
      </w:r>
      <w:r w:rsidR="00C900E8" w:rsidRPr="009E2BBE">
        <w:t>deliver skills that employers are seeking from workforce entrants (New Zealand Ministry of Education 2020).</w:t>
      </w:r>
      <w:r w:rsidRPr="009E2BBE">
        <w:t xml:space="preserve"> </w:t>
      </w:r>
    </w:p>
    <w:p w14:paraId="52A83231" w14:textId="68845C1F" w:rsidR="008E46A2" w:rsidRPr="009E2BBE" w:rsidRDefault="008E46A2" w:rsidP="008E46A2">
      <w:pPr>
        <w:pStyle w:val="Heading2"/>
      </w:pPr>
      <w:bookmarkStart w:id="60" w:name="_Toc50622108"/>
      <w:bookmarkStart w:id="61" w:name="_Toc65741371"/>
      <w:r w:rsidRPr="009E2BBE">
        <w:t xml:space="preserve">Review of </w:t>
      </w:r>
      <w:r w:rsidR="00EA3747" w:rsidRPr="009E2BBE">
        <w:t>qualification development process</w:t>
      </w:r>
      <w:bookmarkEnd w:id="60"/>
      <w:bookmarkEnd w:id="61"/>
    </w:p>
    <w:p w14:paraId="199A6AEE" w14:textId="79E6D5C7" w:rsidR="008E46A2" w:rsidRPr="009E2BBE" w:rsidRDefault="008E46A2" w:rsidP="00C900E8">
      <w:pPr>
        <w:pStyle w:val="Text"/>
      </w:pPr>
      <w:r w:rsidRPr="009E2BBE">
        <w:t>The Review of Vocational Education (</w:t>
      </w:r>
      <w:proofErr w:type="spellStart"/>
      <w:r w:rsidRPr="009E2BBE">
        <w:t>RoVE</w:t>
      </w:r>
      <w:proofErr w:type="spellEnd"/>
      <w:r w:rsidRPr="009E2BBE">
        <w:t xml:space="preserve">) process commenced in 2019 and will implement seven key changes to VET in New Zealand by June 2023 </w:t>
      </w:r>
      <w:r w:rsidRPr="009E2BBE">
        <w:fldChar w:fldCharType="begin"/>
      </w:r>
      <w:r w:rsidRPr="009E2BBE">
        <w:instrText xml:space="preserve"> ADDIN EN.CITE &lt;EndNote&gt;&lt;Cite&gt;&lt;Author&gt;Korero Matauranga&lt;/Author&gt;&lt;Year&gt;2019&lt;/Year&gt;&lt;RecNum&gt;87&lt;/RecNum&gt;&lt;DisplayText&gt;(Korero Matauranga 2019)&lt;/DisplayText&gt;&lt;record&gt;&lt;rec-number&gt;87&lt;/rec-number&gt;&lt;foreign-keys&gt;&lt;key app="EN" db-id="9ze0v2p5ut9294eed99p2s2tzvzzwsadrf2t" timestamp="1600151862"&gt;87&lt;/key&gt;&lt;/foreign-keys&gt;&lt;ref-type name="Report"&gt;27&lt;/ref-type&gt;&lt;contributors&gt;&lt;authors&gt;&lt;author&gt;Korero Matauranga,&lt;/author&gt;&lt;/authors&gt;&lt;tertiary-authors&gt;&lt;author&gt;New Zealand Government&lt;/author&gt;&lt;/tertiary-authors&gt;&lt;/contributors&gt;&lt;titles&gt;&lt;title&gt;A unified system for all vocational education: Reform of vocational education&lt;/title&gt;&lt;/titles&gt;&lt;dates&gt;&lt;year&gt;2019&lt;/year&gt;&lt;/dates&gt;&lt;urls&gt;&lt;related-urls&gt;&lt;url&gt;https://conversation.education.govt.nz/assets/RoVE/AoC/A-unified-system-for-all-vocational-education.pdf&lt;/url&gt;&lt;/related-urls&gt;&lt;/urls&gt;&lt;access-date&gt;September 2020&lt;/access-date&gt;&lt;/record&gt;&lt;/Cite&gt;&lt;/EndNote&gt;</w:instrText>
      </w:r>
      <w:r w:rsidRPr="009E2BBE">
        <w:fldChar w:fldCharType="separate"/>
      </w:r>
      <w:r w:rsidRPr="009E2BBE">
        <w:t>(Korero Matauranga 2019)</w:t>
      </w:r>
      <w:r w:rsidRPr="009E2BBE">
        <w:fldChar w:fldCharType="end"/>
      </w:r>
      <w:r w:rsidRPr="009E2BBE">
        <w:t xml:space="preserve">. Although this was not a specific review of the </w:t>
      </w:r>
      <w:r w:rsidR="00EA3747" w:rsidRPr="009E2BBE">
        <w:t>qualification development process</w:t>
      </w:r>
      <w:r w:rsidRPr="009E2BBE">
        <w:t xml:space="preserve">, one of the actions will impact </w:t>
      </w:r>
      <w:r w:rsidR="00692815" w:rsidRPr="009E2BBE">
        <w:t xml:space="preserve">on </w:t>
      </w:r>
      <w:r w:rsidRPr="009E2BBE">
        <w:t xml:space="preserve">development. Six </w:t>
      </w:r>
      <w:r w:rsidR="00B7675C" w:rsidRPr="009E2BBE">
        <w:t xml:space="preserve">workforce development councils </w:t>
      </w:r>
      <w:r w:rsidR="005F4E97" w:rsidRPr="009E2BBE">
        <w:t xml:space="preserve">(WDCs) </w:t>
      </w:r>
      <w:r w:rsidRPr="009E2BBE">
        <w:t xml:space="preserve">will be established by the end of 2020, a fast-tracked target date to respond to the COVID-19 recovery. </w:t>
      </w:r>
    </w:p>
    <w:p w14:paraId="3CD38BE2" w14:textId="4342A65A" w:rsidR="008E46A2" w:rsidRPr="009E2BBE" w:rsidRDefault="005F4E97" w:rsidP="008E46A2">
      <w:pPr>
        <w:pStyle w:val="Text"/>
      </w:pPr>
      <w:r w:rsidRPr="009E2BBE">
        <w:t xml:space="preserve">WDCs </w:t>
      </w:r>
      <w:r w:rsidR="008E46A2" w:rsidRPr="009E2BBE">
        <w:t xml:space="preserve">will set standards, develop qualifications and inform curriculum development </w:t>
      </w:r>
      <w:r w:rsidR="008E46A2" w:rsidRPr="009E2BBE">
        <w:fldChar w:fldCharType="begin"/>
      </w:r>
      <w:r w:rsidR="008E46A2" w:rsidRPr="009E2BBE">
        <w:instrText xml:space="preserve"> ADDIN EN.CITE &lt;EndNote&gt;&lt;Cite&gt;&lt;Author&gt;Tertiary Education Commission&lt;/Author&gt;&lt;Year&gt;2020&lt;/Year&gt;&lt;RecNum&gt;88&lt;/RecNum&gt;&lt;DisplayText&gt;(Tertiary Education Commission 2020)&lt;/DisplayText&gt;&lt;record&gt;&lt;rec-number&gt;88&lt;/rec-number&gt;&lt;foreign-keys&gt;&lt;key app="EN" db-id="9ze0v2p5ut9294eed99p2s2tzvzzwsadrf2t" timestamp="1600152514"&gt;88&lt;/key&gt;&lt;/foreign-keys&gt;&lt;ref-type name="Web Page"&gt;12&lt;/ref-type&gt;&lt;contributors&gt;&lt;authors&gt;&lt;author&gt;Tertiary Education Commission,&lt;/author&gt;&lt;/authors&gt;&lt;/contributors&gt;&lt;titles&gt;&lt;title&gt;Workforce Development Councils&lt;/title&gt;&lt;/titles&gt;&lt;number&gt;September 2020&lt;/number&gt;&lt;dates&gt;&lt;year&gt;2020&lt;/year&gt;&lt;/dates&gt;&lt;publisher&gt;New Zealand Government&lt;/publisher&gt;&lt;urls&gt;&lt;related-urls&gt;&lt;url&gt;https://www.tec.govt.nz/rove/workforce-development-councils/&lt;/url&gt;&lt;/related-urls&gt;&lt;/urls&gt;&lt;/record&gt;&lt;/Cite&gt;&lt;/EndNote&gt;</w:instrText>
      </w:r>
      <w:r w:rsidR="008E46A2" w:rsidRPr="009E2BBE">
        <w:fldChar w:fldCharType="separate"/>
      </w:r>
      <w:r w:rsidR="008E46A2" w:rsidRPr="009E2BBE">
        <w:t>(</w:t>
      </w:r>
      <w:r w:rsidR="00906090" w:rsidRPr="009E2BBE">
        <w:t xml:space="preserve">New Zealand </w:t>
      </w:r>
      <w:r w:rsidR="008E46A2" w:rsidRPr="009E2BBE">
        <w:t>Tertiary Education Commission 2020</w:t>
      </w:r>
      <w:r w:rsidR="00A228EE" w:rsidRPr="009E2BBE">
        <w:t>a</w:t>
      </w:r>
      <w:r w:rsidR="008E46A2" w:rsidRPr="009E2BBE">
        <w:t>)</w:t>
      </w:r>
      <w:r w:rsidR="008E46A2" w:rsidRPr="009E2BBE">
        <w:fldChar w:fldCharType="end"/>
      </w:r>
      <w:r w:rsidR="008E46A2" w:rsidRPr="009E2BBE">
        <w:t>. This represents a change from the current arrangements</w:t>
      </w:r>
      <w:r w:rsidR="00906090" w:rsidRPr="009E2BBE">
        <w:t>,</w:t>
      </w:r>
      <w:r w:rsidR="008E46A2" w:rsidRPr="009E2BBE">
        <w:t xml:space="preserve"> whereby TEOs and other approved organisations develop qualifications.</w:t>
      </w:r>
    </w:p>
    <w:p w14:paraId="0BA39469" w14:textId="77777777" w:rsidR="008E46A2" w:rsidRPr="009E2BBE" w:rsidRDefault="008E46A2">
      <w:pPr>
        <w:spacing w:before="0" w:line="240" w:lineRule="auto"/>
        <w:rPr>
          <w:rFonts w:ascii="Arial" w:hAnsi="Arial" w:cs="Tahoma"/>
          <w:color w:val="000000"/>
          <w:kern w:val="28"/>
          <w:sz w:val="44"/>
          <w:szCs w:val="56"/>
        </w:rPr>
      </w:pPr>
      <w:r w:rsidRPr="009E2BBE">
        <w:br w:type="page"/>
      </w:r>
    </w:p>
    <w:p w14:paraId="190CFD65" w14:textId="77777777" w:rsidR="008E46A2" w:rsidRPr="009E2BBE" w:rsidRDefault="008E46A2" w:rsidP="008E46A2">
      <w:pPr>
        <w:pStyle w:val="Heading1"/>
      </w:pPr>
      <w:bookmarkStart w:id="62" w:name="_Toc50622109"/>
      <w:bookmarkStart w:id="63" w:name="_Toc65741372"/>
      <w:r w:rsidRPr="009E2BBE">
        <w:t>Singapore</w:t>
      </w:r>
      <w:bookmarkEnd w:id="62"/>
      <w:bookmarkEnd w:id="63"/>
    </w:p>
    <w:p w14:paraId="2261C038" w14:textId="77777777" w:rsidR="008E46A2" w:rsidRPr="009E2BBE" w:rsidRDefault="008E46A2" w:rsidP="008E46A2">
      <w:pPr>
        <w:pStyle w:val="Heading2"/>
      </w:pPr>
      <w:bookmarkStart w:id="64" w:name="_Toc50622110"/>
      <w:bookmarkStart w:id="65" w:name="_Toc65741373"/>
      <w:r w:rsidRPr="009E2BBE">
        <w:t>Overview</w:t>
      </w:r>
      <w:bookmarkEnd w:id="64"/>
      <w:bookmarkEnd w:id="65"/>
    </w:p>
    <w:p w14:paraId="1B17E47C" w14:textId="42A39B45" w:rsidR="008E46A2" w:rsidRPr="009E2BBE" w:rsidRDefault="008E46A2" w:rsidP="008E46A2">
      <w:pPr>
        <w:pStyle w:val="Text"/>
      </w:pPr>
      <w:r w:rsidRPr="009E2BBE">
        <w:t xml:space="preserve">Workforce </w:t>
      </w:r>
      <w:r w:rsidR="00906090" w:rsidRPr="009E2BBE">
        <w:t xml:space="preserve">skills qualifications </w:t>
      </w:r>
      <w:r w:rsidRPr="009E2BBE">
        <w:t>(WSQs) may be presented as a full qualification, or as a set of shorter training modules</w:t>
      </w:r>
      <w:r w:rsidR="00D67D51" w:rsidRPr="009E2BBE">
        <w:t xml:space="preserve">, which </w:t>
      </w:r>
      <w:r w:rsidRPr="009E2BBE">
        <w:t xml:space="preserve">can be awarded with a </w:t>
      </w:r>
      <w:r w:rsidR="00906090" w:rsidRPr="009E2BBE">
        <w:t xml:space="preserve">statement of attainment </w:t>
      </w:r>
      <w:r w:rsidRPr="009E2BBE">
        <w:t xml:space="preserve">and build to a full qualification. Qualifications stipulate workforce skills standards: foundational and cross-industry skills; and industry-specific and occupation-specific competencies </w:t>
      </w:r>
      <w:r w:rsidRPr="009E2BBE">
        <w:fldChar w:fldCharType="begin"/>
      </w:r>
      <w:r w:rsidRPr="009E2BBE">
        <w:instrText xml:space="preserve"> ADDIN EN.CITE &lt;EndNote&gt;&lt;Cite&gt;&lt;Author&gt;SkillsFuture Singapore&lt;/Author&gt;&lt;Year&gt;2020&lt;/Year&gt;&lt;RecNum&gt;89&lt;/RecNum&gt;&lt;DisplayText&gt;(SkillsFuture Singapore 2020)&lt;/DisplayText&gt;&lt;record&gt;&lt;rec-number&gt;89&lt;/rec-number&gt;&lt;foreign-keys&gt;&lt;key app="EN" db-id="9ze0v2p5ut9294eed99p2s2tzvzzwsadrf2t" timestamp="1600734442"&gt;89&lt;/key&gt;&lt;/foreign-keys&gt;&lt;ref-type name="Web Page"&gt;12&lt;/ref-type&gt;&lt;contributors&gt;&lt;authors&gt;&lt;author&gt;SkillsFuture Singapore,&lt;/author&gt;&lt;/authors&gt;&lt;/contributors&gt;&lt;titles&gt;&lt;title&gt;Singapore workforce skills qualifications (WSQ)&lt;/title&gt;&lt;/titles&gt;&lt;number&gt;September 2020&lt;/number&gt;&lt;dates&gt;&lt;year&gt;2020&lt;/year&gt;&lt;/dates&gt;&lt;publisher&gt;Singapore Government&lt;/publisher&gt;&lt;urls&gt;&lt;related-urls&gt;&lt;url&gt;https://www.ssg.gov.sg/wsq.html&lt;/url&gt;&lt;/related-urls&gt;&lt;/urls&gt;&lt;/record&gt;&lt;/Cite&gt;&lt;/EndNote&gt;</w:instrText>
      </w:r>
      <w:r w:rsidRPr="009E2BBE">
        <w:fldChar w:fldCharType="separate"/>
      </w:r>
      <w:r w:rsidRPr="009E2BBE">
        <w:t>(SkillsFuture Singapore 2020)</w:t>
      </w:r>
      <w:r w:rsidRPr="009E2BBE">
        <w:fldChar w:fldCharType="end"/>
      </w:r>
      <w:r w:rsidRPr="009E2BBE">
        <w:t xml:space="preserve">. WSQs adopt the standards laid out in the Skills Framework, a component of </w:t>
      </w:r>
      <w:r w:rsidR="00731064" w:rsidRPr="009E2BBE">
        <w:t xml:space="preserve">industry transformation maps </w:t>
      </w:r>
      <w:r w:rsidRPr="009E2BBE">
        <w:t>(ITMs)</w:t>
      </w:r>
      <w:r w:rsidR="00731064" w:rsidRPr="009E2BBE">
        <w:t>,</w:t>
      </w:r>
      <w:r w:rsidRPr="009E2BBE">
        <w:t xml:space="preserve"> created by employers, industry associations, education institutions, </w:t>
      </w:r>
      <w:proofErr w:type="gramStart"/>
      <w:r w:rsidRPr="009E2BBE">
        <w:t>unions</w:t>
      </w:r>
      <w:proofErr w:type="gramEnd"/>
      <w:r w:rsidRPr="009E2BBE">
        <w:t xml:space="preserve"> and government. The Singapore </w:t>
      </w:r>
      <w:r w:rsidR="00EA3747" w:rsidRPr="009E2BBE">
        <w:t xml:space="preserve">qualification development </w:t>
      </w:r>
      <w:r w:rsidRPr="009E2BBE">
        <w:t xml:space="preserve">system has links to government economic policy and is closely informed by industry (World Bank 2015). </w:t>
      </w:r>
    </w:p>
    <w:p w14:paraId="7EA52F1A" w14:textId="398BC8D0" w:rsidR="008E46A2" w:rsidRPr="009E2BBE" w:rsidRDefault="008E46A2" w:rsidP="008E46A2">
      <w:pPr>
        <w:pStyle w:val="Text"/>
      </w:pPr>
      <w:r w:rsidRPr="009E2BBE">
        <w:t xml:space="preserve">Little information is publicly available on the details of </w:t>
      </w:r>
      <w:r w:rsidR="00EA3747" w:rsidRPr="009E2BBE">
        <w:t>qualification development</w:t>
      </w:r>
      <w:r w:rsidRPr="009E2BBE">
        <w:t xml:space="preserve"> in Singapore. </w:t>
      </w:r>
    </w:p>
    <w:p w14:paraId="220CF248" w14:textId="63244C31" w:rsidR="008E46A2" w:rsidRPr="009E2BBE" w:rsidRDefault="008E46A2" w:rsidP="008E46A2">
      <w:pPr>
        <w:pStyle w:val="Heading2"/>
      </w:pPr>
      <w:bookmarkStart w:id="66" w:name="_Toc50622111"/>
      <w:bookmarkStart w:id="67" w:name="_Toc65741374"/>
      <w:r w:rsidRPr="009E2BBE">
        <w:t xml:space="preserve">Current vocational </w:t>
      </w:r>
      <w:r w:rsidR="00EA3747" w:rsidRPr="009E2BBE">
        <w:t>qualification development process</w:t>
      </w:r>
      <w:bookmarkEnd w:id="66"/>
      <w:bookmarkEnd w:id="67"/>
    </w:p>
    <w:p w14:paraId="65B7751E" w14:textId="77777777" w:rsidR="008E46A2" w:rsidRPr="009E2BBE" w:rsidRDefault="008E46A2" w:rsidP="008E46A2">
      <w:pPr>
        <w:pStyle w:val="Heading3"/>
      </w:pPr>
      <w:r w:rsidRPr="009E2BBE">
        <w:t>Summary of the process/steps</w:t>
      </w:r>
    </w:p>
    <w:p w14:paraId="4A14EC3F" w14:textId="77777777" w:rsidR="008E46A2" w:rsidRPr="009E2BBE" w:rsidRDefault="008E46A2" w:rsidP="008E46A2">
      <w:pPr>
        <w:pStyle w:val="Text"/>
      </w:pPr>
      <w:r w:rsidRPr="009E2BBE">
        <w:t xml:space="preserve">Three fundamental principles guide the design of WSQ qualifications: relevance, </w:t>
      </w:r>
      <w:proofErr w:type="gramStart"/>
      <w:r w:rsidRPr="009E2BBE">
        <w:t>flexibility</w:t>
      </w:r>
      <w:proofErr w:type="gramEnd"/>
      <w:r w:rsidRPr="009E2BBE">
        <w:t xml:space="preserve"> and consistency. Feedback on the relevance and suitability of qualifications is gathered from employers twice a year, and every five years the quality assurance framework itself is reviewed (</w:t>
      </w:r>
      <w:proofErr w:type="spellStart"/>
      <w:r w:rsidRPr="009E2BBE">
        <w:t>Renold</w:t>
      </w:r>
      <w:proofErr w:type="spellEnd"/>
      <w:r w:rsidRPr="009E2BBE">
        <w:t xml:space="preserve"> et al. 2016). </w:t>
      </w:r>
    </w:p>
    <w:p w14:paraId="1FB7F964" w14:textId="77777777" w:rsidR="008E46A2" w:rsidRPr="009E2BBE" w:rsidRDefault="008E46A2" w:rsidP="008E46A2">
      <w:pPr>
        <w:pStyle w:val="Text"/>
      </w:pPr>
      <w:r w:rsidRPr="009E2BBE">
        <w:t xml:space="preserve">The process to have a new qualification approved is supported by a quality assurance framework, including one that accredits training providers delivering WSQ training programs. </w:t>
      </w:r>
    </w:p>
    <w:p w14:paraId="6FE73642" w14:textId="77777777" w:rsidR="008E46A2" w:rsidRPr="009E2BBE" w:rsidRDefault="008E46A2" w:rsidP="008E46A2">
      <w:pPr>
        <w:pStyle w:val="Heading3"/>
      </w:pPr>
      <w:r w:rsidRPr="009E2BBE">
        <w:t>The decision for a new qualification</w:t>
      </w:r>
    </w:p>
    <w:p w14:paraId="14198661" w14:textId="345506C4" w:rsidR="008E46A2" w:rsidRPr="009E2BBE" w:rsidRDefault="008E46A2" w:rsidP="008E46A2">
      <w:pPr>
        <w:pStyle w:val="Text"/>
      </w:pPr>
      <w:r w:rsidRPr="009E2BBE">
        <w:t xml:space="preserve">Training </w:t>
      </w:r>
      <w:r w:rsidR="0045268D" w:rsidRPr="009E2BBE">
        <w:t>p</w:t>
      </w:r>
      <w:r w:rsidRPr="009E2BBE">
        <w:t>artners propose new WSQs</w:t>
      </w:r>
      <w:r w:rsidR="00553F35" w:rsidRPr="009E2BBE">
        <w:t>,</w:t>
      </w:r>
      <w:r w:rsidRPr="009E2BBE">
        <w:t xml:space="preserve"> based on industry demand</w:t>
      </w:r>
      <w:r w:rsidR="00D732CC" w:rsidRPr="009E2BBE">
        <w:t>;</w:t>
      </w:r>
      <w:r w:rsidRPr="009E2BBE">
        <w:t xml:space="preserve"> the process is the same for developing new and updating existing qualifications. The focus is on ensuring that the proposed qualifications meet a workforce skilling need. There is no attempt to prevent duplication</w:t>
      </w:r>
      <w:r w:rsidR="00D732CC" w:rsidRPr="009E2BBE">
        <w:t>:</w:t>
      </w:r>
      <w:r w:rsidRPr="009E2BBE">
        <w:t xml:space="preserve"> if a qualification meet</w:t>
      </w:r>
      <w:r w:rsidR="002E00FB" w:rsidRPr="009E2BBE">
        <w:t>s</w:t>
      </w:r>
      <w:r w:rsidRPr="009E2BBE">
        <w:t xml:space="preserve"> demand for a particular industry</w:t>
      </w:r>
      <w:r w:rsidR="005C2867" w:rsidRPr="009E2BBE">
        <w:t>,</w:t>
      </w:r>
      <w:r w:rsidRPr="009E2BBE">
        <w:t xml:space="preserve"> then it is approved (email</w:t>
      </w:r>
      <w:r w:rsidR="002E00FB" w:rsidRPr="009E2BBE">
        <w:t xml:space="preserve"> communication</w:t>
      </w:r>
      <w:r w:rsidRPr="009E2BBE">
        <w:t>).</w:t>
      </w:r>
    </w:p>
    <w:p w14:paraId="3244E937" w14:textId="77777777" w:rsidR="008E46A2" w:rsidRPr="009E2BBE" w:rsidRDefault="008E46A2" w:rsidP="008E46A2">
      <w:pPr>
        <w:pStyle w:val="Heading3"/>
      </w:pPr>
      <w:r w:rsidRPr="009E2BBE">
        <w:t>Stakeholders involved</w:t>
      </w:r>
    </w:p>
    <w:p w14:paraId="18B3C2BE" w14:textId="137D7328" w:rsidR="008E46A2" w:rsidRPr="009E2BBE" w:rsidRDefault="008E46A2" w:rsidP="008E46A2">
      <w:pPr>
        <w:pStyle w:val="Text"/>
      </w:pPr>
      <w:r w:rsidRPr="009E2BBE">
        <w:t>Several government agencies and representative of stakeholders work together to develop qualification standards through the mechanism of Future Economy Council (FEC) subcommittees. The subcommittees can engage the stakeholders they believe are relevant and insightful for the industry</w:t>
      </w:r>
      <w:r w:rsidR="00D732CC" w:rsidRPr="009E2BBE">
        <w:t>;</w:t>
      </w:r>
      <w:r w:rsidRPr="009E2BBE">
        <w:t xml:space="preserve"> this may include employers, government, unions, </w:t>
      </w:r>
      <w:proofErr w:type="gramStart"/>
      <w:r w:rsidRPr="009E2BBE">
        <w:t>teachers</w:t>
      </w:r>
      <w:proofErr w:type="gramEnd"/>
      <w:r w:rsidRPr="009E2BBE">
        <w:t xml:space="preserve"> and professional bodies.</w:t>
      </w:r>
    </w:p>
    <w:p w14:paraId="4342ABBF" w14:textId="2A37DB3D" w:rsidR="008E46A2" w:rsidRPr="009E2BBE" w:rsidRDefault="008E46A2" w:rsidP="008E46A2">
      <w:pPr>
        <w:pStyle w:val="Text"/>
      </w:pPr>
      <w:r w:rsidRPr="009E2BBE">
        <w:t>The subcommittees of the FEC write the ITMs, which include the Skills Framework. The subcommittees are also responsible for providing information on career pathways, occupations/job roles</w:t>
      </w:r>
      <w:r w:rsidR="00703B66" w:rsidRPr="009E2BBE">
        <w:t>,</w:t>
      </w:r>
      <w:r w:rsidRPr="009E2BBE">
        <w:t xml:space="preserve"> and existing and emerging skills</w:t>
      </w:r>
      <w:r w:rsidR="00703B66" w:rsidRPr="009E2BBE">
        <w:t>,</w:t>
      </w:r>
      <w:r w:rsidRPr="009E2BBE">
        <w:t xml:space="preserve"> and maintains a list of related training programs in six industry clusters: manufacturing; buil</w:t>
      </w:r>
      <w:r w:rsidR="003527D8" w:rsidRPr="009E2BBE">
        <w:t>t</w:t>
      </w:r>
      <w:r w:rsidRPr="009E2BBE">
        <w:t xml:space="preserve"> environment; trade and connectivity; essential domestic services; modern services; lifestyle. </w:t>
      </w:r>
    </w:p>
    <w:p w14:paraId="6FC3851E" w14:textId="775C2517" w:rsidR="008E46A2" w:rsidRPr="009E2BBE" w:rsidRDefault="008E46A2" w:rsidP="008E46A2">
      <w:pPr>
        <w:pStyle w:val="Text"/>
      </w:pPr>
      <w:r w:rsidRPr="009E2BBE">
        <w:t>The subcommittees are co-chaired by an officeholder and private sector member</w:t>
      </w:r>
      <w:r w:rsidR="00F46D7F" w:rsidRPr="009E2BBE">
        <w:t>, for example,</w:t>
      </w:r>
      <w:r w:rsidRPr="009E2BBE">
        <w:t xml:space="preserve"> the essential domestic services subcommittee is led by the Ministry of Health and co-chaired by a senior government minister and a union president </w:t>
      </w:r>
      <w:r w:rsidRPr="009E2BBE">
        <w:fldChar w:fldCharType="begin"/>
      </w:r>
      <w:r w:rsidRPr="009E2BBE">
        <w:instrText xml:space="preserve"> ADDIN EN.CITE &lt;EndNote&gt;&lt;Cite&gt;&lt;Author&gt;Ministry of Trade and Industry&lt;/Author&gt;&lt;Year&gt;2020&lt;/Year&gt;&lt;RecNum&gt;90&lt;/RecNum&gt;&lt;DisplayText&gt;(Ministry of Trade and Industry 2020)&lt;/DisplayText&gt;&lt;record&gt;&lt;rec-number&gt;90&lt;/rec-number&gt;&lt;foreign-keys&gt;&lt;key app="EN" db-id="9ze0v2p5ut9294eed99p2s2tzvzzwsadrf2t" timestamp="1600816955"&gt;90&lt;/key&gt;&lt;/foreign-keys&gt;&lt;ref-type name="Web Page"&gt;12&lt;/ref-type&gt;&lt;contributors&gt;&lt;authors&gt;&lt;author&gt;Ministry of Trade and Industry,&lt;/author&gt;&lt;/authors&gt;&lt;/contributors&gt;&lt;titles&gt;&lt;title&gt;The Future Economy Council&lt;/title&gt;&lt;/titles&gt;&lt;number&gt;September 2020&lt;/number&gt;&lt;dates&gt;&lt;year&gt;2020&lt;/year&gt;&lt;/dates&gt;&lt;urls&gt;&lt;related-urls&gt;&lt;url&gt;https://www.mti.gov.sg/FutureEconomy/Economic-Clusters&lt;/url&gt;&lt;/related-urls&gt;&lt;/urls&gt;&lt;/record&gt;&lt;/Cite&gt;&lt;/EndNote&gt;</w:instrText>
      </w:r>
      <w:r w:rsidRPr="009E2BBE">
        <w:fldChar w:fldCharType="separate"/>
      </w:r>
      <w:r w:rsidRPr="009E2BBE">
        <w:t>(</w:t>
      </w:r>
      <w:r w:rsidR="006C293E" w:rsidRPr="009E2BBE">
        <w:t xml:space="preserve">Singapore </w:t>
      </w:r>
      <w:r w:rsidRPr="009E2BBE">
        <w:t>Ministry of Trade and Industry 2020)</w:t>
      </w:r>
      <w:r w:rsidRPr="009E2BBE">
        <w:fldChar w:fldCharType="end"/>
      </w:r>
      <w:r w:rsidRPr="009E2BBE">
        <w:t>.</w:t>
      </w:r>
    </w:p>
    <w:p w14:paraId="3AD6BBB9" w14:textId="4D1CBAEC" w:rsidR="008E46A2" w:rsidRPr="009E2BBE" w:rsidRDefault="008E46A2" w:rsidP="008E46A2">
      <w:pPr>
        <w:pStyle w:val="Text"/>
      </w:pPr>
      <w:r w:rsidRPr="009E2BBE">
        <w:t xml:space="preserve">Details about the way these subcommittees are appointed or run appears not to be publicly available. </w:t>
      </w:r>
      <w:proofErr w:type="spellStart"/>
      <w:r w:rsidRPr="009E2BBE">
        <w:t>SkillsFuture</w:t>
      </w:r>
      <w:proofErr w:type="spellEnd"/>
      <w:r w:rsidRPr="009E2BBE">
        <w:t xml:space="preserve"> Singapore is not involved in the subcommittee work before approval stage. </w:t>
      </w:r>
      <w:bookmarkStart w:id="68" w:name="_Hlk52359149"/>
      <w:r w:rsidRPr="009E2BBE">
        <w:t xml:space="preserve">Proposals </w:t>
      </w:r>
      <w:r w:rsidR="00AE0CC0" w:rsidRPr="009E2BBE">
        <w:t>to add</w:t>
      </w:r>
      <w:r w:rsidRPr="009E2BBE">
        <w:t xml:space="preserve"> new</w:t>
      </w:r>
      <w:r w:rsidR="00AE0CC0" w:rsidRPr="009E2BBE">
        <w:t xml:space="preserve"> qualifications</w:t>
      </w:r>
      <w:r w:rsidRPr="009E2BBE">
        <w:t xml:space="preserve"> or </w:t>
      </w:r>
      <w:proofErr w:type="gramStart"/>
      <w:r w:rsidR="00AE0CC0" w:rsidRPr="009E2BBE">
        <w:t>make revisions to</w:t>
      </w:r>
      <w:proofErr w:type="gramEnd"/>
      <w:r w:rsidR="00AE0CC0" w:rsidRPr="009E2BBE">
        <w:t xml:space="preserve"> existing</w:t>
      </w:r>
      <w:r w:rsidRPr="009E2BBE">
        <w:t xml:space="preserve"> qualifications are approved by the </w:t>
      </w:r>
      <w:r w:rsidR="00AE0CC0" w:rsidRPr="009E2BBE">
        <w:t>Q</w:t>
      </w:r>
      <w:r w:rsidRPr="009E2BBE">
        <w:t xml:space="preserve">uality </w:t>
      </w:r>
      <w:r w:rsidR="00AE0CC0" w:rsidRPr="009E2BBE">
        <w:t>M</w:t>
      </w:r>
      <w:r w:rsidRPr="009E2BBE">
        <w:t xml:space="preserve">anagement Division of </w:t>
      </w:r>
      <w:proofErr w:type="spellStart"/>
      <w:r w:rsidRPr="009E2BBE">
        <w:t>SkillsFuture</w:t>
      </w:r>
      <w:proofErr w:type="spellEnd"/>
      <w:r w:rsidRPr="009E2BBE">
        <w:t xml:space="preserve"> Singapore, while draft qualification</w:t>
      </w:r>
      <w:r w:rsidR="00AE0CC0" w:rsidRPr="009E2BBE">
        <w:t xml:space="preserve"> content is</w:t>
      </w:r>
      <w:r w:rsidRPr="009E2BBE">
        <w:t xml:space="preserve"> approved by the </w:t>
      </w:r>
      <w:r w:rsidR="007105E6" w:rsidRPr="009E2BBE">
        <w:t>Skills Development Division</w:t>
      </w:r>
      <w:r w:rsidRPr="009E2BBE">
        <w:t xml:space="preserve">. </w:t>
      </w:r>
    </w:p>
    <w:bookmarkEnd w:id="68"/>
    <w:p w14:paraId="5AEC6A5E" w14:textId="77777777" w:rsidR="008E46A2" w:rsidRPr="009E2BBE" w:rsidRDefault="008E46A2" w:rsidP="008E46A2">
      <w:pPr>
        <w:pStyle w:val="Heading3"/>
      </w:pPr>
      <w:r w:rsidRPr="009E2BBE">
        <w:t>Speed-to-market</w:t>
      </w:r>
    </w:p>
    <w:p w14:paraId="3AB980E6" w14:textId="77777777" w:rsidR="008E46A2" w:rsidRPr="009E2BBE" w:rsidRDefault="008E46A2" w:rsidP="008E46A2">
      <w:pPr>
        <w:pStyle w:val="Text"/>
      </w:pPr>
      <w:r w:rsidRPr="009E2BBE">
        <w:t xml:space="preserve">No information discovered. </w:t>
      </w:r>
    </w:p>
    <w:p w14:paraId="7992CED8" w14:textId="77777777" w:rsidR="008E46A2" w:rsidRPr="009E2BBE" w:rsidRDefault="008E46A2" w:rsidP="008E46A2">
      <w:pPr>
        <w:pStyle w:val="Heading2"/>
      </w:pPr>
      <w:bookmarkStart w:id="69" w:name="_Toc50622112"/>
      <w:bookmarkStart w:id="70" w:name="_Toc65741375"/>
      <w:r w:rsidRPr="009E2BBE">
        <w:t>Qualification design</w:t>
      </w:r>
      <w:bookmarkEnd w:id="69"/>
      <w:bookmarkEnd w:id="70"/>
      <w:r w:rsidRPr="009E2BBE">
        <w:t xml:space="preserve"> </w:t>
      </w:r>
    </w:p>
    <w:p w14:paraId="101625C3" w14:textId="77777777" w:rsidR="008E46A2" w:rsidRPr="009E2BBE" w:rsidRDefault="008E46A2" w:rsidP="008E46A2">
      <w:pPr>
        <w:pStyle w:val="Heading3"/>
      </w:pPr>
      <w:r w:rsidRPr="009E2BBE">
        <w:t>Specificity of qualifications</w:t>
      </w:r>
    </w:p>
    <w:p w14:paraId="3CB375E5" w14:textId="4A9EF940" w:rsidR="008E46A2" w:rsidRPr="009E2BBE" w:rsidRDefault="008E46A2" w:rsidP="008E46A2">
      <w:pPr>
        <w:pStyle w:val="Text"/>
      </w:pPr>
      <w:r w:rsidRPr="009E2BBE">
        <w:t xml:space="preserve">Skills maps for job roles developed under the Skills Framework contain the following components (examples drawn from the Sales Associate/Brand Associate skills map </w:t>
      </w:r>
      <w:r w:rsidRPr="009E2BBE">
        <w:fldChar w:fldCharType="begin"/>
      </w:r>
      <w:r w:rsidRPr="009E2BBE">
        <w:instrText xml:space="preserve"> ADDIN EN.CITE &lt;EndNote&gt;&lt;Cite&gt;&lt;Author&gt;SkillsFuture Singapore&lt;/Author&gt;&lt;Year&gt;2020&lt;/Year&gt;&lt;RecNum&gt;92&lt;/RecNum&gt;&lt;DisplayText&gt;(SkillsFuture Singapore 2020)&lt;/DisplayText&gt;&lt;record&gt;&lt;rec-number&gt;92&lt;/rec-number&gt;&lt;foreign-keys&gt;&lt;key app="EN" db-id="9ze0v2p5ut9294eed99p2s2tzvzzwsadrf2t" timestamp="1600820235"&gt;92&lt;/key&gt;&lt;/foreign-keys&gt;&lt;ref-type name="Government Document"&gt;46&lt;/ref-type&gt;&lt;contributors&gt;&lt;authors&gt;&lt;author&gt;SkillsFuture Singapore,&lt;/author&gt;&lt;/authors&gt;&lt;/contributors&gt;&lt;titles&gt;&lt;title&gt;Skills map - sales associate/brand associate&lt;/title&gt;&lt;/titles&gt;&lt;dates&gt;&lt;year&gt;2020&lt;/year&gt;&lt;/dates&gt;&lt;pub-location&gt;Singapore&lt;/pub-location&gt;&lt;publisher&gt;Government of Singapore&lt;/publisher&gt;&lt;urls&gt;&lt;related-urls&gt;&lt;url&gt;https://www.skillsfuture.sg/skills-framework/retail&lt;/url&gt;&lt;/related-urls&gt;&lt;/urls&gt;&lt;access-date&gt;September 2020&lt;/access-date&gt;&lt;/record&gt;&lt;/Cite&gt;&lt;/EndNote&gt;</w:instrText>
      </w:r>
      <w:r w:rsidRPr="009E2BBE">
        <w:fldChar w:fldCharType="separate"/>
      </w:r>
      <w:r w:rsidR="00700303" w:rsidRPr="009E2BBE">
        <w:t>[</w:t>
      </w:r>
      <w:r w:rsidRPr="009E2BBE">
        <w:t>SkillsFuture Singapore 2020</w:t>
      </w:r>
      <w:r w:rsidR="00700303" w:rsidRPr="009E2BBE">
        <w:t>]</w:t>
      </w:r>
      <w:r w:rsidRPr="009E2BBE">
        <w:fldChar w:fldCharType="end"/>
      </w:r>
      <w:r w:rsidRPr="009E2BBE">
        <w:t xml:space="preserve">): </w:t>
      </w:r>
    </w:p>
    <w:p w14:paraId="4BBE93AE" w14:textId="462C6146" w:rsidR="008E46A2" w:rsidRPr="009E2BBE" w:rsidRDefault="00727A2C" w:rsidP="008E46A2">
      <w:pPr>
        <w:pStyle w:val="Dotpoint10"/>
      </w:pPr>
      <w:r w:rsidRPr="009E2BBE">
        <w:t>s</w:t>
      </w:r>
      <w:r w:rsidR="008E46A2" w:rsidRPr="009E2BBE">
        <w:t xml:space="preserve">ector designation, </w:t>
      </w:r>
      <w:r w:rsidR="00700303" w:rsidRPr="009E2BBE">
        <w:t>for example,</w:t>
      </w:r>
      <w:r w:rsidR="008E46A2" w:rsidRPr="009E2BBE">
        <w:t xml:space="preserve"> </w:t>
      </w:r>
      <w:r w:rsidR="00A26B8A" w:rsidRPr="009E2BBE">
        <w:t>‘</w:t>
      </w:r>
      <w:r w:rsidR="008E46A2" w:rsidRPr="009E2BBE">
        <w:t>Retail</w:t>
      </w:r>
      <w:r w:rsidR="00A26B8A" w:rsidRPr="009E2BBE">
        <w:t>’</w:t>
      </w:r>
    </w:p>
    <w:p w14:paraId="69344A9B" w14:textId="3305AB03" w:rsidR="008E46A2" w:rsidRPr="009E2BBE" w:rsidRDefault="00727A2C" w:rsidP="008E46A2">
      <w:pPr>
        <w:pStyle w:val="Dotpoint10"/>
      </w:pPr>
      <w:r w:rsidRPr="009E2BBE">
        <w:t>t</w:t>
      </w:r>
      <w:r w:rsidR="008E46A2" w:rsidRPr="009E2BBE">
        <w:t xml:space="preserve">rack designation, </w:t>
      </w:r>
      <w:r w:rsidR="00700303" w:rsidRPr="009E2BBE">
        <w:t>for example,</w:t>
      </w:r>
      <w:r w:rsidR="008E46A2" w:rsidRPr="009E2BBE">
        <w:t xml:space="preserve"> </w:t>
      </w:r>
      <w:r w:rsidR="00A26B8A" w:rsidRPr="009E2BBE">
        <w:t>‘</w:t>
      </w:r>
      <w:r w:rsidR="008E46A2" w:rsidRPr="009E2BBE">
        <w:t>Retail operations</w:t>
      </w:r>
      <w:r w:rsidR="00A26B8A" w:rsidRPr="009E2BBE">
        <w:t>’</w:t>
      </w:r>
    </w:p>
    <w:p w14:paraId="161F18B1" w14:textId="0558DCE5" w:rsidR="008E46A2" w:rsidRPr="009E2BBE" w:rsidRDefault="00727A2C" w:rsidP="008E46A2">
      <w:pPr>
        <w:pStyle w:val="Dotpoint10"/>
      </w:pPr>
      <w:r w:rsidRPr="009E2BBE">
        <w:t>o</w:t>
      </w:r>
      <w:r w:rsidR="008E46A2" w:rsidRPr="009E2BBE">
        <w:t xml:space="preserve">ccupation/s, </w:t>
      </w:r>
      <w:r w:rsidR="00700303" w:rsidRPr="009E2BBE">
        <w:t>for example,</w:t>
      </w:r>
      <w:r w:rsidR="008E46A2" w:rsidRPr="009E2BBE">
        <w:t xml:space="preserve"> </w:t>
      </w:r>
      <w:r w:rsidR="00A26B8A" w:rsidRPr="009E2BBE">
        <w:t>‘</w:t>
      </w:r>
      <w:r w:rsidR="008E46A2" w:rsidRPr="009E2BBE">
        <w:t>Associate</w:t>
      </w:r>
      <w:r w:rsidR="00A26B8A" w:rsidRPr="009E2BBE">
        <w:t>’</w:t>
      </w:r>
    </w:p>
    <w:p w14:paraId="420305DC" w14:textId="642982A4" w:rsidR="008E46A2" w:rsidRPr="009E2BBE" w:rsidRDefault="00727A2C" w:rsidP="008E46A2">
      <w:pPr>
        <w:pStyle w:val="Dotpoint10"/>
      </w:pPr>
      <w:r w:rsidRPr="009E2BBE">
        <w:t>j</w:t>
      </w:r>
      <w:r w:rsidR="008E46A2" w:rsidRPr="009E2BBE">
        <w:t xml:space="preserve">ob role/s, </w:t>
      </w:r>
      <w:r w:rsidR="00700303" w:rsidRPr="009E2BBE">
        <w:t>for example,</w:t>
      </w:r>
      <w:r w:rsidR="008E46A2" w:rsidRPr="009E2BBE">
        <w:t xml:space="preserve"> </w:t>
      </w:r>
      <w:r w:rsidR="00A26B8A" w:rsidRPr="009E2BBE">
        <w:t>‘</w:t>
      </w:r>
      <w:r w:rsidR="008E46A2" w:rsidRPr="009E2BBE">
        <w:t>Sales Associate/Brand Associate</w:t>
      </w:r>
    </w:p>
    <w:p w14:paraId="09048E4F" w14:textId="5581F514" w:rsidR="008E46A2" w:rsidRPr="009E2BBE" w:rsidRDefault="00727A2C" w:rsidP="008E46A2">
      <w:pPr>
        <w:pStyle w:val="Dotpoint10"/>
      </w:pPr>
      <w:r w:rsidRPr="009E2BBE">
        <w:t>j</w:t>
      </w:r>
      <w:r w:rsidR="008E46A2" w:rsidRPr="009E2BBE">
        <w:t>ob role description</w:t>
      </w:r>
      <w:r w:rsidR="00700303" w:rsidRPr="009E2BBE">
        <w:t>,</w:t>
      </w:r>
      <w:r w:rsidR="008E46A2" w:rsidRPr="009E2BBE">
        <w:t xml:space="preserve"> </w:t>
      </w:r>
      <w:r w:rsidR="00700303" w:rsidRPr="009E2BBE">
        <w:t>for example,</w:t>
      </w:r>
      <w:r w:rsidR="008E46A2" w:rsidRPr="009E2BBE">
        <w:t xml:space="preserve"> </w:t>
      </w:r>
      <w:r w:rsidR="00A26B8A" w:rsidRPr="009E2BBE">
        <w:t>‘</w:t>
      </w:r>
      <w:r w:rsidR="008E46A2" w:rsidRPr="009E2BBE">
        <w:t>The Sales Associate/Brand Associate is responsible for achieving sales, delivering service and operations excellence</w:t>
      </w:r>
      <w:r w:rsidR="003527D8" w:rsidRPr="009E2BBE">
        <w:t xml:space="preserve"> …</w:t>
      </w:r>
      <w:r w:rsidR="00A26B8A" w:rsidRPr="009E2BBE">
        <w:t>’</w:t>
      </w:r>
    </w:p>
    <w:p w14:paraId="0ED427D2" w14:textId="3BA93F29" w:rsidR="008E46A2" w:rsidRPr="009E2BBE" w:rsidRDefault="00727A2C" w:rsidP="008E46A2">
      <w:pPr>
        <w:pStyle w:val="Dotpoint10"/>
      </w:pPr>
      <w:r w:rsidRPr="009E2BBE">
        <w:t>c</w:t>
      </w:r>
      <w:r w:rsidR="008E46A2" w:rsidRPr="009E2BBE">
        <w:t>ritical work functions</w:t>
      </w:r>
      <w:r w:rsidR="00700303" w:rsidRPr="009E2BBE">
        <w:t>,</w:t>
      </w:r>
      <w:r w:rsidR="008E46A2" w:rsidRPr="009E2BBE">
        <w:t xml:space="preserve"> </w:t>
      </w:r>
      <w:r w:rsidR="00700303" w:rsidRPr="009E2BBE">
        <w:t>for example,</w:t>
      </w:r>
      <w:r w:rsidR="008E46A2" w:rsidRPr="009E2BBE">
        <w:t xml:space="preserve"> </w:t>
      </w:r>
      <w:r w:rsidR="00A26B8A" w:rsidRPr="009E2BBE">
        <w:t>‘</w:t>
      </w:r>
      <w:r w:rsidR="008E46A2" w:rsidRPr="009E2BBE">
        <w:t>Deliver service excellence</w:t>
      </w:r>
      <w:r w:rsidR="00A26B8A" w:rsidRPr="009E2BBE">
        <w:t>’</w:t>
      </w:r>
    </w:p>
    <w:p w14:paraId="7C0862D3" w14:textId="2B20450C" w:rsidR="008E46A2" w:rsidRPr="009E2BBE" w:rsidRDefault="00727A2C" w:rsidP="008E46A2">
      <w:pPr>
        <w:pStyle w:val="Dotpoint10"/>
      </w:pPr>
      <w:r w:rsidRPr="009E2BBE">
        <w:t>k</w:t>
      </w:r>
      <w:r w:rsidR="008E46A2" w:rsidRPr="009E2BBE">
        <w:t>ey tasks/performance expectations</w:t>
      </w:r>
      <w:r w:rsidR="00700303" w:rsidRPr="009E2BBE">
        <w:t>,</w:t>
      </w:r>
      <w:r w:rsidR="008E46A2" w:rsidRPr="009E2BBE">
        <w:t xml:space="preserve"> </w:t>
      </w:r>
      <w:r w:rsidR="00700303" w:rsidRPr="009E2BBE">
        <w:t>for example,</w:t>
      </w:r>
      <w:r w:rsidR="008E46A2" w:rsidRPr="009E2BBE">
        <w:t xml:space="preserve"> </w:t>
      </w:r>
      <w:r w:rsidR="00A26B8A" w:rsidRPr="009E2BBE">
        <w:t>‘</w:t>
      </w:r>
      <w:r w:rsidR="008E46A2" w:rsidRPr="009E2BBE">
        <w:t>Project a positive and professional image</w:t>
      </w:r>
      <w:r w:rsidR="00A26B8A" w:rsidRPr="009E2BBE">
        <w:t>’</w:t>
      </w:r>
    </w:p>
    <w:p w14:paraId="68C43A0D" w14:textId="7B45AFAB" w:rsidR="008E46A2" w:rsidRPr="009E2BBE" w:rsidRDefault="00727A2C" w:rsidP="008E46A2">
      <w:pPr>
        <w:pStyle w:val="Dotpoint10"/>
      </w:pPr>
      <w:r w:rsidRPr="009E2BBE">
        <w:t>t</w:t>
      </w:r>
      <w:r w:rsidR="008E46A2" w:rsidRPr="009E2BBE">
        <w:t>echnical skills and competencies and their levels</w:t>
      </w:r>
      <w:r w:rsidR="00700303" w:rsidRPr="009E2BBE">
        <w:t>,</w:t>
      </w:r>
      <w:r w:rsidR="008E46A2" w:rsidRPr="009E2BBE">
        <w:t xml:space="preserve"> </w:t>
      </w:r>
      <w:r w:rsidR="00700303" w:rsidRPr="009E2BBE">
        <w:t>for example,</w:t>
      </w:r>
      <w:r w:rsidR="008E46A2" w:rsidRPr="009E2BBE">
        <w:t xml:space="preserve"> </w:t>
      </w:r>
      <w:r w:rsidR="00A26B8A" w:rsidRPr="009E2BBE">
        <w:t>‘</w:t>
      </w:r>
      <w:r w:rsidR="008E46A2" w:rsidRPr="009E2BBE">
        <w:t>Customer Loyalty Level 2</w:t>
      </w:r>
      <w:r w:rsidR="00A26B8A" w:rsidRPr="009E2BBE">
        <w:t>’</w:t>
      </w:r>
    </w:p>
    <w:p w14:paraId="4AF3F93C" w14:textId="0E16471D" w:rsidR="008E46A2" w:rsidRPr="009E2BBE" w:rsidRDefault="00727A2C" w:rsidP="008E46A2">
      <w:pPr>
        <w:pStyle w:val="Dotpoint10"/>
      </w:pPr>
      <w:r w:rsidRPr="009E2BBE">
        <w:t>g</w:t>
      </w:r>
      <w:r w:rsidR="008E46A2" w:rsidRPr="009E2BBE">
        <w:t>eneric skills and competencies and their levels</w:t>
      </w:r>
      <w:r w:rsidR="00700303" w:rsidRPr="009E2BBE">
        <w:t>, for example,</w:t>
      </w:r>
      <w:r w:rsidR="008E46A2" w:rsidRPr="009E2BBE">
        <w:t xml:space="preserve"> </w:t>
      </w:r>
      <w:r w:rsidR="00A26B8A" w:rsidRPr="009E2BBE">
        <w:t>‘</w:t>
      </w:r>
      <w:r w:rsidR="008E46A2" w:rsidRPr="009E2BBE">
        <w:t>Interpersonal skills: basic</w:t>
      </w:r>
      <w:r w:rsidR="00A26B8A" w:rsidRPr="009E2BBE">
        <w:t>’</w:t>
      </w:r>
    </w:p>
    <w:p w14:paraId="0CAD5DF3" w14:textId="6348930C" w:rsidR="008E46A2" w:rsidRPr="009E2BBE" w:rsidRDefault="00727A2C" w:rsidP="008E46A2">
      <w:pPr>
        <w:pStyle w:val="Dotpoint10"/>
      </w:pPr>
      <w:r w:rsidRPr="009E2BBE">
        <w:t>p</w:t>
      </w:r>
      <w:r w:rsidR="008E46A2" w:rsidRPr="009E2BBE">
        <w:t>rogram listing: where you can find related training programs</w:t>
      </w:r>
      <w:r w:rsidRPr="009E2BBE">
        <w:t>.</w:t>
      </w:r>
    </w:p>
    <w:p w14:paraId="71F9DD02" w14:textId="03DE5B03" w:rsidR="008E46A2" w:rsidRPr="009E2BBE" w:rsidRDefault="008E46A2" w:rsidP="008E46A2">
      <w:pPr>
        <w:pStyle w:val="Text"/>
      </w:pPr>
      <w:r w:rsidRPr="009E2BBE">
        <w:t>Qualifications are linked to both an industry and occupation. Since the industry groups are already identified by the clustering of the ITMs, the skills maps reflect those groupings rather than being linked to an occupational classification framework</w:t>
      </w:r>
      <w:r w:rsidR="003B62C8" w:rsidRPr="009E2BBE">
        <w:t xml:space="preserve">. </w:t>
      </w:r>
    </w:p>
    <w:p w14:paraId="19A09C9A" w14:textId="58A9F5A7" w:rsidR="008E46A2" w:rsidRPr="009E2BBE" w:rsidRDefault="008E46A2" w:rsidP="008E46A2">
      <w:pPr>
        <w:pStyle w:val="Text"/>
      </w:pPr>
      <w:r w:rsidRPr="009E2BBE">
        <w:t>The technical and generic skills and competencies are drawn from a list of pre-articulated standards. The levels range from 1 to 6 and are described in terms of the responsibility, autonomy, complexity and knowledge and abilities required</w:t>
      </w:r>
      <w:r w:rsidR="00700303" w:rsidRPr="009E2BBE">
        <w:t>;</w:t>
      </w:r>
      <w:r w:rsidRPr="009E2BBE">
        <w:t xml:space="preserve"> </w:t>
      </w:r>
      <w:r w:rsidR="00700303" w:rsidRPr="009E2BBE">
        <w:t>for example,</w:t>
      </w:r>
      <w:r w:rsidRPr="009E2BBE">
        <w:t xml:space="preserve"> Level 2 demands that retail graduates can </w:t>
      </w:r>
      <w:r w:rsidR="00A26B8A" w:rsidRPr="009E2BBE">
        <w:t>‘</w:t>
      </w:r>
      <w:r w:rsidRPr="009E2BBE">
        <w:t>Work with some supervision</w:t>
      </w:r>
      <w:r w:rsidR="00A26B8A" w:rsidRPr="009E2BBE">
        <w:t>’</w:t>
      </w:r>
      <w:r w:rsidRPr="009E2BBE">
        <w:t xml:space="preserve"> and </w:t>
      </w:r>
      <w:r w:rsidR="00A26B8A" w:rsidRPr="009E2BBE">
        <w:t>‘</w:t>
      </w:r>
      <w:r w:rsidRPr="009E2BBE">
        <w:t>Are accountable for a broader set of tasks assigned</w:t>
      </w:r>
      <w:r w:rsidR="00A26B8A" w:rsidRPr="009E2BBE">
        <w:t>’</w:t>
      </w:r>
      <w:r w:rsidRPr="009E2BBE">
        <w:t xml:space="preserve"> etc. </w:t>
      </w:r>
      <w:r w:rsidRPr="009E2BBE">
        <w:fldChar w:fldCharType="begin"/>
      </w:r>
      <w:r w:rsidRPr="009E2BBE">
        <w:instrText xml:space="preserve"> ADDIN EN.CITE &lt;EndNote&gt;&lt;Cite&gt;&lt;Author&gt;SkillsFuture Singapore&lt;/Author&gt;&lt;Year&gt;2020&lt;/Year&gt;&lt;RecNum&gt;91&lt;/RecNum&gt;&lt;DisplayText&gt;(SkillsFuture Singapore 2020)&lt;/DisplayText&gt;&lt;record&gt;&lt;rec-number&gt;91&lt;/rec-number&gt;&lt;foreign-keys&gt;&lt;key app="EN" db-id="9ze0v2p5ut9294eed99p2s2tzvzzwsadrf2t" timestamp="1600819973"&gt;91&lt;/key&gt;&lt;/foreign-keys&gt;&lt;ref-type name="Government Document"&gt;46&lt;/ref-type&gt;&lt;contributors&gt;&lt;authors&gt;&lt;author&gt;SkillsFuture Singapore,&lt;/author&gt;&lt;/authors&gt;&lt;/contributors&gt;&lt;titles&gt;&lt;title&gt;Overview of Technical Skills and Competencies&lt;/title&gt;&lt;/titles&gt;&lt;dates&gt;&lt;year&gt;2020&lt;/year&gt;&lt;/dates&gt;&lt;pub-location&gt;Singapore&lt;/pub-location&gt;&lt;publisher&gt;Government of Singapore&lt;/publisher&gt;&lt;urls&gt;&lt;related-urls&gt;&lt;url&gt;https://www.skillsfuture.sg/-/media/SkillsFuture/Initiatives/Files/SF-for-Human-Resource/iv-TSCGSC/TSC_overview_20180524.pdf?la=en&lt;/url&gt;&lt;/related-urls&gt;&lt;/urls&gt;&lt;access-date&gt;September 2020&lt;/access-date&gt;&lt;/record&gt;&lt;/Cite&gt;&lt;/EndNote&gt;</w:instrText>
      </w:r>
      <w:r w:rsidRPr="009E2BBE">
        <w:fldChar w:fldCharType="separate"/>
      </w:r>
      <w:r w:rsidRPr="009E2BBE">
        <w:t>(SkillsFuture Singapore 2020)</w:t>
      </w:r>
      <w:r w:rsidRPr="009E2BBE">
        <w:fldChar w:fldCharType="end"/>
      </w:r>
      <w:r w:rsidRPr="009E2BBE">
        <w:t>.</w:t>
      </w:r>
    </w:p>
    <w:p w14:paraId="41A4719F" w14:textId="3DF5F6CD" w:rsidR="008E46A2" w:rsidRPr="009E2BBE" w:rsidRDefault="008E46A2" w:rsidP="008E46A2">
      <w:pPr>
        <w:pStyle w:val="Text"/>
      </w:pPr>
      <w:r w:rsidRPr="009E2BBE">
        <w:t>Stipulations about delivery or assessment are not included</w:t>
      </w:r>
      <w:r w:rsidR="00700303" w:rsidRPr="009E2BBE">
        <w:t>;</w:t>
      </w:r>
      <w:r w:rsidRPr="009E2BBE">
        <w:t xml:space="preserve"> the Skills Map is just </w:t>
      </w:r>
      <w:r w:rsidR="00574DA4" w:rsidRPr="009E2BBE">
        <w:t>three</w:t>
      </w:r>
      <w:r w:rsidRPr="009E2BBE">
        <w:t xml:space="preserve"> pages long</w:t>
      </w:r>
      <w:r w:rsidR="00700303" w:rsidRPr="009E2BBE">
        <w:t>,</w:t>
      </w:r>
      <w:r w:rsidRPr="009E2BBE">
        <w:t xml:space="preserve"> with guidance on how to interpret the levels and competencies included in </w:t>
      </w:r>
      <w:r w:rsidR="00700303" w:rsidRPr="009E2BBE">
        <w:t xml:space="preserve">the </w:t>
      </w:r>
      <w:r w:rsidRPr="009E2BBE">
        <w:t xml:space="preserve">supporting documents issued by </w:t>
      </w:r>
      <w:proofErr w:type="spellStart"/>
      <w:r w:rsidRPr="009E2BBE">
        <w:t>SkillsFuture</w:t>
      </w:r>
      <w:proofErr w:type="spellEnd"/>
      <w:r w:rsidRPr="009E2BBE">
        <w:t xml:space="preserve"> Singapore. The Skills Framework is not only intended to be used for the development of training programs; the </w:t>
      </w:r>
      <w:proofErr w:type="spellStart"/>
      <w:r w:rsidRPr="009E2BBE">
        <w:t>SkillsFuture</w:t>
      </w:r>
      <w:proofErr w:type="spellEnd"/>
      <w:r w:rsidRPr="009E2BBE">
        <w:t xml:space="preserve"> Singapore website hosts templates that allow users to insert the skills map competencies into an interview checklist, job advertisement, on-the-job training blueprint and performance appraisal </w:t>
      </w:r>
      <w:r w:rsidRPr="009E2BBE">
        <w:fldChar w:fldCharType="begin"/>
      </w:r>
      <w:r w:rsidRPr="009E2BBE">
        <w:instrText xml:space="preserve"> ADDIN EN.CITE &lt;EndNote&gt;&lt;Cite&gt;&lt;Author&gt;SkillsFuture Singapore&lt;/Author&gt;&lt;Year&gt;2020&lt;/Year&gt;&lt;RecNum&gt;92&lt;/RecNum&gt;&lt;DisplayText&gt;(SkillsFuture Singapore 2020)&lt;/DisplayText&gt;&lt;record&gt;&lt;rec-number&gt;92&lt;/rec-number&gt;&lt;foreign-keys&gt;&lt;key app="EN" db-id="9ze0v2p5ut9294eed99p2s2tzvzzwsadrf2t" timestamp="1600820235"&gt;92&lt;/key&gt;&lt;/foreign-keys&gt;&lt;ref-type name="Government Document"&gt;46&lt;/ref-type&gt;&lt;contributors&gt;&lt;authors&gt;&lt;author&gt;SkillsFuture Singapore,&lt;/author&gt;&lt;/authors&gt;&lt;/contributors&gt;&lt;titles&gt;&lt;title&gt;Skills map - sales associate/brand associate&lt;/title&gt;&lt;/titles&gt;&lt;dates&gt;&lt;year&gt;2020&lt;/year&gt;&lt;/dates&gt;&lt;pub-location&gt;Singapore&lt;/pub-location&gt;&lt;publisher&gt;Government of Singapore&lt;/publisher&gt;&lt;urls&gt;&lt;related-urls&gt;&lt;url&gt;https://www.skillsfuture.sg/skills-framework/retail&lt;/url&gt;&lt;/related-urls&gt;&lt;/urls&gt;&lt;access-date&gt;September 2020&lt;/access-date&gt;&lt;/record&gt;&lt;/Cite&gt;&lt;/EndNote&gt;</w:instrText>
      </w:r>
      <w:r w:rsidRPr="009E2BBE">
        <w:fldChar w:fldCharType="separate"/>
      </w:r>
      <w:r w:rsidRPr="009E2BBE">
        <w:t>(SkillsFuture Singapore 2020)</w:t>
      </w:r>
      <w:r w:rsidRPr="009E2BBE">
        <w:fldChar w:fldCharType="end"/>
      </w:r>
      <w:r w:rsidRPr="009E2BBE">
        <w:t>.</w:t>
      </w:r>
    </w:p>
    <w:p w14:paraId="7D11F7D6" w14:textId="77777777" w:rsidR="00FB0899" w:rsidRPr="009E2BBE" w:rsidRDefault="00FB0899">
      <w:pPr>
        <w:spacing w:before="0" w:line="240" w:lineRule="auto"/>
      </w:pPr>
      <w:r w:rsidRPr="009E2BBE">
        <w:br w:type="page"/>
      </w:r>
    </w:p>
    <w:p w14:paraId="5CA7CB02" w14:textId="3ADE4BE2" w:rsidR="008E46A2" w:rsidRPr="009E2BBE" w:rsidRDefault="008E46A2" w:rsidP="008E46A2">
      <w:pPr>
        <w:pStyle w:val="Text"/>
      </w:pPr>
      <w:r w:rsidRPr="009E2BBE">
        <w:t xml:space="preserve">Qualifications </w:t>
      </w:r>
      <w:r w:rsidR="002E00FB" w:rsidRPr="009E2BBE">
        <w:t xml:space="preserve">are </w:t>
      </w:r>
      <w:r w:rsidRPr="009E2BBE">
        <w:t>written based upon the Skills Maps and on</w:t>
      </w:r>
      <w:r w:rsidR="005830D6" w:rsidRPr="009E2BBE">
        <w:t xml:space="preserve"> the</w:t>
      </w:r>
      <w:r w:rsidRPr="009E2BBE">
        <w:t xml:space="preserve"> skills and competencies validated by employer</w:t>
      </w:r>
      <w:r w:rsidR="002E00FB" w:rsidRPr="009E2BBE">
        <w:t>s</w:t>
      </w:r>
      <w:r w:rsidRPr="009E2BBE">
        <w:t xml:space="preserve">, </w:t>
      </w:r>
      <w:proofErr w:type="gramStart"/>
      <w:r w:rsidRPr="009E2BBE">
        <w:t>unions</w:t>
      </w:r>
      <w:proofErr w:type="gramEnd"/>
      <w:r w:rsidRPr="009E2BBE">
        <w:t xml:space="preserve"> and professional bodies. Qualifications at all six levels must include a statement of overall learning outcomes</w:t>
      </w:r>
      <w:r w:rsidR="00700303" w:rsidRPr="009E2BBE">
        <w:t>, which</w:t>
      </w:r>
      <w:r w:rsidRPr="009E2BBE">
        <w:t xml:space="preserve"> describes how the learner must be able to function in the related job role. Additionally, capabilities must be written against each of five key requirements: </w:t>
      </w:r>
    </w:p>
    <w:p w14:paraId="2C23FB4C" w14:textId="77777777" w:rsidR="008E46A2" w:rsidRPr="009E2BBE" w:rsidRDefault="008E46A2" w:rsidP="008E46A2">
      <w:pPr>
        <w:pStyle w:val="Dotpoint10"/>
      </w:pPr>
      <w:r w:rsidRPr="009E2BBE">
        <w:t>knowledge and analysis</w:t>
      </w:r>
    </w:p>
    <w:p w14:paraId="7B6C57D7" w14:textId="77777777" w:rsidR="008E46A2" w:rsidRPr="009E2BBE" w:rsidRDefault="008E46A2" w:rsidP="008E46A2">
      <w:pPr>
        <w:pStyle w:val="Dotpoint10"/>
      </w:pPr>
      <w:r w:rsidRPr="009E2BBE">
        <w:t>application and adaptation</w:t>
      </w:r>
    </w:p>
    <w:p w14:paraId="0672CD05" w14:textId="77777777" w:rsidR="008E46A2" w:rsidRPr="009E2BBE" w:rsidRDefault="008E46A2" w:rsidP="008E46A2">
      <w:pPr>
        <w:pStyle w:val="Dotpoint10"/>
      </w:pPr>
      <w:r w:rsidRPr="009E2BBE">
        <w:t>innovation and value creation</w:t>
      </w:r>
    </w:p>
    <w:p w14:paraId="7D2FDA4E" w14:textId="77777777" w:rsidR="008E46A2" w:rsidRPr="009E2BBE" w:rsidRDefault="008E46A2" w:rsidP="008E46A2">
      <w:pPr>
        <w:pStyle w:val="Dotpoint10"/>
      </w:pPr>
      <w:r w:rsidRPr="009E2BBE">
        <w:t>social intelligence and ethics</w:t>
      </w:r>
    </w:p>
    <w:p w14:paraId="2FD6E9F5" w14:textId="0E9B6786" w:rsidR="008E46A2" w:rsidRPr="009E2BBE" w:rsidRDefault="008E46A2" w:rsidP="008E46A2">
      <w:pPr>
        <w:pStyle w:val="Dotpoint10"/>
      </w:pPr>
      <w:r w:rsidRPr="009E2BBE">
        <w:t xml:space="preserve">learning to learn </w:t>
      </w:r>
      <w:r w:rsidRPr="009E2BBE">
        <w:fldChar w:fldCharType="begin"/>
      </w:r>
      <w:r w:rsidR="00426A80" w:rsidRPr="009E2BBE">
        <w:instrText xml:space="preserve"> ADDIN EN.CITE &lt;EndNote&gt;&lt;Cite&gt;&lt;Author&gt;SkillsFuture Singapore&lt;/Author&gt;&lt;Year&gt;2020&lt;/Year&gt;&lt;RecNum&gt;89&lt;/RecNum&gt;&lt;DisplayText&gt;(SkillsFuture Singapore 2020)&lt;/DisplayText&gt;&lt;record&gt;&lt;rec-number&gt;89&lt;/rec-number&gt;&lt;foreign-keys&gt;&lt;key app="EN" db-id="9ze0v2p5ut9294eed99p2s2tzvzzwsadrf2t" timestamp="1600734442"&gt;89&lt;/key&gt;&lt;/foreign-keys&gt;&lt;ref-type name="Web Page"&gt;12&lt;/ref-type&gt;&lt;contributors&gt;&lt;authors&gt;&lt;author&gt;SkillsFuture Singapore,&lt;/author&gt;&lt;/authors&gt;&lt;/contributors&gt;&lt;titles&gt;&lt;title&gt;Singapore workforce skills qualifications (WSQ)&lt;/title&gt;&lt;/titles&gt;&lt;number&gt;September 2020&lt;/number&gt;&lt;dates&gt;&lt;year&gt;2020&lt;/year&gt;&lt;/dates&gt;&lt;publisher&gt;Singapore Government&lt;/publisher&gt;&lt;urls&gt;&lt;related-urls&gt;&lt;url&gt;https://www.ssg.gov.sg/wsq.html&lt;/url&gt;&lt;/related-urls&gt;&lt;/urls&gt;&lt;/record&gt;&lt;/Cite&gt;&lt;/EndNote&gt;</w:instrText>
      </w:r>
      <w:r w:rsidRPr="009E2BBE">
        <w:fldChar w:fldCharType="separate"/>
      </w:r>
      <w:r w:rsidRPr="009E2BBE">
        <w:t>(SkillsFuture Singapore 2020)</w:t>
      </w:r>
      <w:r w:rsidRPr="009E2BBE">
        <w:fldChar w:fldCharType="end"/>
      </w:r>
      <w:r w:rsidRPr="009E2BBE">
        <w:t>.</w:t>
      </w:r>
    </w:p>
    <w:p w14:paraId="62DA2D26" w14:textId="6D605C93" w:rsidR="008E46A2" w:rsidRPr="009E2BBE" w:rsidRDefault="008E46A2" w:rsidP="008E46A2">
      <w:pPr>
        <w:pStyle w:val="Heading3"/>
      </w:pPr>
      <w:r w:rsidRPr="009E2BBE">
        <w:t xml:space="preserve">Facilitation of pathways between school and </w:t>
      </w:r>
      <w:r w:rsidR="00574DA4" w:rsidRPr="009E2BBE">
        <w:t>higher education</w:t>
      </w:r>
    </w:p>
    <w:p w14:paraId="67030024" w14:textId="64964ED1" w:rsidR="008E46A2" w:rsidRPr="009E2BBE" w:rsidRDefault="008E46A2" w:rsidP="008E46A2">
      <w:pPr>
        <w:pStyle w:val="Text"/>
      </w:pPr>
      <w:r w:rsidRPr="009E2BBE">
        <w:t xml:space="preserve">The TVET system in Singapore enables lower and upper secondary students to choose a technical school track, which can connect back to an academic pathway in upper secondary and post-secondary education. Students undertake </w:t>
      </w:r>
      <w:r w:rsidR="00574DA4" w:rsidRPr="009E2BBE">
        <w:t>four</w:t>
      </w:r>
      <w:r w:rsidRPr="009E2BBE">
        <w:t xml:space="preserve"> years of study at a </w:t>
      </w:r>
      <w:r w:rsidR="00700303" w:rsidRPr="009E2BBE">
        <w:t xml:space="preserve">normal technical school </w:t>
      </w:r>
      <w:r w:rsidRPr="009E2BBE">
        <w:t xml:space="preserve">and then proceed on to complete </w:t>
      </w:r>
      <w:r w:rsidR="00700303" w:rsidRPr="009E2BBE">
        <w:t>two to three</w:t>
      </w:r>
      <w:r w:rsidRPr="009E2BBE">
        <w:t xml:space="preserve"> years of study at an </w:t>
      </w:r>
      <w:r w:rsidR="00700303" w:rsidRPr="009E2BBE">
        <w:t xml:space="preserve">institute of technical education </w:t>
      </w:r>
      <w:r w:rsidRPr="009E2BBE">
        <w:t xml:space="preserve">(ITE) or </w:t>
      </w:r>
      <w:r w:rsidR="00700303" w:rsidRPr="009E2BBE">
        <w:t>p</w:t>
      </w:r>
      <w:r w:rsidRPr="009E2BBE">
        <w:t xml:space="preserve">olytechnic. </w:t>
      </w:r>
    </w:p>
    <w:p w14:paraId="79295026" w14:textId="7CD152C0" w:rsidR="008E46A2" w:rsidRPr="009E2BBE" w:rsidRDefault="008E46A2" w:rsidP="008E46A2">
      <w:pPr>
        <w:pStyle w:val="Text"/>
      </w:pPr>
      <w:r w:rsidRPr="009E2BBE">
        <w:t xml:space="preserve">There are no formal pathways for transfer or recognition of credit, </w:t>
      </w:r>
      <w:r w:rsidR="00244EB7" w:rsidRPr="009E2BBE">
        <w:t xml:space="preserve">as </w:t>
      </w:r>
      <w:r w:rsidRPr="009E2BBE">
        <w:t>each educational institution makes its own polic</w:t>
      </w:r>
      <w:r w:rsidR="00244EB7" w:rsidRPr="009E2BBE">
        <w:t>i</w:t>
      </w:r>
      <w:r w:rsidRPr="009E2BBE">
        <w:t xml:space="preserve">es around assessment and recognition of qualifications. </w:t>
      </w:r>
    </w:p>
    <w:p w14:paraId="40F4B14C" w14:textId="57C263C0" w:rsidR="008E46A2" w:rsidRPr="009E2BBE" w:rsidRDefault="008E46A2" w:rsidP="008E46A2">
      <w:pPr>
        <w:pStyle w:val="Heading2"/>
      </w:pPr>
      <w:bookmarkStart w:id="71" w:name="_Toc50622113"/>
      <w:bookmarkStart w:id="72" w:name="_Toc65741376"/>
      <w:r w:rsidRPr="009E2BBE">
        <w:t xml:space="preserve">Review of </w:t>
      </w:r>
      <w:r w:rsidR="00EA3747" w:rsidRPr="009E2BBE">
        <w:t>qualification development process</w:t>
      </w:r>
      <w:bookmarkEnd w:id="71"/>
      <w:bookmarkEnd w:id="72"/>
    </w:p>
    <w:p w14:paraId="0642953E" w14:textId="2FAE8EA9" w:rsidR="008E46A2" w:rsidRPr="009E2BBE" w:rsidRDefault="008E46A2" w:rsidP="008E46A2">
      <w:pPr>
        <w:pStyle w:val="Text"/>
      </w:pPr>
      <w:r w:rsidRPr="009E2BBE">
        <w:t xml:space="preserve">There is no evidence of a review of the development process; however, mandatory core and elective modules rules have recently been relaxed. The new </w:t>
      </w:r>
      <w:r w:rsidR="00A26B8A" w:rsidRPr="009E2BBE">
        <w:t>‘</w:t>
      </w:r>
      <w:r w:rsidRPr="009E2BBE">
        <w:t>free bundling</w:t>
      </w:r>
      <w:r w:rsidR="00A26B8A" w:rsidRPr="009E2BBE">
        <w:t>’</w:t>
      </w:r>
      <w:r w:rsidRPr="009E2BBE">
        <w:t xml:space="preserve"> approach is intended to allow qualifications to have more flexibility in how they address the jobs and skills information in the Skills Framework </w:t>
      </w:r>
      <w:r w:rsidRPr="009E2BBE">
        <w:fldChar w:fldCharType="begin"/>
      </w:r>
      <w:r w:rsidR="00426A80" w:rsidRPr="009E2BBE">
        <w:instrText xml:space="preserve"> ADDIN EN.CITE &lt;EndNote&gt;&lt;Cite&gt;&lt;Author&gt;SkillsFuture Singapore&lt;/Author&gt;&lt;Year&gt;2020&lt;/Year&gt;&lt;RecNum&gt;89&lt;/RecNum&gt;&lt;DisplayText&gt;(SkillsFuture Singapore 2020)&lt;/DisplayText&gt;&lt;record&gt;&lt;rec-number&gt;89&lt;/rec-number&gt;&lt;foreign-keys&gt;&lt;key app="EN" db-id="9ze0v2p5ut9294eed99p2s2tzvzzwsadrf2t" timestamp="1600734442"&gt;89&lt;/key&gt;&lt;/foreign-keys&gt;&lt;ref-type name="Web Page"&gt;12&lt;/ref-type&gt;&lt;contributors&gt;&lt;authors&gt;&lt;author&gt;SkillsFuture Singapore,&lt;/author&gt;&lt;/authors&gt;&lt;/contributors&gt;&lt;titles&gt;&lt;title&gt;Singapore workforce skills qualifications (WSQ)&lt;/title&gt;&lt;/titles&gt;&lt;number&gt;September 2020&lt;/number&gt;&lt;dates&gt;&lt;year&gt;2020&lt;/year&gt;&lt;/dates&gt;&lt;publisher&gt;Singapore Government&lt;/publisher&gt;&lt;urls&gt;&lt;related-urls&gt;&lt;url&gt;https://www.ssg.gov.sg/wsq.html&lt;/url&gt;&lt;/related-urls&gt;&lt;/urls&gt;&lt;/record&gt;&lt;/Cite&gt;&lt;/EndNote&gt;</w:instrText>
      </w:r>
      <w:r w:rsidRPr="009E2BBE">
        <w:fldChar w:fldCharType="separate"/>
      </w:r>
      <w:r w:rsidRPr="009E2BBE">
        <w:t>(SkillsFuture Singapore 2020)</w:t>
      </w:r>
      <w:r w:rsidRPr="009E2BBE">
        <w:fldChar w:fldCharType="end"/>
      </w:r>
      <w:r w:rsidRPr="009E2BBE">
        <w:t xml:space="preserve">. </w:t>
      </w:r>
    </w:p>
    <w:p w14:paraId="43641CD4" w14:textId="77777777" w:rsidR="008E46A2" w:rsidRPr="009E2BBE" w:rsidRDefault="008E46A2" w:rsidP="008E46A2">
      <w:pPr>
        <w:pStyle w:val="Text"/>
        <w:rPr>
          <w:rFonts w:ascii="Arial" w:hAnsi="Arial" w:cs="Tahoma"/>
          <w:color w:val="000000"/>
          <w:kern w:val="28"/>
          <w:sz w:val="44"/>
          <w:szCs w:val="56"/>
        </w:rPr>
      </w:pPr>
      <w:r w:rsidRPr="009E2BBE">
        <w:br w:type="page"/>
      </w:r>
    </w:p>
    <w:p w14:paraId="0AC37740" w14:textId="5823B3FB" w:rsidR="002D5112" w:rsidRPr="009E2BBE" w:rsidRDefault="002D5112" w:rsidP="002D5112">
      <w:pPr>
        <w:pStyle w:val="Heading1"/>
      </w:pPr>
      <w:bookmarkStart w:id="73" w:name="_Toc65741377"/>
      <w:r w:rsidRPr="009E2BBE">
        <w:t>South Africa</w:t>
      </w:r>
      <w:bookmarkEnd w:id="73"/>
    </w:p>
    <w:p w14:paraId="50F8EB83" w14:textId="7161CE2B" w:rsidR="00EA35ED" w:rsidRPr="009E2BBE" w:rsidRDefault="00EA35ED" w:rsidP="00EA35ED">
      <w:pPr>
        <w:pStyle w:val="Heading2"/>
      </w:pPr>
      <w:bookmarkStart w:id="74" w:name="_Toc65741378"/>
      <w:r w:rsidRPr="009E2BBE">
        <w:t>Overview</w:t>
      </w:r>
      <w:bookmarkEnd w:id="74"/>
    </w:p>
    <w:p w14:paraId="2F55C70B" w14:textId="7DDA48BE" w:rsidR="00524D58" w:rsidRPr="009E2BBE" w:rsidRDefault="00524D58" w:rsidP="00524D58">
      <w:pPr>
        <w:pStyle w:val="Text"/>
      </w:pPr>
      <w:r w:rsidRPr="009E2BBE">
        <w:t>The National Qualifications Framework</w:t>
      </w:r>
      <w:r w:rsidR="00D57514" w:rsidRPr="009E2BBE">
        <w:t xml:space="preserve"> (NQF)</w:t>
      </w:r>
      <w:r w:rsidRPr="009E2BBE">
        <w:t xml:space="preserve"> in South Africa consists of </w:t>
      </w:r>
      <w:r w:rsidR="00700303" w:rsidRPr="009E2BBE">
        <w:t>10</w:t>
      </w:r>
      <w:r w:rsidRPr="009E2BBE">
        <w:t xml:space="preserve"> levels</w:t>
      </w:r>
      <w:r w:rsidR="00700303" w:rsidRPr="009E2BBE">
        <w:t>,</w:t>
      </w:r>
      <w:r w:rsidRPr="009E2BBE">
        <w:t xml:space="preserve"> ranging from a general certificate of education</w:t>
      </w:r>
      <w:r w:rsidR="00F00F38" w:rsidRPr="009E2BBE">
        <w:t>,</w:t>
      </w:r>
      <w:r w:rsidRPr="009E2BBE">
        <w:t xml:space="preserve"> through to a doctoral degree. Within the framework are three sub-frameworks dealing with:</w:t>
      </w:r>
    </w:p>
    <w:p w14:paraId="4280252D" w14:textId="58F04396" w:rsidR="00524D58" w:rsidRPr="009E2BBE" w:rsidRDefault="00F773D7" w:rsidP="00F773D7">
      <w:pPr>
        <w:pStyle w:val="Dotpoint10"/>
      </w:pPr>
      <w:r w:rsidRPr="009E2BBE">
        <w:t>h</w:t>
      </w:r>
      <w:r w:rsidR="00524D58" w:rsidRPr="009E2BBE">
        <w:t>igher education</w:t>
      </w:r>
    </w:p>
    <w:p w14:paraId="43578A92" w14:textId="44A5C17C" w:rsidR="00524D58" w:rsidRPr="009E2BBE" w:rsidRDefault="00F773D7" w:rsidP="00F773D7">
      <w:pPr>
        <w:pStyle w:val="Dotpoint10"/>
      </w:pPr>
      <w:r w:rsidRPr="009E2BBE">
        <w:t>g</w:t>
      </w:r>
      <w:r w:rsidR="00524D58" w:rsidRPr="009E2BBE">
        <w:t>eneral and further education and training</w:t>
      </w:r>
    </w:p>
    <w:p w14:paraId="5556EAD7" w14:textId="66BFDBEB" w:rsidR="00524D58" w:rsidRPr="009E2BBE" w:rsidRDefault="00F773D7" w:rsidP="00F773D7">
      <w:pPr>
        <w:pStyle w:val="Dotpoint10"/>
      </w:pPr>
      <w:r w:rsidRPr="009E2BBE">
        <w:t>o</w:t>
      </w:r>
      <w:r w:rsidR="00524D58" w:rsidRPr="009E2BBE">
        <w:t>ccupational qualifications.</w:t>
      </w:r>
    </w:p>
    <w:p w14:paraId="7AE1ED3F" w14:textId="27B1EC8A" w:rsidR="007A0192" w:rsidRPr="009E2BBE" w:rsidRDefault="00524D58" w:rsidP="00524D58">
      <w:pPr>
        <w:pStyle w:val="Text"/>
      </w:pPr>
      <w:r w:rsidRPr="009E2BBE">
        <w:t xml:space="preserve">Each of these sub-frameworks </w:t>
      </w:r>
      <w:r w:rsidR="00F00F38" w:rsidRPr="009E2BBE">
        <w:t>is</w:t>
      </w:r>
      <w:r w:rsidRPr="009E2BBE">
        <w:t xml:space="preserve"> managed by a different </w:t>
      </w:r>
      <w:r w:rsidR="00700303" w:rsidRPr="009E2BBE">
        <w:t>quality council; quality councils are</w:t>
      </w:r>
      <w:r w:rsidRPr="009E2BBE">
        <w:t xml:space="preserve"> responsible for the development of </w:t>
      </w:r>
      <w:r w:rsidR="007A0192" w:rsidRPr="009E2BBE">
        <w:t>qualifications. These councils are:</w:t>
      </w:r>
    </w:p>
    <w:p w14:paraId="394AE3BF" w14:textId="6F96D0E7" w:rsidR="007A0192" w:rsidRPr="009E2BBE" w:rsidRDefault="007A0192" w:rsidP="007A0192">
      <w:pPr>
        <w:pStyle w:val="Dotpoint10"/>
      </w:pPr>
      <w:r w:rsidRPr="009E2BBE">
        <w:t>Council on Higher Education (CHE)</w:t>
      </w:r>
    </w:p>
    <w:p w14:paraId="07D91061" w14:textId="0D5DF4D1" w:rsidR="007A0192" w:rsidRPr="009E2BBE" w:rsidRDefault="007A0192" w:rsidP="007A0192">
      <w:pPr>
        <w:pStyle w:val="Dotpoint10"/>
      </w:pPr>
      <w:proofErr w:type="spellStart"/>
      <w:r w:rsidRPr="009E2BBE">
        <w:t>Umalusi</w:t>
      </w:r>
      <w:proofErr w:type="spellEnd"/>
      <w:r w:rsidRPr="009E2BBE">
        <w:t xml:space="preserve"> (</w:t>
      </w:r>
      <w:r w:rsidR="006C172C" w:rsidRPr="009E2BBE">
        <w:t>Council for Quality Assurance in G</w:t>
      </w:r>
      <w:r w:rsidRPr="009E2BBE">
        <w:t xml:space="preserve">eneral and </w:t>
      </w:r>
      <w:r w:rsidR="006C172C" w:rsidRPr="009E2BBE">
        <w:t>F</w:t>
      </w:r>
      <w:r w:rsidRPr="009E2BBE">
        <w:t xml:space="preserve">urther </w:t>
      </w:r>
      <w:r w:rsidR="006C172C" w:rsidRPr="009E2BBE">
        <w:t>E</w:t>
      </w:r>
      <w:r w:rsidRPr="009E2BBE">
        <w:t xml:space="preserve">ducation and </w:t>
      </w:r>
      <w:r w:rsidR="006C172C" w:rsidRPr="009E2BBE">
        <w:t>T</w:t>
      </w:r>
      <w:r w:rsidRPr="009E2BBE">
        <w:t>raining</w:t>
      </w:r>
      <w:r w:rsidR="002E00FB" w:rsidRPr="009E2BBE">
        <w:t>)</w:t>
      </w:r>
    </w:p>
    <w:p w14:paraId="04FEF4AD" w14:textId="70DB171A" w:rsidR="007A0192" w:rsidRPr="009E2BBE" w:rsidRDefault="007A0192" w:rsidP="007A0192">
      <w:pPr>
        <w:pStyle w:val="Dotpoint10"/>
      </w:pPr>
      <w:r w:rsidRPr="009E2BBE">
        <w:t>Quality Council for Trades and Occupations (QCTO).</w:t>
      </w:r>
    </w:p>
    <w:p w14:paraId="31AF6978" w14:textId="19C92D51" w:rsidR="007A0192" w:rsidRPr="009E2BBE" w:rsidRDefault="00524D58" w:rsidP="007A0192">
      <w:pPr>
        <w:pStyle w:val="Text"/>
      </w:pPr>
      <w:r w:rsidRPr="009E2BBE">
        <w:t xml:space="preserve">Two quality councils </w:t>
      </w:r>
      <w:r w:rsidR="007A0192" w:rsidRPr="009E2BBE">
        <w:t xml:space="preserve">are </w:t>
      </w:r>
      <w:r w:rsidRPr="009E2BBE">
        <w:t>related to vocational education and training</w:t>
      </w:r>
      <w:r w:rsidR="00700303" w:rsidRPr="009E2BBE">
        <w:t>:</w:t>
      </w:r>
      <w:r w:rsidR="007A0192" w:rsidRPr="009E2BBE">
        <w:t xml:space="preserve"> </w:t>
      </w:r>
      <w:proofErr w:type="spellStart"/>
      <w:r w:rsidR="007A0192" w:rsidRPr="009E2BBE">
        <w:t>Umalusi</w:t>
      </w:r>
      <w:proofErr w:type="spellEnd"/>
      <w:r w:rsidR="007A0192" w:rsidRPr="009E2BBE">
        <w:t xml:space="preserve"> and the Quality Council for Trades and Occupations (Bolton &amp; Pillay 2019). However, the vocational certificates managed by </w:t>
      </w:r>
      <w:proofErr w:type="spellStart"/>
      <w:r w:rsidR="007A0192" w:rsidRPr="009E2BBE">
        <w:t>Umalusi</w:t>
      </w:r>
      <w:proofErr w:type="spellEnd"/>
      <w:r w:rsidR="007A0192" w:rsidRPr="009E2BBE">
        <w:t xml:space="preserve"> tend to be broad in nature, such as the National Technical Certificate N3 and the National Certificate (Vocational) (NCV)</w:t>
      </w:r>
      <w:r w:rsidR="00700303" w:rsidRPr="009E2BBE">
        <w:t>,</w:t>
      </w:r>
      <w:r w:rsidR="007A0192" w:rsidRPr="009E2BBE">
        <w:t xml:space="preserve"> whereas the occupational qualifications managed by QCTO are more similar to the qualifications in the Australian VET system. Thus, this section will focus on the development process for occupational qualifications.</w:t>
      </w:r>
    </w:p>
    <w:p w14:paraId="4050D743" w14:textId="70A1E6F6" w:rsidR="005104D3" w:rsidRPr="009E2BBE" w:rsidRDefault="005104D3" w:rsidP="007A0192">
      <w:pPr>
        <w:pStyle w:val="Text"/>
      </w:pPr>
      <w:r w:rsidRPr="009E2BBE">
        <w:t>There are currently 339 full and part</w:t>
      </w:r>
      <w:r w:rsidR="00FB2937" w:rsidRPr="009E2BBE">
        <w:t xml:space="preserve"> </w:t>
      </w:r>
      <w:r w:rsidR="00223857" w:rsidRPr="009E2BBE">
        <w:t xml:space="preserve">occupational </w:t>
      </w:r>
      <w:r w:rsidRPr="009E2BBE">
        <w:t>qualifications registered in South Afric</w:t>
      </w:r>
      <w:r w:rsidR="00E47E91" w:rsidRPr="009E2BBE">
        <w:t>a (</w:t>
      </w:r>
      <w:r w:rsidR="00700303" w:rsidRPr="009E2BBE">
        <w:t>Quality Council for Trades and Occupations</w:t>
      </w:r>
      <w:r w:rsidR="009A17FA" w:rsidRPr="009E2BBE">
        <w:t xml:space="preserve"> 2019a</w:t>
      </w:r>
      <w:r w:rsidR="00E47E91" w:rsidRPr="009E2BBE">
        <w:t>)</w:t>
      </w:r>
      <w:r w:rsidRPr="009E2BBE">
        <w:t>.</w:t>
      </w:r>
      <w:r w:rsidR="002E76AC" w:rsidRPr="009E2BBE">
        <w:t xml:space="preserve"> </w:t>
      </w:r>
      <w:r w:rsidR="00D57514" w:rsidRPr="009E2BBE">
        <w:t>A part</w:t>
      </w:r>
      <w:r w:rsidR="00FB2937" w:rsidRPr="009E2BBE">
        <w:t xml:space="preserve"> </w:t>
      </w:r>
      <w:r w:rsidR="00D57514" w:rsidRPr="009E2BBE">
        <w:t xml:space="preserve">qualification is </w:t>
      </w:r>
      <w:r w:rsidR="00A26B8A" w:rsidRPr="009E2BBE">
        <w:t>‘</w:t>
      </w:r>
      <w:r w:rsidR="00D57514" w:rsidRPr="009E2BBE">
        <w:t>an assessed unit of learning with a clearly defined purpose that is, or will be, registered as part of a qualification on the NQF</w:t>
      </w:r>
      <w:r w:rsidR="00A26B8A" w:rsidRPr="009E2BBE">
        <w:t>’</w:t>
      </w:r>
      <w:r w:rsidR="00D57514" w:rsidRPr="009E2BBE">
        <w:t xml:space="preserve"> (</w:t>
      </w:r>
      <w:proofErr w:type="spellStart"/>
      <w:r w:rsidR="002C3864" w:rsidRPr="009E2BBE">
        <w:t>PolicySA</w:t>
      </w:r>
      <w:proofErr w:type="spellEnd"/>
      <w:r w:rsidR="002C3864" w:rsidRPr="009E2BBE">
        <w:t xml:space="preserve"> 2020</w:t>
      </w:r>
      <w:r w:rsidR="00D57514" w:rsidRPr="009E2BBE">
        <w:t>)</w:t>
      </w:r>
      <w:r w:rsidR="00700303" w:rsidRPr="009E2BBE">
        <w:t>.</w:t>
      </w:r>
    </w:p>
    <w:p w14:paraId="75DF2258" w14:textId="4EF3D6F2" w:rsidR="00EA35ED" w:rsidRPr="009E2BBE" w:rsidRDefault="00EA35ED" w:rsidP="00EA35ED">
      <w:pPr>
        <w:pStyle w:val="Heading2"/>
      </w:pPr>
      <w:bookmarkStart w:id="75" w:name="_Toc65741379"/>
      <w:r w:rsidRPr="009E2BBE">
        <w:t xml:space="preserve">Current vocational </w:t>
      </w:r>
      <w:r w:rsidR="00EA3747" w:rsidRPr="009E2BBE">
        <w:t>qualification development process</w:t>
      </w:r>
      <w:bookmarkEnd w:id="75"/>
    </w:p>
    <w:p w14:paraId="0C35939E" w14:textId="6EDA3B49" w:rsidR="00EA35ED" w:rsidRPr="009E2BBE" w:rsidRDefault="00EA35ED" w:rsidP="00EA35ED">
      <w:pPr>
        <w:pStyle w:val="Heading3"/>
      </w:pPr>
      <w:r w:rsidRPr="009E2BBE">
        <w:t>Summary of the process/steps</w:t>
      </w:r>
    </w:p>
    <w:p w14:paraId="0A24B811" w14:textId="79235FDC" w:rsidR="00C82BBF" w:rsidRPr="009E2BBE" w:rsidRDefault="00C82BBF" w:rsidP="00C82BBF">
      <w:pPr>
        <w:pStyle w:val="Text"/>
      </w:pPr>
      <w:r w:rsidRPr="009E2BBE">
        <w:t xml:space="preserve">In South Africa there is only one type of occupational qualification </w:t>
      </w:r>
      <w:r w:rsidR="00700303" w:rsidRPr="009E2BBE">
        <w:t>—</w:t>
      </w:r>
      <w:r w:rsidRPr="009E2BBE">
        <w:t xml:space="preserve"> the occupational certificate </w:t>
      </w:r>
      <w:r w:rsidR="00700303" w:rsidRPr="009E2BBE">
        <w:t>—</w:t>
      </w:r>
      <w:r w:rsidRPr="009E2BBE">
        <w:t xml:space="preserve"> and the process for development is the same across industry sectors. The certificates cover levels 1 to 8 on the qualification framework. </w:t>
      </w:r>
    </w:p>
    <w:p w14:paraId="3124629E" w14:textId="4F821C92" w:rsidR="00584735" w:rsidRPr="009E2BBE" w:rsidRDefault="00584735" w:rsidP="00085FC0">
      <w:pPr>
        <w:pStyle w:val="Text"/>
      </w:pPr>
      <w:r w:rsidRPr="009E2BBE">
        <w:t>The following table outlines the development process for occupational qualifications and, where possible, provides an indication of the timeframe for each stage.</w:t>
      </w:r>
    </w:p>
    <w:p w14:paraId="4AE2AC84" w14:textId="65110D97" w:rsidR="00CD4361" w:rsidRPr="009E2BBE" w:rsidRDefault="00CD4361" w:rsidP="00B47A97">
      <w:pPr>
        <w:pStyle w:val="tabletitle"/>
      </w:pPr>
      <w:r w:rsidRPr="009E2BBE">
        <w:t xml:space="preserve">Table </w:t>
      </w:r>
      <w:r w:rsidR="002E00FB" w:rsidRPr="009E2BBE">
        <w:t>7</w:t>
      </w:r>
      <w:r w:rsidR="00B47A97" w:rsidRPr="009E2BBE">
        <w:tab/>
      </w:r>
      <w:r w:rsidRPr="009E2BBE">
        <w:t>Outline of occupational qualification process</w:t>
      </w:r>
    </w:p>
    <w:tbl>
      <w:tblPr>
        <w:tblStyle w:val="PlainTable2"/>
        <w:tblW w:w="0" w:type="auto"/>
        <w:tblInd w:w="-5" w:type="dxa"/>
        <w:tblLook w:val="0000" w:firstRow="0" w:lastRow="0" w:firstColumn="0" w:lastColumn="0" w:noHBand="0" w:noVBand="0"/>
      </w:tblPr>
      <w:tblGrid>
        <w:gridCol w:w="1843"/>
        <w:gridCol w:w="1701"/>
        <w:gridCol w:w="4111"/>
        <w:gridCol w:w="1406"/>
      </w:tblGrid>
      <w:tr w:rsidR="00085FC0" w:rsidRPr="009E2BBE" w14:paraId="6F08BFEC" w14:textId="77777777" w:rsidTr="00DA18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216F4E80" w14:textId="407A7A1E" w:rsidR="00085FC0" w:rsidRPr="009E2BBE" w:rsidRDefault="00872735" w:rsidP="00085FC0">
            <w:pPr>
              <w:pStyle w:val="Tablehead1"/>
            </w:pPr>
            <w:r w:rsidRPr="009E2BBE">
              <w:t>Stage</w:t>
            </w:r>
          </w:p>
        </w:tc>
        <w:tc>
          <w:tcPr>
            <w:cnfStyle w:val="000001000000" w:firstRow="0" w:lastRow="0" w:firstColumn="0" w:lastColumn="0" w:oddVBand="0" w:evenVBand="1" w:oddHBand="0" w:evenHBand="0" w:firstRowFirstColumn="0" w:firstRowLastColumn="0" w:lastRowFirstColumn="0" w:lastRowLastColumn="0"/>
            <w:tcW w:w="1701" w:type="dxa"/>
          </w:tcPr>
          <w:p w14:paraId="46235439" w14:textId="4AC8AD68" w:rsidR="00085FC0" w:rsidRPr="009E2BBE" w:rsidRDefault="00085FC0" w:rsidP="00085FC0">
            <w:pPr>
              <w:pStyle w:val="Tablehead1"/>
            </w:pPr>
            <w:r w:rsidRPr="009E2BBE">
              <w:t>Responsibility</w:t>
            </w:r>
          </w:p>
        </w:tc>
        <w:tc>
          <w:tcPr>
            <w:cnfStyle w:val="000010000000" w:firstRow="0" w:lastRow="0" w:firstColumn="0" w:lastColumn="0" w:oddVBand="1" w:evenVBand="0" w:oddHBand="0" w:evenHBand="0" w:firstRowFirstColumn="0" w:firstRowLastColumn="0" w:lastRowFirstColumn="0" w:lastRowLastColumn="0"/>
            <w:tcW w:w="4111" w:type="dxa"/>
          </w:tcPr>
          <w:p w14:paraId="5462F2BC" w14:textId="166D0BA4" w:rsidR="00085FC0" w:rsidRPr="009E2BBE" w:rsidRDefault="005A067A" w:rsidP="00085FC0">
            <w:pPr>
              <w:pStyle w:val="Tablehead1"/>
            </w:pPr>
            <w:r w:rsidRPr="009E2BBE">
              <w:t xml:space="preserve">Summary of </w:t>
            </w:r>
            <w:r w:rsidR="00872735" w:rsidRPr="009E2BBE">
              <w:t>stage</w:t>
            </w:r>
          </w:p>
        </w:tc>
        <w:tc>
          <w:tcPr>
            <w:cnfStyle w:val="000001000000" w:firstRow="0" w:lastRow="0" w:firstColumn="0" w:lastColumn="0" w:oddVBand="0" w:evenVBand="1" w:oddHBand="0" w:evenHBand="0" w:firstRowFirstColumn="0" w:firstRowLastColumn="0" w:lastRowFirstColumn="0" w:lastRowLastColumn="0"/>
            <w:tcW w:w="1406" w:type="dxa"/>
          </w:tcPr>
          <w:p w14:paraId="730702F1" w14:textId="1748CD23" w:rsidR="00085FC0" w:rsidRPr="009E2BBE" w:rsidRDefault="00085FC0" w:rsidP="00085FC0">
            <w:pPr>
              <w:pStyle w:val="Tablehead1"/>
            </w:pPr>
            <w:r w:rsidRPr="009E2BBE">
              <w:t>Timeframe</w:t>
            </w:r>
          </w:p>
        </w:tc>
      </w:tr>
      <w:tr w:rsidR="00085FC0" w:rsidRPr="009E2BBE" w14:paraId="68117A00" w14:textId="77777777" w:rsidTr="00DA18BB">
        <w:tc>
          <w:tcPr>
            <w:cnfStyle w:val="000010000000" w:firstRow="0" w:lastRow="0" w:firstColumn="0" w:lastColumn="0" w:oddVBand="1" w:evenVBand="0" w:oddHBand="0" w:evenHBand="0" w:firstRowFirstColumn="0" w:firstRowLastColumn="0" w:lastRowFirstColumn="0" w:lastRowLastColumn="0"/>
            <w:tcW w:w="1843" w:type="dxa"/>
          </w:tcPr>
          <w:p w14:paraId="3DB7C1FC" w14:textId="0E265997" w:rsidR="00085FC0" w:rsidRPr="009E2BBE" w:rsidRDefault="00085FC0" w:rsidP="00085FC0">
            <w:pPr>
              <w:pStyle w:val="Tabletext"/>
            </w:pPr>
            <w:r w:rsidRPr="009E2BBE">
              <w:t>Receive and process application</w:t>
            </w:r>
          </w:p>
        </w:tc>
        <w:tc>
          <w:tcPr>
            <w:cnfStyle w:val="000001000000" w:firstRow="0" w:lastRow="0" w:firstColumn="0" w:lastColumn="0" w:oddVBand="0" w:evenVBand="1" w:oddHBand="0" w:evenHBand="0" w:firstRowFirstColumn="0" w:firstRowLastColumn="0" w:lastRowFirstColumn="0" w:lastRowLastColumn="0"/>
            <w:tcW w:w="1701" w:type="dxa"/>
          </w:tcPr>
          <w:p w14:paraId="4D99C720" w14:textId="642A8931" w:rsidR="00085FC0" w:rsidRPr="009E2BBE" w:rsidRDefault="00085FC0" w:rsidP="00085FC0">
            <w:pPr>
              <w:pStyle w:val="Tabletext"/>
            </w:pPr>
            <w:r w:rsidRPr="009E2BBE">
              <w:t>QCTO staff</w:t>
            </w:r>
          </w:p>
        </w:tc>
        <w:tc>
          <w:tcPr>
            <w:cnfStyle w:val="000010000000" w:firstRow="0" w:lastRow="0" w:firstColumn="0" w:lastColumn="0" w:oddVBand="1" w:evenVBand="0" w:oddHBand="0" w:evenHBand="0" w:firstRowFirstColumn="0" w:firstRowLastColumn="0" w:lastRowFirstColumn="0" w:lastRowLastColumn="0"/>
            <w:tcW w:w="4111" w:type="dxa"/>
          </w:tcPr>
          <w:p w14:paraId="6AB7B30D" w14:textId="77777777" w:rsidR="00085FC0" w:rsidRPr="009E2BBE" w:rsidRDefault="005A067A" w:rsidP="00085FC0">
            <w:pPr>
              <w:pStyle w:val="Tabletext"/>
            </w:pPr>
            <w:r w:rsidRPr="009E2BBE">
              <w:t xml:space="preserve">Any person or organisation can </w:t>
            </w:r>
            <w:proofErr w:type="gramStart"/>
            <w:r w:rsidRPr="009E2BBE">
              <w:t>submit an application</w:t>
            </w:r>
            <w:proofErr w:type="gramEnd"/>
            <w:r w:rsidRPr="009E2BBE">
              <w:t xml:space="preserve"> for a new occupational qualification to QCTO.</w:t>
            </w:r>
          </w:p>
          <w:p w14:paraId="3DD2543D" w14:textId="77777777" w:rsidR="005A067A" w:rsidRPr="009E2BBE" w:rsidRDefault="005A067A" w:rsidP="005A067A">
            <w:pPr>
              <w:pStyle w:val="Tabletext"/>
            </w:pPr>
            <w:r w:rsidRPr="009E2BBE">
              <w:t>The QCTO</w:t>
            </w:r>
            <w:r w:rsidR="00723AE6" w:rsidRPr="009E2BBE">
              <w:t xml:space="preserve"> reviews the application to minimise overlap</w:t>
            </w:r>
            <w:r w:rsidR="005D21C9" w:rsidRPr="009E2BBE">
              <w:t xml:space="preserve"> with other qualifications/applications, assesses the need and impact of the qualification through engagement with applicant and identifies relevant stakeholders to be involved in the development process.</w:t>
            </w:r>
          </w:p>
          <w:p w14:paraId="1F78E3A7" w14:textId="7D75D889" w:rsidR="005D21C9" w:rsidRPr="009E2BBE" w:rsidRDefault="00872735" w:rsidP="005D21C9">
            <w:pPr>
              <w:pStyle w:val="Tabletext"/>
            </w:pPr>
            <w:r w:rsidRPr="009E2BBE">
              <w:t>This is a pre-scoping exercise</w:t>
            </w:r>
            <w:r w:rsidR="00700303" w:rsidRPr="009E2BBE">
              <w:t>, which</w:t>
            </w:r>
            <w:r w:rsidRPr="009E2BBE">
              <w:t xml:space="preserve"> is undertaken with the applicant and informs the scoping meeting in the next stage.</w:t>
            </w:r>
          </w:p>
        </w:tc>
        <w:tc>
          <w:tcPr>
            <w:cnfStyle w:val="000001000000" w:firstRow="0" w:lastRow="0" w:firstColumn="0" w:lastColumn="0" w:oddVBand="0" w:evenVBand="1" w:oddHBand="0" w:evenHBand="0" w:firstRowFirstColumn="0" w:firstRowLastColumn="0" w:lastRowFirstColumn="0" w:lastRowLastColumn="0"/>
            <w:tcW w:w="1406" w:type="dxa"/>
          </w:tcPr>
          <w:p w14:paraId="7BC24D04" w14:textId="2D00F243" w:rsidR="00085FC0" w:rsidRPr="009E2BBE" w:rsidRDefault="00D57514" w:rsidP="00085FC0">
            <w:pPr>
              <w:pStyle w:val="Tabletext"/>
            </w:pPr>
            <w:r w:rsidRPr="009E2BBE">
              <w:t>The application form states that it can take 90 days from submission to hear the outcome as the review committee sits once per quarter (QCTO 20</w:t>
            </w:r>
            <w:r w:rsidR="009A17FA" w:rsidRPr="009E2BBE">
              <w:t>19b)</w:t>
            </w:r>
            <w:r w:rsidR="005D0B14" w:rsidRPr="009E2BBE">
              <w:t xml:space="preserve"> </w:t>
            </w:r>
          </w:p>
        </w:tc>
      </w:tr>
      <w:tr w:rsidR="00085FC0" w:rsidRPr="009E2BBE" w14:paraId="77175915" w14:textId="77777777" w:rsidTr="00DA18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01825368" w14:textId="39223206" w:rsidR="00085FC0" w:rsidRPr="009E2BBE" w:rsidRDefault="00085FC0" w:rsidP="00085FC0">
            <w:pPr>
              <w:pStyle w:val="Tabletext"/>
            </w:pPr>
            <w:r w:rsidRPr="009E2BBE">
              <w:t>Oversee scoping meeting with constituency and appoint DQP</w:t>
            </w:r>
          </w:p>
        </w:tc>
        <w:tc>
          <w:tcPr>
            <w:cnfStyle w:val="000001000000" w:firstRow="0" w:lastRow="0" w:firstColumn="0" w:lastColumn="0" w:oddVBand="0" w:evenVBand="1" w:oddHBand="0" w:evenHBand="0" w:firstRowFirstColumn="0" w:firstRowLastColumn="0" w:lastRowFirstColumn="0" w:lastRowLastColumn="0"/>
            <w:tcW w:w="1701" w:type="dxa"/>
          </w:tcPr>
          <w:p w14:paraId="7FC6647D" w14:textId="1BA85A5B" w:rsidR="00085FC0" w:rsidRPr="009E2BBE" w:rsidRDefault="00085FC0" w:rsidP="00085FC0">
            <w:pPr>
              <w:pStyle w:val="Tabletext"/>
            </w:pPr>
            <w:r w:rsidRPr="009E2BBE">
              <w:t>QCTO staff</w:t>
            </w:r>
          </w:p>
        </w:tc>
        <w:tc>
          <w:tcPr>
            <w:cnfStyle w:val="000010000000" w:firstRow="0" w:lastRow="0" w:firstColumn="0" w:lastColumn="0" w:oddVBand="1" w:evenVBand="0" w:oddHBand="0" w:evenHBand="0" w:firstRowFirstColumn="0" w:firstRowLastColumn="0" w:lastRowFirstColumn="0" w:lastRowLastColumn="0"/>
            <w:tcW w:w="4111" w:type="dxa"/>
          </w:tcPr>
          <w:p w14:paraId="4609478D" w14:textId="77777777" w:rsidR="00085FC0" w:rsidRPr="009E2BBE" w:rsidRDefault="00872735" w:rsidP="00085FC0">
            <w:pPr>
              <w:pStyle w:val="Tabletext"/>
            </w:pPr>
            <w:r w:rsidRPr="009E2BBE">
              <w:t>The scoping meeting is held with invited stakeholders and the purpose is to assure QCTO staff that the qualification is supported.</w:t>
            </w:r>
          </w:p>
          <w:p w14:paraId="6E30DF5B" w14:textId="77777777" w:rsidR="008B5EBF" w:rsidRPr="009E2BBE" w:rsidRDefault="008B5EBF" w:rsidP="008B5EBF">
            <w:pPr>
              <w:pStyle w:val="Tabletext"/>
            </w:pPr>
            <w:r w:rsidRPr="009E2BBE">
              <w:t>The scoping meeting covers information such as:</w:t>
            </w:r>
          </w:p>
          <w:p w14:paraId="56275D4E" w14:textId="49DA6E5B" w:rsidR="008B5EBF" w:rsidRPr="009E2BBE" w:rsidRDefault="00700303" w:rsidP="008B5EBF">
            <w:pPr>
              <w:pStyle w:val="Tabletext"/>
              <w:numPr>
                <w:ilvl w:val="0"/>
                <w:numId w:val="28"/>
              </w:numPr>
            </w:pPr>
            <w:r w:rsidRPr="009E2BBE">
              <w:t>d</w:t>
            </w:r>
            <w:r w:rsidR="008B5EBF" w:rsidRPr="009E2BBE">
              <w:t>etailed rationale for the qualification with information on the needs in the sector it will meet, benefits for society and the economy, and the learning pathway of the qualification</w:t>
            </w:r>
          </w:p>
          <w:p w14:paraId="1966DBB5" w14:textId="34925E31" w:rsidR="008B5EBF" w:rsidRPr="009E2BBE" w:rsidRDefault="00700303" w:rsidP="008B5EBF">
            <w:pPr>
              <w:pStyle w:val="Tabletext"/>
              <w:numPr>
                <w:ilvl w:val="0"/>
                <w:numId w:val="28"/>
              </w:numPr>
            </w:pPr>
            <w:r w:rsidRPr="009E2BBE">
              <w:t>n</w:t>
            </w:r>
            <w:r w:rsidR="008B5EBF" w:rsidRPr="009E2BBE">
              <w:t xml:space="preserve">ame of </w:t>
            </w:r>
            <w:r w:rsidRPr="009E2BBE">
              <w:t xml:space="preserve">body recommended as development quality partner </w:t>
            </w:r>
            <w:r w:rsidR="002E00FB" w:rsidRPr="009E2BBE">
              <w:t>(</w:t>
            </w:r>
            <w:r w:rsidR="008B5EBF" w:rsidRPr="009E2BBE">
              <w:t>DQP</w:t>
            </w:r>
            <w:r w:rsidR="002E00FB" w:rsidRPr="009E2BBE">
              <w:t>)</w:t>
            </w:r>
          </w:p>
          <w:p w14:paraId="5995808C" w14:textId="6801EC89" w:rsidR="008B5EBF" w:rsidRPr="009E2BBE" w:rsidRDefault="00700303" w:rsidP="008B5EBF">
            <w:pPr>
              <w:pStyle w:val="Tabletext"/>
              <w:numPr>
                <w:ilvl w:val="0"/>
                <w:numId w:val="28"/>
              </w:numPr>
            </w:pPr>
            <w:r w:rsidRPr="009E2BBE">
              <w:t>s</w:t>
            </w:r>
            <w:r w:rsidR="008B5EBF" w:rsidRPr="009E2BBE">
              <w:t>takeholder organisation to be involved in verification process</w:t>
            </w:r>
          </w:p>
          <w:p w14:paraId="29E2B9CE" w14:textId="4769556D" w:rsidR="008B5EBF" w:rsidRPr="009E2BBE" w:rsidRDefault="00700303" w:rsidP="008B5EBF">
            <w:pPr>
              <w:pStyle w:val="Tabletext"/>
              <w:numPr>
                <w:ilvl w:val="0"/>
                <w:numId w:val="28"/>
              </w:numPr>
            </w:pPr>
            <w:r w:rsidRPr="009E2BBE">
              <w:t>d</w:t>
            </w:r>
            <w:r w:rsidR="008B5EBF" w:rsidRPr="009E2BBE">
              <w:t>etails of any qualifications on the NQF that have be considered alongside the new qualification during development process (i.e. those that may be replaced)</w:t>
            </w:r>
          </w:p>
          <w:p w14:paraId="73877D2B" w14:textId="5A5530A9" w:rsidR="008B5EBF" w:rsidRPr="009E2BBE" w:rsidRDefault="00700303" w:rsidP="008B5EBF">
            <w:pPr>
              <w:pStyle w:val="Tabletext"/>
              <w:numPr>
                <w:ilvl w:val="0"/>
                <w:numId w:val="28"/>
              </w:numPr>
            </w:pPr>
            <w:r w:rsidRPr="009E2BBE">
              <w:t>l</w:t>
            </w:r>
            <w:r w:rsidR="008B5EBF" w:rsidRPr="009E2BBE">
              <w:t xml:space="preserve">ist of possible bodies for the role of </w:t>
            </w:r>
            <w:r w:rsidRPr="009E2BBE">
              <w:t xml:space="preserve">assessment quality partner </w:t>
            </w:r>
            <w:r w:rsidR="002E00FB" w:rsidRPr="009E2BBE">
              <w:t>(</w:t>
            </w:r>
            <w:r w:rsidR="008B5EBF" w:rsidRPr="009E2BBE">
              <w:t>AQP</w:t>
            </w:r>
            <w:r w:rsidR="002E00FB" w:rsidRPr="009E2BBE">
              <w:t>)</w:t>
            </w:r>
          </w:p>
          <w:p w14:paraId="24B6333D" w14:textId="7FBD4963" w:rsidR="008B5EBF" w:rsidRPr="009E2BBE" w:rsidRDefault="00700303" w:rsidP="008B5EBF">
            <w:pPr>
              <w:pStyle w:val="Tabletext"/>
              <w:numPr>
                <w:ilvl w:val="0"/>
                <w:numId w:val="28"/>
              </w:numPr>
            </w:pPr>
            <w:r w:rsidRPr="009E2BBE">
              <w:t>a</w:t>
            </w:r>
            <w:r w:rsidR="008B5EBF" w:rsidRPr="009E2BBE">
              <w:t>greed timeframes and start date of profiling</w:t>
            </w:r>
          </w:p>
          <w:p w14:paraId="49253DFB" w14:textId="26DC57D8" w:rsidR="000E6F16" w:rsidRPr="009E2BBE" w:rsidRDefault="00700303" w:rsidP="000E6F16">
            <w:pPr>
              <w:pStyle w:val="Tabletext"/>
              <w:numPr>
                <w:ilvl w:val="0"/>
                <w:numId w:val="28"/>
              </w:numPr>
            </w:pPr>
            <w:r w:rsidRPr="009E2BBE">
              <w:t>l</w:t>
            </w:r>
            <w:r w:rsidR="000E6F16" w:rsidRPr="009E2BBE">
              <w:t>ist of nominated working group members</w:t>
            </w:r>
          </w:p>
          <w:p w14:paraId="63FC4D33" w14:textId="442C07C2" w:rsidR="000E6F16" w:rsidRPr="009E2BBE" w:rsidRDefault="00700303" w:rsidP="000E6F16">
            <w:pPr>
              <w:pStyle w:val="Tabletext"/>
              <w:numPr>
                <w:ilvl w:val="0"/>
                <w:numId w:val="28"/>
              </w:numPr>
            </w:pPr>
            <w:r w:rsidRPr="009E2BBE">
              <w:t>a</w:t>
            </w:r>
            <w:r w:rsidR="000E6F16" w:rsidRPr="009E2BBE">
              <w:t>greement on verification process.</w:t>
            </w:r>
          </w:p>
          <w:p w14:paraId="790A19F3" w14:textId="35FE1F84" w:rsidR="000E6F16" w:rsidRPr="009E2BBE" w:rsidRDefault="000E6F16" w:rsidP="000E6F16">
            <w:pPr>
              <w:pStyle w:val="Tabletext"/>
            </w:pPr>
            <w:r w:rsidRPr="009E2BBE">
              <w:t>After this meeting there is some preparatory work that must be completed by the DQF before mov</w:t>
            </w:r>
            <w:r w:rsidR="00700303" w:rsidRPr="009E2BBE">
              <w:t>ing</w:t>
            </w:r>
            <w:r w:rsidRPr="009E2BBE">
              <w:t xml:space="preserve"> onto the next stage. This includes appointing a </w:t>
            </w:r>
            <w:r w:rsidR="00A23D13" w:rsidRPr="009E2BBE">
              <w:t xml:space="preserve">qualifications development facilitator </w:t>
            </w:r>
            <w:r w:rsidR="00BA5AE9" w:rsidRPr="009E2BBE">
              <w:t>(</w:t>
            </w:r>
            <w:r w:rsidRPr="009E2BBE">
              <w:t>QDF</w:t>
            </w:r>
            <w:r w:rsidR="00BA5AE9" w:rsidRPr="009E2BBE">
              <w:t>)</w:t>
            </w:r>
            <w:r w:rsidRPr="009E2BBE">
              <w:t xml:space="preserve"> for every occupation agreed to, completing details in </w:t>
            </w:r>
            <w:r w:rsidR="00A23D13" w:rsidRPr="009E2BBE">
              <w:t xml:space="preserve">service level agreement </w:t>
            </w:r>
            <w:r w:rsidR="002E00FB" w:rsidRPr="009E2BBE">
              <w:t>(</w:t>
            </w:r>
            <w:r w:rsidRPr="009E2BBE">
              <w:t>SLA</w:t>
            </w:r>
            <w:r w:rsidR="002E00FB" w:rsidRPr="009E2BBE">
              <w:t>)</w:t>
            </w:r>
            <w:r w:rsidRPr="009E2BBE">
              <w:t xml:space="preserve"> and submitting SLA to QCTO for signing.</w:t>
            </w:r>
          </w:p>
        </w:tc>
        <w:tc>
          <w:tcPr>
            <w:cnfStyle w:val="000001000000" w:firstRow="0" w:lastRow="0" w:firstColumn="0" w:lastColumn="0" w:oddVBand="0" w:evenVBand="1" w:oddHBand="0" w:evenHBand="0" w:firstRowFirstColumn="0" w:firstRowLastColumn="0" w:lastRowFirstColumn="0" w:lastRowLastColumn="0"/>
            <w:tcW w:w="1406" w:type="dxa"/>
          </w:tcPr>
          <w:p w14:paraId="1392857A" w14:textId="1D9A14DB" w:rsidR="00085FC0" w:rsidRPr="009E2BBE" w:rsidRDefault="009A17FA" w:rsidP="00085FC0">
            <w:pPr>
              <w:pStyle w:val="Tabletext"/>
            </w:pPr>
            <w:r w:rsidRPr="009E2BBE">
              <w:t>It can take more</w:t>
            </w:r>
            <w:r w:rsidR="008B5EBF" w:rsidRPr="009E2BBE">
              <w:t xml:space="preserve"> than 30 working days </w:t>
            </w:r>
            <w:r w:rsidRPr="009E2BBE">
              <w:t>before</w:t>
            </w:r>
            <w:r w:rsidR="008B5EBF" w:rsidRPr="009E2BBE">
              <w:t xml:space="preserve"> everything</w:t>
            </w:r>
            <w:r w:rsidR="000E6F16" w:rsidRPr="009E2BBE">
              <w:t xml:space="preserve"> is signed off and read</w:t>
            </w:r>
            <w:r w:rsidR="00934A5C" w:rsidRPr="009E2BBE">
              <w:t>y</w:t>
            </w:r>
            <w:r w:rsidR="000E6F16" w:rsidRPr="009E2BBE">
              <w:t xml:space="preserve"> to move to next stage.</w:t>
            </w:r>
          </w:p>
        </w:tc>
      </w:tr>
      <w:tr w:rsidR="00085FC0" w:rsidRPr="009E2BBE" w14:paraId="211D1AAB" w14:textId="77777777" w:rsidTr="00DA18BB">
        <w:tc>
          <w:tcPr>
            <w:cnfStyle w:val="000010000000" w:firstRow="0" w:lastRow="0" w:firstColumn="0" w:lastColumn="0" w:oddVBand="1" w:evenVBand="0" w:oddHBand="0" w:evenHBand="0" w:firstRowFirstColumn="0" w:firstRowLastColumn="0" w:lastRowFirstColumn="0" w:lastRowLastColumn="0"/>
            <w:tcW w:w="1843" w:type="dxa"/>
          </w:tcPr>
          <w:p w14:paraId="55C16A92" w14:textId="2EB80143" w:rsidR="00085FC0" w:rsidRPr="009E2BBE" w:rsidRDefault="00085FC0" w:rsidP="00085FC0">
            <w:pPr>
              <w:pStyle w:val="Tabletext"/>
            </w:pPr>
            <w:r w:rsidRPr="009E2BBE">
              <w:t>Develop occupational profile</w:t>
            </w:r>
          </w:p>
        </w:tc>
        <w:tc>
          <w:tcPr>
            <w:cnfStyle w:val="000001000000" w:firstRow="0" w:lastRow="0" w:firstColumn="0" w:lastColumn="0" w:oddVBand="0" w:evenVBand="1" w:oddHBand="0" w:evenHBand="0" w:firstRowFirstColumn="0" w:firstRowLastColumn="0" w:lastRowFirstColumn="0" w:lastRowLastColumn="0"/>
            <w:tcW w:w="1701" w:type="dxa"/>
          </w:tcPr>
          <w:p w14:paraId="78224B43" w14:textId="206B1B52" w:rsidR="00085FC0" w:rsidRPr="009E2BBE" w:rsidRDefault="00085FC0" w:rsidP="00085FC0">
            <w:pPr>
              <w:pStyle w:val="Tabletext"/>
            </w:pPr>
            <w:r w:rsidRPr="009E2BBE">
              <w:t>QDF with expert practitioners (including assessors)</w:t>
            </w:r>
          </w:p>
        </w:tc>
        <w:tc>
          <w:tcPr>
            <w:cnfStyle w:val="000010000000" w:firstRow="0" w:lastRow="0" w:firstColumn="0" w:lastColumn="0" w:oddVBand="1" w:evenVBand="0" w:oddHBand="0" w:evenHBand="0" w:firstRowFirstColumn="0" w:firstRowLastColumn="0" w:lastRowFirstColumn="0" w:lastRowLastColumn="0"/>
            <w:tcW w:w="4111" w:type="dxa"/>
          </w:tcPr>
          <w:p w14:paraId="50C66BB0" w14:textId="5C787027" w:rsidR="00085FC0" w:rsidRPr="009E2BBE" w:rsidRDefault="00E47E91" w:rsidP="00085FC0">
            <w:pPr>
              <w:pStyle w:val="Tabletext"/>
            </w:pPr>
            <w:r w:rsidRPr="009E2BBE">
              <w:t xml:space="preserve">There are </w:t>
            </w:r>
            <w:r w:rsidR="00EF05F1" w:rsidRPr="009E2BBE">
              <w:t>several</w:t>
            </w:r>
            <w:r w:rsidRPr="009E2BBE">
              <w:t xml:space="preserve"> steps to developing the occupational profile, which includes the following:</w:t>
            </w:r>
          </w:p>
          <w:p w14:paraId="599B010F" w14:textId="710BEBFC" w:rsidR="00E47E91" w:rsidRPr="009E2BBE" w:rsidRDefault="00E47E91" w:rsidP="00E47E91">
            <w:pPr>
              <w:pStyle w:val="Tabletext"/>
              <w:numPr>
                <w:ilvl w:val="0"/>
                <w:numId w:val="30"/>
              </w:numPr>
            </w:pPr>
            <w:r w:rsidRPr="009E2BBE">
              <w:t>Define provisional occupational purpose</w:t>
            </w:r>
            <w:r w:rsidR="00A23D13" w:rsidRPr="009E2BBE">
              <w:t>.</w:t>
            </w:r>
          </w:p>
          <w:p w14:paraId="76169B59" w14:textId="71690500" w:rsidR="00E47E91" w:rsidRPr="009E2BBE" w:rsidRDefault="00E47E91" w:rsidP="00E47E91">
            <w:pPr>
              <w:pStyle w:val="Tabletext"/>
              <w:numPr>
                <w:ilvl w:val="0"/>
                <w:numId w:val="30"/>
              </w:numPr>
            </w:pPr>
            <w:r w:rsidRPr="009E2BBE">
              <w:t>Identify the s</w:t>
            </w:r>
            <w:r w:rsidR="00584735" w:rsidRPr="009E2BBE">
              <w:t>t</w:t>
            </w:r>
            <w:r w:rsidRPr="009E2BBE">
              <w:t>ages in the production cycle of steps in the business process</w:t>
            </w:r>
            <w:r w:rsidR="00A23D13" w:rsidRPr="009E2BBE">
              <w:t>.</w:t>
            </w:r>
          </w:p>
          <w:p w14:paraId="6A43E09A" w14:textId="39AE5DD7" w:rsidR="00E47E91" w:rsidRPr="009E2BBE" w:rsidRDefault="00E47E91" w:rsidP="00E47E91">
            <w:pPr>
              <w:pStyle w:val="Tabletext"/>
              <w:numPr>
                <w:ilvl w:val="0"/>
                <w:numId w:val="30"/>
              </w:numPr>
            </w:pPr>
            <w:r w:rsidRPr="009E2BBE">
              <w:t xml:space="preserve">Identify the unique products or services for the occupation or specialisation and check against the </w:t>
            </w:r>
            <w:r w:rsidR="00A23D13" w:rsidRPr="009E2BBE">
              <w:t>organising framework for occupations</w:t>
            </w:r>
            <w:r w:rsidR="002E00FB" w:rsidRPr="009E2BBE">
              <w:t xml:space="preserve"> (</w:t>
            </w:r>
            <w:r w:rsidRPr="009E2BBE">
              <w:t>OFO</w:t>
            </w:r>
            <w:r w:rsidR="002E00FB" w:rsidRPr="009E2BBE">
              <w:t>)</w:t>
            </w:r>
            <w:r w:rsidRPr="009E2BBE">
              <w:t xml:space="preserve"> tasks</w:t>
            </w:r>
            <w:r w:rsidR="00A23D13" w:rsidRPr="009E2BBE">
              <w:t>.</w:t>
            </w:r>
          </w:p>
          <w:p w14:paraId="43627AE8" w14:textId="7152CCDB" w:rsidR="00E47E91" w:rsidRPr="009E2BBE" w:rsidRDefault="00E47E91" w:rsidP="00E47E91">
            <w:pPr>
              <w:pStyle w:val="Tabletext"/>
              <w:numPr>
                <w:ilvl w:val="0"/>
                <w:numId w:val="30"/>
              </w:numPr>
            </w:pPr>
            <w:r w:rsidRPr="009E2BBE">
              <w:t>Identify the occupational responsibilities and practical skills for each product or service</w:t>
            </w:r>
            <w:r w:rsidR="00A23D13" w:rsidRPr="009E2BBE">
              <w:t>.</w:t>
            </w:r>
          </w:p>
          <w:p w14:paraId="33BC929E" w14:textId="1089DFE7" w:rsidR="00E47E91" w:rsidRPr="009E2BBE" w:rsidRDefault="00E47E91" w:rsidP="00E47E91">
            <w:pPr>
              <w:pStyle w:val="Tabletext"/>
              <w:numPr>
                <w:ilvl w:val="0"/>
                <w:numId w:val="30"/>
              </w:numPr>
            </w:pPr>
            <w:r w:rsidRPr="009E2BBE">
              <w:t>Identify the occupational contexts and work experiences for each product or service</w:t>
            </w:r>
            <w:r w:rsidR="00A23D13" w:rsidRPr="009E2BBE">
              <w:t>.</w:t>
            </w:r>
          </w:p>
          <w:p w14:paraId="0ED00DD3" w14:textId="145F5B97" w:rsidR="00E47E91" w:rsidRPr="009E2BBE" w:rsidRDefault="00E47E91" w:rsidP="00E47E91">
            <w:pPr>
              <w:pStyle w:val="Tabletext"/>
              <w:numPr>
                <w:ilvl w:val="0"/>
                <w:numId w:val="30"/>
              </w:numPr>
            </w:pPr>
            <w:r w:rsidRPr="009E2BBE">
              <w:t>Identify part qualifications and points for external assessment</w:t>
            </w:r>
            <w:r w:rsidR="00A23D13" w:rsidRPr="009E2BBE">
              <w:t>.</w:t>
            </w:r>
          </w:p>
          <w:p w14:paraId="31680797" w14:textId="29496BF3" w:rsidR="00E47E91" w:rsidRPr="009E2BBE" w:rsidRDefault="00E47E91" w:rsidP="00E47E91">
            <w:pPr>
              <w:pStyle w:val="Tabletext"/>
              <w:numPr>
                <w:ilvl w:val="0"/>
                <w:numId w:val="30"/>
              </w:numPr>
            </w:pPr>
            <w:r w:rsidRPr="009E2BBE">
              <w:t>Finalise the occupational purpose and task statements</w:t>
            </w:r>
            <w:r w:rsidR="00A23D13" w:rsidRPr="009E2BBE">
              <w:t>.</w:t>
            </w:r>
          </w:p>
          <w:p w14:paraId="0C91E8C1" w14:textId="00BF16AF" w:rsidR="00584735" w:rsidRPr="009E2BBE" w:rsidRDefault="00584735" w:rsidP="00584735">
            <w:pPr>
              <w:pStyle w:val="Tabletext"/>
              <w:numPr>
                <w:ilvl w:val="0"/>
                <w:numId w:val="30"/>
              </w:numPr>
            </w:pPr>
            <w:r w:rsidRPr="009E2BBE">
              <w:t>Identify proposed external assessment model</w:t>
            </w:r>
            <w:r w:rsidR="00A23D13" w:rsidRPr="009E2BBE">
              <w:t>.</w:t>
            </w:r>
          </w:p>
          <w:p w14:paraId="52953472" w14:textId="3DD5DD0A" w:rsidR="00E47E91" w:rsidRPr="009E2BBE" w:rsidRDefault="00EF05F1" w:rsidP="00E47E91">
            <w:pPr>
              <w:pStyle w:val="Tabletext"/>
            </w:pPr>
            <w:r w:rsidRPr="009E2BBE">
              <w:t>The information developed must be considered alongside that provided by the DQP</w:t>
            </w:r>
            <w:r w:rsidR="00A23D13" w:rsidRPr="009E2BBE">
              <w:t>,</w:t>
            </w:r>
            <w:r w:rsidRPr="009E2BBE">
              <w:t xml:space="preserve"> such as comparing the profile with qualifications to be considered for replacement and international comparisons.</w:t>
            </w:r>
          </w:p>
          <w:p w14:paraId="56AE3C94" w14:textId="7D319142" w:rsidR="00EF05F1" w:rsidRPr="009E2BBE" w:rsidRDefault="00EF05F1" w:rsidP="00EF05F1">
            <w:pPr>
              <w:pStyle w:val="Tabletext"/>
            </w:pPr>
            <w:r w:rsidRPr="009E2BBE">
              <w:t>The result of this stage is an occupational profile that can be provided to the DQF and circulated to stakeholders for feedback.</w:t>
            </w:r>
          </w:p>
        </w:tc>
        <w:tc>
          <w:tcPr>
            <w:cnfStyle w:val="000001000000" w:firstRow="0" w:lastRow="0" w:firstColumn="0" w:lastColumn="0" w:oddVBand="0" w:evenVBand="1" w:oddHBand="0" w:evenHBand="0" w:firstRowFirstColumn="0" w:firstRowLastColumn="0" w:lastRowFirstColumn="0" w:lastRowLastColumn="0"/>
            <w:tcW w:w="1406" w:type="dxa"/>
          </w:tcPr>
          <w:p w14:paraId="7556E1B0" w14:textId="3B1EC49D" w:rsidR="00085FC0" w:rsidRPr="009E2BBE" w:rsidRDefault="00085FC0" w:rsidP="00085FC0">
            <w:pPr>
              <w:pStyle w:val="Tabletext"/>
            </w:pPr>
          </w:p>
        </w:tc>
      </w:tr>
      <w:tr w:rsidR="00085FC0" w:rsidRPr="009E2BBE" w14:paraId="6DCE41F0" w14:textId="77777777" w:rsidTr="00DA18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7494E42A" w14:textId="4347C0F3" w:rsidR="00085FC0" w:rsidRPr="009E2BBE" w:rsidRDefault="00085FC0" w:rsidP="00085FC0">
            <w:pPr>
              <w:pStyle w:val="Tabletext"/>
            </w:pPr>
            <w:r w:rsidRPr="009E2BBE">
              <w:t>Manage verification of occupational profile and proposed AQP</w:t>
            </w:r>
          </w:p>
        </w:tc>
        <w:tc>
          <w:tcPr>
            <w:cnfStyle w:val="000001000000" w:firstRow="0" w:lastRow="0" w:firstColumn="0" w:lastColumn="0" w:oddVBand="0" w:evenVBand="1" w:oddHBand="0" w:evenHBand="0" w:firstRowFirstColumn="0" w:firstRowLastColumn="0" w:lastRowFirstColumn="0" w:lastRowLastColumn="0"/>
            <w:tcW w:w="1701" w:type="dxa"/>
          </w:tcPr>
          <w:p w14:paraId="0F021B7E" w14:textId="13737352" w:rsidR="00085FC0" w:rsidRPr="009E2BBE" w:rsidRDefault="00085FC0" w:rsidP="00085FC0">
            <w:pPr>
              <w:pStyle w:val="Tabletext"/>
            </w:pPr>
            <w:r w:rsidRPr="009E2BBE">
              <w:t>DQF with expert practitioners and prop</w:t>
            </w:r>
            <w:r w:rsidR="00EF05F1" w:rsidRPr="009E2BBE">
              <w:t>o</w:t>
            </w:r>
            <w:r w:rsidRPr="009E2BBE">
              <w:t>sed AQP</w:t>
            </w:r>
          </w:p>
        </w:tc>
        <w:tc>
          <w:tcPr>
            <w:cnfStyle w:val="000010000000" w:firstRow="0" w:lastRow="0" w:firstColumn="0" w:lastColumn="0" w:oddVBand="1" w:evenVBand="0" w:oddHBand="0" w:evenHBand="0" w:firstRowFirstColumn="0" w:firstRowLastColumn="0" w:lastRowFirstColumn="0" w:lastRowLastColumn="0"/>
            <w:tcW w:w="4111" w:type="dxa"/>
          </w:tcPr>
          <w:p w14:paraId="0565FB18" w14:textId="43F4F730" w:rsidR="00085FC0" w:rsidRPr="009E2BBE" w:rsidRDefault="00344854" w:rsidP="00085FC0">
            <w:pPr>
              <w:pStyle w:val="Tabletext"/>
            </w:pPr>
            <w:r w:rsidRPr="009E2BBE">
              <w:t>The DQP distributes the occupational profiles and proposed AQP to stakeholders and collates feedback received. This feedback is provided to the QDF. The DQP also arranges a working group meeting to conside</w:t>
            </w:r>
            <w:r w:rsidR="00A23D13" w:rsidRPr="009E2BBE">
              <w:t>r</w:t>
            </w:r>
            <w:r w:rsidRPr="009E2BBE">
              <w:t xml:space="preserve"> the inputs. It is important to note that</w:t>
            </w:r>
            <w:r w:rsidR="00533139" w:rsidRPr="009E2BBE">
              <w:t>,</w:t>
            </w:r>
            <w:r w:rsidRPr="009E2BBE">
              <w:t xml:space="preserve"> if a suitable AQP is</w:t>
            </w:r>
            <w:r w:rsidR="00AD37D5" w:rsidRPr="009E2BBE">
              <w:t xml:space="preserve"> not</w:t>
            </w:r>
            <w:r w:rsidRPr="009E2BBE">
              <w:t xml:space="preserve"> identified</w:t>
            </w:r>
            <w:r w:rsidR="00533139" w:rsidRPr="009E2BBE">
              <w:t>,</w:t>
            </w:r>
            <w:r w:rsidRPr="009E2BBE">
              <w:t xml:space="preserve"> then this verification process will be delayed or the development process terminated. </w:t>
            </w:r>
          </w:p>
          <w:p w14:paraId="5EE56A8B" w14:textId="14FB6B88" w:rsidR="00344854" w:rsidRPr="009E2BBE" w:rsidRDefault="00344854" w:rsidP="00344854">
            <w:pPr>
              <w:pStyle w:val="Tabletext"/>
            </w:pPr>
            <w:r w:rsidRPr="009E2BBE">
              <w:t>A progress report is also prepared as part of this stage</w:t>
            </w:r>
            <w:r w:rsidR="00A23D13" w:rsidRPr="009E2BBE">
              <w:t>, which</w:t>
            </w:r>
            <w:r w:rsidRPr="009E2BBE">
              <w:t xml:space="preserve"> highlights</w:t>
            </w:r>
            <w:r w:rsidR="0034021F" w:rsidRPr="009E2BBE">
              <w:t xml:space="preserve"> the rationale statement, the input received</w:t>
            </w:r>
            <w:r w:rsidR="005261B5" w:rsidRPr="009E2BBE">
              <w:t xml:space="preserve"> and how comments were dealt with. Non- or poor participation of required working group members is also reported. The progress report is submitted to the QCTO.</w:t>
            </w:r>
          </w:p>
        </w:tc>
        <w:tc>
          <w:tcPr>
            <w:cnfStyle w:val="000001000000" w:firstRow="0" w:lastRow="0" w:firstColumn="0" w:lastColumn="0" w:oddVBand="0" w:evenVBand="1" w:oddHBand="0" w:evenHBand="0" w:firstRowFirstColumn="0" w:firstRowLastColumn="0" w:lastRowFirstColumn="0" w:lastRowLastColumn="0"/>
            <w:tcW w:w="1406" w:type="dxa"/>
          </w:tcPr>
          <w:p w14:paraId="22353210" w14:textId="26699793" w:rsidR="00344854" w:rsidRPr="009E2BBE" w:rsidRDefault="00344854" w:rsidP="00344854">
            <w:pPr>
              <w:pStyle w:val="Tabletext"/>
            </w:pPr>
          </w:p>
        </w:tc>
      </w:tr>
      <w:tr w:rsidR="00085FC0" w:rsidRPr="009E2BBE" w14:paraId="6DD5E432" w14:textId="77777777" w:rsidTr="00DA18BB">
        <w:tc>
          <w:tcPr>
            <w:cnfStyle w:val="000010000000" w:firstRow="0" w:lastRow="0" w:firstColumn="0" w:lastColumn="0" w:oddVBand="1" w:evenVBand="0" w:oddHBand="0" w:evenHBand="0" w:firstRowFirstColumn="0" w:firstRowLastColumn="0" w:lastRowFirstColumn="0" w:lastRowLastColumn="0"/>
            <w:tcW w:w="1843" w:type="dxa"/>
          </w:tcPr>
          <w:p w14:paraId="1CC481E3" w14:textId="27BBD471" w:rsidR="00085FC0" w:rsidRPr="009E2BBE" w:rsidRDefault="00085FC0" w:rsidP="00085FC0">
            <w:pPr>
              <w:pStyle w:val="Tabletext"/>
            </w:pPr>
            <w:r w:rsidRPr="009E2BBE">
              <w:t>Appoint AQP</w:t>
            </w:r>
          </w:p>
        </w:tc>
        <w:tc>
          <w:tcPr>
            <w:cnfStyle w:val="000001000000" w:firstRow="0" w:lastRow="0" w:firstColumn="0" w:lastColumn="0" w:oddVBand="0" w:evenVBand="1" w:oddHBand="0" w:evenHBand="0" w:firstRowFirstColumn="0" w:firstRowLastColumn="0" w:lastRowFirstColumn="0" w:lastRowLastColumn="0"/>
            <w:tcW w:w="1701" w:type="dxa"/>
          </w:tcPr>
          <w:p w14:paraId="39B791F2" w14:textId="249F2456" w:rsidR="00085FC0" w:rsidRPr="009E2BBE" w:rsidRDefault="00085FC0" w:rsidP="00085FC0">
            <w:pPr>
              <w:pStyle w:val="Tabletext"/>
            </w:pPr>
            <w:r w:rsidRPr="009E2BBE">
              <w:t>QCTO staff</w:t>
            </w:r>
          </w:p>
        </w:tc>
        <w:tc>
          <w:tcPr>
            <w:cnfStyle w:val="000010000000" w:firstRow="0" w:lastRow="0" w:firstColumn="0" w:lastColumn="0" w:oddVBand="1" w:evenVBand="0" w:oddHBand="0" w:evenHBand="0" w:firstRowFirstColumn="0" w:firstRowLastColumn="0" w:lastRowFirstColumn="0" w:lastRowLastColumn="0"/>
            <w:tcW w:w="4111" w:type="dxa"/>
          </w:tcPr>
          <w:p w14:paraId="5266B865" w14:textId="1F8A0A58" w:rsidR="00085FC0" w:rsidRPr="009E2BBE" w:rsidRDefault="00934A5C" w:rsidP="00085FC0">
            <w:pPr>
              <w:pStyle w:val="Tabletext"/>
            </w:pPr>
            <w:r w:rsidRPr="009E2BBE">
              <w:t>The QCTO appoint</w:t>
            </w:r>
            <w:r w:rsidR="00C556BC" w:rsidRPr="009E2BBE">
              <w:t>s</w:t>
            </w:r>
            <w:r w:rsidRPr="009E2BBE">
              <w:t xml:space="preserve"> the AQP</w:t>
            </w:r>
            <w:r w:rsidR="00A23D13" w:rsidRPr="009E2BBE">
              <w:t>,</w:t>
            </w:r>
            <w:r w:rsidRPr="009E2BBE">
              <w:t xml:space="preserve"> based on the feedback and recommendation of the DQP.</w:t>
            </w:r>
          </w:p>
        </w:tc>
        <w:tc>
          <w:tcPr>
            <w:cnfStyle w:val="000001000000" w:firstRow="0" w:lastRow="0" w:firstColumn="0" w:lastColumn="0" w:oddVBand="0" w:evenVBand="1" w:oddHBand="0" w:evenHBand="0" w:firstRowFirstColumn="0" w:firstRowLastColumn="0" w:lastRowFirstColumn="0" w:lastRowLastColumn="0"/>
            <w:tcW w:w="1406" w:type="dxa"/>
          </w:tcPr>
          <w:p w14:paraId="49BCDF78" w14:textId="3BE8A264" w:rsidR="00085FC0" w:rsidRPr="009E2BBE" w:rsidRDefault="00085FC0" w:rsidP="00085FC0">
            <w:pPr>
              <w:pStyle w:val="Tabletext"/>
            </w:pPr>
          </w:p>
        </w:tc>
      </w:tr>
      <w:tr w:rsidR="00085FC0" w:rsidRPr="009E2BBE" w14:paraId="4BBC3048" w14:textId="77777777" w:rsidTr="00DA18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41A037B1" w14:textId="6BD1AB05" w:rsidR="00085FC0" w:rsidRPr="009E2BBE" w:rsidRDefault="00085FC0" w:rsidP="00085FC0">
            <w:pPr>
              <w:pStyle w:val="Tabletext"/>
            </w:pPr>
            <w:r w:rsidRPr="009E2BBE">
              <w:t>Develop module specifications</w:t>
            </w:r>
          </w:p>
        </w:tc>
        <w:tc>
          <w:tcPr>
            <w:cnfStyle w:val="000001000000" w:firstRow="0" w:lastRow="0" w:firstColumn="0" w:lastColumn="0" w:oddVBand="0" w:evenVBand="1" w:oddHBand="0" w:evenHBand="0" w:firstRowFirstColumn="0" w:firstRowLastColumn="0" w:lastRowFirstColumn="0" w:lastRowLastColumn="0"/>
            <w:tcW w:w="1701" w:type="dxa"/>
          </w:tcPr>
          <w:p w14:paraId="3A855FF0" w14:textId="2E2D230D" w:rsidR="00085FC0" w:rsidRPr="009E2BBE" w:rsidRDefault="00085FC0" w:rsidP="00085FC0">
            <w:pPr>
              <w:pStyle w:val="Tabletext"/>
            </w:pPr>
            <w:r w:rsidRPr="009E2BBE">
              <w:t>QDF with expert practitioners, AQP</w:t>
            </w:r>
            <w:r w:rsidR="00CD4361" w:rsidRPr="009E2BBE">
              <w:t xml:space="preserve"> and educationalists</w:t>
            </w:r>
          </w:p>
        </w:tc>
        <w:tc>
          <w:tcPr>
            <w:cnfStyle w:val="000010000000" w:firstRow="0" w:lastRow="0" w:firstColumn="0" w:lastColumn="0" w:oddVBand="1" w:evenVBand="0" w:oddHBand="0" w:evenHBand="0" w:firstRowFirstColumn="0" w:firstRowLastColumn="0" w:lastRowFirstColumn="0" w:lastRowLastColumn="0"/>
            <w:tcW w:w="4111" w:type="dxa"/>
          </w:tcPr>
          <w:p w14:paraId="53726BAD" w14:textId="065676C6" w:rsidR="002E76AC" w:rsidRPr="009E2BBE" w:rsidRDefault="002E76AC" w:rsidP="00085FC0">
            <w:pPr>
              <w:pStyle w:val="Tabletext"/>
            </w:pPr>
            <w:r w:rsidRPr="009E2BBE">
              <w:t>During the development of module specifications, the following steps are undertaken:</w:t>
            </w:r>
          </w:p>
          <w:p w14:paraId="3E173A8F" w14:textId="0B738261" w:rsidR="002E76AC" w:rsidRPr="009E2BBE" w:rsidRDefault="00F773D7" w:rsidP="002E76AC">
            <w:pPr>
              <w:pStyle w:val="Tabletext"/>
              <w:numPr>
                <w:ilvl w:val="0"/>
                <w:numId w:val="31"/>
              </w:numPr>
            </w:pPr>
            <w:r w:rsidRPr="009E2BBE">
              <w:t>d</w:t>
            </w:r>
            <w:r w:rsidR="002E76AC" w:rsidRPr="009E2BBE">
              <w:t>efining the work experience module specifications</w:t>
            </w:r>
          </w:p>
          <w:p w14:paraId="7C981546" w14:textId="22D6C9AA" w:rsidR="002E76AC" w:rsidRPr="009E2BBE" w:rsidRDefault="00F773D7" w:rsidP="002E76AC">
            <w:pPr>
              <w:pStyle w:val="Tabletext"/>
              <w:numPr>
                <w:ilvl w:val="0"/>
                <w:numId w:val="31"/>
              </w:numPr>
            </w:pPr>
            <w:r w:rsidRPr="009E2BBE">
              <w:t>d</w:t>
            </w:r>
            <w:r w:rsidR="002E76AC" w:rsidRPr="009E2BBE">
              <w:t>efining the practical skill module specifications</w:t>
            </w:r>
          </w:p>
          <w:p w14:paraId="0F48A1AB" w14:textId="695D7F67" w:rsidR="002E76AC" w:rsidRPr="009E2BBE" w:rsidRDefault="00F773D7" w:rsidP="002E76AC">
            <w:pPr>
              <w:pStyle w:val="Tabletext"/>
              <w:numPr>
                <w:ilvl w:val="0"/>
                <w:numId w:val="31"/>
              </w:numPr>
            </w:pPr>
            <w:r w:rsidRPr="009E2BBE">
              <w:t>d</w:t>
            </w:r>
            <w:r w:rsidR="002E76AC" w:rsidRPr="009E2BBE">
              <w:t>efining the knowledge module specifications</w:t>
            </w:r>
            <w:r w:rsidRPr="009E2BBE">
              <w:t>.</w:t>
            </w:r>
          </w:p>
          <w:p w14:paraId="29BE3D7A" w14:textId="480F8D4B" w:rsidR="00085FC0" w:rsidRPr="009E2BBE" w:rsidRDefault="002E76AC" w:rsidP="00085FC0">
            <w:pPr>
              <w:pStyle w:val="Tabletext"/>
            </w:pPr>
            <w:r w:rsidRPr="009E2BBE">
              <w:t xml:space="preserve">The DQF also coordinates and holds working group meetings during this stage. The QDF is also expected to provide additional information to the DQF such as </w:t>
            </w:r>
            <w:r w:rsidR="002E00FB" w:rsidRPr="009E2BBE">
              <w:t xml:space="preserve">an </w:t>
            </w:r>
            <w:r w:rsidRPr="009E2BBE">
              <w:t>outline on international comparability, qualifications to be replaced, articulation and assigned NQF level.</w:t>
            </w:r>
          </w:p>
        </w:tc>
        <w:tc>
          <w:tcPr>
            <w:cnfStyle w:val="000001000000" w:firstRow="0" w:lastRow="0" w:firstColumn="0" w:lastColumn="0" w:oddVBand="0" w:evenVBand="1" w:oddHBand="0" w:evenHBand="0" w:firstRowFirstColumn="0" w:firstRowLastColumn="0" w:lastRowFirstColumn="0" w:lastRowLastColumn="0"/>
            <w:tcW w:w="1406" w:type="dxa"/>
          </w:tcPr>
          <w:p w14:paraId="02492925" w14:textId="77777777" w:rsidR="00085FC0" w:rsidRPr="009E2BBE" w:rsidRDefault="00085FC0" w:rsidP="00085FC0">
            <w:pPr>
              <w:pStyle w:val="Tabletext"/>
            </w:pPr>
          </w:p>
        </w:tc>
      </w:tr>
      <w:tr w:rsidR="00085FC0" w:rsidRPr="009E2BBE" w14:paraId="58111760" w14:textId="77777777" w:rsidTr="00DA18BB">
        <w:tc>
          <w:tcPr>
            <w:cnfStyle w:val="000010000000" w:firstRow="0" w:lastRow="0" w:firstColumn="0" w:lastColumn="0" w:oddVBand="1" w:evenVBand="0" w:oddHBand="0" w:evenHBand="0" w:firstRowFirstColumn="0" w:firstRowLastColumn="0" w:lastRowFirstColumn="0" w:lastRowLastColumn="0"/>
            <w:tcW w:w="1843" w:type="dxa"/>
          </w:tcPr>
          <w:p w14:paraId="0D950AB6" w14:textId="0ED88922" w:rsidR="00085FC0" w:rsidRPr="009E2BBE" w:rsidRDefault="00BC52E2" w:rsidP="00085FC0">
            <w:pPr>
              <w:pStyle w:val="Tabletext"/>
            </w:pPr>
            <w:r w:rsidRPr="009E2BBE">
              <w:t>Develop the integrated external assessment specifications</w:t>
            </w:r>
          </w:p>
        </w:tc>
        <w:tc>
          <w:tcPr>
            <w:cnfStyle w:val="000001000000" w:firstRow="0" w:lastRow="0" w:firstColumn="0" w:lastColumn="0" w:oddVBand="0" w:evenVBand="1" w:oddHBand="0" w:evenHBand="0" w:firstRowFirstColumn="0" w:firstRowLastColumn="0" w:lastRowFirstColumn="0" w:lastRowLastColumn="0"/>
            <w:tcW w:w="1701" w:type="dxa"/>
          </w:tcPr>
          <w:p w14:paraId="29C8965A" w14:textId="71A13DD5" w:rsidR="00085FC0" w:rsidRPr="009E2BBE" w:rsidRDefault="00CD4361" w:rsidP="00085FC0">
            <w:pPr>
              <w:pStyle w:val="Tabletext"/>
            </w:pPr>
            <w:r w:rsidRPr="009E2BBE">
              <w:t>QDF with AQP and expert practitioners (including assessors)</w:t>
            </w:r>
          </w:p>
        </w:tc>
        <w:tc>
          <w:tcPr>
            <w:cnfStyle w:val="000010000000" w:firstRow="0" w:lastRow="0" w:firstColumn="0" w:lastColumn="0" w:oddVBand="1" w:evenVBand="0" w:oddHBand="0" w:evenHBand="0" w:firstRowFirstColumn="0" w:firstRowLastColumn="0" w:lastRowFirstColumn="0" w:lastRowLastColumn="0"/>
            <w:tcW w:w="4111" w:type="dxa"/>
          </w:tcPr>
          <w:p w14:paraId="3450E8B0" w14:textId="0D12A1DA" w:rsidR="00BC52E2" w:rsidRPr="009E2BBE" w:rsidRDefault="00BC52E2" w:rsidP="00085FC0">
            <w:pPr>
              <w:pStyle w:val="Tabletext"/>
            </w:pPr>
            <w:r w:rsidRPr="009E2BBE">
              <w:t>The development of the external assessment specifications documents involves the following steps:</w:t>
            </w:r>
          </w:p>
          <w:p w14:paraId="1ED7D980" w14:textId="10355E67" w:rsidR="00BC52E2" w:rsidRPr="009E2BBE" w:rsidRDefault="00A23D13" w:rsidP="00BC52E2">
            <w:pPr>
              <w:pStyle w:val="Tabletext"/>
              <w:numPr>
                <w:ilvl w:val="0"/>
                <w:numId w:val="32"/>
              </w:numPr>
            </w:pPr>
            <w:r w:rsidRPr="009E2BBE">
              <w:t>F</w:t>
            </w:r>
            <w:r w:rsidR="00BC52E2" w:rsidRPr="009E2BBE">
              <w:t>ormulate the purpose of the qualification and part qualifications</w:t>
            </w:r>
            <w:r w:rsidRPr="009E2BBE">
              <w:t>.</w:t>
            </w:r>
          </w:p>
          <w:p w14:paraId="0BA9A663" w14:textId="7E9E3B6C" w:rsidR="00BC52E2" w:rsidRPr="009E2BBE" w:rsidRDefault="00A23D13" w:rsidP="00BC52E2">
            <w:pPr>
              <w:pStyle w:val="Tabletext"/>
              <w:numPr>
                <w:ilvl w:val="0"/>
                <w:numId w:val="32"/>
              </w:numPr>
            </w:pPr>
            <w:r w:rsidRPr="009E2BBE">
              <w:t>I</w:t>
            </w:r>
            <w:r w:rsidR="00F773D7" w:rsidRPr="009E2BBE">
              <w:t>d</w:t>
            </w:r>
            <w:r w:rsidR="00BC52E2" w:rsidRPr="009E2BBE">
              <w:t>entify integrated assessment focus areas and determine the weight</w:t>
            </w:r>
            <w:r w:rsidRPr="009E2BBE">
              <w:t>.</w:t>
            </w:r>
          </w:p>
          <w:p w14:paraId="49CCEFD6" w14:textId="3DE06E82" w:rsidR="00BC52E2" w:rsidRPr="009E2BBE" w:rsidRDefault="00A23D13" w:rsidP="00BC52E2">
            <w:pPr>
              <w:pStyle w:val="Tabletext"/>
              <w:numPr>
                <w:ilvl w:val="0"/>
                <w:numId w:val="32"/>
              </w:numPr>
            </w:pPr>
            <w:r w:rsidRPr="009E2BBE">
              <w:t>D</w:t>
            </w:r>
            <w:r w:rsidR="00BC52E2" w:rsidRPr="009E2BBE">
              <w:t>efine associated assessment criteria for each integrated assessment focus area</w:t>
            </w:r>
            <w:r w:rsidRPr="009E2BBE">
              <w:t>.</w:t>
            </w:r>
          </w:p>
          <w:p w14:paraId="1F1209F1" w14:textId="32DB77AE" w:rsidR="00BC52E2" w:rsidRPr="009E2BBE" w:rsidRDefault="00A23D13" w:rsidP="00BC52E2">
            <w:pPr>
              <w:pStyle w:val="Tabletext"/>
              <w:numPr>
                <w:ilvl w:val="0"/>
                <w:numId w:val="32"/>
              </w:numPr>
            </w:pPr>
            <w:r w:rsidRPr="009E2BBE">
              <w:t>R</w:t>
            </w:r>
            <w:r w:rsidR="00BC52E2" w:rsidRPr="009E2BBE">
              <w:t>eflect assignments to be evaluated externally</w:t>
            </w:r>
            <w:r w:rsidRPr="009E2BBE">
              <w:t>.</w:t>
            </w:r>
          </w:p>
          <w:p w14:paraId="2C20DED4" w14:textId="5B5FF65F" w:rsidR="00BC52E2" w:rsidRPr="009E2BBE" w:rsidRDefault="00A23D13" w:rsidP="00BC52E2">
            <w:pPr>
              <w:pStyle w:val="Tabletext"/>
              <w:numPr>
                <w:ilvl w:val="0"/>
                <w:numId w:val="32"/>
              </w:numPr>
            </w:pPr>
            <w:r w:rsidRPr="009E2BBE">
              <w:t>D</w:t>
            </w:r>
            <w:r w:rsidR="00BC52E2" w:rsidRPr="009E2BBE">
              <w:t>escribe the external integrated assessment model</w:t>
            </w:r>
            <w:r w:rsidRPr="009E2BBE">
              <w:t>.</w:t>
            </w:r>
          </w:p>
          <w:p w14:paraId="77510D6B" w14:textId="61080ABA" w:rsidR="00F773D7" w:rsidRPr="009E2BBE" w:rsidRDefault="00A23D13" w:rsidP="00F773D7">
            <w:pPr>
              <w:pStyle w:val="Tabletext"/>
              <w:numPr>
                <w:ilvl w:val="0"/>
                <w:numId w:val="32"/>
              </w:numPr>
            </w:pPr>
            <w:r w:rsidRPr="009E2BBE">
              <w:t>R</w:t>
            </w:r>
            <w:r w:rsidR="00BC52E2" w:rsidRPr="009E2BBE">
              <w:t xml:space="preserve">eflect the eligibility requirements to qualify for the external integrated summative assessment for phase tests and/or part qualifications (including </w:t>
            </w:r>
            <w:r w:rsidR="00B72737" w:rsidRPr="009E2BBE">
              <w:t>foundational learning</w:t>
            </w:r>
            <w:r w:rsidR="00BC52E2" w:rsidRPr="009E2BBE">
              <w:t>)</w:t>
            </w:r>
            <w:r w:rsidRPr="009E2BBE">
              <w:t>.</w:t>
            </w:r>
          </w:p>
          <w:p w14:paraId="2794D273" w14:textId="0A16D3EF" w:rsidR="00BC52E2" w:rsidRPr="009E2BBE" w:rsidRDefault="00A23D13" w:rsidP="00F773D7">
            <w:pPr>
              <w:pStyle w:val="Tabletext"/>
              <w:numPr>
                <w:ilvl w:val="0"/>
                <w:numId w:val="32"/>
              </w:numPr>
            </w:pPr>
            <w:r w:rsidRPr="009E2BBE">
              <w:t>D</w:t>
            </w:r>
            <w:r w:rsidR="00BC52E2" w:rsidRPr="009E2BBE">
              <w:t>etermine the criteria for the registration of assessors</w:t>
            </w:r>
            <w:r w:rsidR="00F773D7" w:rsidRPr="009E2BBE">
              <w:t>.</w:t>
            </w:r>
          </w:p>
          <w:p w14:paraId="0F3CB0F2" w14:textId="5F434F95" w:rsidR="00085FC0" w:rsidRPr="009E2BBE" w:rsidRDefault="00BC52E2" w:rsidP="00085FC0">
            <w:pPr>
              <w:pStyle w:val="Tabletext"/>
            </w:pPr>
            <w:r w:rsidRPr="009E2BBE">
              <w:t>During this stage, the DQP coordinates working group meetings. These meetings must also include the AQP.</w:t>
            </w:r>
          </w:p>
        </w:tc>
        <w:tc>
          <w:tcPr>
            <w:cnfStyle w:val="000001000000" w:firstRow="0" w:lastRow="0" w:firstColumn="0" w:lastColumn="0" w:oddVBand="0" w:evenVBand="1" w:oddHBand="0" w:evenHBand="0" w:firstRowFirstColumn="0" w:firstRowLastColumn="0" w:lastRowFirstColumn="0" w:lastRowLastColumn="0"/>
            <w:tcW w:w="1406" w:type="dxa"/>
          </w:tcPr>
          <w:p w14:paraId="265CFAE0" w14:textId="3DE76B46" w:rsidR="00085FC0" w:rsidRPr="009E2BBE" w:rsidRDefault="00085FC0" w:rsidP="00085FC0">
            <w:pPr>
              <w:pStyle w:val="Tabletext"/>
            </w:pPr>
          </w:p>
        </w:tc>
      </w:tr>
      <w:tr w:rsidR="00085FC0" w:rsidRPr="009E2BBE" w14:paraId="0BC66A1D" w14:textId="77777777" w:rsidTr="00DA18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54E7E6AE" w14:textId="0C907C9B" w:rsidR="00085FC0" w:rsidRPr="009E2BBE" w:rsidRDefault="00085FC0" w:rsidP="00085FC0">
            <w:pPr>
              <w:pStyle w:val="Tabletext"/>
            </w:pPr>
            <w:r w:rsidRPr="009E2BBE">
              <w:t>Manage verifications process (curriculum and assessment specifications)</w:t>
            </w:r>
          </w:p>
        </w:tc>
        <w:tc>
          <w:tcPr>
            <w:cnfStyle w:val="000001000000" w:firstRow="0" w:lastRow="0" w:firstColumn="0" w:lastColumn="0" w:oddVBand="0" w:evenVBand="1" w:oddHBand="0" w:evenHBand="0" w:firstRowFirstColumn="0" w:firstRowLastColumn="0" w:lastRowFirstColumn="0" w:lastRowLastColumn="0"/>
            <w:tcW w:w="1701" w:type="dxa"/>
          </w:tcPr>
          <w:p w14:paraId="5F89762E" w14:textId="7DAA27B2" w:rsidR="00085FC0" w:rsidRPr="009E2BBE" w:rsidRDefault="00CD4361" w:rsidP="00085FC0">
            <w:pPr>
              <w:pStyle w:val="Tabletext"/>
            </w:pPr>
            <w:r w:rsidRPr="009E2BBE">
              <w:t>DQP with constituency group</w:t>
            </w:r>
          </w:p>
        </w:tc>
        <w:tc>
          <w:tcPr>
            <w:cnfStyle w:val="000010000000" w:firstRow="0" w:lastRow="0" w:firstColumn="0" w:lastColumn="0" w:oddVBand="1" w:evenVBand="0" w:oddHBand="0" w:evenHBand="0" w:firstRowFirstColumn="0" w:firstRowLastColumn="0" w:lastRowFirstColumn="0" w:lastRowLastColumn="0"/>
            <w:tcW w:w="4111" w:type="dxa"/>
          </w:tcPr>
          <w:p w14:paraId="3C696B34" w14:textId="63FA0F0B" w:rsidR="00C716AA" w:rsidRPr="009E2BBE" w:rsidRDefault="00C716AA" w:rsidP="00085FC0">
            <w:pPr>
              <w:pStyle w:val="Tabletext"/>
            </w:pPr>
            <w:r w:rsidRPr="009E2BBE">
              <w:t>During this stage the curriculum and</w:t>
            </w:r>
            <w:r w:rsidR="00A23D13" w:rsidRPr="009E2BBE">
              <w:t xml:space="preserve"> the</w:t>
            </w:r>
            <w:r w:rsidRPr="009E2BBE">
              <w:t xml:space="preserve"> assessment specifications document are submitted to the DQP for verification with stakeholders.</w:t>
            </w:r>
            <w:r w:rsidR="00092492">
              <w:t xml:space="preserve"> </w:t>
            </w:r>
            <w:r w:rsidRPr="009E2BBE">
              <w:t>The DQP collect</w:t>
            </w:r>
            <w:r w:rsidR="00A23D13" w:rsidRPr="009E2BBE">
              <w:t>s</w:t>
            </w:r>
            <w:r w:rsidRPr="009E2BBE">
              <w:t xml:space="preserve"> and collate</w:t>
            </w:r>
            <w:r w:rsidR="00A23D13" w:rsidRPr="009E2BBE">
              <w:t>s</w:t>
            </w:r>
            <w:r w:rsidRPr="009E2BBE">
              <w:t xml:space="preserve"> the feedback and arrange</w:t>
            </w:r>
            <w:r w:rsidR="00A23D13" w:rsidRPr="009E2BBE">
              <w:t>s</w:t>
            </w:r>
            <w:r w:rsidRPr="009E2BBE">
              <w:t xml:space="preserve"> a working group meeting to consider comments. </w:t>
            </w:r>
            <w:r w:rsidR="002E00FB" w:rsidRPr="009E2BBE">
              <w:t xml:space="preserve">Sector </w:t>
            </w:r>
            <w:r w:rsidR="00A23D13" w:rsidRPr="009E2BBE">
              <w:t xml:space="preserve">education and training authorities </w:t>
            </w:r>
            <w:r w:rsidR="002E00FB" w:rsidRPr="009E2BBE">
              <w:t>(</w:t>
            </w:r>
            <w:r w:rsidRPr="009E2BBE">
              <w:t>SETAs</w:t>
            </w:r>
            <w:r w:rsidR="002E00FB" w:rsidRPr="009E2BBE">
              <w:t>)</w:t>
            </w:r>
            <w:r w:rsidRPr="009E2BBE">
              <w:t xml:space="preserve"> must also be consulted about the qualifications and learning programs to be replaced.</w:t>
            </w:r>
          </w:p>
          <w:p w14:paraId="3787B2CE" w14:textId="4C06D014" w:rsidR="00085FC0" w:rsidRPr="009E2BBE" w:rsidRDefault="00C716AA" w:rsidP="00085FC0">
            <w:pPr>
              <w:pStyle w:val="Tabletext"/>
            </w:pPr>
            <w:r w:rsidRPr="009E2BBE">
              <w:t>While the DQP manages this process, input is provided by the QDF.</w:t>
            </w:r>
          </w:p>
        </w:tc>
        <w:tc>
          <w:tcPr>
            <w:cnfStyle w:val="000001000000" w:firstRow="0" w:lastRow="0" w:firstColumn="0" w:lastColumn="0" w:oddVBand="0" w:evenVBand="1" w:oddHBand="0" w:evenHBand="0" w:firstRowFirstColumn="0" w:firstRowLastColumn="0" w:lastRowFirstColumn="0" w:lastRowLastColumn="0"/>
            <w:tcW w:w="1406" w:type="dxa"/>
          </w:tcPr>
          <w:p w14:paraId="6BE3587B" w14:textId="720B42DB" w:rsidR="00085FC0" w:rsidRPr="009E2BBE" w:rsidRDefault="00085FC0" w:rsidP="00085FC0">
            <w:pPr>
              <w:pStyle w:val="Tabletext"/>
            </w:pPr>
          </w:p>
        </w:tc>
      </w:tr>
      <w:tr w:rsidR="00085FC0" w:rsidRPr="009E2BBE" w14:paraId="0F2E08F3" w14:textId="77777777" w:rsidTr="00DA18BB">
        <w:tc>
          <w:tcPr>
            <w:cnfStyle w:val="000010000000" w:firstRow="0" w:lastRow="0" w:firstColumn="0" w:lastColumn="0" w:oddVBand="1" w:evenVBand="0" w:oddHBand="0" w:evenHBand="0" w:firstRowFirstColumn="0" w:firstRowLastColumn="0" w:lastRowFirstColumn="0" w:lastRowLastColumn="0"/>
            <w:tcW w:w="1843" w:type="dxa"/>
          </w:tcPr>
          <w:p w14:paraId="1BBADA24" w14:textId="2CB0FE52" w:rsidR="00085FC0" w:rsidRPr="009E2BBE" w:rsidRDefault="00085FC0" w:rsidP="00085FC0">
            <w:pPr>
              <w:pStyle w:val="Tabletext"/>
            </w:pPr>
            <w:r w:rsidRPr="009E2BBE">
              <w:t xml:space="preserve">Submit curriculum, assessment specifications, </w:t>
            </w:r>
            <w:proofErr w:type="gramStart"/>
            <w:r w:rsidRPr="009E2BBE">
              <w:t>qualification</w:t>
            </w:r>
            <w:proofErr w:type="gramEnd"/>
            <w:r w:rsidRPr="009E2BBE">
              <w:t xml:space="preserve"> and process report</w:t>
            </w:r>
          </w:p>
        </w:tc>
        <w:tc>
          <w:tcPr>
            <w:cnfStyle w:val="000001000000" w:firstRow="0" w:lastRow="0" w:firstColumn="0" w:lastColumn="0" w:oddVBand="0" w:evenVBand="1" w:oddHBand="0" w:evenHBand="0" w:firstRowFirstColumn="0" w:firstRowLastColumn="0" w:lastRowFirstColumn="0" w:lastRowLastColumn="0"/>
            <w:tcW w:w="1701" w:type="dxa"/>
          </w:tcPr>
          <w:p w14:paraId="6A4F5F75" w14:textId="73AF1CE2" w:rsidR="00085FC0" w:rsidRPr="009E2BBE" w:rsidRDefault="00CD4361" w:rsidP="00085FC0">
            <w:pPr>
              <w:pStyle w:val="Tabletext"/>
            </w:pPr>
            <w:r w:rsidRPr="009E2BBE">
              <w:t>DQP</w:t>
            </w:r>
          </w:p>
        </w:tc>
        <w:tc>
          <w:tcPr>
            <w:cnfStyle w:val="000010000000" w:firstRow="0" w:lastRow="0" w:firstColumn="0" w:lastColumn="0" w:oddVBand="1" w:evenVBand="0" w:oddHBand="0" w:evenHBand="0" w:firstRowFirstColumn="0" w:firstRowLastColumn="0" w:lastRowFirstColumn="0" w:lastRowLastColumn="0"/>
            <w:tcW w:w="4111" w:type="dxa"/>
          </w:tcPr>
          <w:p w14:paraId="0819552F" w14:textId="77777777" w:rsidR="00085FC0" w:rsidRPr="009E2BBE" w:rsidRDefault="00777517" w:rsidP="00085FC0">
            <w:pPr>
              <w:pStyle w:val="Tabletext"/>
            </w:pPr>
            <w:r w:rsidRPr="009E2BBE">
              <w:t>The curriculum, assessment specification and qualification information are captured using the electronic qualification capturing tool. All content is checked against construction rules.</w:t>
            </w:r>
          </w:p>
          <w:p w14:paraId="020DF72E" w14:textId="6CF00AA9" w:rsidR="00777517" w:rsidRPr="009E2BBE" w:rsidRDefault="00777517" w:rsidP="00777517">
            <w:pPr>
              <w:pStyle w:val="Tabletext"/>
            </w:pPr>
            <w:r w:rsidRPr="009E2BBE">
              <w:t>The process report is also finalised.</w:t>
            </w:r>
          </w:p>
        </w:tc>
        <w:tc>
          <w:tcPr>
            <w:cnfStyle w:val="000001000000" w:firstRow="0" w:lastRow="0" w:firstColumn="0" w:lastColumn="0" w:oddVBand="0" w:evenVBand="1" w:oddHBand="0" w:evenHBand="0" w:firstRowFirstColumn="0" w:firstRowLastColumn="0" w:lastRowFirstColumn="0" w:lastRowLastColumn="0"/>
            <w:tcW w:w="1406" w:type="dxa"/>
          </w:tcPr>
          <w:p w14:paraId="6CD053DC" w14:textId="3510B103" w:rsidR="00085FC0" w:rsidRPr="009E2BBE" w:rsidRDefault="00085FC0" w:rsidP="00085FC0">
            <w:pPr>
              <w:pStyle w:val="Tabletext"/>
            </w:pPr>
          </w:p>
        </w:tc>
      </w:tr>
      <w:tr w:rsidR="00085FC0" w:rsidRPr="009E2BBE" w14:paraId="56852C94" w14:textId="77777777" w:rsidTr="00DA18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tcPr>
          <w:p w14:paraId="3C7EA52B" w14:textId="1D195BEB" w:rsidR="00085FC0" w:rsidRPr="009E2BBE" w:rsidRDefault="00085FC0" w:rsidP="00085FC0">
            <w:pPr>
              <w:pStyle w:val="Tabletext"/>
            </w:pPr>
            <w:r w:rsidRPr="009E2BBE">
              <w:t>QCTO evaluates</w:t>
            </w:r>
          </w:p>
        </w:tc>
        <w:tc>
          <w:tcPr>
            <w:cnfStyle w:val="000001000000" w:firstRow="0" w:lastRow="0" w:firstColumn="0" w:lastColumn="0" w:oddVBand="0" w:evenVBand="1" w:oddHBand="0" w:evenHBand="0" w:firstRowFirstColumn="0" w:firstRowLastColumn="0" w:lastRowFirstColumn="0" w:lastRowLastColumn="0"/>
            <w:tcW w:w="1701" w:type="dxa"/>
          </w:tcPr>
          <w:p w14:paraId="61934945" w14:textId="0841B177" w:rsidR="00085FC0" w:rsidRPr="009E2BBE" w:rsidRDefault="00085FC0" w:rsidP="00085FC0">
            <w:pPr>
              <w:pStyle w:val="Tabletext"/>
            </w:pPr>
            <w:r w:rsidRPr="009E2BBE">
              <w:t>QCTO staff</w:t>
            </w:r>
          </w:p>
        </w:tc>
        <w:tc>
          <w:tcPr>
            <w:cnfStyle w:val="000010000000" w:firstRow="0" w:lastRow="0" w:firstColumn="0" w:lastColumn="0" w:oddVBand="1" w:evenVBand="0" w:oddHBand="0" w:evenHBand="0" w:firstRowFirstColumn="0" w:firstRowLastColumn="0" w:lastRowFirstColumn="0" w:lastRowLastColumn="0"/>
            <w:tcW w:w="4111" w:type="dxa"/>
          </w:tcPr>
          <w:p w14:paraId="6A6ED66C" w14:textId="39544C67" w:rsidR="00085FC0" w:rsidRPr="009E2BBE" w:rsidRDefault="00777517" w:rsidP="00085FC0">
            <w:pPr>
              <w:pStyle w:val="Tabletext"/>
            </w:pPr>
            <w:r w:rsidRPr="009E2BBE">
              <w:t>The QCTO evaluates the submissions. If there are only small changes and they are corrected by the QDF within 2 weeks, then the DQP is not notified.</w:t>
            </w:r>
          </w:p>
        </w:tc>
        <w:tc>
          <w:tcPr>
            <w:cnfStyle w:val="000001000000" w:firstRow="0" w:lastRow="0" w:firstColumn="0" w:lastColumn="0" w:oddVBand="0" w:evenVBand="1" w:oddHBand="0" w:evenHBand="0" w:firstRowFirstColumn="0" w:firstRowLastColumn="0" w:lastRowFirstColumn="0" w:lastRowLastColumn="0"/>
            <w:tcW w:w="1406" w:type="dxa"/>
          </w:tcPr>
          <w:p w14:paraId="3924DED4" w14:textId="5C6397D4" w:rsidR="00085FC0" w:rsidRPr="009E2BBE" w:rsidRDefault="00085FC0" w:rsidP="00085FC0">
            <w:pPr>
              <w:pStyle w:val="Tabletext"/>
            </w:pPr>
          </w:p>
        </w:tc>
      </w:tr>
      <w:tr w:rsidR="00085FC0" w:rsidRPr="009E2BBE" w14:paraId="41885E34" w14:textId="77777777" w:rsidTr="00DA18BB">
        <w:tc>
          <w:tcPr>
            <w:cnfStyle w:val="000010000000" w:firstRow="0" w:lastRow="0" w:firstColumn="0" w:lastColumn="0" w:oddVBand="1" w:evenVBand="0" w:oddHBand="0" w:evenHBand="0" w:firstRowFirstColumn="0" w:firstRowLastColumn="0" w:lastRowFirstColumn="0" w:lastRowLastColumn="0"/>
            <w:tcW w:w="1843" w:type="dxa"/>
          </w:tcPr>
          <w:p w14:paraId="167A3BED" w14:textId="70E80ED3" w:rsidR="00085FC0" w:rsidRPr="009E2BBE" w:rsidRDefault="00CD4361" w:rsidP="00CD4361">
            <w:pPr>
              <w:pStyle w:val="Tabletext"/>
            </w:pPr>
            <w:r w:rsidRPr="009E2BBE">
              <w:t>SAQA approves registration</w:t>
            </w:r>
          </w:p>
        </w:tc>
        <w:tc>
          <w:tcPr>
            <w:cnfStyle w:val="000001000000" w:firstRow="0" w:lastRow="0" w:firstColumn="0" w:lastColumn="0" w:oddVBand="0" w:evenVBand="1" w:oddHBand="0" w:evenHBand="0" w:firstRowFirstColumn="0" w:firstRowLastColumn="0" w:lastRowFirstColumn="0" w:lastRowLastColumn="0"/>
            <w:tcW w:w="1701" w:type="dxa"/>
          </w:tcPr>
          <w:p w14:paraId="6A59AA2B" w14:textId="76DB8213" w:rsidR="00085FC0" w:rsidRPr="009E2BBE" w:rsidRDefault="00777517" w:rsidP="00085FC0">
            <w:pPr>
              <w:pStyle w:val="Tabletext"/>
            </w:pPr>
            <w:r w:rsidRPr="009E2BBE">
              <w:t>SAQA</w:t>
            </w:r>
          </w:p>
        </w:tc>
        <w:tc>
          <w:tcPr>
            <w:cnfStyle w:val="000010000000" w:firstRow="0" w:lastRow="0" w:firstColumn="0" w:lastColumn="0" w:oddVBand="1" w:evenVBand="0" w:oddHBand="0" w:evenHBand="0" w:firstRowFirstColumn="0" w:firstRowLastColumn="0" w:lastRowFirstColumn="0" w:lastRowLastColumn="0"/>
            <w:tcW w:w="4111" w:type="dxa"/>
          </w:tcPr>
          <w:p w14:paraId="030B29C5" w14:textId="243884E8" w:rsidR="00085FC0" w:rsidRPr="009E2BBE" w:rsidRDefault="00B6417B" w:rsidP="00085FC0">
            <w:pPr>
              <w:pStyle w:val="Tabletext"/>
            </w:pPr>
            <w:r w:rsidRPr="009E2BBE">
              <w:t xml:space="preserve">It is policy that </w:t>
            </w:r>
            <w:r w:rsidR="00777517" w:rsidRPr="009E2BBE">
              <w:t xml:space="preserve">SAQA evaluates, </w:t>
            </w:r>
            <w:proofErr w:type="gramStart"/>
            <w:r w:rsidR="00777517" w:rsidRPr="009E2BBE">
              <w:t>registers</w:t>
            </w:r>
            <w:proofErr w:type="gramEnd"/>
            <w:r w:rsidR="00777517" w:rsidRPr="009E2BBE">
              <w:t xml:space="preserve"> and publishes all qualifications and part</w:t>
            </w:r>
            <w:r w:rsidR="00683CFE" w:rsidRPr="009E2BBE">
              <w:t xml:space="preserve"> </w:t>
            </w:r>
            <w:r w:rsidR="00777517" w:rsidRPr="009E2BBE">
              <w:t>qualifications on the NQF.</w:t>
            </w:r>
          </w:p>
          <w:p w14:paraId="0CE220DF" w14:textId="65FC8056" w:rsidR="00100AB2" w:rsidRPr="009E2BBE" w:rsidRDefault="00100AB2" w:rsidP="00100AB2">
            <w:pPr>
              <w:pStyle w:val="Tabletext"/>
            </w:pPr>
            <w:r w:rsidRPr="009E2BBE">
              <w:t>Occupational qualifications registered on the NQF are for a period of 5 years only (SAQA 2020).</w:t>
            </w:r>
          </w:p>
        </w:tc>
        <w:tc>
          <w:tcPr>
            <w:cnfStyle w:val="000001000000" w:firstRow="0" w:lastRow="0" w:firstColumn="0" w:lastColumn="0" w:oddVBand="0" w:evenVBand="1" w:oddHBand="0" w:evenHBand="0" w:firstRowFirstColumn="0" w:firstRowLastColumn="0" w:lastRowFirstColumn="0" w:lastRowLastColumn="0"/>
            <w:tcW w:w="1406" w:type="dxa"/>
          </w:tcPr>
          <w:p w14:paraId="5A13B80B" w14:textId="73C494C0" w:rsidR="00085FC0" w:rsidRPr="009E2BBE" w:rsidRDefault="00085FC0" w:rsidP="00085FC0">
            <w:pPr>
              <w:pStyle w:val="Tabletext"/>
            </w:pPr>
          </w:p>
        </w:tc>
      </w:tr>
    </w:tbl>
    <w:p w14:paraId="5F84A124" w14:textId="31CF86BA" w:rsidR="00085FC0" w:rsidRPr="009E2BBE" w:rsidRDefault="00723AE6" w:rsidP="00723AE6">
      <w:pPr>
        <w:pStyle w:val="Source"/>
      </w:pPr>
      <w:r w:rsidRPr="009E2BBE">
        <w:t xml:space="preserve">Source: </w:t>
      </w:r>
      <w:r w:rsidR="00167F17" w:rsidRPr="009E2BBE">
        <w:t>Derived from</w:t>
      </w:r>
      <w:r w:rsidRPr="009E2BBE">
        <w:t xml:space="preserve"> </w:t>
      </w:r>
      <w:r w:rsidR="00A23D13" w:rsidRPr="009E2BBE">
        <w:t>Quality Council for Trades and Occupations</w:t>
      </w:r>
      <w:r w:rsidRPr="009E2BBE">
        <w:t xml:space="preserve"> </w:t>
      </w:r>
      <w:r w:rsidR="00A23D13" w:rsidRPr="009E2BBE">
        <w:t>(</w:t>
      </w:r>
      <w:r w:rsidRPr="009E2BBE">
        <w:t>2014</w:t>
      </w:r>
      <w:r w:rsidR="00A23D13" w:rsidRPr="009E2BBE">
        <w:t>)</w:t>
      </w:r>
      <w:r w:rsidRPr="009E2BBE">
        <w:t>.</w:t>
      </w:r>
    </w:p>
    <w:p w14:paraId="6A5B53EF" w14:textId="77777777" w:rsidR="00FB0899" w:rsidRPr="009E2BBE" w:rsidRDefault="00FB0899">
      <w:pPr>
        <w:spacing w:before="0" w:line="240" w:lineRule="auto"/>
        <w:rPr>
          <w:rFonts w:ascii="Arial" w:hAnsi="Arial" w:cs="Tahoma"/>
          <w:color w:val="000000"/>
          <w:sz w:val="24"/>
        </w:rPr>
      </w:pPr>
      <w:r w:rsidRPr="009E2BBE">
        <w:br w:type="page"/>
      </w:r>
    </w:p>
    <w:p w14:paraId="3B42F552" w14:textId="355DCBAC" w:rsidR="00EA35ED" w:rsidRPr="009E2BBE" w:rsidRDefault="00EA35ED" w:rsidP="00EA35ED">
      <w:pPr>
        <w:pStyle w:val="Heading3"/>
      </w:pPr>
      <w:r w:rsidRPr="009E2BBE">
        <w:t>Stakeholders involved</w:t>
      </w:r>
    </w:p>
    <w:p w14:paraId="1222038C" w14:textId="02319B44" w:rsidR="005817C2" w:rsidRPr="009E2BBE" w:rsidRDefault="005817C2" w:rsidP="006051A3">
      <w:pPr>
        <w:pStyle w:val="Text"/>
      </w:pPr>
      <w:r w:rsidRPr="009E2BBE">
        <w:t xml:space="preserve">The following are the key stakeholders involved in the </w:t>
      </w:r>
      <w:r w:rsidR="00EA3747" w:rsidRPr="009E2BBE">
        <w:t>qualification development process</w:t>
      </w:r>
      <w:r w:rsidRPr="009E2BBE">
        <w:t>:</w:t>
      </w:r>
    </w:p>
    <w:p w14:paraId="7E61144E" w14:textId="5F32F4F0" w:rsidR="004F5764" w:rsidRPr="009E2BBE" w:rsidRDefault="00B93C1A" w:rsidP="005817C2">
      <w:pPr>
        <w:pStyle w:val="Dotpoint10"/>
      </w:pPr>
      <w:r w:rsidRPr="009E2BBE">
        <w:t xml:space="preserve">The </w:t>
      </w:r>
      <w:r w:rsidR="00B6417B" w:rsidRPr="009E2BBE">
        <w:t>South African Quality Authority</w:t>
      </w:r>
      <w:r w:rsidRPr="009E2BBE">
        <w:t xml:space="preserve"> </w:t>
      </w:r>
      <w:r w:rsidR="00B6417B" w:rsidRPr="009E2BBE">
        <w:t xml:space="preserve">has the overall responsibility for the National Qualifications Framework and, as mentioned in table </w:t>
      </w:r>
      <w:r w:rsidRPr="009E2BBE">
        <w:t>7</w:t>
      </w:r>
      <w:r w:rsidR="00B6417B" w:rsidRPr="009E2BBE">
        <w:t>, ha</w:t>
      </w:r>
      <w:r w:rsidR="00A23D13" w:rsidRPr="009E2BBE">
        <w:t>s</w:t>
      </w:r>
      <w:r w:rsidR="00B6417B" w:rsidRPr="009E2BBE">
        <w:t xml:space="preserve"> the final approval of qualifications to be registered on the NQF.</w:t>
      </w:r>
    </w:p>
    <w:p w14:paraId="5458AD24" w14:textId="53315952" w:rsidR="00872735" w:rsidRPr="009E2BBE" w:rsidRDefault="00025072" w:rsidP="005817C2">
      <w:pPr>
        <w:pStyle w:val="Dotpoint10"/>
      </w:pPr>
      <w:r w:rsidRPr="009E2BBE">
        <w:t>Quality councils</w:t>
      </w:r>
      <w:r w:rsidR="00B6417B" w:rsidRPr="009E2BBE">
        <w:t xml:space="preserve"> are responsible for ensuring any new qualifications refer to SAQA for registration on the NQF</w:t>
      </w:r>
      <w:r w:rsidR="00A23D13" w:rsidRPr="009E2BBE">
        <w:t>,</w:t>
      </w:r>
      <w:r w:rsidR="00B6417B" w:rsidRPr="009E2BBE">
        <w:t xml:space="preserve"> meeting the </w:t>
      </w:r>
      <w:r w:rsidR="00A26B8A" w:rsidRPr="009E2BBE">
        <w:t>‘</w:t>
      </w:r>
      <w:r w:rsidR="00B6417B" w:rsidRPr="009E2BBE">
        <w:t xml:space="preserve">Policy and </w:t>
      </w:r>
      <w:r w:rsidR="00A23D13" w:rsidRPr="009E2BBE">
        <w:t xml:space="preserve">criteria for the registration of qualifications and part-qualifications </w:t>
      </w:r>
      <w:r w:rsidR="00B6417B" w:rsidRPr="009E2BBE">
        <w:t>on the National Qualifications Framework (as amended, 2020)</w:t>
      </w:r>
      <w:r w:rsidR="00A26B8A" w:rsidRPr="009E2BBE">
        <w:t>’</w:t>
      </w:r>
      <w:r w:rsidR="00AE2F4A" w:rsidRPr="009E2BBE">
        <w:t xml:space="preserve"> (</w:t>
      </w:r>
      <w:r w:rsidR="00A23D13" w:rsidRPr="009E2BBE">
        <w:t>South African Quality Authority</w:t>
      </w:r>
      <w:r w:rsidR="00AE2F4A" w:rsidRPr="009E2BBE">
        <w:t xml:space="preserve"> 2020)</w:t>
      </w:r>
      <w:r w:rsidR="00B6417B" w:rsidRPr="009E2BBE">
        <w:t xml:space="preserve">. They also play a key role in deciding who should be involved in the </w:t>
      </w:r>
      <w:r w:rsidR="00EA3747" w:rsidRPr="009E2BBE">
        <w:t>qualification development process</w:t>
      </w:r>
      <w:r w:rsidR="00B6417B" w:rsidRPr="009E2BBE">
        <w:t xml:space="preserve">. </w:t>
      </w:r>
      <w:r w:rsidR="00872735" w:rsidRPr="009E2BBE">
        <w:t>This can include:</w:t>
      </w:r>
    </w:p>
    <w:p w14:paraId="083C1C48" w14:textId="2E4CD8E0" w:rsidR="00872735" w:rsidRPr="009E2BBE" w:rsidRDefault="00F773D7" w:rsidP="005817C2">
      <w:pPr>
        <w:pStyle w:val="Dotpoint2"/>
      </w:pPr>
      <w:r w:rsidRPr="009E2BBE">
        <w:t>employers</w:t>
      </w:r>
    </w:p>
    <w:p w14:paraId="5240D68C" w14:textId="1BA771E8" w:rsidR="00872735" w:rsidRPr="009E2BBE" w:rsidRDefault="00F773D7" w:rsidP="005817C2">
      <w:pPr>
        <w:pStyle w:val="Dotpoint2"/>
      </w:pPr>
      <w:r w:rsidRPr="009E2BBE">
        <w:t>employee associations</w:t>
      </w:r>
    </w:p>
    <w:p w14:paraId="15EED346" w14:textId="2CE26209" w:rsidR="00872735" w:rsidRPr="009E2BBE" w:rsidRDefault="00F773D7" w:rsidP="005817C2">
      <w:pPr>
        <w:pStyle w:val="Dotpoint2"/>
      </w:pPr>
      <w:r w:rsidRPr="009E2BBE">
        <w:t>professional bodies for that occupation</w:t>
      </w:r>
    </w:p>
    <w:p w14:paraId="0A6693C3" w14:textId="1B06020B" w:rsidR="00872735" w:rsidRPr="009E2BBE" w:rsidRDefault="00F773D7" w:rsidP="005817C2">
      <w:pPr>
        <w:pStyle w:val="Dotpoint2"/>
      </w:pPr>
      <w:r w:rsidRPr="009E2BBE">
        <w:t>industry bodies for that occupation</w:t>
      </w:r>
    </w:p>
    <w:p w14:paraId="1F466BCD" w14:textId="00154E92" w:rsidR="00872735" w:rsidRPr="009E2BBE" w:rsidRDefault="00996745" w:rsidP="005817C2">
      <w:pPr>
        <w:pStyle w:val="Dotpoint2"/>
      </w:pPr>
      <w:r w:rsidRPr="009E2BBE">
        <w:t xml:space="preserve">the </w:t>
      </w:r>
      <w:r w:rsidR="00F773D7" w:rsidRPr="009E2BBE">
        <w:t xml:space="preserve">education and </w:t>
      </w:r>
      <w:r w:rsidR="00872735" w:rsidRPr="009E2BBE">
        <w:t>training providers who would deliver some of the components (</w:t>
      </w:r>
      <w:r w:rsidR="00C556BC" w:rsidRPr="009E2BBE">
        <w:t>Quality Council for Trades and Occupations</w:t>
      </w:r>
      <w:r w:rsidR="0004259E" w:rsidRPr="009E2BBE">
        <w:t xml:space="preserve"> 2014</w:t>
      </w:r>
      <w:r w:rsidR="00872735" w:rsidRPr="009E2BBE">
        <w:t>)</w:t>
      </w:r>
    </w:p>
    <w:p w14:paraId="7EA2D8C6" w14:textId="54B8F7FF" w:rsidR="00B6417B" w:rsidRPr="009E2BBE" w:rsidRDefault="00C556BC" w:rsidP="005817C2">
      <w:pPr>
        <w:pStyle w:val="Dotpoint10"/>
      </w:pPr>
      <w:r w:rsidRPr="009E2BBE">
        <w:t>A d</w:t>
      </w:r>
      <w:r w:rsidR="00B6417B" w:rsidRPr="009E2BBE">
        <w:t xml:space="preserve">evelopment </w:t>
      </w:r>
      <w:r w:rsidRPr="009E2BBE">
        <w:t xml:space="preserve">quality partner </w:t>
      </w:r>
      <w:r w:rsidR="00B6417B" w:rsidRPr="009E2BBE">
        <w:t>(DQ</w:t>
      </w:r>
      <w:r w:rsidR="006C172C" w:rsidRPr="009E2BBE">
        <w:t>P</w:t>
      </w:r>
      <w:r w:rsidR="00B6417B" w:rsidRPr="009E2BBE">
        <w:t xml:space="preserve">) is a body delegated by the QCTO to manage the process of developing </w:t>
      </w:r>
      <w:r w:rsidR="00D70AE6" w:rsidRPr="009E2BBE">
        <w:t xml:space="preserve">specific occupational qualifications, </w:t>
      </w:r>
      <w:proofErr w:type="gramStart"/>
      <w:r w:rsidR="00D70AE6" w:rsidRPr="009E2BBE">
        <w:t>curricula</w:t>
      </w:r>
      <w:proofErr w:type="gramEnd"/>
      <w:r w:rsidR="00D70AE6" w:rsidRPr="009E2BBE">
        <w:t xml:space="preserve"> and assessment specifications. Their responsibilities in the </w:t>
      </w:r>
      <w:r w:rsidR="00EA3747" w:rsidRPr="009E2BBE">
        <w:t>qualification development process</w:t>
      </w:r>
      <w:r w:rsidR="00D70AE6" w:rsidRPr="009E2BBE">
        <w:t xml:space="preserve"> are outlined in table </w:t>
      </w:r>
      <w:r w:rsidR="0055583A" w:rsidRPr="009E2BBE">
        <w:t>7</w:t>
      </w:r>
      <w:r w:rsidR="00D70AE6" w:rsidRPr="009E2BBE">
        <w:t xml:space="preserve"> (</w:t>
      </w:r>
      <w:r w:rsidRPr="009E2BBE">
        <w:t>Quality Council for Trades and Occupations</w:t>
      </w:r>
      <w:r w:rsidR="0004259E" w:rsidRPr="009E2BBE">
        <w:t xml:space="preserve"> 2011)</w:t>
      </w:r>
      <w:r w:rsidR="00D70AE6" w:rsidRPr="009E2BBE">
        <w:t>.</w:t>
      </w:r>
    </w:p>
    <w:p w14:paraId="6A4942B0" w14:textId="53C2870F" w:rsidR="004F5764" w:rsidRPr="009E2BBE" w:rsidRDefault="00C556BC" w:rsidP="005817C2">
      <w:pPr>
        <w:pStyle w:val="Dotpoint10"/>
      </w:pPr>
      <w:r w:rsidRPr="009E2BBE">
        <w:t xml:space="preserve">A qualifications development facilitator </w:t>
      </w:r>
      <w:r w:rsidR="004F5764" w:rsidRPr="009E2BBE">
        <w:t>(QDF)</w:t>
      </w:r>
      <w:r w:rsidR="003F5EE2" w:rsidRPr="009E2BBE">
        <w:t xml:space="preserve"> is a person registered by the QCTO to facilitate the development of occupational qualifications (</w:t>
      </w:r>
      <w:r w:rsidRPr="009E2BBE">
        <w:t>Quality Council for Trades and Occupations</w:t>
      </w:r>
      <w:r w:rsidR="0004259E" w:rsidRPr="009E2BBE">
        <w:t xml:space="preserve"> 2011</w:t>
      </w:r>
      <w:r w:rsidR="003F5EE2" w:rsidRPr="009E2BBE">
        <w:t>).</w:t>
      </w:r>
    </w:p>
    <w:p w14:paraId="75CF872F" w14:textId="1CCE9B67" w:rsidR="00EF05F1" w:rsidRPr="009E2BBE" w:rsidRDefault="00B6417B" w:rsidP="005817C2">
      <w:pPr>
        <w:pStyle w:val="Dotpoint10"/>
      </w:pPr>
      <w:r w:rsidRPr="009E2BBE">
        <w:t>A</w:t>
      </w:r>
      <w:r w:rsidR="00C556BC" w:rsidRPr="009E2BBE">
        <w:t>n a</w:t>
      </w:r>
      <w:r w:rsidRPr="009E2BBE">
        <w:t xml:space="preserve">ssessment </w:t>
      </w:r>
      <w:r w:rsidR="00C556BC" w:rsidRPr="009E2BBE">
        <w:t xml:space="preserve">quality partner </w:t>
      </w:r>
      <w:r w:rsidRPr="009E2BBE">
        <w:t>(</w:t>
      </w:r>
      <w:r w:rsidR="00EF05F1" w:rsidRPr="009E2BBE">
        <w:t>AQP</w:t>
      </w:r>
      <w:r w:rsidRPr="009E2BBE">
        <w:t>)</w:t>
      </w:r>
      <w:r w:rsidR="00EF05F1" w:rsidRPr="009E2BBE">
        <w:t xml:space="preserve"> may be a body such as</w:t>
      </w:r>
      <w:r w:rsidR="00344854" w:rsidRPr="009E2BBE">
        <w:t xml:space="preserve"> moderating bodies, examining bodies, professional bodies, occupational </w:t>
      </w:r>
      <w:proofErr w:type="gramStart"/>
      <w:r w:rsidR="00344854" w:rsidRPr="009E2BBE">
        <w:t>associations</w:t>
      </w:r>
      <w:proofErr w:type="gramEnd"/>
      <w:r w:rsidR="00344854" w:rsidRPr="009E2BBE">
        <w:t xml:space="preserve"> or legislated boards</w:t>
      </w:r>
      <w:r w:rsidR="005817C2" w:rsidRPr="009E2BBE">
        <w:t xml:space="preserve"> (</w:t>
      </w:r>
      <w:r w:rsidR="00C556BC" w:rsidRPr="009E2BBE">
        <w:t>Quality Council for Trades and Occupations</w:t>
      </w:r>
      <w:r w:rsidR="0004259E" w:rsidRPr="009E2BBE">
        <w:t xml:space="preserve"> 2014</w:t>
      </w:r>
      <w:r w:rsidR="005817C2" w:rsidRPr="009E2BBE">
        <w:t>)</w:t>
      </w:r>
      <w:r w:rsidR="00344854" w:rsidRPr="009E2BBE">
        <w:t>.</w:t>
      </w:r>
      <w:r w:rsidR="005817C2" w:rsidRPr="009E2BBE">
        <w:t xml:space="preserve"> They develop the </w:t>
      </w:r>
      <w:r w:rsidR="00A26B8A" w:rsidRPr="009E2BBE">
        <w:t>‘</w:t>
      </w:r>
      <w:r w:rsidR="005817C2" w:rsidRPr="009E2BBE">
        <w:t>assessment instruments and manage the external summative assessment of specific occupational qualifications</w:t>
      </w:r>
      <w:r w:rsidR="00A26B8A" w:rsidRPr="009E2BBE">
        <w:t>’</w:t>
      </w:r>
      <w:r w:rsidR="005817C2" w:rsidRPr="009E2BBE">
        <w:t xml:space="preserve"> (</w:t>
      </w:r>
      <w:r w:rsidR="00C556BC" w:rsidRPr="009E2BBE">
        <w:t>Quality Council for Trades and Occupations</w:t>
      </w:r>
      <w:r w:rsidR="0004259E" w:rsidRPr="009E2BBE">
        <w:t xml:space="preserve"> 2011</w:t>
      </w:r>
      <w:r w:rsidR="002E00FB" w:rsidRPr="009E2BBE">
        <w:t xml:space="preserve">, </w:t>
      </w:r>
      <w:proofErr w:type="spellStart"/>
      <w:r w:rsidR="002E00FB" w:rsidRPr="009E2BBE">
        <w:t>p</w:t>
      </w:r>
      <w:r w:rsidR="00C46CE6" w:rsidRPr="009E2BBE">
        <w:t>.</w:t>
      </w:r>
      <w:r w:rsidR="002E00FB" w:rsidRPr="009E2BBE">
        <w:t>ii</w:t>
      </w:r>
      <w:proofErr w:type="spellEnd"/>
      <w:r w:rsidR="005817C2" w:rsidRPr="009E2BBE">
        <w:t>).</w:t>
      </w:r>
    </w:p>
    <w:p w14:paraId="49039022" w14:textId="349DE711" w:rsidR="00C82BBF" w:rsidRPr="009E2BBE" w:rsidRDefault="00C82BBF" w:rsidP="00E47E91">
      <w:pPr>
        <w:pStyle w:val="Text"/>
        <w:rPr>
          <w:highlight w:val="yellow"/>
        </w:rPr>
      </w:pPr>
      <w:r w:rsidRPr="009E2BBE">
        <w:t xml:space="preserve">The </w:t>
      </w:r>
      <w:r w:rsidR="00EA3747" w:rsidRPr="009E2BBE">
        <w:t>qualification development process</w:t>
      </w:r>
      <w:r w:rsidRPr="009E2BBE">
        <w:t xml:space="preserve"> involves a number of stakeholders, as mentioned above, who have a role to play in representing the interests of their groups, such as employers or education and training providers, when providing feedback throughout the various stages of the </w:t>
      </w:r>
      <w:r w:rsidR="00EA3747" w:rsidRPr="009E2BBE">
        <w:t>qualification development process</w:t>
      </w:r>
      <w:r w:rsidRPr="009E2BBE">
        <w:t>. A record of attendance at all meeting</w:t>
      </w:r>
      <w:r w:rsidR="00C46CE6" w:rsidRPr="009E2BBE">
        <w:t>s</w:t>
      </w:r>
      <w:r w:rsidRPr="009E2BBE">
        <w:t xml:space="preserve"> is kept and the participation of these stakeholders </w:t>
      </w:r>
      <w:r w:rsidR="00C556BC" w:rsidRPr="009E2BBE">
        <w:t>is</w:t>
      </w:r>
      <w:r w:rsidRPr="009E2BBE">
        <w:t xml:space="preserve"> monitored by the QDF. If there are inactive or problematic participants, the QDF communicates this to the DQP and </w:t>
      </w:r>
      <w:r w:rsidR="007F2A90" w:rsidRPr="009E2BBE">
        <w:t>additional stakeholders are arranged to ensure all sectors remain covered. Poor participation is also reported in the progress report to the QCTO (</w:t>
      </w:r>
      <w:r w:rsidR="00C556BC" w:rsidRPr="009E2BBE">
        <w:t>Quality Council for Trades and Occupations</w:t>
      </w:r>
      <w:r w:rsidR="0004259E" w:rsidRPr="009E2BBE">
        <w:t xml:space="preserve"> 2014</w:t>
      </w:r>
      <w:r w:rsidR="007F2A90" w:rsidRPr="009E2BBE">
        <w:t>).</w:t>
      </w:r>
    </w:p>
    <w:p w14:paraId="373EE258" w14:textId="77777777" w:rsidR="00EA35ED" w:rsidRPr="009E2BBE" w:rsidRDefault="00EA35ED" w:rsidP="00EA35ED">
      <w:pPr>
        <w:pStyle w:val="Heading3"/>
      </w:pPr>
      <w:r w:rsidRPr="009E2BBE">
        <w:t>Speed-to-market</w:t>
      </w:r>
    </w:p>
    <w:p w14:paraId="165D648B" w14:textId="75127AD7" w:rsidR="00EA35ED" w:rsidRPr="009E2BBE" w:rsidRDefault="00C46CE6" w:rsidP="00C46CE6">
      <w:pPr>
        <w:pStyle w:val="Text"/>
      </w:pPr>
      <w:r w:rsidRPr="009E2BBE">
        <w:t xml:space="preserve">Information regarding the average length of the </w:t>
      </w:r>
      <w:r w:rsidR="00EA3747" w:rsidRPr="009E2BBE">
        <w:t>qualification development process</w:t>
      </w:r>
      <w:r w:rsidRPr="009E2BBE">
        <w:t xml:space="preserve"> and speed-to-market from approval to delivery </w:t>
      </w:r>
      <w:r w:rsidR="00C556BC" w:rsidRPr="009E2BBE">
        <w:t>could not</w:t>
      </w:r>
      <w:r w:rsidRPr="009E2BBE">
        <w:t xml:space="preserve"> be found online.</w:t>
      </w:r>
    </w:p>
    <w:p w14:paraId="1110CCAA" w14:textId="77777777" w:rsidR="00FB0899" w:rsidRPr="009E2BBE" w:rsidRDefault="00FB0899">
      <w:pPr>
        <w:spacing w:before="0" w:line="240" w:lineRule="auto"/>
        <w:rPr>
          <w:rFonts w:ascii="Arial" w:hAnsi="Arial" w:cs="Tahoma"/>
          <w:sz w:val="28"/>
        </w:rPr>
      </w:pPr>
      <w:bookmarkStart w:id="76" w:name="_Toc65741380"/>
      <w:r w:rsidRPr="009E2BBE">
        <w:br w:type="page"/>
      </w:r>
    </w:p>
    <w:p w14:paraId="17E6E68A" w14:textId="4CAFD87B" w:rsidR="00EA35ED" w:rsidRPr="009E2BBE" w:rsidRDefault="00EA35ED" w:rsidP="00EA35ED">
      <w:pPr>
        <w:pStyle w:val="Heading2"/>
      </w:pPr>
      <w:r w:rsidRPr="009E2BBE">
        <w:t>Qualification design</w:t>
      </w:r>
      <w:bookmarkEnd w:id="76"/>
      <w:r w:rsidRPr="009E2BBE">
        <w:t xml:space="preserve"> </w:t>
      </w:r>
    </w:p>
    <w:p w14:paraId="0F0C6253" w14:textId="5015FC58" w:rsidR="00D9079D" w:rsidRPr="009E2BBE" w:rsidRDefault="00D9079D" w:rsidP="00D9079D">
      <w:pPr>
        <w:pStyle w:val="Text"/>
      </w:pPr>
      <w:r w:rsidRPr="009E2BBE">
        <w:t>A qualification consists of:</w:t>
      </w:r>
    </w:p>
    <w:p w14:paraId="63A85B22" w14:textId="73232266" w:rsidR="00D9079D" w:rsidRPr="009E2BBE" w:rsidRDefault="00C556BC" w:rsidP="00D9079D">
      <w:pPr>
        <w:pStyle w:val="Dotpoint10"/>
      </w:pPr>
      <w:r w:rsidRPr="009E2BBE">
        <w:t>a q</w:t>
      </w:r>
      <w:r w:rsidR="00D9079D" w:rsidRPr="009E2BBE">
        <w:t>ualification document</w:t>
      </w:r>
      <w:r w:rsidRPr="009E2BBE">
        <w:t>, which</w:t>
      </w:r>
      <w:r w:rsidR="005B203A" w:rsidRPr="009E2BBE">
        <w:t xml:space="preserve"> outlines the rationale and purpose for the qualification; compulsory knowledge, practical skill and work experience modules and associated credits; entry requirements; exit</w:t>
      </w:r>
      <w:r w:rsidRPr="009E2BBE">
        <w:t>-</w:t>
      </w:r>
      <w:r w:rsidR="005B203A" w:rsidRPr="009E2BBE">
        <w:t>level outcomes and associated assessment criteria; international comparability; integrated assessment; recognition of prior learning; articulation to other qualifications; and part qualifications</w:t>
      </w:r>
      <w:r w:rsidR="002C3864" w:rsidRPr="009E2BBE">
        <w:rPr>
          <w:highlight w:val="yellow"/>
        </w:rPr>
        <w:t xml:space="preserve"> </w:t>
      </w:r>
      <w:r w:rsidR="002C3864" w:rsidRPr="009E2BBE">
        <w:t>(</w:t>
      </w:r>
      <w:r w:rsidR="00100AB2" w:rsidRPr="009E2BBE">
        <w:t>QCTO 2019c</w:t>
      </w:r>
      <w:r w:rsidR="002C3864" w:rsidRPr="009E2BBE">
        <w:t>)</w:t>
      </w:r>
      <w:r w:rsidR="00100AB2" w:rsidRPr="009E2BBE">
        <w:t>.</w:t>
      </w:r>
    </w:p>
    <w:p w14:paraId="6269E1AC" w14:textId="1F6CFC9C" w:rsidR="00D9079D" w:rsidRPr="009E2BBE" w:rsidRDefault="00C556BC" w:rsidP="00D9079D">
      <w:pPr>
        <w:pStyle w:val="Dotpoint10"/>
      </w:pPr>
      <w:r w:rsidRPr="009E2BBE">
        <w:t>a c</w:t>
      </w:r>
      <w:r w:rsidR="00D9079D" w:rsidRPr="009E2BBE">
        <w:t>urriculum document</w:t>
      </w:r>
      <w:r w:rsidRPr="009E2BBE">
        <w:t xml:space="preserve">, which </w:t>
      </w:r>
      <w:r w:rsidR="005B203A" w:rsidRPr="009E2BBE">
        <w:t xml:space="preserve">covers the curriculum summary and entry requirements; occupational profile (tasks, responsibilities </w:t>
      </w:r>
      <w:r w:rsidR="00DB2132" w:rsidRPr="009E2BBE">
        <w:t>and</w:t>
      </w:r>
      <w:r w:rsidR="005B203A" w:rsidRPr="009E2BBE">
        <w:t xml:space="preserve"> context); knowledge module specifications (purpose, guideline, topics to be covered, internal assessment criteria and weighting, provider program accreditation criteria, and exemptions); practical skill module specifications (purpose, guideline, scope of practical skill, applied knowledge, internal assessment criteria, provider program accreditation criteria, and exemptions); and, work experience module specifications (purpose, guideline, scope, supporting evidence, contextualised workplace knowledge, criteria for workplace approval, and additional assignments to be assessed externally)</w:t>
      </w:r>
      <w:r w:rsidR="00100AB2" w:rsidRPr="009E2BBE">
        <w:t xml:space="preserve"> (</w:t>
      </w:r>
      <w:r w:rsidRPr="009E2BBE">
        <w:t>Quality Council for Trades and Occupations</w:t>
      </w:r>
      <w:r w:rsidR="00100AB2" w:rsidRPr="009E2BBE">
        <w:t xml:space="preserve"> 2019c).</w:t>
      </w:r>
    </w:p>
    <w:p w14:paraId="6AF71E68" w14:textId="6B740F8B" w:rsidR="00D9079D" w:rsidRPr="009E2BBE" w:rsidRDefault="00C556BC" w:rsidP="00D9079D">
      <w:pPr>
        <w:pStyle w:val="Dotpoint10"/>
      </w:pPr>
      <w:r w:rsidRPr="009E2BBE">
        <w:t>an a</w:t>
      </w:r>
      <w:r w:rsidR="00D9079D" w:rsidRPr="009E2BBE">
        <w:t>ssessment specifications document</w:t>
      </w:r>
      <w:r w:rsidRPr="009E2BBE">
        <w:t>, which</w:t>
      </w:r>
      <w:r w:rsidR="00727A2C" w:rsidRPr="009E2BBE">
        <w:t xml:space="preserve"> </w:t>
      </w:r>
      <w:r w:rsidR="005B203A" w:rsidRPr="009E2BBE">
        <w:t>summarises the assessment strategy (model, qualification purpose and assessment standards for qualifications and part qualifications); assignments to be evaluated externally; critical aspects of internal assessments to be assessed externally; criteria for the registration of assessors; foundational learning; and eligibility requirements for external assessment</w:t>
      </w:r>
      <w:r w:rsidR="00100AB2" w:rsidRPr="009E2BBE">
        <w:t xml:space="preserve"> (</w:t>
      </w:r>
      <w:r w:rsidRPr="009E2BBE">
        <w:t>Quality Council for Trades and Occupations</w:t>
      </w:r>
      <w:r w:rsidR="00100AB2" w:rsidRPr="009E2BBE">
        <w:t xml:space="preserve"> 2019c).</w:t>
      </w:r>
    </w:p>
    <w:p w14:paraId="1026FEE6" w14:textId="48BABAFF" w:rsidR="00EA35ED" w:rsidRPr="009E2BBE" w:rsidRDefault="00EA35ED" w:rsidP="00EA35ED">
      <w:pPr>
        <w:pStyle w:val="Heading3"/>
      </w:pPr>
      <w:r w:rsidRPr="009E2BBE">
        <w:t>Specificity of qualifications</w:t>
      </w:r>
    </w:p>
    <w:p w14:paraId="15C824A1" w14:textId="0AD58578" w:rsidR="009C3FDB" w:rsidRPr="009E2BBE" w:rsidRDefault="009C3FDB" w:rsidP="009C3FDB">
      <w:pPr>
        <w:pStyle w:val="Text"/>
      </w:pPr>
      <w:r w:rsidRPr="009E2BBE">
        <w:t>Occupational qualifications are tied to a 6-digit occupational code</w:t>
      </w:r>
      <w:r w:rsidR="0004259E" w:rsidRPr="009E2BBE">
        <w:t xml:space="preserve"> from the </w:t>
      </w:r>
      <w:r w:rsidRPr="009E2BBE">
        <w:t>Organising Framework for Occupations</w:t>
      </w:r>
      <w:r w:rsidR="00C46CE6" w:rsidRPr="009E2BBE">
        <w:t xml:space="preserve"> (OFO)</w:t>
      </w:r>
      <w:r w:rsidRPr="009E2BBE">
        <w:t>. This code must be provided when submitting a request to develop an occupational qualification</w:t>
      </w:r>
      <w:r w:rsidR="005104D3" w:rsidRPr="009E2BBE">
        <w:t xml:space="preserve"> and is cited through qualification documentation</w:t>
      </w:r>
      <w:r w:rsidRPr="009E2BBE">
        <w:t>.</w:t>
      </w:r>
      <w:r w:rsidR="00BC75D6" w:rsidRPr="009E2BBE">
        <w:t xml:space="preserve"> </w:t>
      </w:r>
      <w:r w:rsidR="005104D3" w:rsidRPr="009E2BBE">
        <w:t>It is clear that the occupational qualifications are tied to specific occupations</w:t>
      </w:r>
      <w:r w:rsidR="00A72A4F" w:rsidRPr="009E2BBE">
        <w:t>;</w:t>
      </w:r>
      <w:r w:rsidR="005104D3" w:rsidRPr="009E2BBE">
        <w:t xml:space="preserve"> the supporting documentation </w:t>
      </w:r>
      <w:r w:rsidR="00C556BC" w:rsidRPr="009E2BBE">
        <w:t>associated with</w:t>
      </w:r>
      <w:r w:rsidR="005104D3" w:rsidRPr="009E2BBE">
        <w:t xml:space="preserve"> what should be covered in a qualification and how it should be taught and assessed</w:t>
      </w:r>
      <w:r w:rsidR="0004259E" w:rsidRPr="009E2BBE">
        <w:t xml:space="preserve"> </w:t>
      </w:r>
      <w:r w:rsidR="00C556BC" w:rsidRPr="009E2BBE">
        <w:t xml:space="preserve">is quite detailed </w:t>
      </w:r>
      <w:r w:rsidR="0004259E" w:rsidRPr="009E2BBE">
        <w:t>(</w:t>
      </w:r>
      <w:r w:rsidR="00100AB2" w:rsidRPr="009E2BBE">
        <w:t>QCTO 2019b)</w:t>
      </w:r>
      <w:r w:rsidR="005104D3" w:rsidRPr="009E2BBE">
        <w:t>.</w:t>
      </w:r>
    </w:p>
    <w:p w14:paraId="33685087" w14:textId="2708E556" w:rsidR="0040748E" w:rsidRPr="009E2BBE" w:rsidRDefault="00FD5BF3" w:rsidP="009C3FDB">
      <w:pPr>
        <w:pStyle w:val="Text"/>
      </w:pPr>
      <w:r w:rsidRPr="009E2BBE">
        <w:t>The first step in the development of a new occupational qualification is the development of the occupational profile</w:t>
      </w:r>
      <w:r w:rsidR="00C556BC" w:rsidRPr="009E2BBE">
        <w:t>, which</w:t>
      </w:r>
      <w:r w:rsidRPr="009E2BBE">
        <w:t xml:space="preserve"> includes the occupational code the qualification is linked to, the occupational purpose</w:t>
      </w:r>
      <w:r w:rsidR="00A2469B" w:rsidRPr="009E2BBE">
        <w:t>,</w:t>
      </w:r>
      <w:r w:rsidRPr="009E2BBE">
        <w:t xml:space="preserve"> and the tasks that are performed by people in that occupation. </w:t>
      </w:r>
      <w:r w:rsidR="0081254F" w:rsidRPr="009E2BBE">
        <w:t>The profile</w:t>
      </w:r>
      <w:r w:rsidRPr="009E2BBE">
        <w:t xml:space="preserve"> is used to form the module specifications for the qualification. Both the occupational profile and module specifications inform the curriculum for the occupational qualification (</w:t>
      </w:r>
      <w:r w:rsidR="009079C5" w:rsidRPr="009E2BBE">
        <w:t>Quality Council for Trades and Occupations</w:t>
      </w:r>
      <w:r w:rsidRPr="009E2BBE">
        <w:t xml:space="preserve"> 2014).</w:t>
      </w:r>
    </w:p>
    <w:p w14:paraId="12E3A958" w14:textId="075D5958" w:rsidR="00EA35ED" w:rsidRPr="009E2BBE" w:rsidRDefault="00EA35ED" w:rsidP="00EA35ED">
      <w:pPr>
        <w:pStyle w:val="Heading3"/>
      </w:pPr>
      <w:r w:rsidRPr="009E2BBE">
        <w:t xml:space="preserve">Facilitation of pathways between school and </w:t>
      </w:r>
      <w:r w:rsidR="0063575D" w:rsidRPr="009E2BBE">
        <w:t>higher education</w:t>
      </w:r>
    </w:p>
    <w:p w14:paraId="7718716A" w14:textId="19C13E9A" w:rsidR="00025072" w:rsidRPr="009E2BBE" w:rsidRDefault="00025072" w:rsidP="00025072">
      <w:pPr>
        <w:pStyle w:val="Text"/>
      </w:pPr>
      <w:r w:rsidRPr="009E2BBE">
        <w:t>A goal of the National Qualification Framework and the three associated sub-framework</w:t>
      </w:r>
      <w:r w:rsidR="00C46CE6" w:rsidRPr="009E2BBE">
        <w:t>s</w:t>
      </w:r>
      <w:r w:rsidRPr="009E2BBE">
        <w:t xml:space="preserve"> is to strengthen articulation between qualifications within and between the sub-frameworks (</w:t>
      </w:r>
      <w:r w:rsidR="00C556BC" w:rsidRPr="009E2BBE">
        <w:t>that is,</w:t>
      </w:r>
      <w:r w:rsidRPr="009E2BBE">
        <w:t xml:space="preserve"> between general education, higher </w:t>
      </w:r>
      <w:proofErr w:type="gramStart"/>
      <w:r w:rsidRPr="009E2BBE">
        <w:t>education</w:t>
      </w:r>
      <w:proofErr w:type="gramEnd"/>
      <w:r w:rsidRPr="009E2BBE">
        <w:t xml:space="preserve"> and occupational qualifications) (</w:t>
      </w:r>
      <w:r w:rsidR="00C556BC" w:rsidRPr="009E2BBE">
        <w:t>South African Quality Authority</w:t>
      </w:r>
      <w:r w:rsidR="00AE2F4A" w:rsidRPr="009E2BBE">
        <w:t xml:space="preserve"> 2020</w:t>
      </w:r>
      <w:r w:rsidRPr="009E2BBE">
        <w:t>).</w:t>
      </w:r>
    </w:p>
    <w:p w14:paraId="33FF7847" w14:textId="7C024AFC" w:rsidR="006051A3" w:rsidRPr="009E2BBE" w:rsidRDefault="006051A3" w:rsidP="00EA35ED">
      <w:pPr>
        <w:pStyle w:val="Heading2"/>
      </w:pPr>
      <w:bookmarkStart w:id="77" w:name="_Toc65741381"/>
      <w:r w:rsidRPr="009E2BBE">
        <w:t>Rationalisation of qualifications</w:t>
      </w:r>
      <w:bookmarkEnd w:id="77"/>
    </w:p>
    <w:p w14:paraId="7F038D8B" w14:textId="570F7E64" w:rsidR="006051A3" w:rsidRPr="009E2BBE" w:rsidRDefault="006051A3" w:rsidP="006051A3">
      <w:pPr>
        <w:pStyle w:val="Text"/>
      </w:pPr>
      <w:r w:rsidRPr="009E2BBE">
        <w:t xml:space="preserve">As South Africa was not included in the first stage of this project, which looked at models to rationalise VET qualifications, some relevant information is provided here </w:t>
      </w:r>
      <w:r w:rsidR="007B4DCB" w:rsidRPr="009E2BBE">
        <w:t>explaining</w:t>
      </w:r>
      <w:r w:rsidRPr="009E2BBE">
        <w:t xml:space="preserve"> how they avoid duplication and remove qualifications with low or no enrolments.</w:t>
      </w:r>
    </w:p>
    <w:p w14:paraId="75B0A928" w14:textId="4C0CA6FD" w:rsidR="005D0B14" w:rsidRPr="009E2BBE" w:rsidRDefault="006051A3" w:rsidP="00DD1642">
      <w:pPr>
        <w:pStyle w:val="Text"/>
      </w:pPr>
      <w:r w:rsidRPr="009E2BBE">
        <w:t xml:space="preserve">As outlined in the </w:t>
      </w:r>
      <w:r w:rsidR="00A26B8A" w:rsidRPr="009E2BBE">
        <w:t>‘</w:t>
      </w:r>
      <w:r w:rsidRPr="009E2BBE">
        <w:t>Policy and criteria for the registration of qualifications and part-qualifications on the National Qualifications Framework</w:t>
      </w:r>
      <w:r w:rsidR="00A26B8A" w:rsidRPr="009E2BBE">
        <w:t>’</w:t>
      </w:r>
      <w:r w:rsidRPr="009E2BBE">
        <w:t xml:space="preserve">, part of the role of the </w:t>
      </w:r>
      <w:r w:rsidR="009079C5" w:rsidRPr="009E2BBE">
        <w:t xml:space="preserve">quality councils </w:t>
      </w:r>
      <w:r w:rsidRPr="009E2BBE">
        <w:t>is to discourage proliferation and duplication of qualifications and part</w:t>
      </w:r>
      <w:r w:rsidR="00195A9C" w:rsidRPr="009E2BBE">
        <w:t xml:space="preserve"> </w:t>
      </w:r>
      <w:r w:rsidRPr="009E2BBE">
        <w:t>qualifications in the sub-frameworks</w:t>
      </w:r>
      <w:r w:rsidR="00100AB2" w:rsidRPr="009E2BBE">
        <w:t xml:space="preserve"> (</w:t>
      </w:r>
      <w:r w:rsidR="009079C5" w:rsidRPr="009E2BBE">
        <w:t>South African Quality Authority</w:t>
      </w:r>
      <w:r w:rsidR="00100AB2" w:rsidRPr="009E2BBE">
        <w:t xml:space="preserve"> 2020)</w:t>
      </w:r>
      <w:r w:rsidRPr="009E2BBE">
        <w:t xml:space="preserve">. </w:t>
      </w:r>
      <w:r w:rsidR="00100AB2" w:rsidRPr="009E2BBE">
        <w:t xml:space="preserve">The QCTO attempts to prevent </w:t>
      </w:r>
      <w:r w:rsidR="009079C5" w:rsidRPr="009E2BBE">
        <w:t xml:space="preserve">the </w:t>
      </w:r>
      <w:r w:rsidR="00100AB2" w:rsidRPr="009E2BBE">
        <w:t xml:space="preserve">proliferation of qualifications by </w:t>
      </w:r>
      <w:r w:rsidR="00DD1642" w:rsidRPr="009E2BBE">
        <w:t>steering towards part</w:t>
      </w:r>
      <w:r w:rsidR="00195A9C" w:rsidRPr="009E2BBE">
        <w:t xml:space="preserve"> </w:t>
      </w:r>
      <w:r w:rsidR="00DD1642" w:rsidRPr="009E2BBE">
        <w:t xml:space="preserve">qualifications rather than separate qualifications and </w:t>
      </w:r>
      <w:r w:rsidR="00A26B8A" w:rsidRPr="009E2BBE">
        <w:t>‘</w:t>
      </w:r>
      <w:r w:rsidR="00DD1642" w:rsidRPr="009E2BBE">
        <w:t xml:space="preserve">preventing the development of job, </w:t>
      </w:r>
      <w:proofErr w:type="gramStart"/>
      <w:r w:rsidR="00DD1642" w:rsidRPr="009E2BBE">
        <w:t>company</w:t>
      </w:r>
      <w:proofErr w:type="gramEnd"/>
      <w:r w:rsidR="00DD1642" w:rsidRPr="009E2BBE">
        <w:t xml:space="preserve"> or product specific qualifications</w:t>
      </w:r>
      <w:r w:rsidR="00A26B8A" w:rsidRPr="009E2BBE">
        <w:t>’</w:t>
      </w:r>
      <w:r w:rsidR="00DD1642" w:rsidRPr="009E2BBE">
        <w:t xml:space="preserve"> (</w:t>
      </w:r>
      <w:r w:rsidR="00C556BC" w:rsidRPr="009E2BBE">
        <w:t>Quality Council for Trades and Occupations</w:t>
      </w:r>
      <w:r w:rsidR="00DD1642" w:rsidRPr="009E2BBE">
        <w:t xml:space="preserve"> 2014, p.5).</w:t>
      </w:r>
    </w:p>
    <w:p w14:paraId="15671639" w14:textId="065CEC2D" w:rsidR="006051A3" w:rsidRPr="009E2BBE" w:rsidRDefault="006051A3" w:rsidP="006051A3">
      <w:pPr>
        <w:pStyle w:val="Text"/>
      </w:pPr>
      <w:r w:rsidRPr="009E2BBE">
        <w:t xml:space="preserve">Occupational qualifications are reviewed </w:t>
      </w:r>
      <w:r w:rsidR="00C46CE6" w:rsidRPr="009E2BBE">
        <w:t>e</w:t>
      </w:r>
      <w:r w:rsidRPr="009E2BBE">
        <w:t xml:space="preserve">very five years (the other types of qualifications are reviewed every three years) by the </w:t>
      </w:r>
      <w:r w:rsidR="00C46CE6" w:rsidRPr="009E2BBE">
        <w:t>QCTO</w:t>
      </w:r>
      <w:r w:rsidRPr="009E2BBE">
        <w:t xml:space="preserve"> and they can </w:t>
      </w:r>
      <w:r w:rsidR="00B7040C" w:rsidRPr="009E2BBE">
        <w:t xml:space="preserve">make </w:t>
      </w:r>
      <w:r w:rsidRPr="009E2BBE">
        <w:t>recommend</w:t>
      </w:r>
      <w:r w:rsidR="00B7040C" w:rsidRPr="009E2BBE">
        <w:t>ations</w:t>
      </w:r>
      <w:r w:rsidRPr="009E2BBE">
        <w:t xml:space="preserve"> to SAQA </w:t>
      </w:r>
      <w:r w:rsidR="00B7040C" w:rsidRPr="009E2BBE">
        <w:t xml:space="preserve">on </w:t>
      </w:r>
      <w:r w:rsidRPr="009E2BBE">
        <w:t>whether a qualification or part</w:t>
      </w:r>
      <w:r w:rsidR="00B7040C" w:rsidRPr="009E2BBE">
        <w:t xml:space="preserve"> </w:t>
      </w:r>
      <w:r w:rsidRPr="009E2BBE">
        <w:t>qualification should be re-registered or deregistered</w:t>
      </w:r>
      <w:r w:rsidR="00DD1642" w:rsidRPr="009E2BBE">
        <w:t xml:space="preserve"> (SAQA 2020)</w:t>
      </w:r>
      <w:r w:rsidRPr="009E2BBE">
        <w:t xml:space="preserve">. </w:t>
      </w:r>
      <w:r w:rsidR="00DA4F3A" w:rsidRPr="009E2BBE">
        <w:t xml:space="preserve">The </w:t>
      </w:r>
      <w:r w:rsidR="00A26B8A" w:rsidRPr="009E2BBE">
        <w:t>‘</w:t>
      </w:r>
      <w:r w:rsidR="00DA4F3A" w:rsidRPr="009E2BBE">
        <w:t>Policy and criteria for the registration of qualifications and part-qualifications on the National Qualifications Framework</w:t>
      </w:r>
      <w:r w:rsidR="00A26B8A" w:rsidRPr="009E2BBE">
        <w:t>’</w:t>
      </w:r>
      <w:r w:rsidR="00DA4F3A" w:rsidRPr="009E2BBE">
        <w:t xml:space="preserve"> states that SAQA will deregister a qualification or part-qualification if they:</w:t>
      </w:r>
    </w:p>
    <w:p w14:paraId="20F2F999" w14:textId="0F3D1F9D" w:rsidR="00DA4F3A" w:rsidRPr="009E2BBE" w:rsidRDefault="00DA4F3A" w:rsidP="00EA3747">
      <w:pPr>
        <w:pStyle w:val="Dotpoint10"/>
      </w:pPr>
      <w:r w:rsidRPr="009E2BBE">
        <w:t xml:space="preserve">are replaced by new </w:t>
      </w:r>
      <w:r w:rsidR="00F86F53" w:rsidRPr="009E2BBE">
        <w:t>qualifications</w:t>
      </w:r>
      <w:r w:rsidRPr="009E2BBE">
        <w:t xml:space="preserve"> or part-</w:t>
      </w:r>
      <w:proofErr w:type="gramStart"/>
      <w:r w:rsidRPr="009E2BBE">
        <w:t>qualifications;</w:t>
      </w:r>
      <w:proofErr w:type="gramEnd"/>
    </w:p>
    <w:p w14:paraId="7AF2A075" w14:textId="0D164631" w:rsidR="00DA4F3A" w:rsidRPr="009E2BBE" w:rsidRDefault="009C57A2" w:rsidP="00EA3747">
      <w:pPr>
        <w:pStyle w:val="Dotpoint10"/>
      </w:pPr>
      <w:r w:rsidRPr="009E2BBE">
        <w:t>d</w:t>
      </w:r>
      <w:r w:rsidR="00DA4F3A" w:rsidRPr="009E2BBE">
        <w:t xml:space="preserve">o not comply with the criteria for registration as outlined in this </w:t>
      </w:r>
      <w:r w:rsidR="00DA4F3A" w:rsidRPr="009E2BBE">
        <w:rPr>
          <w:i/>
          <w:iCs/>
        </w:rPr>
        <w:t>P&amp;C for qualifications and part-</w:t>
      </w:r>
      <w:proofErr w:type="gramStart"/>
      <w:r w:rsidR="00DA4F3A" w:rsidRPr="009E2BBE">
        <w:rPr>
          <w:i/>
          <w:iCs/>
        </w:rPr>
        <w:t>qualifications</w:t>
      </w:r>
      <w:r w:rsidR="00DA4F3A" w:rsidRPr="009E2BBE">
        <w:t>;</w:t>
      </w:r>
      <w:proofErr w:type="gramEnd"/>
    </w:p>
    <w:p w14:paraId="6DF2B59E" w14:textId="6BA29821" w:rsidR="00DA4F3A" w:rsidRPr="009E2BBE" w:rsidRDefault="009C57A2" w:rsidP="00EA3747">
      <w:pPr>
        <w:pStyle w:val="Dotpoint10"/>
      </w:pPr>
      <w:proofErr w:type="spellStart"/>
      <w:r w:rsidRPr="009E2BBE">
        <w:t>w</w:t>
      </w:r>
      <w:r w:rsidR="00DA4F3A" w:rsidRPr="009E2BBE">
        <w:t>ere</w:t>
      </w:r>
      <w:proofErr w:type="spellEnd"/>
      <w:r w:rsidR="00DA4F3A" w:rsidRPr="009E2BBE">
        <w:t xml:space="preserve"> not offered by accredited providers within the registration period of the qualification and/ or part-qualification; and </w:t>
      </w:r>
    </w:p>
    <w:p w14:paraId="10E1A82F" w14:textId="4C885166" w:rsidR="00DA4F3A" w:rsidRPr="009E2BBE" w:rsidRDefault="009079C5" w:rsidP="00EA3747">
      <w:pPr>
        <w:pStyle w:val="Dotpoint10"/>
      </w:pPr>
      <w:r w:rsidRPr="009E2BBE">
        <w:t>h</w:t>
      </w:r>
      <w:r w:rsidR="00DA4F3A" w:rsidRPr="009E2BBE">
        <w:t>ad no learner enrolments within the registration period (</w:t>
      </w:r>
      <w:r w:rsidRPr="009E2BBE">
        <w:t>South African Quality Authority</w:t>
      </w:r>
      <w:r w:rsidR="00AE2F4A" w:rsidRPr="009E2BBE">
        <w:t xml:space="preserve"> 2020, </w:t>
      </w:r>
      <w:r w:rsidR="00DA4F3A" w:rsidRPr="009E2BBE">
        <w:t>p. 14)</w:t>
      </w:r>
      <w:r w:rsidR="00FB0899" w:rsidRPr="009E2BBE">
        <w:t>.</w:t>
      </w:r>
    </w:p>
    <w:p w14:paraId="4D4A01AA" w14:textId="42115C6C" w:rsidR="00EA35ED" w:rsidRPr="009E2BBE" w:rsidRDefault="00EA35ED" w:rsidP="00EA35ED">
      <w:pPr>
        <w:pStyle w:val="Heading2"/>
      </w:pPr>
      <w:bookmarkStart w:id="78" w:name="_Toc65741382"/>
      <w:r w:rsidRPr="009E2BBE">
        <w:t xml:space="preserve">Review of </w:t>
      </w:r>
      <w:r w:rsidR="00EA3747" w:rsidRPr="009E2BBE">
        <w:t>qualification development process</w:t>
      </w:r>
      <w:bookmarkEnd w:id="78"/>
    </w:p>
    <w:p w14:paraId="37E629C2" w14:textId="781A1DC2" w:rsidR="002D5112" w:rsidRPr="009E2BBE" w:rsidRDefault="00C46CE6" w:rsidP="00C46CE6">
      <w:pPr>
        <w:pStyle w:val="Text"/>
        <w:rPr>
          <w:rFonts w:ascii="Arial" w:hAnsi="Arial" w:cs="Tahoma"/>
          <w:color w:val="000000"/>
          <w:kern w:val="28"/>
          <w:sz w:val="44"/>
          <w:szCs w:val="56"/>
        </w:rPr>
      </w:pPr>
      <w:r w:rsidRPr="009E2BBE">
        <w:t xml:space="preserve">There is no evidence online of a review of the occupational </w:t>
      </w:r>
      <w:r w:rsidR="00EA3747" w:rsidRPr="009E2BBE">
        <w:t>qualification development process</w:t>
      </w:r>
      <w:r w:rsidRPr="009E2BBE">
        <w:t xml:space="preserve">. </w:t>
      </w:r>
      <w:r w:rsidR="002D5112" w:rsidRPr="009E2BBE">
        <w:br w:type="page"/>
      </w:r>
    </w:p>
    <w:p w14:paraId="363BF49C" w14:textId="01CB86FD" w:rsidR="002D5112" w:rsidRPr="009E2BBE" w:rsidRDefault="002D5112" w:rsidP="002D5112">
      <w:pPr>
        <w:pStyle w:val="Heading1"/>
      </w:pPr>
      <w:bookmarkStart w:id="79" w:name="_Toc65741383"/>
      <w:r w:rsidRPr="009E2BBE">
        <w:t>United Kingdom</w:t>
      </w:r>
      <w:bookmarkEnd w:id="79"/>
    </w:p>
    <w:p w14:paraId="07D512D6" w14:textId="77777777" w:rsidR="00EA35ED" w:rsidRPr="009E2BBE" w:rsidRDefault="00EA35ED" w:rsidP="00EA35ED">
      <w:pPr>
        <w:pStyle w:val="Heading2"/>
      </w:pPr>
      <w:bookmarkStart w:id="80" w:name="_Toc65741384"/>
      <w:r w:rsidRPr="009E2BBE">
        <w:t>Overview</w:t>
      </w:r>
      <w:bookmarkEnd w:id="80"/>
    </w:p>
    <w:p w14:paraId="7F472126" w14:textId="57BBFDF2" w:rsidR="005304C9" w:rsidRPr="009E2BBE" w:rsidRDefault="00173775" w:rsidP="00173775">
      <w:pPr>
        <w:pStyle w:val="Text"/>
      </w:pPr>
      <w:r w:rsidRPr="009E2BBE">
        <w:t xml:space="preserve">The United Kingdom </w:t>
      </w:r>
      <w:r w:rsidR="004E7E19" w:rsidRPr="009E2BBE">
        <w:t>maintains the</w:t>
      </w:r>
      <w:r w:rsidR="005304C9" w:rsidRPr="009E2BBE">
        <w:t xml:space="preserve"> </w:t>
      </w:r>
      <w:r w:rsidRPr="009E2BBE">
        <w:t>National Occupational Standards (NOS)</w:t>
      </w:r>
      <w:r w:rsidR="007F382E" w:rsidRPr="009E2BBE">
        <w:t>, which</w:t>
      </w:r>
      <w:r w:rsidRPr="009E2BBE">
        <w:t xml:space="preserve"> form the basis for qualification development </w:t>
      </w:r>
      <w:r w:rsidR="005304C9" w:rsidRPr="009E2BBE">
        <w:t>in the</w:t>
      </w:r>
      <w:r w:rsidRPr="009E2BBE">
        <w:t xml:space="preserve"> individual </w:t>
      </w:r>
      <w:r w:rsidR="005304C9" w:rsidRPr="009E2BBE">
        <w:t>nations</w:t>
      </w:r>
      <w:r w:rsidR="004E7E19" w:rsidRPr="009E2BBE">
        <w:t>:</w:t>
      </w:r>
      <w:r w:rsidR="00293FA0" w:rsidRPr="009E2BBE">
        <w:t xml:space="preserve"> England, </w:t>
      </w:r>
      <w:r w:rsidR="005304C9" w:rsidRPr="009E2BBE">
        <w:t xml:space="preserve">Scotland, Northern </w:t>
      </w:r>
      <w:proofErr w:type="gramStart"/>
      <w:r w:rsidR="005304C9" w:rsidRPr="009E2BBE">
        <w:t>Ireland</w:t>
      </w:r>
      <w:proofErr w:type="gramEnd"/>
      <w:r w:rsidR="005304C9" w:rsidRPr="009E2BBE">
        <w:t xml:space="preserve"> and Wales</w:t>
      </w:r>
      <w:r w:rsidRPr="009E2BBE">
        <w:t xml:space="preserve">. </w:t>
      </w:r>
      <w:r w:rsidR="00140E62" w:rsidRPr="009E2BBE">
        <w:t>Whil</w:t>
      </w:r>
      <w:r w:rsidR="007F382E" w:rsidRPr="009E2BBE">
        <w:t>e</w:t>
      </w:r>
      <w:r w:rsidR="00140E62" w:rsidRPr="009E2BBE">
        <w:t xml:space="preserve"> </w:t>
      </w:r>
      <w:r w:rsidR="007D578F" w:rsidRPr="009E2BBE">
        <w:t>originally</w:t>
      </w:r>
      <w:r w:rsidR="00140E62" w:rsidRPr="009E2BBE">
        <w:t xml:space="preserve"> funded and managed by the UK </w:t>
      </w:r>
      <w:r w:rsidR="007D578F" w:rsidRPr="009E2BBE">
        <w:t>Government</w:t>
      </w:r>
      <w:r w:rsidR="00140E62" w:rsidRPr="009E2BBE">
        <w:t xml:space="preserve">, </w:t>
      </w:r>
      <w:r w:rsidR="004E7E19" w:rsidRPr="009E2BBE">
        <w:t>since</w:t>
      </w:r>
      <w:r w:rsidR="00140E62" w:rsidRPr="009E2BBE">
        <w:t xml:space="preserve"> 2016 the NOS database </w:t>
      </w:r>
      <w:r w:rsidR="007F382E" w:rsidRPr="009E2BBE">
        <w:t>has been</w:t>
      </w:r>
      <w:r w:rsidR="00140E62" w:rsidRPr="009E2BBE">
        <w:t xml:space="preserve"> funded and governed by the Devolved Administrations of Northern Ireland, Wales and Scotland and managed by Skills Development Scotland (</w:t>
      </w:r>
      <w:r w:rsidR="008723DC" w:rsidRPr="009E2BBE">
        <w:t>Skills Development Scotland Co</w:t>
      </w:r>
      <w:r w:rsidR="007F382E" w:rsidRPr="009E2BBE">
        <w:t>.</w:t>
      </w:r>
      <w:r w:rsidR="008723DC" w:rsidRPr="009E2BBE">
        <w:t xml:space="preserve"> L</w:t>
      </w:r>
      <w:r w:rsidR="007F382E" w:rsidRPr="009E2BBE">
        <w:t>t</w:t>
      </w:r>
      <w:r w:rsidR="008723DC" w:rsidRPr="009E2BBE">
        <w:t>d 2020)</w:t>
      </w:r>
      <w:r w:rsidR="00140E62" w:rsidRPr="009E2BBE">
        <w:t xml:space="preserve">. </w:t>
      </w:r>
      <w:r w:rsidR="005304C9" w:rsidRPr="009E2BBE">
        <w:t xml:space="preserve">The NOS </w:t>
      </w:r>
      <w:r w:rsidR="00A26B8A" w:rsidRPr="009E2BBE">
        <w:t>‘</w:t>
      </w:r>
      <w:r w:rsidR="005304C9" w:rsidRPr="009E2BBE">
        <w:t>are statements of the standards of performance individuals must achieve when carrying out functions in the workplace, together with specifications of the underpinning knowledge and understanding</w:t>
      </w:r>
      <w:r w:rsidR="00A26B8A" w:rsidRPr="009E2BBE">
        <w:t>’</w:t>
      </w:r>
      <w:r w:rsidR="00393FC8" w:rsidRPr="009E2BBE">
        <w:t xml:space="preserve"> (</w:t>
      </w:r>
      <w:r w:rsidR="008723DC" w:rsidRPr="009E2BBE">
        <w:t>Skills Development Scotland Co</w:t>
      </w:r>
      <w:r w:rsidR="007F382E" w:rsidRPr="009E2BBE">
        <w:t>.</w:t>
      </w:r>
      <w:r w:rsidR="008723DC" w:rsidRPr="009E2BBE">
        <w:t xml:space="preserve"> L</w:t>
      </w:r>
      <w:r w:rsidR="007F382E" w:rsidRPr="009E2BBE">
        <w:t>t</w:t>
      </w:r>
      <w:r w:rsidR="008723DC" w:rsidRPr="009E2BBE">
        <w:t>d 2020</w:t>
      </w:r>
      <w:r w:rsidR="00393FC8" w:rsidRPr="009E2BBE">
        <w:t>)</w:t>
      </w:r>
      <w:r w:rsidR="005304C9" w:rsidRPr="009E2BBE">
        <w:t>.</w:t>
      </w:r>
      <w:r w:rsidR="00393FC8" w:rsidRPr="009E2BBE">
        <w:t xml:space="preserve"> </w:t>
      </w:r>
      <w:r w:rsidR="00140E62" w:rsidRPr="009E2BBE">
        <w:t>They are tied to standard occupational codes (SOC)</w:t>
      </w:r>
      <w:r w:rsidR="007F382E" w:rsidRPr="009E2BBE">
        <w:t>, which</w:t>
      </w:r>
      <w:r w:rsidR="00140E62" w:rsidRPr="009E2BBE">
        <w:t xml:space="preserve"> allocate an occupational group to each NOS. </w:t>
      </w:r>
      <w:r w:rsidR="00393FC8" w:rsidRPr="009E2BBE">
        <w:t xml:space="preserve">They were developed by the </w:t>
      </w:r>
      <w:r w:rsidR="00C46CE6" w:rsidRPr="009E2BBE">
        <w:t>s</w:t>
      </w:r>
      <w:r w:rsidR="00393FC8" w:rsidRPr="009E2BBE">
        <w:t>tandard</w:t>
      </w:r>
      <w:r w:rsidR="007F382E" w:rsidRPr="009E2BBE">
        <w:t>-</w:t>
      </w:r>
      <w:r w:rsidR="00C46CE6" w:rsidRPr="009E2BBE">
        <w:t>s</w:t>
      </w:r>
      <w:r w:rsidR="00393FC8" w:rsidRPr="009E2BBE">
        <w:t xml:space="preserve">etting </w:t>
      </w:r>
      <w:r w:rsidR="00C46CE6" w:rsidRPr="009E2BBE">
        <w:t>o</w:t>
      </w:r>
      <w:r w:rsidR="00393FC8" w:rsidRPr="009E2BBE">
        <w:t>rganisations (SSOs)</w:t>
      </w:r>
      <w:r w:rsidR="007F382E" w:rsidRPr="009E2BBE">
        <w:t>,</w:t>
      </w:r>
      <w:r w:rsidR="00393FC8" w:rsidRPr="009E2BBE">
        <w:t xml:space="preserve"> </w:t>
      </w:r>
      <w:r w:rsidR="00693B33" w:rsidRPr="009E2BBE">
        <w:t xml:space="preserve">who consulted with employers and other stakeholders across each of the nations. </w:t>
      </w:r>
      <w:r w:rsidR="00393FC8" w:rsidRPr="009E2BBE">
        <w:t>There are almost 23</w:t>
      </w:r>
      <w:r w:rsidR="004E7E19" w:rsidRPr="009E2BBE">
        <w:t> </w:t>
      </w:r>
      <w:r w:rsidR="00393FC8" w:rsidRPr="009E2BBE">
        <w:t>000 NOS</w:t>
      </w:r>
      <w:r w:rsidR="004E7E19" w:rsidRPr="009E2BBE">
        <w:t>s</w:t>
      </w:r>
      <w:r w:rsidR="00393FC8" w:rsidRPr="009E2BBE">
        <w:t xml:space="preserve"> and they are used as </w:t>
      </w:r>
      <w:r w:rsidR="00C46CE6" w:rsidRPr="009E2BBE">
        <w:t xml:space="preserve">the </w:t>
      </w:r>
      <w:r w:rsidR="00393FC8" w:rsidRPr="009E2BBE">
        <w:t>basis for developing qualifications in these nations</w:t>
      </w:r>
      <w:r w:rsidR="00693B33" w:rsidRPr="009E2BBE">
        <w:t xml:space="preserve"> by their awarding bodies</w:t>
      </w:r>
      <w:r w:rsidR="00140E62" w:rsidRPr="009E2BBE">
        <w:t>, although it is no longer mandatory in England</w:t>
      </w:r>
      <w:r w:rsidR="00693B33" w:rsidRPr="009E2BBE">
        <w:t xml:space="preserve"> (</w:t>
      </w:r>
      <w:r w:rsidR="008723DC" w:rsidRPr="009E2BBE">
        <w:t>Skills Development Scotland Co</w:t>
      </w:r>
      <w:r w:rsidR="007F382E" w:rsidRPr="009E2BBE">
        <w:t>.</w:t>
      </w:r>
      <w:r w:rsidR="008723DC" w:rsidRPr="009E2BBE">
        <w:t xml:space="preserve"> L</w:t>
      </w:r>
      <w:r w:rsidR="007F382E" w:rsidRPr="009E2BBE">
        <w:t>t</w:t>
      </w:r>
      <w:r w:rsidR="008723DC" w:rsidRPr="009E2BBE">
        <w:t>d 2020</w:t>
      </w:r>
      <w:r w:rsidR="00693B33" w:rsidRPr="009E2BBE">
        <w:t>)</w:t>
      </w:r>
      <w:r w:rsidR="00393FC8" w:rsidRPr="009E2BBE">
        <w:t xml:space="preserve">. </w:t>
      </w:r>
      <w:r w:rsidR="00293FA0" w:rsidRPr="009E2BBE">
        <w:t xml:space="preserve">England has developed </w:t>
      </w:r>
      <w:r w:rsidR="004E7E19" w:rsidRPr="009E2BBE">
        <w:t>its</w:t>
      </w:r>
      <w:r w:rsidR="00293FA0" w:rsidRPr="009E2BBE">
        <w:t xml:space="preserve"> own employer-led occupational standards</w:t>
      </w:r>
      <w:r w:rsidR="006478CC" w:rsidRPr="009E2BBE">
        <w:t xml:space="preserve"> and occupational maps</w:t>
      </w:r>
      <w:r w:rsidR="00293FA0" w:rsidRPr="009E2BBE">
        <w:t>, which are managed by the Institute for Apprenticeships and Technical Education (</w:t>
      </w:r>
      <w:r w:rsidR="005B1537" w:rsidRPr="009E2BBE">
        <w:t>2020a</w:t>
      </w:r>
      <w:r w:rsidR="00293FA0" w:rsidRPr="009E2BBE">
        <w:t>).</w:t>
      </w:r>
    </w:p>
    <w:p w14:paraId="42F6FDB4" w14:textId="43CE83D0" w:rsidR="00021A1A" w:rsidRPr="009E2BBE" w:rsidRDefault="00021A1A" w:rsidP="00173775">
      <w:pPr>
        <w:pStyle w:val="Text"/>
      </w:pPr>
      <w:r w:rsidRPr="009E2BBE">
        <w:t>It is interesting to compare the processes of these different nations</w:t>
      </w:r>
      <w:r w:rsidR="007F382E" w:rsidRPr="009E2BBE">
        <w:t>,</w:t>
      </w:r>
      <w:r w:rsidRPr="009E2BBE">
        <w:t xml:space="preserve"> given the</w:t>
      </w:r>
      <w:r w:rsidR="00C764D0" w:rsidRPr="009E2BBE">
        <w:t xml:space="preserve"> shared history of using NOS but the</w:t>
      </w:r>
      <w:r w:rsidRPr="009E2BBE">
        <w:t xml:space="preserve"> large difference in the number of vocational qualifications available in each</w:t>
      </w:r>
      <w:r w:rsidR="004E7E19" w:rsidRPr="009E2BBE">
        <w:t>:</w:t>
      </w:r>
      <w:r w:rsidRPr="009E2BBE">
        <w:t xml:space="preserve"> England has </w:t>
      </w:r>
      <w:r w:rsidR="009051D3" w:rsidRPr="009E2BBE">
        <w:t xml:space="preserve">over 3000 level 4 </w:t>
      </w:r>
      <w:r w:rsidR="007F382E" w:rsidRPr="009E2BBE">
        <w:t>and</w:t>
      </w:r>
      <w:r w:rsidR="009051D3" w:rsidRPr="009E2BBE">
        <w:t xml:space="preserve"> 5 technical qualifications</w:t>
      </w:r>
      <w:r w:rsidR="00DB487F" w:rsidRPr="009E2BBE">
        <w:t xml:space="preserve"> but is currently reviewing processes</w:t>
      </w:r>
      <w:r w:rsidR="00A45D99" w:rsidRPr="009E2BBE">
        <w:t xml:space="preserve"> (</w:t>
      </w:r>
      <w:r w:rsidR="008723DC" w:rsidRPr="009E2BBE">
        <w:t>Post-18 Education and Funding Review Panel 2019</w:t>
      </w:r>
      <w:r w:rsidR="00A45D99" w:rsidRPr="009E2BBE">
        <w:t>)</w:t>
      </w:r>
      <w:r w:rsidR="007F382E" w:rsidRPr="009E2BBE">
        <w:t>,</w:t>
      </w:r>
      <w:r w:rsidR="00A45D99" w:rsidRPr="009E2BBE">
        <w:t xml:space="preserve"> while</w:t>
      </w:r>
      <w:r w:rsidRPr="009E2BBE">
        <w:t xml:space="preserve"> Scotland has over 500</w:t>
      </w:r>
      <w:r w:rsidR="00E67057" w:rsidRPr="009E2BBE">
        <w:t xml:space="preserve"> </w:t>
      </w:r>
      <w:r w:rsidR="00B461DE" w:rsidRPr="009E2BBE">
        <w:t xml:space="preserve">vocational qualifications </w:t>
      </w:r>
      <w:r w:rsidR="00E67057" w:rsidRPr="009E2BBE">
        <w:t>(</w:t>
      </w:r>
      <w:hyperlink r:id="rId23" w:history="1">
        <w:r w:rsidR="00B461DE" w:rsidRPr="009E2BBE">
          <w:rPr>
            <w:rStyle w:val="Hyperlink"/>
          </w:rPr>
          <w:t>Scottish</w:t>
        </w:r>
      </w:hyperlink>
      <w:r w:rsidR="00B461DE" w:rsidRPr="009E2BBE">
        <w:rPr>
          <w:rStyle w:val="Hyperlink"/>
        </w:rPr>
        <w:t xml:space="preserve"> Qualifications Authority 2018a</w:t>
      </w:r>
      <w:r w:rsidR="00E67057" w:rsidRPr="009E2BBE">
        <w:t>)</w:t>
      </w:r>
      <w:r w:rsidR="00A45D99" w:rsidRPr="009E2BBE">
        <w:t xml:space="preserve">. Specific numbers for Northern Ireland and </w:t>
      </w:r>
      <w:r w:rsidR="00C46CE6" w:rsidRPr="009E2BBE">
        <w:t>Wales</w:t>
      </w:r>
      <w:r w:rsidR="00A45D99" w:rsidRPr="009E2BBE">
        <w:t xml:space="preserve"> were not found</w:t>
      </w:r>
      <w:r w:rsidR="007F382E" w:rsidRPr="009E2BBE">
        <w:t>,</w:t>
      </w:r>
      <w:r w:rsidR="00A45D99" w:rsidRPr="009E2BBE">
        <w:t xml:space="preserve"> but </w:t>
      </w:r>
      <w:r w:rsidR="004E7E19" w:rsidRPr="009E2BBE">
        <w:t>each</w:t>
      </w:r>
      <w:r w:rsidR="00A45D99" w:rsidRPr="009E2BBE">
        <w:t xml:space="preserve"> share</w:t>
      </w:r>
      <w:r w:rsidR="004E7E19" w:rsidRPr="009E2BBE">
        <w:t>s</w:t>
      </w:r>
      <w:r w:rsidR="00A45D99" w:rsidRPr="009E2BBE">
        <w:t xml:space="preserve"> many qualifications with England.</w:t>
      </w:r>
    </w:p>
    <w:p w14:paraId="1E09D40D" w14:textId="07DEFFFF" w:rsidR="00693B33" w:rsidRPr="009E2BBE" w:rsidRDefault="00693B33" w:rsidP="00EA35ED">
      <w:pPr>
        <w:pStyle w:val="Heading2"/>
      </w:pPr>
      <w:bookmarkStart w:id="81" w:name="_Toc65741385"/>
      <w:r w:rsidRPr="009E2BBE">
        <w:t>England</w:t>
      </w:r>
      <w:bookmarkEnd w:id="81"/>
    </w:p>
    <w:p w14:paraId="3D797B52" w14:textId="3BF986C5" w:rsidR="00BE0389" w:rsidRPr="009E2BBE" w:rsidRDefault="002F5CE4" w:rsidP="00BE0389">
      <w:pPr>
        <w:pStyle w:val="Text"/>
      </w:pPr>
      <w:r w:rsidRPr="009E2BBE">
        <w:t>Vocational education in England has undergone significant reviews</w:t>
      </w:r>
      <w:r w:rsidR="00B007C2" w:rsidRPr="009E2BBE">
        <w:t xml:space="preserve"> over the last few years</w:t>
      </w:r>
      <w:r w:rsidR="007F382E" w:rsidRPr="009E2BBE">
        <w:t>,</w:t>
      </w:r>
      <w:r w:rsidR="00B007C2" w:rsidRPr="009E2BBE">
        <w:t xml:space="preserve"> beginning with the Sainsbury </w:t>
      </w:r>
      <w:r w:rsidR="007F382E" w:rsidRPr="009E2BBE">
        <w:t>r</w:t>
      </w:r>
      <w:r w:rsidR="00B007C2" w:rsidRPr="009E2BBE">
        <w:t>eview of technical education in 2016</w:t>
      </w:r>
      <w:r w:rsidR="007F382E" w:rsidRPr="009E2BBE">
        <w:t>, which</w:t>
      </w:r>
      <w:r w:rsidR="00B007C2" w:rsidRPr="009E2BBE">
        <w:t xml:space="preserve"> led to the introduction of T-level routes</w:t>
      </w:r>
      <w:r w:rsidR="00ED3895" w:rsidRPr="009E2BBE">
        <w:rPr>
          <w:rStyle w:val="FootnoteReference"/>
        </w:rPr>
        <w:footnoteReference w:id="4"/>
      </w:r>
      <w:r w:rsidR="00B007C2" w:rsidRPr="009E2BBE">
        <w:t xml:space="preserve"> for post-16 education and a review of post-18 education and funding in 2019 (</w:t>
      </w:r>
      <w:r w:rsidR="00F21D4E" w:rsidRPr="009E2BBE">
        <w:t xml:space="preserve">UK </w:t>
      </w:r>
      <w:r w:rsidR="008723DC" w:rsidRPr="009E2BBE">
        <w:t>Independent Panel on Technical Education 2016</w:t>
      </w:r>
      <w:r w:rsidR="007F382E" w:rsidRPr="009E2BBE">
        <w:t>;</w:t>
      </w:r>
      <w:r w:rsidR="008723DC" w:rsidRPr="009E2BBE">
        <w:t xml:space="preserve"> </w:t>
      </w:r>
      <w:r w:rsidR="00F21D4E" w:rsidRPr="009E2BBE">
        <w:t xml:space="preserve">UK </w:t>
      </w:r>
      <w:r w:rsidR="008723DC" w:rsidRPr="009E2BBE">
        <w:t>Post-18 Education and Funding Review Panel 2019</w:t>
      </w:r>
      <w:r w:rsidR="00B007C2" w:rsidRPr="009E2BBE">
        <w:t xml:space="preserve">). </w:t>
      </w:r>
      <w:r w:rsidR="004E7E19" w:rsidRPr="009E2BBE">
        <w:t>In 2020, this</w:t>
      </w:r>
      <w:r w:rsidR="00B007C2" w:rsidRPr="009E2BBE">
        <w:t xml:space="preserve"> resulted </w:t>
      </w:r>
      <w:r w:rsidR="00C46CE6" w:rsidRPr="009E2BBE">
        <w:t>in</w:t>
      </w:r>
      <w:r w:rsidR="00B007C2" w:rsidRPr="009E2BBE">
        <w:t xml:space="preserve"> changes to the development </w:t>
      </w:r>
      <w:r w:rsidR="005B5DF9" w:rsidRPr="009E2BBE">
        <w:t xml:space="preserve">and approval </w:t>
      </w:r>
      <w:r w:rsidR="00B007C2" w:rsidRPr="009E2BBE">
        <w:t>of level 4 and 5 qualifications, referred to as higher technical qualifications</w:t>
      </w:r>
      <w:r w:rsidR="004E7E19" w:rsidRPr="009E2BBE">
        <w:t xml:space="preserve"> </w:t>
      </w:r>
      <w:r w:rsidR="00480F46" w:rsidRPr="009E2BBE">
        <w:t>(</w:t>
      </w:r>
      <w:r w:rsidR="00B96B3E" w:rsidRPr="009E2BBE">
        <w:t xml:space="preserve">UK </w:t>
      </w:r>
      <w:r w:rsidR="00B461DE" w:rsidRPr="009E2BBE">
        <w:t>Department of Education 2020</w:t>
      </w:r>
      <w:r w:rsidR="00480F46" w:rsidRPr="009E2BBE">
        <w:t>)</w:t>
      </w:r>
      <w:r w:rsidR="00B007C2" w:rsidRPr="009E2BBE">
        <w:t xml:space="preserve">. These qualifications can follow on from the T-level routes </w:t>
      </w:r>
      <w:r w:rsidR="006130B5" w:rsidRPr="009E2BBE">
        <w:t>discussed</w:t>
      </w:r>
      <w:r w:rsidR="00B007C2" w:rsidRPr="009E2BBE">
        <w:t xml:space="preserve"> in the previous stage of this work (Wibrow &amp; Waugh 2020).</w:t>
      </w:r>
      <w:r w:rsidR="00025408" w:rsidRPr="009E2BBE">
        <w:t xml:space="preserve"> </w:t>
      </w:r>
      <w:r w:rsidR="004E7E19" w:rsidRPr="009E2BBE">
        <w:t>In the following</w:t>
      </w:r>
      <w:r w:rsidR="00025408" w:rsidRPr="009E2BBE">
        <w:t xml:space="preserve"> section </w:t>
      </w:r>
      <w:r w:rsidR="004E7E19" w:rsidRPr="009E2BBE">
        <w:t>the</w:t>
      </w:r>
      <w:r w:rsidR="005B5DF9" w:rsidRPr="009E2BBE">
        <w:t xml:space="preserve"> new</w:t>
      </w:r>
      <w:r w:rsidR="00025408" w:rsidRPr="009E2BBE">
        <w:t xml:space="preserve"> process for higher technical education</w:t>
      </w:r>
      <w:r w:rsidR="005B5DF9" w:rsidRPr="009E2BBE">
        <w:t xml:space="preserve"> qualifications</w:t>
      </w:r>
      <w:r w:rsidR="004E7E19" w:rsidRPr="009E2BBE">
        <w:t xml:space="preserve"> will be examined. </w:t>
      </w:r>
      <w:r w:rsidR="007F382E" w:rsidRPr="009E2BBE">
        <w:t xml:space="preserve">This </w:t>
      </w:r>
      <w:r w:rsidR="004E7E19" w:rsidRPr="009E2BBE">
        <w:t>process represents a change</w:t>
      </w:r>
      <w:r w:rsidR="00480F46" w:rsidRPr="009E2BBE">
        <w:t xml:space="preserve"> to an employer-led approval process for higher technical qualifications through the Institute for Apprenticeships and Technical Education</w:t>
      </w:r>
      <w:r w:rsidR="007F382E" w:rsidRPr="009E2BBE">
        <w:t xml:space="preserve"> and</w:t>
      </w:r>
      <w:r w:rsidR="00480F46" w:rsidRPr="009E2BBE">
        <w:t xml:space="preserve"> is a staged approach focusing on qualifications within the digital route first. Other routes will follow in due course.</w:t>
      </w:r>
    </w:p>
    <w:p w14:paraId="6DDF5DDB" w14:textId="1CE9732C" w:rsidR="00025408" w:rsidRPr="009E2BBE" w:rsidRDefault="00693B33" w:rsidP="00025408">
      <w:pPr>
        <w:pStyle w:val="Heading3"/>
      </w:pPr>
      <w:r w:rsidRPr="009E2BBE">
        <w:t>Summary of qualification</w:t>
      </w:r>
      <w:r w:rsidR="00EA3747" w:rsidRPr="009E2BBE">
        <w:t xml:space="preserve"> </w:t>
      </w:r>
      <w:r w:rsidRPr="009E2BBE">
        <w:t>development process</w:t>
      </w:r>
    </w:p>
    <w:p w14:paraId="6410DC01" w14:textId="0FB3E970" w:rsidR="00293FA0" w:rsidRPr="009E2BBE" w:rsidRDefault="00293FA0" w:rsidP="00293FA0">
      <w:pPr>
        <w:pStyle w:val="Text"/>
      </w:pPr>
      <w:r w:rsidRPr="009E2BBE">
        <w:t xml:space="preserve">This is slightly different </w:t>
      </w:r>
      <w:r w:rsidR="007F382E" w:rsidRPr="009E2BBE">
        <w:t>from</w:t>
      </w:r>
      <w:r w:rsidRPr="009E2BBE">
        <w:t xml:space="preserve"> the other countries</w:t>
      </w:r>
      <w:r w:rsidR="007F382E" w:rsidRPr="009E2BBE">
        <w:t xml:space="preserve"> examined,</w:t>
      </w:r>
      <w:r w:rsidRPr="009E2BBE">
        <w:t xml:space="preserve"> as it is a new approval process</w:t>
      </w:r>
      <w:r w:rsidR="00ED3895" w:rsidRPr="009E2BBE">
        <w:t>, rather than a qualification</w:t>
      </w:r>
      <w:r w:rsidR="00226F10" w:rsidRPr="009E2BBE">
        <w:t xml:space="preserve"> </w:t>
      </w:r>
      <w:r w:rsidR="00ED3895" w:rsidRPr="009E2BBE">
        <w:t>development process</w:t>
      </w:r>
      <w:r w:rsidRPr="009E2BBE">
        <w:t xml:space="preserve">. The </w:t>
      </w:r>
      <w:r w:rsidR="00EA3747" w:rsidRPr="009E2BBE">
        <w:t xml:space="preserve">first stage requires </w:t>
      </w:r>
      <w:r w:rsidRPr="009E2BBE">
        <w:t xml:space="preserve">awarding bodies to align their existing qualification offerings to occupational standards and have them approved by the Institute for Apprenticeships and Technical Education. Information </w:t>
      </w:r>
      <w:r w:rsidR="007F382E" w:rsidRPr="009E2BBE">
        <w:t>on</w:t>
      </w:r>
      <w:r w:rsidRPr="009E2BBE">
        <w:t xml:space="preserve"> how new qualifications will be developed and processed </w:t>
      </w:r>
      <w:r w:rsidR="007F382E" w:rsidRPr="009E2BBE">
        <w:t>could not</w:t>
      </w:r>
      <w:r w:rsidRPr="009E2BBE">
        <w:t xml:space="preserve"> be found at </w:t>
      </w:r>
      <w:r w:rsidR="0073593C" w:rsidRPr="009E2BBE">
        <w:t>the time of writing</w:t>
      </w:r>
      <w:r w:rsidRPr="009E2BBE">
        <w:t>.</w:t>
      </w:r>
    </w:p>
    <w:p w14:paraId="07D063AF" w14:textId="74C94248" w:rsidR="006478CC" w:rsidRPr="009E2BBE" w:rsidRDefault="006478CC" w:rsidP="006478CC">
      <w:pPr>
        <w:pStyle w:val="tabletitle"/>
      </w:pPr>
      <w:r w:rsidRPr="009E2BBE">
        <w:t xml:space="preserve">Table </w:t>
      </w:r>
      <w:r w:rsidR="00C46CE6" w:rsidRPr="009E2BBE">
        <w:t>8</w:t>
      </w:r>
      <w:r w:rsidR="00B47A97" w:rsidRPr="009E2BBE">
        <w:tab/>
      </w:r>
      <w:r w:rsidR="00DB487F" w:rsidRPr="009E2BBE">
        <w:t>Key steps in new higher technical qualification</w:t>
      </w:r>
      <w:r w:rsidR="008A0074" w:rsidRPr="009E2BBE">
        <w:t>-</w:t>
      </w:r>
      <w:r w:rsidR="00DB487F" w:rsidRPr="009E2BBE">
        <w:t>approval process</w:t>
      </w:r>
    </w:p>
    <w:tbl>
      <w:tblPr>
        <w:tblStyle w:val="PlainTable2"/>
        <w:tblW w:w="0" w:type="auto"/>
        <w:tblLook w:val="0000" w:firstRow="0" w:lastRow="0" w:firstColumn="0" w:lastColumn="0" w:noHBand="0" w:noVBand="0"/>
      </w:tblPr>
      <w:tblGrid>
        <w:gridCol w:w="1696"/>
        <w:gridCol w:w="1985"/>
        <w:gridCol w:w="3685"/>
        <w:gridCol w:w="1695"/>
      </w:tblGrid>
      <w:tr w:rsidR="006478CC" w:rsidRPr="009E2BBE" w14:paraId="0FD00A45" w14:textId="77777777" w:rsidTr="006478C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96" w:type="dxa"/>
          </w:tcPr>
          <w:p w14:paraId="0C804E9A" w14:textId="4D475B55" w:rsidR="006478CC" w:rsidRPr="009E2BBE" w:rsidRDefault="006478CC" w:rsidP="006478CC">
            <w:pPr>
              <w:pStyle w:val="Tablehead1"/>
            </w:pPr>
            <w:r w:rsidRPr="009E2BBE">
              <w:t>Stage</w:t>
            </w:r>
          </w:p>
        </w:tc>
        <w:tc>
          <w:tcPr>
            <w:cnfStyle w:val="000001000000" w:firstRow="0" w:lastRow="0" w:firstColumn="0" w:lastColumn="0" w:oddVBand="0" w:evenVBand="1" w:oddHBand="0" w:evenHBand="0" w:firstRowFirstColumn="0" w:firstRowLastColumn="0" w:lastRowFirstColumn="0" w:lastRowLastColumn="0"/>
            <w:tcW w:w="1985" w:type="dxa"/>
          </w:tcPr>
          <w:p w14:paraId="315421B1" w14:textId="5FA02532" w:rsidR="006478CC" w:rsidRPr="009E2BBE" w:rsidRDefault="006478CC" w:rsidP="006478CC">
            <w:pPr>
              <w:pStyle w:val="Tablehead1"/>
            </w:pPr>
            <w:r w:rsidRPr="009E2BBE">
              <w:t>Key bodies involved</w:t>
            </w:r>
          </w:p>
        </w:tc>
        <w:tc>
          <w:tcPr>
            <w:cnfStyle w:val="000010000000" w:firstRow="0" w:lastRow="0" w:firstColumn="0" w:lastColumn="0" w:oddVBand="1" w:evenVBand="0" w:oddHBand="0" w:evenHBand="0" w:firstRowFirstColumn="0" w:firstRowLastColumn="0" w:lastRowFirstColumn="0" w:lastRowLastColumn="0"/>
            <w:tcW w:w="3685" w:type="dxa"/>
          </w:tcPr>
          <w:p w14:paraId="039D628A" w14:textId="35E82012" w:rsidR="006478CC" w:rsidRPr="009E2BBE" w:rsidRDefault="006478CC" w:rsidP="006478CC">
            <w:pPr>
              <w:pStyle w:val="Tablehead1"/>
            </w:pPr>
            <w:r w:rsidRPr="009E2BBE">
              <w:t>Summary</w:t>
            </w:r>
          </w:p>
        </w:tc>
        <w:tc>
          <w:tcPr>
            <w:cnfStyle w:val="000001000000" w:firstRow="0" w:lastRow="0" w:firstColumn="0" w:lastColumn="0" w:oddVBand="0" w:evenVBand="1" w:oddHBand="0" w:evenHBand="0" w:firstRowFirstColumn="0" w:firstRowLastColumn="0" w:lastRowFirstColumn="0" w:lastRowLastColumn="0"/>
            <w:tcW w:w="1695" w:type="dxa"/>
          </w:tcPr>
          <w:p w14:paraId="47D9F670" w14:textId="7A17A2A6" w:rsidR="006478CC" w:rsidRPr="009E2BBE" w:rsidRDefault="006478CC" w:rsidP="006478CC">
            <w:pPr>
              <w:pStyle w:val="Tablehead1"/>
            </w:pPr>
            <w:r w:rsidRPr="009E2BBE">
              <w:t>Timeframe</w:t>
            </w:r>
          </w:p>
        </w:tc>
      </w:tr>
      <w:tr w:rsidR="006478CC" w:rsidRPr="009E2BBE" w14:paraId="02AEDA03" w14:textId="77777777" w:rsidTr="006478CC">
        <w:tc>
          <w:tcPr>
            <w:cnfStyle w:val="000010000000" w:firstRow="0" w:lastRow="0" w:firstColumn="0" w:lastColumn="0" w:oddVBand="1" w:evenVBand="0" w:oddHBand="0" w:evenHBand="0" w:firstRowFirstColumn="0" w:firstRowLastColumn="0" w:lastRowFirstColumn="0" w:lastRowLastColumn="0"/>
            <w:tcW w:w="1696" w:type="dxa"/>
          </w:tcPr>
          <w:p w14:paraId="123D5983" w14:textId="7B76EF4D" w:rsidR="006478CC" w:rsidRPr="009E2BBE" w:rsidRDefault="006478CC" w:rsidP="006478CC">
            <w:pPr>
              <w:pStyle w:val="Tabletext"/>
            </w:pPr>
            <w:r w:rsidRPr="009E2BBE">
              <w:t>Information gathering</w:t>
            </w:r>
          </w:p>
        </w:tc>
        <w:tc>
          <w:tcPr>
            <w:cnfStyle w:val="000001000000" w:firstRow="0" w:lastRow="0" w:firstColumn="0" w:lastColumn="0" w:oddVBand="0" w:evenVBand="1" w:oddHBand="0" w:evenHBand="0" w:firstRowFirstColumn="0" w:firstRowLastColumn="0" w:lastRowFirstColumn="0" w:lastRowLastColumn="0"/>
            <w:tcW w:w="1985" w:type="dxa"/>
          </w:tcPr>
          <w:p w14:paraId="569FB17C" w14:textId="7348127C" w:rsidR="006478CC" w:rsidRPr="009E2BBE" w:rsidRDefault="00DB487F" w:rsidP="006478CC">
            <w:pPr>
              <w:pStyle w:val="Tabletext"/>
            </w:pPr>
            <w:r w:rsidRPr="009E2BBE">
              <w:t>Awarding bodies</w:t>
            </w:r>
          </w:p>
        </w:tc>
        <w:tc>
          <w:tcPr>
            <w:cnfStyle w:val="000010000000" w:firstRow="0" w:lastRow="0" w:firstColumn="0" w:lastColumn="0" w:oddVBand="1" w:evenVBand="0" w:oddHBand="0" w:evenHBand="0" w:firstRowFirstColumn="0" w:firstRowLastColumn="0" w:lastRowFirstColumn="0" w:lastRowLastColumn="0"/>
            <w:tcW w:w="3685" w:type="dxa"/>
          </w:tcPr>
          <w:p w14:paraId="4768B30B" w14:textId="25F8ADFE" w:rsidR="006478CC" w:rsidRPr="009E2BBE" w:rsidRDefault="00782BA6" w:rsidP="006478CC">
            <w:pPr>
              <w:pStyle w:val="Tabletext"/>
            </w:pPr>
            <w:r w:rsidRPr="009E2BBE">
              <w:t>Awarding bodies identify qualifications for submission and attend introductory event.</w:t>
            </w:r>
          </w:p>
        </w:tc>
        <w:tc>
          <w:tcPr>
            <w:cnfStyle w:val="000001000000" w:firstRow="0" w:lastRow="0" w:firstColumn="0" w:lastColumn="0" w:oddVBand="0" w:evenVBand="1" w:oddHBand="0" w:evenHBand="0" w:firstRowFirstColumn="0" w:firstRowLastColumn="0" w:lastRowFirstColumn="0" w:lastRowLastColumn="0"/>
            <w:tcW w:w="1695" w:type="dxa"/>
          </w:tcPr>
          <w:p w14:paraId="16A99466" w14:textId="371D240E" w:rsidR="006478CC" w:rsidRPr="009E2BBE" w:rsidRDefault="006478CC" w:rsidP="006478CC">
            <w:pPr>
              <w:pStyle w:val="Tabletext"/>
            </w:pPr>
            <w:r w:rsidRPr="009E2BBE">
              <w:t>July to September 2020</w:t>
            </w:r>
          </w:p>
        </w:tc>
      </w:tr>
      <w:tr w:rsidR="006478CC" w:rsidRPr="009E2BBE" w14:paraId="6B700A58" w14:textId="77777777" w:rsidTr="006478C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96" w:type="dxa"/>
          </w:tcPr>
          <w:p w14:paraId="08EE471C" w14:textId="267497E4" w:rsidR="006478CC" w:rsidRPr="009E2BBE" w:rsidRDefault="006478CC" w:rsidP="006478CC">
            <w:pPr>
              <w:pStyle w:val="Tabletext"/>
            </w:pPr>
            <w:r w:rsidRPr="009E2BBE">
              <w:t>Prepare to submit</w:t>
            </w:r>
          </w:p>
        </w:tc>
        <w:tc>
          <w:tcPr>
            <w:cnfStyle w:val="000001000000" w:firstRow="0" w:lastRow="0" w:firstColumn="0" w:lastColumn="0" w:oddVBand="0" w:evenVBand="1" w:oddHBand="0" w:evenHBand="0" w:firstRowFirstColumn="0" w:firstRowLastColumn="0" w:lastRowFirstColumn="0" w:lastRowLastColumn="0"/>
            <w:tcW w:w="1985" w:type="dxa"/>
          </w:tcPr>
          <w:p w14:paraId="382AC27C" w14:textId="7F443697" w:rsidR="006478CC" w:rsidRPr="009E2BBE" w:rsidRDefault="00DB487F" w:rsidP="006478CC">
            <w:pPr>
              <w:pStyle w:val="Tabletext"/>
            </w:pPr>
            <w:r w:rsidRPr="009E2BBE">
              <w:t>Awarding bodies</w:t>
            </w:r>
          </w:p>
        </w:tc>
        <w:tc>
          <w:tcPr>
            <w:cnfStyle w:val="000010000000" w:firstRow="0" w:lastRow="0" w:firstColumn="0" w:lastColumn="0" w:oddVBand="1" w:evenVBand="0" w:oddHBand="0" w:evenHBand="0" w:firstRowFirstColumn="0" w:firstRowLastColumn="0" w:lastRowFirstColumn="0" w:lastRowLastColumn="0"/>
            <w:tcW w:w="3685" w:type="dxa"/>
          </w:tcPr>
          <w:p w14:paraId="5B73DA30" w14:textId="6C92AF40" w:rsidR="006478CC" w:rsidRPr="009E2BBE" w:rsidRDefault="00782BA6" w:rsidP="006478CC">
            <w:pPr>
              <w:pStyle w:val="Tabletext"/>
            </w:pPr>
            <w:r w:rsidRPr="009E2BBE">
              <w:t>Opportunity for awarding bodies to discuss questions and qualifications with the Institute for Apprenticeships and Technical Education. Awarding bodies can also attend more events and receive guidance.</w:t>
            </w:r>
          </w:p>
        </w:tc>
        <w:tc>
          <w:tcPr>
            <w:cnfStyle w:val="000001000000" w:firstRow="0" w:lastRow="0" w:firstColumn="0" w:lastColumn="0" w:oddVBand="0" w:evenVBand="1" w:oddHBand="0" w:evenHBand="0" w:firstRowFirstColumn="0" w:firstRowLastColumn="0" w:lastRowFirstColumn="0" w:lastRowLastColumn="0"/>
            <w:tcW w:w="1695" w:type="dxa"/>
          </w:tcPr>
          <w:p w14:paraId="06865B7A" w14:textId="4AFE81DB" w:rsidR="006478CC" w:rsidRPr="009E2BBE" w:rsidRDefault="006478CC" w:rsidP="006478CC">
            <w:pPr>
              <w:pStyle w:val="Tabletext"/>
            </w:pPr>
            <w:r w:rsidRPr="009E2BBE">
              <w:t>September 2020</w:t>
            </w:r>
          </w:p>
        </w:tc>
      </w:tr>
      <w:tr w:rsidR="006478CC" w:rsidRPr="009E2BBE" w14:paraId="0C46326E" w14:textId="77777777" w:rsidTr="006478CC">
        <w:tc>
          <w:tcPr>
            <w:cnfStyle w:val="000010000000" w:firstRow="0" w:lastRow="0" w:firstColumn="0" w:lastColumn="0" w:oddVBand="1" w:evenVBand="0" w:oddHBand="0" w:evenHBand="0" w:firstRowFirstColumn="0" w:firstRowLastColumn="0" w:lastRowFirstColumn="0" w:lastRowLastColumn="0"/>
            <w:tcW w:w="1696" w:type="dxa"/>
          </w:tcPr>
          <w:p w14:paraId="4449C68F" w14:textId="6E9A56FA" w:rsidR="006478CC" w:rsidRPr="009E2BBE" w:rsidRDefault="006478CC" w:rsidP="006478CC">
            <w:pPr>
              <w:pStyle w:val="Tabletext"/>
            </w:pPr>
            <w:r w:rsidRPr="009E2BBE">
              <w:t>Application</w:t>
            </w:r>
          </w:p>
        </w:tc>
        <w:tc>
          <w:tcPr>
            <w:cnfStyle w:val="000001000000" w:firstRow="0" w:lastRow="0" w:firstColumn="0" w:lastColumn="0" w:oddVBand="0" w:evenVBand="1" w:oddHBand="0" w:evenHBand="0" w:firstRowFirstColumn="0" w:firstRowLastColumn="0" w:lastRowFirstColumn="0" w:lastRowLastColumn="0"/>
            <w:tcW w:w="1985" w:type="dxa"/>
          </w:tcPr>
          <w:p w14:paraId="5D5327B3" w14:textId="65CEE20E" w:rsidR="006478CC" w:rsidRPr="009E2BBE" w:rsidRDefault="00DB487F" w:rsidP="006478CC">
            <w:pPr>
              <w:pStyle w:val="Tabletext"/>
            </w:pPr>
            <w:r w:rsidRPr="009E2BBE">
              <w:t>Awarding bodies</w:t>
            </w:r>
          </w:p>
        </w:tc>
        <w:tc>
          <w:tcPr>
            <w:cnfStyle w:val="000010000000" w:firstRow="0" w:lastRow="0" w:firstColumn="0" w:lastColumn="0" w:oddVBand="1" w:evenVBand="0" w:oddHBand="0" w:evenHBand="0" w:firstRowFirstColumn="0" w:firstRowLastColumn="0" w:lastRowFirstColumn="0" w:lastRowLastColumn="0"/>
            <w:tcW w:w="3685" w:type="dxa"/>
          </w:tcPr>
          <w:p w14:paraId="54C8F00E" w14:textId="77777777" w:rsidR="006478CC" w:rsidRPr="009E2BBE" w:rsidRDefault="0058450E" w:rsidP="006478CC">
            <w:pPr>
              <w:pStyle w:val="Tabletext"/>
            </w:pPr>
            <w:r w:rsidRPr="009E2BBE">
              <w:t>The application form asks for the following information:</w:t>
            </w:r>
          </w:p>
          <w:p w14:paraId="0DFAB63C" w14:textId="0D2F50E7" w:rsidR="0058450E" w:rsidRPr="009E2BBE" w:rsidRDefault="007F382E" w:rsidP="0058450E">
            <w:pPr>
              <w:pStyle w:val="Tabletext"/>
              <w:numPr>
                <w:ilvl w:val="0"/>
                <w:numId w:val="42"/>
              </w:numPr>
            </w:pPr>
            <w:r w:rsidRPr="009E2BBE">
              <w:t>a</w:t>
            </w:r>
            <w:r w:rsidR="0058450E" w:rsidRPr="009E2BBE">
              <w:t>greement with terms and conditions and data security</w:t>
            </w:r>
          </w:p>
          <w:p w14:paraId="5B6A9005" w14:textId="77FCC8A6" w:rsidR="0058450E" w:rsidRPr="009E2BBE" w:rsidRDefault="007F382E" w:rsidP="0058450E">
            <w:pPr>
              <w:pStyle w:val="Tabletext"/>
              <w:numPr>
                <w:ilvl w:val="0"/>
                <w:numId w:val="42"/>
              </w:numPr>
            </w:pPr>
            <w:r w:rsidRPr="009E2BBE">
              <w:t>awarding body information</w:t>
            </w:r>
          </w:p>
          <w:p w14:paraId="5ED4E6DB" w14:textId="22A5C799" w:rsidR="0058450E" w:rsidRPr="009E2BBE" w:rsidRDefault="007F382E" w:rsidP="0058450E">
            <w:pPr>
              <w:pStyle w:val="Tabletext"/>
              <w:numPr>
                <w:ilvl w:val="0"/>
                <w:numId w:val="42"/>
              </w:numPr>
            </w:pPr>
            <w:r w:rsidRPr="009E2BBE">
              <w:t>qualification information, such as title and level</w:t>
            </w:r>
          </w:p>
          <w:p w14:paraId="5D4AAC3F" w14:textId="39F30233" w:rsidR="0058450E" w:rsidRPr="009E2BBE" w:rsidRDefault="007F382E" w:rsidP="0058450E">
            <w:pPr>
              <w:pStyle w:val="Tabletext"/>
              <w:numPr>
                <w:ilvl w:val="0"/>
                <w:numId w:val="42"/>
              </w:numPr>
            </w:pPr>
            <w:r w:rsidRPr="009E2BBE">
              <w:t>alignment to route and occupational standards, including purpose and content of qualification and evidence of employer engagement in development</w:t>
            </w:r>
          </w:p>
          <w:p w14:paraId="7E212FA5" w14:textId="3E8C5DB2" w:rsidR="0058450E" w:rsidRPr="009E2BBE" w:rsidRDefault="007F382E" w:rsidP="0058450E">
            <w:pPr>
              <w:pStyle w:val="Tabletext"/>
              <w:numPr>
                <w:ilvl w:val="0"/>
                <w:numId w:val="42"/>
              </w:numPr>
            </w:pPr>
            <w:r w:rsidRPr="009E2BBE">
              <w:t xml:space="preserve">knowledge, </w:t>
            </w:r>
            <w:proofErr w:type="gramStart"/>
            <w:r w:rsidRPr="009E2BBE">
              <w:t>skills</w:t>
            </w:r>
            <w:proofErr w:type="gramEnd"/>
            <w:r w:rsidRPr="009E2BBE">
              <w:t xml:space="preserve"> and behaviours coverage within qualification</w:t>
            </w:r>
          </w:p>
          <w:p w14:paraId="41D31FA1" w14:textId="7415F25D" w:rsidR="0058450E" w:rsidRPr="009E2BBE" w:rsidRDefault="007F382E" w:rsidP="0058450E">
            <w:pPr>
              <w:pStyle w:val="Tabletext"/>
              <w:numPr>
                <w:ilvl w:val="0"/>
                <w:numId w:val="42"/>
              </w:numPr>
            </w:pPr>
            <w:r w:rsidRPr="009E2BBE">
              <w:t>additional occupationally relevant content</w:t>
            </w:r>
          </w:p>
          <w:p w14:paraId="6608D90B" w14:textId="4E418749" w:rsidR="0058450E" w:rsidRPr="009E2BBE" w:rsidRDefault="007F382E" w:rsidP="0058450E">
            <w:pPr>
              <w:pStyle w:val="Tabletext"/>
              <w:numPr>
                <w:ilvl w:val="0"/>
                <w:numId w:val="42"/>
              </w:numPr>
            </w:pPr>
            <w:r w:rsidRPr="009E2BBE">
              <w:t>outline of assessment methods and why they are valid</w:t>
            </w:r>
          </w:p>
          <w:p w14:paraId="5A26F05E" w14:textId="60B78646" w:rsidR="0058450E" w:rsidRPr="009E2BBE" w:rsidRDefault="007F382E" w:rsidP="0058450E">
            <w:pPr>
              <w:pStyle w:val="Tabletext"/>
              <w:numPr>
                <w:ilvl w:val="0"/>
                <w:numId w:val="42"/>
              </w:numPr>
            </w:pPr>
            <w:r w:rsidRPr="009E2BBE">
              <w:t>evidence of employer engagement and support for qualification.</w:t>
            </w:r>
          </w:p>
        </w:tc>
        <w:tc>
          <w:tcPr>
            <w:cnfStyle w:val="000001000000" w:firstRow="0" w:lastRow="0" w:firstColumn="0" w:lastColumn="0" w:oddVBand="0" w:evenVBand="1" w:oddHBand="0" w:evenHBand="0" w:firstRowFirstColumn="0" w:firstRowLastColumn="0" w:lastRowFirstColumn="0" w:lastRowLastColumn="0"/>
            <w:tcW w:w="1695" w:type="dxa"/>
          </w:tcPr>
          <w:p w14:paraId="22E02708" w14:textId="62602383" w:rsidR="006478CC" w:rsidRPr="009E2BBE" w:rsidRDefault="006478CC" w:rsidP="006478CC">
            <w:pPr>
              <w:pStyle w:val="Tabletext"/>
            </w:pPr>
            <w:r w:rsidRPr="009E2BBE">
              <w:t>September to December 2020</w:t>
            </w:r>
          </w:p>
        </w:tc>
      </w:tr>
      <w:tr w:rsidR="006478CC" w:rsidRPr="009E2BBE" w14:paraId="76501A66" w14:textId="77777777" w:rsidTr="006478C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96" w:type="dxa"/>
          </w:tcPr>
          <w:p w14:paraId="7C09553D" w14:textId="49A76F5A" w:rsidR="006478CC" w:rsidRPr="009E2BBE" w:rsidRDefault="006478CC" w:rsidP="006478CC">
            <w:pPr>
              <w:pStyle w:val="Tabletext"/>
            </w:pPr>
            <w:r w:rsidRPr="009E2BBE">
              <w:t>Institute review</w:t>
            </w:r>
          </w:p>
        </w:tc>
        <w:tc>
          <w:tcPr>
            <w:cnfStyle w:val="000001000000" w:firstRow="0" w:lastRow="0" w:firstColumn="0" w:lastColumn="0" w:oddVBand="0" w:evenVBand="1" w:oddHBand="0" w:evenHBand="0" w:firstRowFirstColumn="0" w:firstRowLastColumn="0" w:lastRowFirstColumn="0" w:lastRowLastColumn="0"/>
            <w:tcW w:w="1985" w:type="dxa"/>
          </w:tcPr>
          <w:p w14:paraId="4D27CD86" w14:textId="77777777" w:rsidR="006478CC" w:rsidRPr="009E2BBE" w:rsidRDefault="00DB487F" w:rsidP="006478CC">
            <w:pPr>
              <w:pStyle w:val="Tabletext"/>
            </w:pPr>
            <w:r w:rsidRPr="009E2BBE">
              <w:t>Institute for Apprenticeships and Technical Education</w:t>
            </w:r>
          </w:p>
          <w:p w14:paraId="0D17F69B" w14:textId="45DE3D01" w:rsidR="00DB487F" w:rsidRPr="009E2BBE" w:rsidRDefault="00DB487F" w:rsidP="00DB487F">
            <w:pPr>
              <w:pStyle w:val="Tabletext"/>
            </w:pPr>
            <w:proofErr w:type="spellStart"/>
            <w:r w:rsidRPr="009E2BBE">
              <w:t>Ofqual</w:t>
            </w:r>
            <w:proofErr w:type="spellEnd"/>
          </w:p>
        </w:tc>
        <w:tc>
          <w:tcPr>
            <w:cnfStyle w:val="000010000000" w:firstRow="0" w:lastRow="0" w:firstColumn="0" w:lastColumn="0" w:oddVBand="1" w:evenVBand="0" w:oddHBand="0" w:evenHBand="0" w:firstRowFirstColumn="0" w:firstRowLastColumn="0" w:lastRowFirstColumn="0" w:lastRowLastColumn="0"/>
            <w:tcW w:w="3685" w:type="dxa"/>
          </w:tcPr>
          <w:p w14:paraId="15A4E217" w14:textId="77777777" w:rsidR="006478CC" w:rsidRPr="009E2BBE" w:rsidRDefault="00782BA6" w:rsidP="006478CC">
            <w:pPr>
              <w:pStyle w:val="Tabletext"/>
            </w:pPr>
            <w:r w:rsidRPr="009E2BBE">
              <w:t>Institute for Apprenticeships and Technical Education holds public consultation and review submissions.</w:t>
            </w:r>
          </w:p>
          <w:p w14:paraId="6B5C4C15" w14:textId="39ABF2F7" w:rsidR="00782BA6" w:rsidRPr="009E2BBE" w:rsidRDefault="00782BA6" w:rsidP="00782BA6">
            <w:pPr>
              <w:pStyle w:val="Tabletext"/>
            </w:pPr>
            <w:proofErr w:type="spellStart"/>
            <w:r w:rsidRPr="009E2BBE">
              <w:t>Ofqual</w:t>
            </w:r>
            <w:proofErr w:type="spellEnd"/>
            <w:r w:rsidRPr="009E2BBE">
              <w:t xml:space="preserve"> holds meetings with awarding bodies and provides advice.</w:t>
            </w:r>
          </w:p>
        </w:tc>
        <w:tc>
          <w:tcPr>
            <w:cnfStyle w:val="000001000000" w:firstRow="0" w:lastRow="0" w:firstColumn="0" w:lastColumn="0" w:oddVBand="0" w:evenVBand="1" w:oddHBand="0" w:evenHBand="0" w:firstRowFirstColumn="0" w:firstRowLastColumn="0" w:lastRowFirstColumn="0" w:lastRowLastColumn="0"/>
            <w:tcW w:w="1695" w:type="dxa"/>
          </w:tcPr>
          <w:p w14:paraId="4EDFAF2C" w14:textId="594CA76F" w:rsidR="006478CC" w:rsidRPr="009E2BBE" w:rsidRDefault="006478CC" w:rsidP="006478CC">
            <w:pPr>
              <w:pStyle w:val="Tabletext"/>
            </w:pPr>
            <w:r w:rsidRPr="009E2BBE">
              <w:t xml:space="preserve">December 2020 to </w:t>
            </w:r>
            <w:r w:rsidR="00782BA6" w:rsidRPr="009E2BBE">
              <w:t>February</w:t>
            </w:r>
            <w:r w:rsidRPr="009E2BBE">
              <w:t xml:space="preserve"> 2021</w:t>
            </w:r>
          </w:p>
        </w:tc>
      </w:tr>
      <w:tr w:rsidR="006478CC" w:rsidRPr="009E2BBE" w14:paraId="6B4FAFB1" w14:textId="77777777" w:rsidTr="006478CC">
        <w:tc>
          <w:tcPr>
            <w:cnfStyle w:val="000010000000" w:firstRow="0" w:lastRow="0" w:firstColumn="0" w:lastColumn="0" w:oddVBand="1" w:evenVBand="0" w:oddHBand="0" w:evenHBand="0" w:firstRowFirstColumn="0" w:firstRowLastColumn="0" w:lastRowFirstColumn="0" w:lastRowLastColumn="0"/>
            <w:tcW w:w="1696" w:type="dxa"/>
          </w:tcPr>
          <w:p w14:paraId="7A11BF13" w14:textId="33D82F1C" w:rsidR="006478CC" w:rsidRPr="009E2BBE" w:rsidRDefault="006478CC" w:rsidP="006478CC">
            <w:pPr>
              <w:pStyle w:val="Tabletext"/>
            </w:pPr>
            <w:r w:rsidRPr="009E2BBE">
              <w:t>Decision and feedback</w:t>
            </w:r>
          </w:p>
        </w:tc>
        <w:tc>
          <w:tcPr>
            <w:cnfStyle w:val="000001000000" w:firstRow="0" w:lastRow="0" w:firstColumn="0" w:lastColumn="0" w:oddVBand="0" w:evenVBand="1" w:oddHBand="0" w:evenHBand="0" w:firstRowFirstColumn="0" w:firstRowLastColumn="0" w:lastRowFirstColumn="0" w:lastRowLastColumn="0"/>
            <w:tcW w:w="1985" w:type="dxa"/>
          </w:tcPr>
          <w:p w14:paraId="708A412F" w14:textId="77777777" w:rsidR="006478CC" w:rsidRPr="009E2BBE" w:rsidRDefault="00DB487F" w:rsidP="006478CC">
            <w:pPr>
              <w:pStyle w:val="Tabletext"/>
            </w:pPr>
            <w:r w:rsidRPr="009E2BBE">
              <w:t>Route panels</w:t>
            </w:r>
          </w:p>
          <w:p w14:paraId="15DC3E35" w14:textId="57ABB2DE" w:rsidR="00DB487F" w:rsidRPr="009E2BBE" w:rsidRDefault="00DB487F" w:rsidP="00DB487F">
            <w:pPr>
              <w:pStyle w:val="Tabletext"/>
            </w:pPr>
            <w:r w:rsidRPr="009E2BBE">
              <w:t xml:space="preserve">Approvals </w:t>
            </w:r>
            <w:r w:rsidR="008A0074" w:rsidRPr="009E2BBE">
              <w:t>and</w:t>
            </w:r>
            <w:r w:rsidRPr="009E2BBE">
              <w:t xml:space="preserve"> Funding Committee</w:t>
            </w:r>
          </w:p>
        </w:tc>
        <w:tc>
          <w:tcPr>
            <w:cnfStyle w:val="000010000000" w:firstRow="0" w:lastRow="0" w:firstColumn="0" w:lastColumn="0" w:oddVBand="1" w:evenVBand="0" w:oddHBand="0" w:evenHBand="0" w:firstRowFirstColumn="0" w:firstRowLastColumn="0" w:lastRowFirstColumn="0" w:lastRowLastColumn="0"/>
            <w:tcW w:w="3685" w:type="dxa"/>
          </w:tcPr>
          <w:p w14:paraId="0F02B48C" w14:textId="77777777" w:rsidR="006478CC" w:rsidRPr="009E2BBE" w:rsidRDefault="00782BA6" w:rsidP="006478CC">
            <w:pPr>
              <w:pStyle w:val="Tabletext"/>
            </w:pPr>
            <w:r w:rsidRPr="009E2BBE">
              <w:t>Route panel meets and makes recommendations.</w:t>
            </w:r>
          </w:p>
          <w:p w14:paraId="3D4B25EF" w14:textId="31D0AAC4" w:rsidR="00782BA6" w:rsidRPr="009E2BBE" w:rsidRDefault="00782BA6" w:rsidP="00782BA6">
            <w:pPr>
              <w:pStyle w:val="Tabletext"/>
            </w:pPr>
            <w:r w:rsidRPr="009E2BBE">
              <w:t>Approvals and Funding Committee makes final decisions.</w:t>
            </w:r>
          </w:p>
        </w:tc>
        <w:tc>
          <w:tcPr>
            <w:cnfStyle w:val="000001000000" w:firstRow="0" w:lastRow="0" w:firstColumn="0" w:lastColumn="0" w:oddVBand="0" w:evenVBand="1" w:oddHBand="0" w:evenHBand="0" w:firstRowFirstColumn="0" w:firstRowLastColumn="0" w:lastRowFirstColumn="0" w:lastRowLastColumn="0"/>
            <w:tcW w:w="1695" w:type="dxa"/>
          </w:tcPr>
          <w:p w14:paraId="06FB21E3" w14:textId="7AADF7B2" w:rsidR="006478CC" w:rsidRPr="009E2BBE" w:rsidRDefault="00782BA6" w:rsidP="006478CC">
            <w:pPr>
              <w:pStyle w:val="Tabletext"/>
            </w:pPr>
            <w:r w:rsidRPr="009E2BBE">
              <w:t xml:space="preserve">February to </w:t>
            </w:r>
            <w:r w:rsidR="006478CC" w:rsidRPr="009E2BBE">
              <w:t>March 2021</w:t>
            </w:r>
          </w:p>
        </w:tc>
      </w:tr>
      <w:tr w:rsidR="006478CC" w:rsidRPr="009E2BBE" w14:paraId="0E28726F" w14:textId="77777777" w:rsidTr="006478C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96" w:type="dxa"/>
          </w:tcPr>
          <w:p w14:paraId="6B141C46" w14:textId="63C867B0" w:rsidR="006478CC" w:rsidRPr="009E2BBE" w:rsidRDefault="006478CC" w:rsidP="006478CC">
            <w:pPr>
              <w:pStyle w:val="Tabletext"/>
            </w:pPr>
            <w:r w:rsidRPr="009E2BBE">
              <w:t>Refinement</w:t>
            </w:r>
          </w:p>
        </w:tc>
        <w:tc>
          <w:tcPr>
            <w:cnfStyle w:val="000001000000" w:firstRow="0" w:lastRow="0" w:firstColumn="0" w:lastColumn="0" w:oddVBand="0" w:evenVBand="1" w:oddHBand="0" w:evenHBand="0" w:firstRowFirstColumn="0" w:firstRowLastColumn="0" w:lastRowFirstColumn="0" w:lastRowLastColumn="0"/>
            <w:tcW w:w="1985" w:type="dxa"/>
          </w:tcPr>
          <w:p w14:paraId="1033A938" w14:textId="77777777" w:rsidR="006478CC" w:rsidRPr="009E2BBE" w:rsidRDefault="00DB487F" w:rsidP="006478CC">
            <w:pPr>
              <w:pStyle w:val="Tabletext"/>
            </w:pPr>
            <w:r w:rsidRPr="009E2BBE">
              <w:t>Institute for Apprenticeships and Technical Education</w:t>
            </w:r>
          </w:p>
          <w:p w14:paraId="7D8D96BF" w14:textId="16959B18" w:rsidR="00DB487F" w:rsidRPr="009E2BBE" w:rsidRDefault="00DB487F" w:rsidP="00DB487F">
            <w:pPr>
              <w:pStyle w:val="Tabletext"/>
            </w:pPr>
            <w:r w:rsidRPr="009E2BBE">
              <w:t>Awarding bodies</w:t>
            </w:r>
          </w:p>
        </w:tc>
        <w:tc>
          <w:tcPr>
            <w:cnfStyle w:val="000010000000" w:firstRow="0" w:lastRow="0" w:firstColumn="0" w:lastColumn="0" w:oddVBand="1" w:evenVBand="0" w:oddHBand="0" w:evenHBand="0" w:firstRowFirstColumn="0" w:firstRowLastColumn="0" w:lastRowFirstColumn="0" w:lastRowLastColumn="0"/>
            <w:tcW w:w="3685" w:type="dxa"/>
          </w:tcPr>
          <w:p w14:paraId="4C1E1889" w14:textId="7231A7FE" w:rsidR="006478CC" w:rsidRPr="009E2BBE" w:rsidRDefault="00782BA6" w:rsidP="006478CC">
            <w:pPr>
              <w:pStyle w:val="Tabletext"/>
            </w:pPr>
            <w:r w:rsidRPr="009E2BBE">
              <w:t>Institute for Apprenticeships and Technical Education provide</w:t>
            </w:r>
            <w:r w:rsidR="00C46CE6" w:rsidRPr="009E2BBE">
              <w:t>s</w:t>
            </w:r>
            <w:r w:rsidRPr="009E2BBE">
              <w:t xml:space="preserve"> feedback on approval.</w:t>
            </w:r>
          </w:p>
          <w:p w14:paraId="3BDD1E30" w14:textId="7D697462" w:rsidR="00782BA6" w:rsidRPr="009E2BBE" w:rsidRDefault="00782BA6" w:rsidP="00782BA6">
            <w:pPr>
              <w:pStyle w:val="Tabletext"/>
            </w:pPr>
            <w:r w:rsidRPr="009E2BBE">
              <w:t>Some qualifications will require further refinement by awarding bodies. Refinements are due for submission in May 2021.</w:t>
            </w:r>
          </w:p>
        </w:tc>
        <w:tc>
          <w:tcPr>
            <w:cnfStyle w:val="000001000000" w:firstRow="0" w:lastRow="0" w:firstColumn="0" w:lastColumn="0" w:oddVBand="0" w:evenVBand="1" w:oddHBand="0" w:evenHBand="0" w:firstRowFirstColumn="0" w:firstRowLastColumn="0" w:lastRowFirstColumn="0" w:lastRowLastColumn="0"/>
            <w:tcW w:w="1695" w:type="dxa"/>
          </w:tcPr>
          <w:p w14:paraId="2CDBFA92" w14:textId="6D801B7B" w:rsidR="006478CC" w:rsidRPr="009E2BBE" w:rsidRDefault="006478CC" w:rsidP="006478CC">
            <w:pPr>
              <w:pStyle w:val="Tabletext"/>
            </w:pPr>
            <w:r w:rsidRPr="009E2BBE">
              <w:t>March to May 2021</w:t>
            </w:r>
          </w:p>
        </w:tc>
      </w:tr>
      <w:tr w:rsidR="006478CC" w:rsidRPr="009E2BBE" w14:paraId="1A2F9F68" w14:textId="77777777" w:rsidTr="006478CC">
        <w:tc>
          <w:tcPr>
            <w:cnfStyle w:val="000010000000" w:firstRow="0" w:lastRow="0" w:firstColumn="0" w:lastColumn="0" w:oddVBand="1" w:evenVBand="0" w:oddHBand="0" w:evenHBand="0" w:firstRowFirstColumn="0" w:firstRowLastColumn="0" w:lastRowFirstColumn="0" w:lastRowLastColumn="0"/>
            <w:tcW w:w="1696" w:type="dxa"/>
          </w:tcPr>
          <w:p w14:paraId="5498B49C" w14:textId="0C60A1C8" w:rsidR="006478CC" w:rsidRPr="009E2BBE" w:rsidRDefault="006478CC" w:rsidP="006478CC">
            <w:pPr>
              <w:pStyle w:val="Tabletext"/>
            </w:pPr>
            <w:r w:rsidRPr="009E2BBE">
              <w:t>Final list of approved qualifications published</w:t>
            </w:r>
          </w:p>
        </w:tc>
        <w:tc>
          <w:tcPr>
            <w:cnfStyle w:val="000001000000" w:firstRow="0" w:lastRow="0" w:firstColumn="0" w:lastColumn="0" w:oddVBand="0" w:evenVBand="1" w:oddHBand="0" w:evenHBand="0" w:firstRowFirstColumn="0" w:firstRowLastColumn="0" w:lastRowFirstColumn="0" w:lastRowLastColumn="0"/>
            <w:tcW w:w="1985" w:type="dxa"/>
          </w:tcPr>
          <w:p w14:paraId="0155B90A" w14:textId="0B7DA2FF" w:rsidR="006478CC" w:rsidRPr="009E2BBE" w:rsidRDefault="00DB487F" w:rsidP="006478CC">
            <w:pPr>
              <w:pStyle w:val="Tabletext"/>
            </w:pPr>
            <w:r w:rsidRPr="009E2BBE">
              <w:t>Institute for Apprenticeships and Technical Education</w:t>
            </w:r>
          </w:p>
        </w:tc>
        <w:tc>
          <w:tcPr>
            <w:cnfStyle w:val="000010000000" w:firstRow="0" w:lastRow="0" w:firstColumn="0" w:lastColumn="0" w:oddVBand="1" w:evenVBand="0" w:oddHBand="0" w:evenHBand="0" w:firstRowFirstColumn="0" w:firstRowLastColumn="0" w:lastRowFirstColumn="0" w:lastRowLastColumn="0"/>
            <w:tcW w:w="3685" w:type="dxa"/>
          </w:tcPr>
          <w:p w14:paraId="50A86B7B" w14:textId="7519A61A" w:rsidR="006478CC" w:rsidRPr="009E2BBE" w:rsidRDefault="00782BA6" w:rsidP="006478CC">
            <w:pPr>
              <w:pStyle w:val="Tabletext"/>
            </w:pPr>
            <w:r w:rsidRPr="009E2BBE">
              <w:t>Institute for Apprenticeships and Technical Education</w:t>
            </w:r>
            <w:r w:rsidR="004578B8" w:rsidRPr="009E2BBE">
              <w:t xml:space="preserve"> releases the final list of approved qualifications.</w:t>
            </w:r>
          </w:p>
        </w:tc>
        <w:tc>
          <w:tcPr>
            <w:cnfStyle w:val="000001000000" w:firstRow="0" w:lastRow="0" w:firstColumn="0" w:lastColumn="0" w:oddVBand="0" w:evenVBand="1" w:oddHBand="0" w:evenHBand="0" w:firstRowFirstColumn="0" w:firstRowLastColumn="0" w:lastRowFirstColumn="0" w:lastRowLastColumn="0"/>
            <w:tcW w:w="1695" w:type="dxa"/>
          </w:tcPr>
          <w:p w14:paraId="68302606" w14:textId="7B25B248" w:rsidR="006478CC" w:rsidRPr="009E2BBE" w:rsidRDefault="006478CC" w:rsidP="006478CC">
            <w:pPr>
              <w:pStyle w:val="Tabletext"/>
            </w:pPr>
            <w:r w:rsidRPr="009E2BBE">
              <w:t>June 2021</w:t>
            </w:r>
          </w:p>
        </w:tc>
      </w:tr>
      <w:tr w:rsidR="006478CC" w:rsidRPr="009E2BBE" w14:paraId="5C185D4E" w14:textId="77777777" w:rsidTr="006478C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96" w:type="dxa"/>
          </w:tcPr>
          <w:p w14:paraId="70C0BDED" w14:textId="3B6AED99" w:rsidR="006478CC" w:rsidRPr="009E2BBE" w:rsidRDefault="006478CC" w:rsidP="006478CC">
            <w:pPr>
              <w:pStyle w:val="Tabletext"/>
            </w:pPr>
            <w:r w:rsidRPr="009E2BBE">
              <w:t>First teaching of the approved qualification</w:t>
            </w:r>
          </w:p>
        </w:tc>
        <w:tc>
          <w:tcPr>
            <w:cnfStyle w:val="000001000000" w:firstRow="0" w:lastRow="0" w:firstColumn="0" w:lastColumn="0" w:oddVBand="0" w:evenVBand="1" w:oddHBand="0" w:evenHBand="0" w:firstRowFirstColumn="0" w:firstRowLastColumn="0" w:lastRowFirstColumn="0" w:lastRowLastColumn="0"/>
            <w:tcW w:w="1985" w:type="dxa"/>
          </w:tcPr>
          <w:p w14:paraId="2D431A92" w14:textId="11133452" w:rsidR="006478CC" w:rsidRPr="009E2BBE" w:rsidRDefault="00DB487F" w:rsidP="006478CC">
            <w:pPr>
              <w:pStyle w:val="Tabletext"/>
            </w:pPr>
            <w:r w:rsidRPr="009E2BBE">
              <w:t>Awarding bodies</w:t>
            </w:r>
          </w:p>
        </w:tc>
        <w:tc>
          <w:tcPr>
            <w:cnfStyle w:val="000010000000" w:firstRow="0" w:lastRow="0" w:firstColumn="0" w:lastColumn="0" w:oddVBand="1" w:evenVBand="0" w:oddHBand="0" w:evenHBand="0" w:firstRowFirstColumn="0" w:firstRowLastColumn="0" w:lastRowFirstColumn="0" w:lastRowLastColumn="0"/>
            <w:tcW w:w="3685" w:type="dxa"/>
          </w:tcPr>
          <w:p w14:paraId="7AC3249C" w14:textId="2EB58405" w:rsidR="006478CC" w:rsidRPr="009E2BBE" w:rsidRDefault="004578B8" w:rsidP="006478CC">
            <w:pPr>
              <w:pStyle w:val="Tabletext"/>
            </w:pPr>
            <w:r w:rsidRPr="009E2BBE">
              <w:t>Providers decide on courses and prepare for teaching.</w:t>
            </w:r>
          </w:p>
          <w:p w14:paraId="025F150E" w14:textId="196A6EDF" w:rsidR="004578B8" w:rsidRPr="009E2BBE" w:rsidRDefault="004578B8" w:rsidP="004578B8">
            <w:pPr>
              <w:pStyle w:val="Tabletext"/>
            </w:pPr>
            <w:r w:rsidRPr="009E2BBE">
              <w:t>Teaching of new qualifications begins September 2022.</w:t>
            </w:r>
          </w:p>
        </w:tc>
        <w:tc>
          <w:tcPr>
            <w:cnfStyle w:val="000001000000" w:firstRow="0" w:lastRow="0" w:firstColumn="0" w:lastColumn="0" w:oddVBand="0" w:evenVBand="1" w:oddHBand="0" w:evenHBand="0" w:firstRowFirstColumn="0" w:firstRowLastColumn="0" w:lastRowFirstColumn="0" w:lastRowLastColumn="0"/>
            <w:tcW w:w="1695" w:type="dxa"/>
          </w:tcPr>
          <w:p w14:paraId="14B76E8A" w14:textId="76C20B48" w:rsidR="006478CC" w:rsidRPr="009E2BBE" w:rsidRDefault="004578B8" w:rsidP="006478CC">
            <w:pPr>
              <w:pStyle w:val="Tabletext"/>
            </w:pPr>
            <w:r w:rsidRPr="009E2BBE">
              <w:t xml:space="preserve">June 2021 to </w:t>
            </w:r>
            <w:r w:rsidR="006478CC" w:rsidRPr="009E2BBE">
              <w:t>September 2022</w:t>
            </w:r>
          </w:p>
        </w:tc>
      </w:tr>
    </w:tbl>
    <w:p w14:paraId="7B488E30" w14:textId="1D2E3909" w:rsidR="006478CC" w:rsidRPr="009E2BBE" w:rsidRDefault="00DB487F" w:rsidP="00DB487F">
      <w:pPr>
        <w:pStyle w:val="Source"/>
      </w:pPr>
      <w:r w:rsidRPr="009E2BBE">
        <w:t xml:space="preserve">Source: </w:t>
      </w:r>
      <w:r w:rsidR="005B1537" w:rsidRPr="009E2BBE">
        <w:t xml:space="preserve">Institute for Apprenticeships and Technical Education </w:t>
      </w:r>
      <w:r w:rsidR="00C5584F" w:rsidRPr="009E2BBE">
        <w:t>(</w:t>
      </w:r>
      <w:r w:rsidR="005B1537" w:rsidRPr="009E2BBE">
        <w:t>2020b</w:t>
      </w:r>
      <w:r w:rsidR="00C5584F" w:rsidRPr="009E2BBE">
        <w:t>)</w:t>
      </w:r>
      <w:r w:rsidR="00E0208F" w:rsidRPr="009E2BBE">
        <w:t>.</w:t>
      </w:r>
    </w:p>
    <w:p w14:paraId="75E04F50" w14:textId="3CBFE1EE" w:rsidR="00693B33" w:rsidRPr="009E2BBE" w:rsidRDefault="00693B33" w:rsidP="00DB487F">
      <w:pPr>
        <w:pStyle w:val="Heading3"/>
      </w:pPr>
      <w:r w:rsidRPr="009E2BBE">
        <w:t>Stakeholders involved</w:t>
      </w:r>
    </w:p>
    <w:p w14:paraId="284B48F2" w14:textId="4E028131" w:rsidR="00DB487F" w:rsidRPr="009E2BBE" w:rsidRDefault="00C5584F" w:rsidP="00DB487F">
      <w:pPr>
        <w:pStyle w:val="Dotpoint10"/>
      </w:pPr>
      <w:r w:rsidRPr="009E2BBE">
        <w:t xml:space="preserve">The </w:t>
      </w:r>
      <w:r w:rsidR="00DB487F" w:rsidRPr="009E2BBE">
        <w:t>Institute for Apprenticeships and Technical Education</w:t>
      </w:r>
      <w:r w:rsidR="00F16BE0" w:rsidRPr="009E2BBE">
        <w:t xml:space="preserve"> is an independent, employer-led organisation w</w:t>
      </w:r>
      <w:r w:rsidRPr="009E2BBE">
        <w:t>hich</w:t>
      </w:r>
      <w:r w:rsidR="00F16BE0" w:rsidRPr="009E2BBE">
        <w:t xml:space="preserve"> develop</w:t>
      </w:r>
      <w:r w:rsidRPr="009E2BBE">
        <w:t>s</w:t>
      </w:r>
      <w:r w:rsidR="00F16BE0" w:rsidRPr="009E2BBE">
        <w:t>, approve</w:t>
      </w:r>
      <w:r w:rsidRPr="009E2BBE">
        <w:t>s</w:t>
      </w:r>
      <w:r w:rsidR="00F16BE0" w:rsidRPr="009E2BBE">
        <w:t>, review</w:t>
      </w:r>
      <w:r w:rsidRPr="009E2BBE">
        <w:t>s</w:t>
      </w:r>
      <w:r w:rsidR="00F16BE0" w:rsidRPr="009E2BBE">
        <w:t xml:space="preserve"> and revise</w:t>
      </w:r>
      <w:r w:rsidRPr="009E2BBE">
        <w:t>s</w:t>
      </w:r>
      <w:r w:rsidR="00F16BE0" w:rsidRPr="009E2BBE">
        <w:t xml:space="preserve"> apprenticeships and technical education with employers (</w:t>
      </w:r>
      <w:r w:rsidR="005B1537" w:rsidRPr="009E2BBE">
        <w:t>Institute for Apprenticeships and Technical Education 2020c</w:t>
      </w:r>
      <w:r w:rsidR="00F16BE0" w:rsidRPr="009E2BBE">
        <w:t>).</w:t>
      </w:r>
    </w:p>
    <w:p w14:paraId="4945B737" w14:textId="7DA23101" w:rsidR="00F16BE0" w:rsidRPr="009E2BBE" w:rsidRDefault="00F16BE0" w:rsidP="00F16BE0">
      <w:pPr>
        <w:pStyle w:val="Dotpoint2"/>
      </w:pPr>
      <w:r w:rsidRPr="009E2BBE">
        <w:t xml:space="preserve">Route panels are managed by the Institute for Apprenticeships and Technical Education and </w:t>
      </w:r>
      <w:r w:rsidR="00C46CE6" w:rsidRPr="009E2BBE">
        <w:t xml:space="preserve">consist </w:t>
      </w:r>
      <w:r w:rsidRPr="009E2BBE">
        <w:t>of industry experts</w:t>
      </w:r>
      <w:r w:rsidR="00C46CE6" w:rsidRPr="009E2BBE">
        <w:t>. They</w:t>
      </w:r>
      <w:r w:rsidRPr="009E2BBE">
        <w:t xml:space="preserve"> are responsible for ensuring </w:t>
      </w:r>
      <w:r w:rsidR="00B215A8" w:rsidRPr="009E2BBE">
        <w:t xml:space="preserve">that </w:t>
      </w:r>
      <w:r w:rsidRPr="009E2BBE">
        <w:t>apprenticeship standards and technical qualifications are of high quality</w:t>
      </w:r>
      <w:r w:rsidR="00C46CE6" w:rsidRPr="009E2BBE">
        <w:t xml:space="preserve"> and</w:t>
      </w:r>
      <w:r w:rsidRPr="009E2BBE">
        <w:t xml:space="preserve"> meet every </w:t>
      </w:r>
      <w:r w:rsidR="00C5584F" w:rsidRPr="009E2BBE">
        <w:t xml:space="preserve">eight </w:t>
      </w:r>
      <w:r w:rsidRPr="009E2BBE">
        <w:t>weeks (</w:t>
      </w:r>
      <w:r w:rsidR="005B1537" w:rsidRPr="009E2BBE">
        <w:t>Institute for Apprenticeships and Technical Education 2020d</w:t>
      </w:r>
      <w:r w:rsidRPr="009E2BBE">
        <w:t>).</w:t>
      </w:r>
    </w:p>
    <w:p w14:paraId="6DBE85AD" w14:textId="093D7D0F" w:rsidR="00F16BE0" w:rsidRPr="009E2BBE" w:rsidRDefault="00C46CE6" w:rsidP="00F16BE0">
      <w:pPr>
        <w:pStyle w:val="Dotpoint2"/>
      </w:pPr>
      <w:r w:rsidRPr="009E2BBE">
        <w:t xml:space="preserve">The </w:t>
      </w:r>
      <w:r w:rsidR="00F16BE0" w:rsidRPr="009E2BBE">
        <w:t>Approvals and Funding Committee</w:t>
      </w:r>
      <w:r w:rsidR="005358AF" w:rsidRPr="009E2BBE">
        <w:t xml:space="preserve"> </w:t>
      </w:r>
      <w:r w:rsidRPr="009E2BBE">
        <w:t>comprises</w:t>
      </w:r>
      <w:r w:rsidR="005358AF" w:rsidRPr="009E2BBE">
        <w:t xml:space="preserve"> four </w:t>
      </w:r>
      <w:r w:rsidR="00C5584F" w:rsidRPr="009E2BBE">
        <w:t>b</w:t>
      </w:r>
      <w:r w:rsidR="005358AF" w:rsidRPr="009E2BBE">
        <w:t>oard members of the Institute for Apprenticeships and Technical Education. They have final approval on the content for apprenticeships and technical qualifications and advise of funding bands (</w:t>
      </w:r>
      <w:r w:rsidR="005B1537" w:rsidRPr="009E2BBE">
        <w:t>Institute for Apprenticeships and Technical Education 2020e</w:t>
      </w:r>
      <w:r w:rsidR="005358AF" w:rsidRPr="009E2BBE">
        <w:t>).</w:t>
      </w:r>
    </w:p>
    <w:p w14:paraId="234C19CF" w14:textId="600127FC" w:rsidR="00DB487F" w:rsidRPr="009E2BBE" w:rsidRDefault="00DB487F" w:rsidP="00DB487F">
      <w:pPr>
        <w:pStyle w:val="Dotpoint10"/>
      </w:pPr>
      <w:proofErr w:type="spellStart"/>
      <w:r w:rsidRPr="009E2BBE">
        <w:t>Ofqual</w:t>
      </w:r>
      <w:proofErr w:type="spellEnd"/>
      <w:r w:rsidR="00F16BE0" w:rsidRPr="009E2BBE">
        <w:t xml:space="preserve"> is the Office of Qualifications and Examinations Regulation. </w:t>
      </w:r>
      <w:r w:rsidR="00C5584F" w:rsidRPr="009E2BBE">
        <w:t>It</w:t>
      </w:r>
      <w:r w:rsidR="00F16BE0" w:rsidRPr="009E2BBE">
        <w:t xml:space="preserve"> regulate</w:t>
      </w:r>
      <w:r w:rsidR="00C5584F" w:rsidRPr="009E2BBE">
        <w:t>s</w:t>
      </w:r>
      <w:r w:rsidR="00F16BE0" w:rsidRPr="009E2BBE">
        <w:t xml:space="preserve"> qualifications, examinations and assessments in England (</w:t>
      </w:r>
      <w:hyperlink r:id="rId24" w:history="1">
        <w:r w:rsidR="00233594" w:rsidRPr="009E2BBE">
          <w:rPr>
            <w:rStyle w:val="Hyperlink"/>
          </w:rPr>
          <w:t>GOV.UK</w:t>
        </w:r>
      </w:hyperlink>
      <w:r w:rsidR="00233594" w:rsidRPr="009E2BBE">
        <w:t xml:space="preserve"> 2020</w:t>
      </w:r>
      <w:r w:rsidR="00F16BE0" w:rsidRPr="009E2BBE">
        <w:t>).</w:t>
      </w:r>
    </w:p>
    <w:p w14:paraId="297522AE" w14:textId="12D72046" w:rsidR="00DB487F" w:rsidRPr="009E2BBE" w:rsidRDefault="00DB487F" w:rsidP="00DB487F">
      <w:pPr>
        <w:pStyle w:val="Dotpoint10"/>
      </w:pPr>
      <w:r w:rsidRPr="009E2BBE">
        <w:t>Awarding bodies</w:t>
      </w:r>
      <w:r w:rsidR="009135E1" w:rsidRPr="009E2BBE">
        <w:t xml:space="preserve"> are organisations approved by </w:t>
      </w:r>
      <w:proofErr w:type="spellStart"/>
      <w:r w:rsidR="009135E1" w:rsidRPr="009E2BBE">
        <w:t>Ofqual</w:t>
      </w:r>
      <w:proofErr w:type="spellEnd"/>
      <w:r w:rsidR="009135E1" w:rsidRPr="009E2BBE">
        <w:t xml:space="preserve"> to deliver and award regulated qualifications</w:t>
      </w:r>
      <w:r w:rsidR="00574DA4" w:rsidRPr="009E2BBE">
        <w:t>.</w:t>
      </w:r>
    </w:p>
    <w:p w14:paraId="6481B8A0" w14:textId="3E0222BA" w:rsidR="00693B33" w:rsidRPr="009E2BBE" w:rsidRDefault="009135E1" w:rsidP="00693B33">
      <w:pPr>
        <w:pStyle w:val="Heading3"/>
      </w:pPr>
      <w:r w:rsidRPr="009E2BBE">
        <w:t>Other relevant information</w:t>
      </w:r>
    </w:p>
    <w:p w14:paraId="72FB1056" w14:textId="0D7D8142" w:rsidR="009135E1" w:rsidRPr="009E2BBE" w:rsidRDefault="00180EDB" w:rsidP="009135E1">
      <w:pPr>
        <w:pStyle w:val="Text"/>
      </w:pPr>
      <w:r w:rsidRPr="009E2BBE">
        <w:t xml:space="preserve">The approval of the higher technical qualifications is for an initial period of </w:t>
      </w:r>
      <w:r w:rsidR="00C5584F" w:rsidRPr="009E2BBE">
        <w:t>five</w:t>
      </w:r>
      <w:r w:rsidRPr="009E2BBE">
        <w:t xml:space="preserve"> years. The full process for reviews is yet to be made available but, to ensure continuity of delivery, reviews </w:t>
      </w:r>
      <w:r w:rsidR="00C5584F" w:rsidRPr="009E2BBE">
        <w:t>occur</w:t>
      </w:r>
      <w:r w:rsidRPr="009E2BBE">
        <w:t xml:space="preserve"> due two years before the end of the teaching period. For example, qualifications approved from June 2021 to June 2026 will need to be reapproved by April 2024 (</w:t>
      </w:r>
      <w:r w:rsidR="005B1537" w:rsidRPr="009E2BBE">
        <w:t>Institute for Apprenticeships and Technical Education 2020f</w:t>
      </w:r>
      <w:r w:rsidRPr="009E2BBE">
        <w:t>).</w:t>
      </w:r>
    </w:p>
    <w:p w14:paraId="29749E33" w14:textId="0BB5E12E" w:rsidR="00180EDB" w:rsidRPr="009E2BBE" w:rsidRDefault="00FE136F" w:rsidP="009135E1">
      <w:pPr>
        <w:pStyle w:val="Text"/>
      </w:pPr>
      <w:r w:rsidRPr="009E2BBE">
        <w:t>Changes to qualifications can be made by awarding bodies as part of a continuous</w:t>
      </w:r>
      <w:r w:rsidR="008D75A5" w:rsidRPr="009E2BBE">
        <w:t>-</w:t>
      </w:r>
      <w:r w:rsidRPr="009E2BBE">
        <w:t>improvement process. Major changes, such as changes to the qualification</w:t>
      </w:r>
      <w:r w:rsidR="00A26B8A" w:rsidRPr="009E2BBE">
        <w:t>’</w:t>
      </w:r>
      <w:r w:rsidRPr="009E2BBE">
        <w:t xml:space="preserve">s coverage of knowledge, skills and behaviours or assessment methods, will need to be approved by the Institute for Apprenticeships and Technical Education. The </w:t>
      </w:r>
      <w:r w:rsidR="00C5584F" w:rsidRPr="009E2BBE">
        <w:t>i</w:t>
      </w:r>
      <w:r w:rsidRPr="009E2BBE">
        <w:t xml:space="preserve">nstitute aims to respond to these requests within </w:t>
      </w:r>
      <w:r w:rsidR="00C5584F" w:rsidRPr="009E2BBE">
        <w:t>eight</w:t>
      </w:r>
      <w:r w:rsidRPr="009E2BBE">
        <w:t xml:space="preserve"> weeks (</w:t>
      </w:r>
      <w:r w:rsidR="005B1537" w:rsidRPr="009E2BBE">
        <w:t>Institute for Apprenticeships and Technical Education 2020f</w:t>
      </w:r>
      <w:r w:rsidRPr="009E2BBE">
        <w:t>).</w:t>
      </w:r>
    </w:p>
    <w:p w14:paraId="41749534" w14:textId="15CF60AF" w:rsidR="00FE136F" w:rsidRPr="009E2BBE" w:rsidRDefault="00FE136F" w:rsidP="009135E1">
      <w:pPr>
        <w:pStyle w:val="Text"/>
      </w:pPr>
      <w:r w:rsidRPr="009E2BBE">
        <w:t xml:space="preserve">Changes may also occur to qualifications following changes to the occupational standard on which it is based. </w:t>
      </w:r>
      <w:r w:rsidR="00373253" w:rsidRPr="009E2BBE">
        <w:t>Where there are changes to the content of the standard, such as to knowledge, skills and behaviours, an awarding body will have to submit changes to qualifications within a year of the occupational standard being revised. They will then need to teach the new approved qualification as soon as possible, typically allowing at least a year for new materials to be developed (</w:t>
      </w:r>
      <w:r w:rsidR="005B1537" w:rsidRPr="009E2BBE">
        <w:t>Institute for Apprenticeships and Technical Education 2020f</w:t>
      </w:r>
      <w:r w:rsidR="00373253" w:rsidRPr="009E2BBE">
        <w:t>).</w:t>
      </w:r>
    </w:p>
    <w:p w14:paraId="471D4C50" w14:textId="311054A1" w:rsidR="00693B33" w:rsidRPr="009E2BBE" w:rsidRDefault="00693B33" w:rsidP="00693B33">
      <w:pPr>
        <w:pStyle w:val="Heading2"/>
      </w:pPr>
      <w:bookmarkStart w:id="82" w:name="_Toc65741386"/>
      <w:r w:rsidRPr="009E2BBE">
        <w:t>Scotland</w:t>
      </w:r>
      <w:bookmarkEnd w:id="82"/>
    </w:p>
    <w:p w14:paraId="2FF6A22E" w14:textId="6E5E7B75" w:rsidR="00693B33" w:rsidRPr="009E2BBE" w:rsidRDefault="00693B33" w:rsidP="00693B33">
      <w:pPr>
        <w:pStyle w:val="Heading3"/>
      </w:pPr>
      <w:r w:rsidRPr="009E2BBE">
        <w:t xml:space="preserve">Summary of </w:t>
      </w:r>
      <w:r w:rsidR="00EA3747" w:rsidRPr="009E2BBE">
        <w:t>qualification development process</w:t>
      </w:r>
    </w:p>
    <w:p w14:paraId="62D07BA9" w14:textId="37D40A20" w:rsidR="004C236E" w:rsidRPr="009E2BBE" w:rsidRDefault="004C236E" w:rsidP="00BA1233">
      <w:pPr>
        <w:pStyle w:val="Text"/>
      </w:pPr>
      <w:r w:rsidRPr="009E2BBE">
        <w:t>There are two key aspects to vocational qualification development in Scotland</w:t>
      </w:r>
      <w:r w:rsidR="00C5584F" w:rsidRPr="009E2BBE">
        <w:t>:</w:t>
      </w:r>
      <w:r w:rsidRPr="009E2BBE">
        <w:t xml:space="preserve"> qualification product</w:t>
      </w:r>
      <w:r w:rsidR="00C5584F" w:rsidRPr="009E2BBE">
        <w:t>-</w:t>
      </w:r>
      <w:r w:rsidRPr="009E2BBE">
        <w:t>development by standard</w:t>
      </w:r>
      <w:r w:rsidR="00C5584F" w:rsidRPr="009E2BBE">
        <w:t>-</w:t>
      </w:r>
      <w:r w:rsidRPr="009E2BBE">
        <w:t>setting organisations (SSOs)</w:t>
      </w:r>
      <w:r w:rsidR="00C5584F" w:rsidRPr="009E2BBE">
        <w:t>,</w:t>
      </w:r>
      <w:r w:rsidRPr="009E2BBE">
        <w:t xml:space="preserve"> such as sector skills councils, sector bodies and standard</w:t>
      </w:r>
      <w:r w:rsidR="00C5584F" w:rsidRPr="009E2BBE">
        <w:t>-</w:t>
      </w:r>
      <w:r w:rsidRPr="009E2BBE">
        <w:t>setting bodies</w:t>
      </w:r>
      <w:r w:rsidR="00C5584F" w:rsidRPr="009E2BBE">
        <w:t>;</w:t>
      </w:r>
      <w:r w:rsidRPr="009E2BBE">
        <w:t xml:space="preserve"> and qualification development by awarding bodies (ABs)</w:t>
      </w:r>
      <w:r w:rsidR="00C5584F" w:rsidRPr="009E2BBE">
        <w:t>,</w:t>
      </w:r>
      <w:r w:rsidRPr="009E2BBE">
        <w:t xml:space="preserve"> wh</w:t>
      </w:r>
      <w:r w:rsidR="00C5584F" w:rsidRPr="009E2BBE">
        <w:t>ich</w:t>
      </w:r>
      <w:r w:rsidRPr="009E2BBE">
        <w:t xml:space="preserve"> are accredited by the Scottish Qualifications Authority to deliver training. Qualification products appear to be similar to training packages in Australia. Qualifications developed by awarding bodies can be based on approved qualification products developed by SSOs or they can develop and design their own qualifications. All qualification products and qualifications are accredited by SQA Accreditation</w:t>
      </w:r>
      <w:r w:rsidR="00873EDB" w:rsidRPr="009E2BBE">
        <w:t xml:space="preserve"> (Scottish Qualification Authority 20</w:t>
      </w:r>
      <w:r w:rsidR="00A22814" w:rsidRPr="009E2BBE">
        <w:t>18b</w:t>
      </w:r>
      <w:r w:rsidR="00C5584F" w:rsidRPr="009E2BBE">
        <w:t>,</w:t>
      </w:r>
      <w:r w:rsidR="00873EDB" w:rsidRPr="009E2BBE">
        <w:t xml:space="preserve"> 2018</w:t>
      </w:r>
      <w:r w:rsidR="00A22814" w:rsidRPr="009E2BBE">
        <w:t>c</w:t>
      </w:r>
      <w:r w:rsidR="00873EDB" w:rsidRPr="009E2BBE">
        <w:t>)</w:t>
      </w:r>
      <w:r w:rsidRPr="009E2BBE">
        <w:t>.</w:t>
      </w:r>
    </w:p>
    <w:p w14:paraId="4EA66F11" w14:textId="77777777" w:rsidR="00FB0899" w:rsidRPr="009E2BBE" w:rsidRDefault="00FB0899">
      <w:pPr>
        <w:spacing w:before="0" w:line="240" w:lineRule="auto"/>
        <w:rPr>
          <w:rFonts w:ascii="Arial" w:hAnsi="Arial"/>
          <w:i/>
          <w:sz w:val="24"/>
        </w:rPr>
      </w:pPr>
      <w:r w:rsidRPr="009E2BBE">
        <w:br w:type="page"/>
      </w:r>
    </w:p>
    <w:p w14:paraId="691050BC" w14:textId="24A7A660" w:rsidR="004C236E" w:rsidRPr="009E2BBE" w:rsidRDefault="004C236E" w:rsidP="004C236E">
      <w:pPr>
        <w:pStyle w:val="Heading4"/>
      </w:pPr>
      <w:r w:rsidRPr="009E2BBE">
        <w:t>Qualification product development by SSOs</w:t>
      </w:r>
    </w:p>
    <w:p w14:paraId="57F78F03" w14:textId="741DCAF1" w:rsidR="009D76A8" w:rsidRPr="009E2BBE" w:rsidRDefault="009D76A8" w:rsidP="00B47A97">
      <w:pPr>
        <w:pStyle w:val="tabletitle"/>
      </w:pPr>
      <w:r w:rsidRPr="009E2BBE">
        <w:t xml:space="preserve">Table </w:t>
      </w:r>
      <w:r w:rsidR="00C46CE6" w:rsidRPr="009E2BBE">
        <w:t>9</w:t>
      </w:r>
      <w:r w:rsidR="00B47A97" w:rsidRPr="009E2BBE">
        <w:tab/>
      </w:r>
      <w:r w:rsidRPr="009E2BBE">
        <w:t>Key stages in Scottish qualification product development</w:t>
      </w:r>
    </w:p>
    <w:tbl>
      <w:tblPr>
        <w:tblStyle w:val="PlainTable2"/>
        <w:tblW w:w="9071" w:type="dxa"/>
        <w:tblInd w:w="-5" w:type="dxa"/>
        <w:tblLook w:val="0000" w:firstRow="0" w:lastRow="0" w:firstColumn="0" w:lastColumn="0" w:noHBand="0" w:noVBand="0"/>
      </w:tblPr>
      <w:tblGrid>
        <w:gridCol w:w="2552"/>
        <w:gridCol w:w="6519"/>
      </w:tblGrid>
      <w:tr w:rsidR="009D76A8" w:rsidRPr="009E2BBE" w14:paraId="0A2EE96E" w14:textId="77777777" w:rsidTr="009D76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tcPr>
          <w:p w14:paraId="46D8BD71" w14:textId="1BA0ED99" w:rsidR="009D76A8" w:rsidRPr="009E2BBE" w:rsidRDefault="009D76A8" w:rsidP="00B47A97">
            <w:pPr>
              <w:pStyle w:val="Tablehead1"/>
            </w:pPr>
            <w:r w:rsidRPr="009E2BBE">
              <w:t>Stage</w:t>
            </w:r>
          </w:p>
        </w:tc>
        <w:tc>
          <w:tcPr>
            <w:cnfStyle w:val="000001000000" w:firstRow="0" w:lastRow="0" w:firstColumn="0" w:lastColumn="0" w:oddVBand="0" w:evenVBand="1" w:oddHBand="0" w:evenHBand="0" w:firstRowFirstColumn="0" w:firstRowLastColumn="0" w:lastRowFirstColumn="0" w:lastRowLastColumn="0"/>
            <w:tcW w:w="6519" w:type="dxa"/>
          </w:tcPr>
          <w:p w14:paraId="03E8847A" w14:textId="771FD6D5" w:rsidR="009D76A8" w:rsidRPr="009E2BBE" w:rsidRDefault="009D76A8" w:rsidP="00B47A97">
            <w:pPr>
              <w:pStyle w:val="Tablehead1"/>
            </w:pPr>
            <w:r w:rsidRPr="009E2BBE">
              <w:t>Summary</w:t>
            </w:r>
          </w:p>
        </w:tc>
      </w:tr>
      <w:tr w:rsidR="00873EDB" w:rsidRPr="009E2BBE" w14:paraId="40E2A4A2" w14:textId="77777777" w:rsidTr="009D76A8">
        <w:tc>
          <w:tcPr>
            <w:cnfStyle w:val="000010000000" w:firstRow="0" w:lastRow="0" w:firstColumn="0" w:lastColumn="0" w:oddVBand="1" w:evenVBand="0" w:oddHBand="0" w:evenHBand="0" w:firstRowFirstColumn="0" w:firstRowLastColumn="0" w:lastRowFirstColumn="0" w:lastRowLastColumn="0"/>
            <w:tcW w:w="2552" w:type="dxa"/>
          </w:tcPr>
          <w:p w14:paraId="5BE05C2C" w14:textId="5DD527A8" w:rsidR="00873EDB" w:rsidRPr="009E2BBE" w:rsidRDefault="00873EDB" w:rsidP="00873EDB">
            <w:pPr>
              <w:pStyle w:val="Tabletext"/>
            </w:pPr>
            <w:r w:rsidRPr="009E2BBE">
              <w:t>Establish purpose for qualification development or review</w:t>
            </w:r>
          </w:p>
        </w:tc>
        <w:tc>
          <w:tcPr>
            <w:cnfStyle w:val="000001000000" w:firstRow="0" w:lastRow="0" w:firstColumn="0" w:lastColumn="0" w:oddVBand="0" w:evenVBand="1" w:oddHBand="0" w:evenHBand="0" w:firstRowFirstColumn="0" w:firstRowLastColumn="0" w:lastRowFirstColumn="0" w:lastRowLastColumn="0"/>
            <w:tcW w:w="6519" w:type="dxa"/>
          </w:tcPr>
          <w:p w14:paraId="118B6937" w14:textId="44EA8A40" w:rsidR="00873EDB" w:rsidRPr="009E2BBE" w:rsidRDefault="00873EDB" w:rsidP="00873EDB">
            <w:pPr>
              <w:pStyle w:val="Tabletext"/>
            </w:pPr>
            <w:r w:rsidRPr="009E2BBE">
              <w:t>The SSO needs to consider the following when deciding whether to develop</w:t>
            </w:r>
            <w:r w:rsidR="00C46CE6" w:rsidRPr="009E2BBE">
              <w:t xml:space="preserve"> a</w:t>
            </w:r>
            <w:r w:rsidRPr="009E2BBE">
              <w:t xml:space="preserve"> new qualification product or revise an existing product:</w:t>
            </w:r>
          </w:p>
          <w:p w14:paraId="16974265" w14:textId="323932E9" w:rsidR="00873EDB" w:rsidRPr="009E2BBE" w:rsidRDefault="00C5584F" w:rsidP="00245269">
            <w:pPr>
              <w:pStyle w:val="Tabletext"/>
              <w:numPr>
                <w:ilvl w:val="0"/>
                <w:numId w:val="34"/>
              </w:numPr>
            </w:pPr>
            <w:r w:rsidRPr="009E2BBE">
              <w:t>the roles the qualification is aimed at</w:t>
            </w:r>
          </w:p>
          <w:p w14:paraId="10F9809A" w14:textId="08360A4D" w:rsidR="00873EDB" w:rsidRPr="009E2BBE" w:rsidRDefault="00C5584F" w:rsidP="00245269">
            <w:pPr>
              <w:pStyle w:val="Tabletext"/>
              <w:numPr>
                <w:ilvl w:val="0"/>
                <w:numId w:val="34"/>
              </w:numPr>
            </w:pPr>
            <w:r w:rsidRPr="009E2BBE">
              <w:t>the functions that will be covered in the qualification</w:t>
            </w:r>
          </w:p>
          <w:p w14:paraId="634E42A2" w14:textId="5B53DEBB" w:rsidR="00873EDB" w:rsidRPr="009E2BBE" w:rsidRDefault="00C5584F" w:rsidP="00245269">
            <w:pPr>
              <w:pStyle w:val="Tabletext"/>
              <w:numPr>
                <w:ilvl w:val="0"/>
                <w:numId w:val="34"/>
              </w:numPr>
            </w:pPr>
            <w:r w:rsidRPr="009E2BBE">
              <w:t xml:space="preserve">if the qualification will confirm knowledge, </w:t>
            </w:r>
            <w:proofErr w:type="gramStart"/>
            <w:r w:rsidRPr="009E2BBE">
              <w:t>skills</w:t>
            </w:r>
            <w:proofErr w:type="gramEnd"/>
            <w:r w:rsidRPr="009E2BBE">
              <w:t xml:space="preserve"> or combination of both</w:t>
            </w:r>
          </w:p>
          <w:p w14:paraId="2502893B" w14:textId="1A33894F" w:rsidR="00873EDB" w:rsidRPr="009E2BBE" w:rsidRDefault="00C5584F" w:rsidP="00245269">
            <w:pPr>
              <w:pStyle w:val="Tabletext"/>
              <w:numPr>
                <w:ilvl w:val="0"/>
                <w:numId w:val="34"/>
              </w:numPr>
            </w:pPr>
            <w:r w:rsidRPr="009E2BBE">
              <w:t>what broad areas of knowledge and/or skills the qualification will develop</w:t>
            </w:r>
          </w:p>
          <w:p w14:paraId="0086333F" w14:textId="6CEA24F5" w:rsidR="00873EDB" w:rsidRPr="009E2BBE" w:rsidRDefault="00C5584F" w:rsidP="00245269">
            <w:pPr>
              <w:pStyle w:val="Tabletext"/>
              <w:numPr>
                <w:ilvl w:val="0"/>
                <w:numId w:val="34"/>
              </w:numPr>
            </w:pPr>
            <w:r w:rsidRPr="009E2BBE">
              <w:t>current provision of qualifications and any gaps</w:t>
            </w:r>
          </w:p>
          <w:p w14:paraId="6E14EC45" w14:textId="08002EB9" w:rsidR="00873EDB" w:rsidRPr="009E2BBE" w:rsidRDefault="00C5584F" w:rsidP="00245269">
            <w:pPr>
              <w:pStyle w:val="Tabletext"/>
              <w:numPr>
                <w:ilvl w:val="0"/>
                <w:numId w:val="34"/>
              </w:numPr>
            </w:pPr>
            <w:r w:rsidRPr="009E2BBE">
              <w:t>whether the qualific</w:t>
            </w:r>
            <w:r w:rsidR="00873EDB" w:rsidRPr="009E2BBE">
              <w:t>ation is intended to be used within a Modern Apprenticeship</w:t>
            </w:r>
            <w:r w:rsidR="00245269" w:rsidRPr="009E2BBE">
              <w:t xml:space="preserve"> or for </w:t>
            </w:r>
            <w:r w:rsidR="00C46CE6" w:rsidRPr="009E2BBE">
              <w:t xml:space="preserve">a </w:t>
            </w:r>
            <w:r w:rsidR="00245269" w:rsidRPr="009E2BBE">
              <w:t>regulatory or licensing scheme</w:t>
            </w:r>
            <w:r w:rsidRPr="009E2BBE">
              <w:t>.</w:t>
            </w:r>
          </w:p>
          <w:p w14:paraId="493CE9D0" w14:textId="389CA215" w:rsidR="00873EDB" w:rsidRPr="009E2BBE" w:rsidRDefault="00245269" w:rsidP="00245269">
            <w:pPr>
              <w:pStyle w:val="Tabletext"/>
            </w:pPr>
            <w:r w:rsidRPr="009E2BBE">
              <w:t xml:space="preserve">Evidence of the need for a new qualification, such as skills gaps and shortages, </w:t>
            </w:r>
            <w:proofErr w:type="gramStart"/>
            <w:r w:rsidRPr="009E2BBE">
              <w:t>demand</w:t>
            </w:r>
            <w:proofErr w:type="gramEnd"/>
            <w:r w:rsidRPr="009E2BBE">
              <w:t xml:space="preserve"> and licensing requirements</w:t>
            </w:r>
            <w:r w:rsidR="00D10CB6" w:rsidRPr="009E2BBE">
              <w:t>,</w:t>
            </w:r>
            <w:r w:rsidRPr="009E2BBE">
              <w:t xml:space="preserve"> as well as support from employers and awarding bodies</w:t>
            </w:r>
            <w:r w:rsidR="00D10CB6" w:rsidRPr="009E2BBE">
              <w:t>,</w:t>
            </w:r>
            <w:r w:rsidRPr="009E2BBE">
              <w:t xml:space="preserve"> is also needed.</w:t>
            </w:r>
          </w:p>
        </w:tc>
      </w:tr>
      <w:tr w:rsidR="009D76A8" w:rsidRPr="009E2BBE" w14:paraId="513CA959" w14:textId="77777777" w:rsidTr="009D76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tcPr>
          <w:p w14:paraId="44BDE1C6" w14:textId="5F8F47CC" w:rsidR="009D76A8" w:rsidRPr="009E2BBE" w:rsidRDefault="00021A1A" w:rsidP="009D76A8">
            <w:pPr>
              <w:pStyle w:val="Tabletext"/>
            </w:pPr>
            <w:r w:rsidRPr="009E2BBE">
              <w:t>Develop qualification structures</w:t>
            </w:r>
          </w:p>
        </w:tc>
        <w:tc>
          <w:tcPr>
            <w:cnfStyle w:val="000001000000" w:firstRow="0" w:lastRow="0" w:firstColumn="0" w:lastColumn="0" w:oddVBand="0" w:evenVBand="1" w:oddHBand="0" w:evenHBand="0" w:firstRowFirstColumn="0" w:firstRowLastColumn="0" w:lastRowFirstColumn="0" w:lastRowLastColumn="0"/>
            <w:tcW w:w="6519" w:type="dxa"/>
          </w:tcPr>
          <w:p w14:paraId="705A5BA2" w14:textId="432E4A16" w:rsidR="009D76A8" w:rsidRPr="009E2BBE" w:rsidRDefault="00021A1A" w:rsidP="009D76A8">
            <w:pPr>
              <w:pStyle w:val="Tabletext"/>
            </w:pPr>
            <w:r w:rsidRPr="009E2BBE">
              <w:t>An occupational and functional analysis should be undertaken to help inform the qualification structure. This will help to identify gap</w:t>
            </w:r>
            <w:r w:rsidR="00E67057" w:rsidRPr="009E2BBE">
              <w:t>s</w:t>
            </w:r>
            <w:r w:rsidRPr="009E2BBE">
              <w:t xml:space="preserve"> in existing NOS or unit coverage</w:t>
            </w:r>
            <w:r w:rsidR="00E67057" w:rsidRPr="009E2BBE">
              <w:t>.</w:t>
            </w:r>
          </w:p>
          <w:p w14:paraId="0B705DD9" w14:textId="5E6CB7C6" w:rsidR="00E67057" w:rsidRPr="009E2BBE" w:rsidRDefault="00E67057" w:rsidP="00E67057">
            <w:pPr>
              <w:pStyle w:val="Tabletext"/>
            </w:pPr>
            <w:r w:rsidRPr="009E2BBE">
              <w:t>The qualification structure must also include:</w:t>
            </w:r>
          </w:p>
          <w:p w14:paraId="0BD3045E" w14:textId="32BB6C31" w:rsidR="00E67057" w:rsidRPr="009E2BBE" w:rsidRDefault="00C5584F" w:rsidP="00E67057">
            <w:pPr>
              <w:pStyle w:val="Tabletext"/>
              <w:numPr>
                <w:ilvl w:val="0"/>
                <w:numId w:val="38"/>
              </w:numPr>
            </w:pPr>
            <w:r w:rsidRPr="009E2BBE">
              <w:t>identification of potential content</w:t>
            </w:r>
          </w:p>
          <w:p w14:paraId="5BD8840A" w14:textId="38B07DBC" w:rsidR="00E67057" w:rsidRPr="009E2BBE" w:rsidRDefault="00C5584F" w:rsidP="00E67057">
            <w:pPr>
              <w:pStyle w:val="Tabletext"/>
              <w:numPr>
                <w:ilvl w:val="0"/>
                <w:numId w:val="37"/>
              </w:numPr>
            </w:pPr>
            <w:r w:rsidRPr="009E2BBE">
              <w:t>qualification and unit titles</w:t>
            </w:r>
          </w:p>
          <w:p w14:paraId="799BE6DE" w14:textId="1EA0F176" w:rsidR="00E67057" w:rsidRPr="009E2BBE" w:rsidRDefault="00C5584F" w:rsidP="00E67057">
            <w:pPr>
              <w:pStyle w:val="Tabletext"/>
              <w:numPr>
                <w:ilvl w:val="0"/>
                <w:numId w:val="37"/>
              </w:numPr>
            </w:pPr>
            <w:r w:rsidRPr="009E2BBE">
              <w:t>number and combination of mandatory and optional units required</w:t>
            </w:r>
          </w:p>
          <w:p w14:paraId="3F9DA260" w14:textId="2B526FA8" w:rsidR="00E67057" w:rsidRPr="009E2BBE" w:rsidRDefault="00C5584F" w:rsidP="00E67057">
            <w:pPr>
              <w:pStyle w:val="Tabletext"/>
              <w:numPr>
                <w:ilvl w:val="0"/>
                <w:numId w:val="37"/>
              </w:numPr>
            </w:pPr>
            <w:r w:rsidRPr="009E2BBE">
              <w:t>pathways between qualifications</w:t>
            </w:r>
          </w:p>
          <w:p w14:paraId="0D0700AC" w14:textId="4C8BDD53" w:rsidR="00E67057" w:rsidRPr="009E2BBE" w:rsidRDefault="00C5584F" w:rsidP="00E67057">
            <w:pPr>
              <w:pStyle w:val="Tabletext"/>
              <w:numPr>
                <w:ilvl w:val="0"/>
                <w:numId w:val="37"/>
              </w:numPr>
            </w:pPr>
            <w:r w:rsidRPr="009E2BBE">
              <w:t>flexibility and progression for learners</w:t>
            </w:r>
          </w:p>
          <w:p w14:paraId="438B4757" w14:textId="0CCCAF8D" w:rsidR="00E67057" w:rsidRPr="009E2BBE" w:rsidRDefault="00C5584F" w:rsidP="00E67057">
            <w:pPr>
              <w:pStyle w:val="Tabletext"/>
              <w:numPr>
                <w:ilvl w:val="0"/>
                <w:numId w:val="37"/>
              </w:numPr>
            </w:pPr>
            <w:r w:rsidRPr="009E2BBE">
              <w:t>overlap with other qualifications.</w:t>
            </w:r>
          </w:p>
        </w:tc>
      </w:tr>
      <w:tr w:rsidR="00021A1A" w:rsidRPr="009E2BBE" w14:paraId="2FA0DA32" w14:textId="77777777" w:rsidTr="009D76A8">
        <w:tc>
          <w:tcPr>
            <w:cnfStyle w:val="000010000000" w:firstRow="0" w:lastRow="0" w:firstColumn="0" w:lastColumn="0" w:oddVBand="1" w:evenVBand="0" w:oddHBand="0" w:evenHBand="0" w:firstRowFirstColumn="0" w:firstRowLastColumn="0" w:lastRowFirstColumn="0" w:lastRowLastColumn="0"/>
            <w:tcW w:w="2552" w:type="dxa"/>
          </w:tcPr>
          <w:p w14:paraId="3239AE86" w14:textId="4DF03B72" w:rsidR="00021A1A" w:rsidRPr="009E2BBE" w:rsidRDefault="00021A1A" w:rsidP="009D76A8">
            <w:pPr>
              <w:pStyle w:val="Tabletext"/>
            </w:pPr>
            <w:r w:rsidRPr="009E2BBE">
              <w:t>Develop assessment strategy</w:t>
            </w:r>
          </w:p>
        </w:tc>
        <w:tc>
          <w:tcPr>
            <w:cnfStyle w:val="000001000000" w:firstRow="0" w:lastRow="0" w:firstColumn="0" w:lastColumn="0" w:oddVBand="0" w:evenVBand="1" w:oddHBand="0" w:evenHBand="0" w:firstRowFirstColumn="0" w:firstRowLastColumn="0" w:lastRowFirstColumn="0" w:lastRowLastColumn="0"/>
            <w:tcW w:w="6519" w:type="dxa"/>
          </w:tcPr>
          <w:p w14:paraId="649EDA9B" w14:textId="5240A28C" w:rsidR="00E67057" w:rsidRPr="009E2BBE" w:rsidRDefault="00E67057" w:rsidP="009D76A8">
            <w:pPr>
              <w:pStyle w:val="Tabletext"/>
            </w:pPr>
            <w:r w:rsidRPr="009E2BBE">
              <w:t>The assessment strategy describes how the qualifications are to be assessed and is to provide a consistent approach to assessment for awarding bodies. It should include information on the following:</w:t>
            </w:r>
          </w:p>
          <w:p w14:paraId="14A8B0B9" w14:textId="3CBEAF22" w:rsidR="00E67057" w:rsidRPr="009E2BBE" w:rsidRDefault="00F773D7" w:rsidP="00F1594A">
            <w:pPr>
              <w:pStyle w:val="Tabletext"/>
              <w:numPr>
                <w:ilvl w:val="0"/>
                <w:numId w:val="39"/>
              </w:numPr>
            </w:pPr>
            <w:r w:rsidRPr="009E2BBE">
              <w:t>how external quality control of assessment will be achieved</w:t>
            </w:r>
          </w:p>
          <w:p w14:paraId="75A18A8A" w14:textId="48B14CE6" w:rsidR="00E67057" w:rsidRPr="009E2BBE" w:rsidRDefault="00F773D7" w:rsidP="00F1594A">
            <w:pPr>
              <w:pStyle w:val="Tabletext"/>
              <w:numPr>
                <w:ilvl w:val="0"/>
                <w:numId w:val="39"/>
              </w:numPr>
            </w:pPr>
            <w:r w:rsidRPr="009E2BBE">
              <w:t xml:space="preserve">which aspects must be assessed through workplace </w:t>
            </w:r>
            <w:proofErr w:type="gramStart"/>
            <w:r w:rsidRPr="009E2BBE">
              <w:t>performance</w:t>
            </w:r>
            <w:proofErr w:type="gramEnd"/>
          </w:p>
          <w:p w14:paraId="6270A4D9" w14:textId="2C2D5E2D" w:rsidR="00E67057" w:rsidRPr="009E2BBE" w:rsidRDefault="00F773D7" w:rsidP="00F1594A">
            <w:pPr>
              <w:pStyle w:val="Tabletext"/>
              <w:numPr>
                <w:ilvl w:val="0"/>
                <w:numId w:val="39"/>
              </w:numPr>
            </w:pPr>
            <w:r w:rsidRPr="009E2BBE">
              <w:t>the extent to which simulated working conditions can be used to assess competence</w:t>
            </w:r>
          </w:p>
          <w:p w14:paraId="38CBB53A" w14:textId="7D1B632F" w:rsidR="00F1594A" w:rsidRPr="009E2BBE" w:rsidRDefault="00F773D7" w:rsidP="00F1594A">
            <w:pPr>
              <w:pStyle w:val="Tabletext"/>
              <w:numPr>
                <w:ilvl w:val="0"/>
                <w:numId w:val="39"/>
              </w:numPr>
            </w:pPr>
            <w:r w:rsidRPr="009E2BBE">
              <w:t xml:space="preserve">the occupational </w:t>
            </w:r>
            <w:r w:rsidR="00F1594A" w:rsidRPr="009E2BBE">
              <w:t>expertise assessors and verifiers</w:t>
            </w:r>
            <w:r w:rsidR="00C46CE6" w:rsidRPr="009E2BBE">
              <w:t xml:space="preserve"> require</w:t>
            </w:r>
            <w:r w:rsidRPr="009E2BBE">
              <w:t>.</w:t>
            </w:r>
          </w:p>
          <w:p w14:paraId="69E920EB" w14:textId="3D3560AC" w:rsidR="00021A1A" w:rsidRPr="009E2BBE" w:rsidRDefault="00E67057" w:rsidP="009D76A8">
            <w:pPr>
              <w:pStyle w:val="Tabletext"/>
            </w:pPr>
            <w:r w:rsidRPr="009E2BBE">
              <w:t>Awarding bodies and other relevant stakeholders should be consulted during this step.</w:t>
            </w:r>
          </w:p>
        </w:tc>
      </w:tr>
      <w:tr w:rsidR="00021A1A" w:rsidRPr="009E2BBE" w14:paraId="665F379F" w14:textId="77777777" w:rsidTr="009D76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tcPr>
          <w:p w14:paraId="62C920E4" w14:textId="0878D40C" w:rsidR="00021A1A" w:rsidRPr="009E2BBE" w:rsidRDefault="00021A1A" w:rsidP="00021A1A">
            <w:pPr>
              <w:pStyle w:val="Tabletext"/>
            </w:pPr>
            <w:r w:rsidRPr="009E2BBE">
              <w:t>SCQF credit rating</w:t>
            </w:r>
          </w:p>
        </w:tc>
        <w:tc>
          <w:tcPr>
            <w:cnfStyle w:val="000001000000" w:firstRow="0" w:lastRow="0" w:firstColumn="0" w:lastColumn="0" w:oddVBand="0" w:evenVBand="1" w:oddHBand="0" w:evenHBand="0" w:firstRowFirstColumn="0" w:firstRowLastColumn="0" w:lastRowFirstColumn="0" w:lastRowLastColumn="0"/>
            <w:tcW w:w="6519" w:type="dxa"/>
          </w:tcPr>
          <w:p w14:paraId="58FFBF6A" w14:textId="64F0FC82" w:rsidR="00F1594A" w:rsidRPr="009E2BBE" w:rsidRDefault="00F1594A" w:rsidP="00F1594A">
            <w:pPr>
              <w:pStyle w:val="Tabletext"/>
            </w:pPr>
            <w:r w:rsidRPr="009E2BBE">
              <w:t>All vocational qualifications should be credit</w:t>
            </w:r>
            <w:r w:rsidR="00C5584F" w:rsidRPr="009E2BBE">
              <w:t>-</w:t>
            </w:r>
            <w:r w:rsidRPr="009E2BBE">
              <w:t xml:space="preserve">rated for the </w:t>
            </w:r>
            <w:r w:rsidR="00021A1A" w:rsidRPr="009E2BBE">
              <w:t>Scottish Credit and Qualifications Framework</w:t>
            </w:r>
            <w:r w:rsidRPr="009E2BBE">
              <w:t xml:space="preserve"> (SCQF). This involves calculating SCQF credit points and allocating SCQF levels to units and qualifications.</w:t>
            </w:r>
          </w:p>
        </w:tc>
      </w:tr>
      <w:tr w:rsidR="00021A1A" w:rsidRPr="009E2BBE" w14:paraId="75A26DF9" w14:textId="77777777" w:rsidTr="009D76A8">
        <w:tc>
          <w:tcPr>
            <w:cnfStyle w:val="000010000000" w:firstRow="0" w:lastRow="0" w:firstColumn="0" w:lastColumn="0" w:oddVBand="1" w:evenVBand="0" w:oddHBand="0" w:evenHBand="0" w:firstRowFirstColumn="0" w:firstRowLastColumn="0" w:lastRowFirstColumn="0" w:lastRowLastColumn="0"/>
            <w:tcW w:w="2552" w:type="dxa"/>
          </w:tcPr>
          <w:p w14:paraId="5576E21C" w14:textId="75209324" w:rsidR="00021A1A" w:rsidRPr="009E2BBE" w:rsidRDefault="00021A1A" w:rsidP="009D76A8">
            <w:pPr>
              <w:pStyle w:val="Tabletext"/>
            </w:pPr>
            <w:r w:rsidRPr="009E2BBE">
              <w:t xml:space="preserve">Core </w:t>
            </w:r>
            <w:r w:rsidR="00C5584F" w:rsidRPr="009E2BBE">
              <w:t>s</w:t>
            </w:r>
            <w:r w:rsidRPr="009E2BBE">
              <w:t>kills signposting</w:t>
            </w:r>
          </w:p>
        </w:tc>
        <w:tc>
          <w:tcPr>
            <w:cnfStyle w:val="000001000000" w:firstRow="0" w:lastRow="0" w:firstColumn="0" w:lastColumn="0" w:oddVBand="0" w:evenVBand="1" w:oddHBand="0" w:evenHBand="0" w:firstRowFirstColumn="0" w:firstRowLastColumn="0" w:lastRowFirstColumn="0" w:lastRowLastColumn="0"/>
            <w:tcW w:w="6519" w:type="dxa"/>
          </w:tcPr>
          <w:p w14:paraId="4CCD28C8" w14:textId="5E623D85" w:rsidR="00021A1A" w:rsidRPr="009E2BBE" w:rsidRDefault="00845B7C" w:rsidP="009D76A8">
            <w:pPr>
              <w:pStyle w:val="Tabletext"/>
            </w:pPr>
            <w:r w:rsidRPr="009E2BBE">
              <w:t xml:space="preserve">Core </w:t>
            </w:r>
            <w:r w:rsidR="00C5584F" w:rsidRPr="009E2BBE">
              <w:t>s</w:t>
            </w:r>
            <w:r w:rsidRPr="009E2BBE">
              <w:t xml:space="preserve">kills signposting outlines opportunities to develop </w:t>
            </w:r>
            <w:r w:rsidR="00C5584F" w:rsidRPr="009E2BBE">
              <w:t xml:space="preserve">core skills </w:t>
            </w:r>
            <w:r w:rsidRPr="009E2BBE">
              <w:t xml:space="preserve">within units. Signposting must be completed for each unit. There are five </w:t>
            </w:r>
            <w:r w:rsidR="00C5584F" w:rsidRPr="009E2BBE">
              <w:t>core skills:</w:t>
            </w:r>
            <w:r w:rsidRPr="009E2BBE">
              <w:t xml:space="preserve"> communication, numeracy, </w:t>
            </w:r>
            <w:proofErr w:type="gramStart"/>
            <w:r w:rsidRPr="009E2BBE">
              <w:t>information</w:t>
            </w:r>
            <w:proofErr w:type="gramEnd"/>
            <w:r w:rsidRPr="009E2BBE">
              <w:t xml:space="preserve"> and communication technology, problem</w:t>
            </w:r>
            <w:r w:rsidR="00C5584F" w:rsidRPr="009E2BBE">
              <w:t>-</w:t>
            </w:r>
            <w:r w:rsidRPr="009E2BBE">
              <w:t>solving and working with others.</w:t>
            </w:r>
          </w:p>
        </w:tc>
      </w:tr>
      <w:tr w:rsidR="009D76A8" w:rsidRPr="009E2BBE" w14:paraId="31ECE2FD" w14:textId="77777777" w:rsidTr="009D76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tcPr>
          <w:p w14:paraId="519562AD" w14:textId="4532EF67" w:rsidR="009D76A8" w:rsidRPr="009E2BBE" w:rsidRDefault="009D76A8" w:rsidP="009D76A8">
            <w:pPr>
              <w:pStyle w:val="Tabletext"/>
            </w:pPr>
            <w:r w:rsidRPr="009E2BBE">
              <w:t>Consultation activity</w:t>
            </w:r>
          </w:p>
        </w:tc>
        <w:tc>
          <w:tcPr>
            <w:cnfStyle w:val="000001000000" w:firstRow="0" w:lastRow="0" w:firstColumn="0" w:lastColumn="0" w:oddVBand="0" w:evenVBand="1" w:oddHBand="0" w:evenHBand="0" w:firstRowFirstColumn="0" w:firstRowLastColumn="0" w:lastRowFirstColumn="0" w:lastRowLastColumn="0"/>
            <w:tcW w:w="6519" w:type="dxa"/>
          </w:tcPr>
          <w:p w14:paraId="1C815C70" w14:textId="77777777" w:rsidR="009D76A8" w:rsidRPr="009E2BBE" w:rsidRDefault="00245269" w:rsidP="009D76A8">
            <w:pPr>
              <w:pStyle w:val="Tabletext"/>
            </w:pPr>
            <w:r w:rsidRPr="009E2BBE">
              <w:t>Stakeholders may include the following groups of people:</w:t>
            </w:r>
          </w:p>
          <w:p w14:paraId="3BA6756A" w14:textId="77777777" w:rsidR="00245269" w:rsidRPr="009E2BBE" w:rsidRDefault="00245269" w:rsidP="00245269">
            <w:pPr>
              <w:pStyle w:val="Tabletext"/>
              <w:numPr>
                <w:ilvl w:val="0"/>
                <w:numId w:val="35"/>
              </w:numPr>
            </w:pPr>
            <w:r w:rsidRPr="009E2BBE">
              <w:t>Scottish employers</w:t>
            </w:r>
          </w:p>
          <w:p w14:paraId="74E0A9AF" w14:textId="3782B308" w:rsidR="00245269" w:rsidRPr="009E2BBE" w:rsidRDefault="00F773D7" w:rsidP="00245269">
            <w:pPr>
              <w:pStyle w:val="Tabletext"/>
              <w:numPr>
                <w:ilvl w:val="0"/>
                <w:numId w:val="35"/>
              </w:numPr>
            </w:pPr>
            <w:r w:rsidRPr="009E2BBE">
              <w:t>awarding bodies</w:t>
            </w:r>
          </w:p>
          <w:p w14:paraId="6813BC09" w14:textId="231C973A" w:rsidR="00245269" w:rsidRPr="009E2BBE" w:rsidRDefault="00F773D7" w:rsidP="00245269">
            <w:pPr>
              <w:pStyle w:val="Tabletext"/>
              <w:numPr>
                <w:ilvl w:val="0"/>
                <w:numId w:val="35"/>
              </w:numPr>
            </w:pPr>
            <w:r w:rsidRPr="009E2BBE">
              <w:t>training providers</w:t>
            </w:r>
          </w:p>
          <w:p w14:paraId="0A0F4A0E" w14:textId="79B75576" w:rsidR="00245269" w:rsidRPr="009E2BBE" w:rsidRDefault="00F773D7" w:rsidP="00245269">
            <w:pPr>
              <w:pStyle w:val="Tabletext"/>
              <w:numPr>
                <w:ilvl w:val="0"/>
                <w:numId w:val="35"/>
              </w:numPr>
            </w:pPr>
            <w:r w:rsidRPr="009E2BBE">
              <w:t>professional bodies</w:t>
            </w:r>
          </w:p>
          <w:p w14:paraId="3CA3CE12" w14:textId="577A8486" w:rsidR="00245269" w:rsidRPr="009E2BBE" w:rsidRDefault="00F773D7" w:rsidP="00245269">
            <w:pPr>
              <w:pStyle w:val="Tabletext"/>
              <w:numPr>
                <w:ilvl w:val="0"/>
                <w:numId w:val="35"/>
              </w:numPr>
            </w:pPr>
            <w:r w:rsidRPr="009E2BBE">
              <w:t>unions</w:t>
            </w:r>
          </w:p>
          <w:p w14:paraId="7B59FCB2" w14:textId="7C8BC662" w:rsidR="00245269" w:rsidRPr="009E2BBE" w:rsidRDefault="00F773D7" w:rsidP="00245269">
            <w:pPr>
              <w:pStyle w:val="Tabletext"/>
              <w:numPr>
                <w:ilvl w:val="0"/>
                <w:numId w:val="35"/>
              </w:numPr>
            </w:pPr>
            <w:r w:rsidRPr="009E2BBE">
              <w:t>r</w:t>
            </w:r>
            <w:r w:rsidR="00245269" w:rsidRPr="009E2BBE">
              <w:t>egulators</w:t>
            </w:r>
          </w:p>
          <w:p w14:paraId="2E2BDF5F" w14:textId="7A4EEC42" w:rsidR="00245269" w:rsidRPr="009E2BBE" w:rsidRDefault="00245269" w:rsidP="00245269">
            <w:pPr>
              <w:pStyle w:val="Tabletext"/>
              <w:numPr>
                <w:ilvl w:val="0"/>
                <w:numId w:val="35"/>
              </w:numPr>
            </w:pPr>
            <w:r w:rsidRPr="009E2BBE">
              <w:t xml:space="preserve">Scottish </w:t>
            </w:r>
            <w:r w:rsidR="00C5584F" w:rsidRPr="009E2BBE">
              <w:t>G</w:t>
            </w:r>
            <w:r w:rsidRPr="009E2BBE">
              <w:t>overnment</w:t>
            </w:r>
          </w:p>
          <w:p w14:paraId="079ACA5E" w14:textId="4C0FB4DD" w:rsidR="00245269" w:rsidRPr="009E2BBE" w:rsidRDefault="00F773D7" w:rsidP="00245269">
            <w:pPr>
              <w:pStyle w:val="Tabletext"/>
              <w:numPr>
                <w:ilvl w:val="0"/>
                <w:numId w:val="35"/>
              </w:numPr>
            </w:pPr>
            <w:r w:rsidRPr="009E2BBE">
              <w:t>f</w:t>
            </w:r>
            <w:r w:rsidR="00245269" w:rsidRPr="009E2BBE">
              <w:t>urther and higher education institutions</w:t>
            </w:r>
            <w:r w:rsidRPr="009E2BBE">
              <w:t>.</w:t>
            </w:r>
          </w:p>
          <w:p w14:paraId="0605E795" w14:textId="77777777" w:rsidR="00245269" w:rsidRPr="009E2BBE" w:rsidRDefault="00245269" w:rsidP="00245269">
            <w:pPr>
              <w:pStyle w:val="Tabletext"/>
            </w:pPr>
            <w:r w:rsidRPr="009E2BBE">
              <w:t>Stakeholders originally involved in NOS development should also be consulted.</w:t>
            </w:r>
          </w:p>
          <w:p w14:paraId="513FA62C" w14:textId="21C952CF" w:rsidR="00245269" w:rsidRPr="009E2BBE" w:rsidRDefault="00245269" w:rsidP="00BE0389">
            <w:pPr>
              <w:pStyle w:val="Tabletext"/>
            </w:pPr>
            <w:r w:rsidRPr="009E2BBE">
              <w:t>Consultation may include a combination of any of the following activities:</w:t>
            </w:r>
          </w:p>
          <w:p w14:paraId="437A8C44" w14:textId="683A9B66" w:rsidR="00BE0389" w:rsidRPr="009E2BBE" w:rsidRDefault="00F773D7" w:rsidP="00BE0389">
            <w:pPr>
              <w:pStyle w:val="Tabletext"/>
              <w:numPr>
                <w:ilvl w:val="0"/>
                <w:numId w:val="36"/>
              </w:numPr>
            </w:pPr>
            <w:r w:rsidRPr="009E2BBE">
              <w:t>consultation events</w:t>
            </w:r>
          </w:p>
          <w:p w14:paraId="40E6100F" w14:textId="66CE2BD6" w:rsidR="00BE0389" w:rsidRPr="009E2BBE" w:rsidRDefault="00F773D7" w:rsidP="00BE0389">
            <w:pPr>
              <w:pStyle w:val="Tabletext"/>
              <w:numPr>
                <w:ilvl w:val="0"/>
                <w:numId w:val="36"/>
              </w:numPr>
            </w:pPr>
            <w:r w:rsidRPr="009E2BBE">
              <w:t>face-to-face meetings and telephone discussions</w:t>
            </w:r>
          </w:p>
          <w:p w14:paraId="0F566459" w14:textId="2ABE27BB" w:rsidR="00BE0389" w:rsidRPr="009E2BBE" w:rsidRDefault="00F773D7" w:rsidP="00BE0389">
            <w:pPr>
              <w:pStyle w:val="Tabletext"/>
              <w:numPr>
                <w:ilvl w:val="0"/>
                <w:numId w:val="36"/>
              </w:numPr>
            </w:pPr>
            <w:r w:rsidRPr="009E2BBE">
              <w:t>questionnaires</w:t>
            </w:r>
          </w:p>
          <w:p w14:paraId="51CFF806" w14:textId="7E5C7DBD" w:rsidR="00BE0389" w:rsidRPr="009E2BBE" w:rsidRDefault="00F773D7" w:rsidP="00BE0389">
            <w:pPr>
              <w:pStyle w:val="Tabletext"/>
              <w:numPr>
                <w:ilvl w:val="0"/>
                <w:numId w:val="36"/>
              </w:numPr>
            </w:pPr>
            <w:r w:rsidRPr="009E2BBE">
              <w:t>articles in trade press</w:t>
            </w:r>
          </w:p>
          <w:p w14:paraId="69BAB550" w14:textId="5EF30BA2" w:rsidR="00BE0389" w:rsidRPr="009E2BBE" w:rsidRDefault="00F773D7" w:rsidP="00BE0389">
            <w:pPr>
              <w:pStyle w:val="Tabletext"/>
              <w:numPr>
                <w:ilvl w:val="0"/>
                <w:numId w:val="36"/>
              </w:numPr>
            </w:pPr>
            <w:r w:rsidRPr="009E2BBE">
              <w:t>web-based surveys</w:t>
            </w:r>
          </w:p>
          <w:p w14:paraId="0323AF0F" w14:textId="327E1AAD" w:rsidR="00BE0389" w:rsidRPr="009E2BBE" w:rsidRDefault="00F773D7" w:rsidP="00BE0389">
            <w:pPr>
              <w:pStyle w:val="Tabletext"/>
              <w:numPr>
                <w:ilvl w:val="0"/>
                <w:numId w:val="36"/>
              </w:numPr>
            </w:pPr>
            <w:r w:rsidRPr="009E2BBE">
              <w:t xml:space="preserve">focus </w:t>
            </w:r>
            <w:r w:rsidR="00BE0389" w:rsidRPr="009E2BBE">
              <w:t>groups</w:t>
            </w:r>
            <w:r w:rsidRPr="009E2BBE">
              <w:t>.</w:t>
            </w:r>
          </w:p>
          <w:p w14:paraId="6AF77268" w14:textId="1AB80CA2" w:rsidR="00245269" w:rsidRPr="009E2BBE" w:rsidRDefault="00BE0389" w:rsidP="00BE0389">
            <w:pPr>
              <w:pStyle w:val="Tabletext"/>
            </w:pPr>
            <w:r w:rsidRPr="009E2BBE">
              <w:t>Plans should be in place for low or no responses, such as switching to other consultation methods.</w:t>
            </w:r>
          </w:p>
        </w:tc>
      </w:tr>
      <w:tr w:rsidR="009D76A8" w:rsidRPr="009E2BBE" w14:paraId="59824C14" w14:textId="77777777" w:rsidTr="009D76A8">
        <w:tc>
          <w:tcPr>
            <w:cnfStyle w:val="000010000000" w:firstRow="0" w:lastRow="0" w:firstColumn="0" w:lastColumn="0" w:oddVBand="1" w:evenVBand="0" w:oddHBand="0" w:evenHBand="0" w:firstRowFirstColumn="0" w:firstRowLastColumn="0" w:lastRowFirstColumn="0" w:lastRowLastColumn="0"/>
            <w:tcW w:w="2552" w:type="dxa"/>
          </w:tcPr>
          <w:p w14:paraId="562A1BA1" w14:textId="454296EB" w:rsidR="009D76A8" w:rsidRPr="009E2BBE" w:rsidRDefault="00A05412" w:rsidP="009D76A8">
            <w:pPr>
              <w:pStyle w:val="Tabletext"/>
            </w:pPr>
            <w:r w:rsidRPr="009E2BBE">
              <w:t>Preparing final products for submission</w:t>
            </w:r>
          </w:p>
        </w:tc>
        <w:tc>
          <w:tcPr>
            <w:cnfStyle w:val="000001000000" w:firstRow="0" w:lastRow="0" w:firstColumn="0" w:lastColumn="0" w:oddVBand="0" w:evenVBand="1" w:oddHBand="0" w:evenHBand="0" w:firstRowFirstColumn="0" w:firstRowLastColumn="0" w:lastRowFirstColumn="0" w:lastRowLastColumn="0"/>
            <w:tcW w:w="6519" w:type="dxa"/>
          </w:tcPr>
          <w:p w14:paraId="6439548A" w14:textId="77777777" w:rsidR="009D76A8" w:rsidRPr="009E2BBE" w:rsidRDefault="00EA2D6B" w:rsidP="009D76A8">
            <w:pPr>
              <w:pStyle w:val="Tabletext"/>
            </w:pPr>
            <w:r w:rsidRPr="009E2BBE">
              <w:t>During this stage the following is undertaken:</w:t>
            </w:r>
          </w:p>
          <w:p w14:paraId="5B3A006B" w14:textId="37F71BE4" w:rsidR="00EA2D6B" w:rsidRPr="009E2BBE" w:rsidRDefault="00F773D7" w:rsidP="00EA2D6B">
            <w:pPr>
              <w:pStyle w:val="Tabletext"/>
              <w:numPr>
                <w:ilvl w:val="0"/>
                <w:numId w:val="40"/>
              </w:numPr>
            </w:pPr>
            <w:r w:rsidRPr="009E2BBE">
              <w:t>k</w:t>
            </w:r>
            <w:r w:rsidR="00EA2D6B" w:rsidRPr="009E2BBE">
              <w:t>ey stakeholder group sign</w:t>
            </w:r>
            <w:r w:rsidR="00C5584F" w:rsidRPr="009E2BBE">
              <w:t>-</w:t>
            </w:r>
            <w:r w:rsidR="00EA2D6B" w:rsidRPr="009E2BBE">
              <w:t>off</w:t>
            </w:r>
          </w:p>
          <w:p w14:paraId="212C4A98" w14:textId="40A6B503" w:rsidR="00EA2D6B" w:rsidRPr="009E2BBE" w:rsidRDefault="00F773D7" w:rsidP="00EA2D6B">
            <w:pPr>
              <w:pStyle w:val="Tabletext"/>
              <w:numPr>
                <w:ilvl w:val="0"/>
                <w:numId w:val="40"/>
              </w:numPr>
            </w:pPr>
            <w:r w:rsidRPr="009E2BBE">
              <w:t>i</w:t>
            </w:r>
            <w:r w:rsidR="00EA2D6B" w:rsidRPr="009E2BBE">
              <w:t>nternal quality assurance</w:t>
            </w:r>
          </w:p>
          <w:p w14:paraId="2872DC83" w14:textId="18AC88E7" w:rsidR="00EA2D6B" w:rsidRPr="009E2BBE" w:rsidRDefault="00F773D7" w:rsidP="00EA2D6B">
            <w:pPr>
              <w:pStyle w:val="Tabletext"/>
              <w:numPr>
                <w:ilvl w:val="0"/>
                <w:numId w:val="40"/>
              </w:numPr>
            </w:pPr>
            <w:r w:rsidRPr="009E2BBE">
              <w:t>p</w:t>
            </w:r>
            <w:r w:rsidR="00EA2D6B" w:rsidRPr="009E2BBE">
              <w:t>reparation of final documentation</w:t>
            </w:r>
            <w:r w:rsidR="00C5584F" w:rsidRPr="009E2BBE">
              <w:t>,</w:t>
            </w:r>
            <w:r w:rsidR="00EA2D6B" w:rsidRPr="009E2BBE">
              <w:t xml:space="preserve"> which includes a report summarising the process undertaken, the qualification structures in grid template, copies </w:t>
            </w:r>
            <w:r w:rsidR="00C46CE6" w:rsidRPr="009E2BBE">
              <w:t xml:space="preserve">of </w:t>
            </w:r>
            <w:r w:rsidR="00EA2D6B" w:rsidRPr="009E2BBE">
              <w:t xml:space="preserve">units/NOS contained in qualification structure, assessment strategy and </w:t>
            </w:r>
            <w:r w:rsidR="00C5584F" w:rsidRPr="009E2BBE">
              <w:t xml:space="preserve">core skills </w:t>
            </w:r>
            <w:r w:rsidR="00EA2D6B" w:rsidRPr="009E2BBE">
              <w:t>signposting.</w:t>
            </w:r>
          </w:p>
        </w:tc>
      </w:tr>
      <w:tr w:rsidR="009D76A8" w:rsidRPr="009E2BBE" w14:paraId="77A34A6C" w14:textId="77777777" w:rsidTr="009D76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tcPr>
          <w:p w14:paraId="01AC706E" w14:textId="5A6CD0EE" w:rsidR="009D76A8" w:rsidRPr="009E2BBE" w:rsidRDefault="009D76A8" w:rsidP="009D76A8">
            <w:pPr>
              <w:pStyle w:val="Tabletext"/>
            </w:pPr>
            <w:r w:rsidRPr="009E2BBE">
              <w:t>Submission to SQA Accreditation</w:t>
            </w:r>
          </w:p>
        </w:tc>
        <w:tc>
          <w:tcPr>
            <w:cnfStyle w:val="000001000000" w:firstRow="0" w:lastRow="0" w:firstColumn="0" w:lastColumn="0" w:oddVBand="0" w:evenVBand="1" w:oddHBand="0" w:evenHBand="0" w:firstRowFirstColumn="0" w:firstRowLastColumn="0" w:lastRowFirstColumn="0" w:lastRowLastColumn="0"/>
            <w:tcW w:w="6519" w:type="dxa"/>
          </w:tcPr>
          <w:p w14:paraId="42322149" w14:textId="27E94FC8" w:rsidR="009D76A8" w:rsidRPr="009E2BBE" w:rsidRDefault="00EA2D6B" w:rsidP="009D76A8">
            <w:pPr>
              <w:pStyle w:val="Tabletext"/>
            </w:pPr>
            <w:r w:rsidRPr="009E2BBE">
              <w:t xml:space="preserve">Files are sent to SQA </w:t>
            </w:r>
            <w:r w:rsidR="00132B4D" w:rsidRPr="009E2BBE">
              <w:t>Accreditation</w:t>
            </w:r>
            <w:r w:rsidRPr="009E2BBE">
              <w:t xml:space="preserve"> and are firstly assessed by the</w:t>
            </w:r>
            <w:r w:rsidR="00132B4D" w:rsidRPr="009E2BBE">
              <w:t xml:space="preserve"> </w:t>
            </w:r>
            <w:r w:rsidR="00C5584F" w:rsidRPr="009E2BBE">
              <w:t xml:space="preserve">accredited manager </w:t>
            </w:r>
            <w:r w:rsidR="00ED3F7A" w:rsidRPr="009E2BBE">
              <w:t>for the relevant sector</w:t>
            </w:r>
            <w:r w:rsidR="00132B4D" w:rsidRPr="009E2BBE">
              <w:t>. Once they agree</w:t>
            </w:r>
            <w:r w:rsidR="00477C2E" w:rsidRPr="009E2BBE">
              <w:t xml:space="preserve"> that</w:t>
            </w:r>
            <w:r w:rsidR="00132B4D" w:rsidRPr="009E2BBE">
              <w:t xml:space="preserve"> the submission is ready, they produce a report to be submitted to the Accreditation Co-ordination Group (ACG), wh</w:t>
            </w:r>
            <w:r w:rsidR="00ED0C17" w:rsidRPr="009E2BBE">
              <w:t>ich</w:t>
            </w:r>
            <w:r w:rsidR="00132B4D" w:rsidRPr="009E2BBE">
              <w:t xml:space="preserve"> will </w:t>
            </w:r>
            <w:proofErr w:type="gramStart"/>
            <w:r w:rsidR="00132B4D" w:rsidRPr="009E2BBE">
              <w:t>make a decision</w:t>
            </w:r>
            <w:proofErr w:type="gramEnd"/>
            <w:r w:rsidR="00132B4D" w:rsidRPr="009E2BBE">
              <w:t xml:space="preserve"> regarding the qualification. This group meets weekly and a decision is made within 20 working days from submission.</w:t>
            </w:r>
          </w:p>
          <w:p w14:paraId="4F61D7DE" w14:textId="702352A8" w:rsidR="00132B4D" w:rsidRPr="009E2BBE" w:rsidRDefault="00132B4D" w:rsidP="00132B4D">
            <w:pPr>
              <w:pStyle w:val="Tabletext"/>
            </w:pPr>
            <w:r w:rsidRPr="009E2BBE">
              <w:t>The SSO is notified in writing of the outcome within 5 working days of the ACG meeting.</w:t>
            </w:r>
          </w:p>
        </w:tc>
      </w:tr>
      <w:tr w:rsidR="009D76A8" w:rsidRPr="009E2BBE" w14:paraId="2E6625D9" w14:textId="77777777" w:rsidTr="009D76A8">
        <w:tc>
          <w:tcPr>
            <w:cnfStyle w:val="000010000000" w:firstRow="0" w:lastRow="0" w:firstColumn="0" w:lastColumn="0" w:oddVBand="1" w:evenVBand="0" w:oddHBand="0" w:evenHBand="0" w:firstRowFirstColumn="0" w:firstRowLastColumn="0" w:lastRowFirstColumn="0" w:lastRowLastColumn="0"/>
            <w:tcW w:w="2552" w:type="dxa"/>
          </w:tcPr>
          <w:p w14:paraId="6F933A64" w14:textId="588D8B24" w:rsidR="009D76A8" w:rsidRPr="009E2BBE" w:rsidRDefault="009D76A8" w:rsidP="009D76A8">
            <w:pPr>
              <w:pStyle w:val="Tabletext"/>
            </w:pPr>
            <w:r w:rsidRPr="009E2BBE">
              <w:t xml:space="preserve">Submission to Modern Apprenticeship </w:t>
            </w:r>
            <w:r w:rsidR="00ED0C17" w:rsidRPr="009E2BBE">
              <w:t>g</w:t>
            </w:r>
            <w:r w:rsidRPr="009E2BBE">
              <w:t>roup (if appropriate)</w:t>
            </w:r>
          </w:p>
        </w:tc>
        <w:tc>
          <w:tcPr>
            <w:cnfStyle w:val="000001000000" w:firstRow="0" w:lastRow="0" w:firstColumn="0" w:lastColumn="0" w:oddVBand="0" w:evenVBand="1" w:oddHBand="0" w:evenHBand="0" w:firstRowFirstColumn="0" w:firstRowLastColumn="0" w:lastRowFirstColumn="0" w:lastRowLastColumn="0"/>
            <w:tcW w:w="6519" w:type="dxa"/>
          </w:tcPr>
          <w:p w14:paraId="7E341066" w14:textId="60DFBC63" w:rsidR="009D76A8" w:rsidRPr="009E2BBE" w:rsidRDefault="00132B4D" w:rsidP="009D76A8">
            <w:pPr>
              <w:pStyle w:val="Tabletext"/>
            </w:pPr>
            <w:r w:rsidRPr="009E2BBE">
              <w:t xml:space="preserve">If the qualification product is aligned to a modern apprenticeship group, then it must also be submitted to the Modern Apprenticeship </w:t>
            </w:r>
            <w:r w:rsidR="00ED0C17" w:rsidRPr="009E2BBE">
              <w:t>g</w:t>
            </w:r>
            <w:r w:rsidRPr="009E2BBE">
              <w:t>roup for approval following SQA approval.</w:t>
            </w:r>
          </w:p>
        </w:tc>
      </w:tr>
    </w:tbl>
    <w:p w14:paraId="08D3B0C2" w14:textId="7C4B0EFE" w:rsidR="004C236E" w:rsidRPr="009E2BBE" w:rsidRDefault="009D76A8" w:rsidP="009D76A8">
      <w:pPr>
        <w:pStyle w:val="Source"/>
      </w:pPr>
      <w:r w:rsidRPr="009E2BBE">
        <w:t>Source: Derived from Scottish Qualification</w:t>
      </w:r>
      <w:r w:rsidR="00640297" w:rsidRPr="009E2BBE">
        <w:t>s</w:t>
      </w:r>
      <w:r w:rsidRPr="009E2BBE">
        <w:t xml:space="preserve"> Authority </w:t>
      </w:r>
      <w:r w:rsidR="00273C80" w:rsidRPr="009E2BBE">
        <w:t>(</w:t>
      </w:r>
      <w:r w:rsidRPr="009E2BBE">
        <w:t>201</w:t>
      </w:r>
      <w:r w:rsidR="00A22814" w:rsidRPr="009E2BBE">
        <w:t>8b</w:t>
      </w:r>
      <w:r w:rsidR="00273C80" w:rsidRPr="009E2BBE">
        <w:t>)</w:t>
      </w:r>
      <w:r w:rsidRPr="009E2BBE">
        <w:t>.</w:t>
      </w:r>
    </w:p>
    <w:p w14:paraId="330C0B76" w14:textId="0A91D15E" w:rsidR="004C236E" w:rsidRPr="009E2BBE" w:rsidRDefault="004C236E" w:rsidP="004C236E">
      <w:pPr>
        <w:pStyle w:val="Heading4"/>
      </w:pPr>
      <w:r w:rsidRPr="009E2BBE">
        <w:t>Qualification development by awarding bodies</w:t>
      </w:r>
    </w:p>
    <w:p w14:paraId="4F7D3570" w14:textId="23793C05" w:rsidR="009D76A8" w:rsidRPr="009E2BBE" w:rsidRDefault="009D76A8" w:rsidP="00B47A97">
      <w:pPr>
        <w:pStyle w:val="tabletitle"/>
      </w:pPr>
      <w:r w:rsidRPr="009E2BBE">
        <w:t xml:space="preserve">Table </w:t>
      </w:r>
      <w:r w:rsidR="00C46CE6" w:rsidRPr="009E2BBE">
        <w:t>10</w:t>
      </w:r>
      <w:r w:rsidR="00B47A97" w:rsidRPr="009E2BBE">
        <w:tab/>
      </w:r>
      <w:r w:rsidRPr="009E2BBE">
        <w:t>Key stages in Scottish qualification development</w:t>
      </w:r>
    </w:p>
    <w:tbl>
      <w:tblPr>
        <w:tblStyle w:val="PlainTable2"/>
        <w:tblW w:w="9071" w:type="dxa"/>
        <w:tblInd w:w="-5" w:type="dxa"/>
        <w:tblLook w:val="0000" w:firstRow="0" w:lastRow="0" w:firstColumn="0" w:lastColumn="0" w:noHBand="0" w:noVBand="0"/>
      </w:tblPr>
      <w:tblGrid>
        <w:gridCol w:w="2552"/>
        <w:gridCol w:w="6519"/>
      </w:tblGrid>
      <w:tr w:rsidR="009D76A8" w:rsidRPr="009E2BBE" w14:paraId="2441101D" w14:textId="77777777" w:rsidTr="00873ED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tcPr>
          <w:p w14:paraId="1177D658" w14:textId="77777777" w:rsidR="009D76A8" w:rsidRPr="009E2BBE" w:rsidRDefault="009D76A8" w:rsidP="00873EDB">
            <w:pPr>
              <w:pStyle w:val="Tablehead1"/>
            </w:pPr>
            <w:r w:rsidRPr="009E2BBE">
              <w:t>Stage</w:t>
            </w:r>
          </w:p>
        </w:tc>
        <w:tc>
          <w:tcPr>
            <w:cnfStyle w:val="000001000000" w:firstRow="0" w:lastRow="0" w:firstColumn="0" w:lastColumn="0" w:oddVBand="0" w:evenVBand="1" w:oddHBand="0" w:evenHBand="0" w:firstRowFirstColumn="0" w:firstRowLastColumn="0" w:lastRowFirstColumn="0" w:lastRowLastColumn="0"/>
            <w:tcW w:w="6519" w:type="dxa"/>
          </w:tcPr>
          <w:p w14:paraId="3D669A7A" w14:textId="77777777" w:rsidR="009D76A8" w:rsidRPr="009E2BBE" w:rsidRDefault="009D76A8" w:rsidP="00873EDB">
            <w:pPr>
              <w:pStyle w:val="Tablehead1"/>
            </w:pPr>
            <w:r w:rsidRPr="009E2BBE">
              <w:t>Summary</w:t>
            </w:r>
          </w:p>
        </w:tc>
      </w:tr>
      <w:tr w:rsidR="009D76A8" w:rsidRPr="009E2BBE" w14:paraId="3AE4BD87" w14:textId="77777777" w:rsidTr="00873EDB">
        <w:tc>
          <w:tcPr>
            <w:cnfStyle w:val="000010000000" w:firstRow="0" w:lastRow="0" w:firstColumn="0" w:lastColumn="0" w:oddVBand="1" w:evenVBand="0" w:oddHBand="0" w:evenHBand="0" w:firstRowFirstColumn="0" w:firstRowLastColumn="0" w:lastRowFirstColumn="0" w:lastRowLastColumn="0"/>
            <w:tcW w:w="2552" w:type="dxa"/>
          </w:tcPr>
          <w:p w14:paraId="6F14018C" w14:textId="02D02DF5" w:rsidR="009D76A8" w:rsidRPr="009E2BBE" w:rsidRDefault="00873EDB" w:rsidP="00873EDB">
            <w:pPr>
              <w:pStyle w:val="Tabletext"/>
            </w:pPr>
            <w:r w:rsidRPr="009E2BBE">
              <w:t>Develop qualification structure</w:t>
            </w:r>
          </w:p>
        </w:tc>
        <w:tc>
          <w:tcPr>
            <w:cnfStyle w:val="000001000000" w:firstRow="0" w:lastRow="0" w:firstColumn="0" w:lastColumn="0" w:oddVBand="0" w:evenVBand="1" w:oddHBand="0" w:evenHBand="0" w:firstRowFirstColumn="0" w:firstRowLastColumn="0" w:lastRowFirstColumn="0" w:lastRowLastColumn="0"/>
            <w:tcW w:w="6519" w:type="dxa"/>
          </w:tcPr>
          <w:p w14:paraId="45976635" w14:textId="31046403" w:rsidR="009D76A8" w:rsidRPr="009E2BBE" w:rsidRDefault="00FC7F54" w:rsidP="00873EDB">
            <w:pPr>
              <w:pStyle w:val="Tabletext"/>
            </w:pPr>
            <w:r w:rsidRPr="009E2BBE">
              <w:t>The qualification structure document lists the title, any units in the qualification, combinations of units and credit rating.</w:t>
            </w:r>
          </w:p>
          <w:p w14:paraId="28A4EC1A" w14:textId="77777777" w:rsidR="00FC7F54" w:rsidRPr="009E2BBE" w:rsidRDefault="00FC7F54" w:rsidP="00FC7F54">
            <w:pPr>
              <w:pStyle w:val="Tabletext"/>
            </w:pPr>
            <w:r w:rsidRPr="009E2BBE">
              <w:t>If using an approved qualification product, then all titles must match those within the approved product. Awarding bodies may choose to offer the full approved qualification structure or parts thereof. They must clearly state in their qualification submission which units or pathways they will be offering.</w:t>
            </w:r>
          </w:p>
          <w:p w14:paraId="6D8C4FF8" w14:textId="007AA59F" w:rsidR="00FC7F54" w:rsidRPr="009E2BBE" w:rsidRDefault="00FC7F54" w:rsidP="00FC7F54">
            <w:pPr>
              <w:pStyle w:val="Tabletext"/>
            </w:pPr>
            <w:r w:rsidRPr="009E2BBE">
              <w:t>If designing and developing their own qualifications, then the awarding body must follow a similar process to the SSO in developing qualification structures regarding allocating titles, allowing for flexibility and progression</w:t>
            </w:r>
            <w:r w:rsidR="00273C80" w:rsidRPr="009E2BBE">
              <w:t>,</w:t>
            </w:r>
            <w:r w:rsidRPr="009E2BBE">
              <w:t xml:space="preserve"> and considering how it may overlap with other qualifications.</w:t>
            </w:r>
          </w:p>
        </w:tc>
      </w:tr>
      <w:tr w:rsidR="009D76A8" w:rsidRPr="009E2BBE" w14:paraId="370E8227" w14:textId="77777777" w:rsidTr="00873ED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tcPr>
          <w:p w14:paraId="7447B530" w14:textId="4043E70F" w:rsidR="009D76A8" w:rsidRPr="009E2BBE" w:rsidRDefault="00873EDB" w:rsidP="00873EDB">
            <w:pPr>
              <w:pStyle w:val="Tabletext"/>
            </w:pPr>
            <w:r w:rsidRPr="009E2BBE">
              <w:t>Develop assessment methodology</w:t>
            </w:r>
          </w:p>
        </w:tc>
        <w:tc>
          <w:tcPr>
            <w:cnfStyle w:val="000001000000" w:firstRow="0" w:lastRow="0" w:firstColumn="0" w:lastColumn="0" w:oddVBand="0" w:evenVBand="1" w:oddHBand="0" w:evenHBand="0" w:firstRowFirstColumn="0" w:firstRowLastColumn="0" w:lastRowFirstColumn="0" w:lastRowLastColumn="0"/>
            <w:tcW w:w="6519" w:type="dxa"/>
          </w:tcPr>
          <w:p w14:paraId="6BC26B43" w14:textId="77777777" w:rsidR="009D76A8" w:rsidRPr="009E2BBE" w:rsidRDefault="00FC7F54" w:rsidP="00873EDB">
            <w:pPr>
              <w:pStyle w:val="Tabletext"/>
            </w:pPr>
            <w:r w:rsidRPr="009E2BBE">
              <w:t>The assessment methodology must define:</w:t>
            </w:r>
          </w:p>
          <w:p w14:paraId="654EB36E" w14:textId="256685DC" w:rsidR="00FC7F54" w:rsidRPr="009E2BBE" w:rsidRDefault="00F773D7" w:rsidP="00FC7F54">
            <w:pPr>
              <w:pStyle w:val="Tabletext"/>
              <w:numPr>
                <w:ilvl w:val="0"/>
                <w:numId w:val="41"/>
              </w:numPr>
            </w:pPr>
            <w:r w:rsidRPr="009E2BBE">
              <w:t>where the qualification will be assessed</w:t>
            </w:r>
          </w:p>
          <w:p w14:paraId="5540C2FF" w14:textId="103F679E" w:rsidR="00FC7F54" w:rsidRPr="009E2BBE" w:rsidRDefault="00F773D7" w:rsidP="00FC7F54">
            <w:pPr>
              <w:pStyle w:val="Tabletext"/>
              <w:numPr>
                <w:ilvl w:val="0"/>
                <w:numId w:val="41"/>
              </w:numPr>
            </w:pPr>
            <w:r w:rsidRPr="009E2BBE">
              <w:t>how the qualification will be assessed</w:t>
            </w:r>
          </w:p>
          <w:p w14:paraId="011E74BC" w14:textId="4AB9BC8B" w:rsidR="00FC7F54" w:rsidRPr="009E2BBE" w:rsidRDefault="00F773D7" w:rsidP="00FC7F54">
            <w:pPr>
              <w:pStyle w:val="Tabletext"/>
              <w:numPr>
                <w:ilvl w:val="0"/>
                <w:numId w:val="41"/>
              </w:numPr>
            </w:pPr>
            <w:r w:rsidRPr="009E2BBE">
              <w:t xml:space="preserve">who will assess the </w:t>
            </w:r>
            <w:proofErr w:type="gramStart"/>
            <w:r w:rsidRPr="009E2BBE">
              <w:t>qualification</w:t>
            </w:r>
            <w:proofErr w:type="gramEnd"/>
          </w:p>
          <w:p w14:paraId="7866BDAA" w14:textId="675CB20B" w:rsidR="00FC7F54" w:rsidRPr="009E2BBE" w:rsidRDefault="00F773D7" w:rsidP="00FC7F54">
            <w:pPr>
              <w:pStyle w:val="Tabletext"/>
              <w:numPr>
                <w:ilvl w:val="0"/>
                <w:numId w:val="41"/>
              </w:numPr>
            </w:pPr>
            <w:r w:rsidRPr="009E2BBE">
              <w:t>how the qualification will be quality</w:t>
            </w:r>
            <w:r w:rsidR="00273C80" w:rsidRPr="009E2BBE">
              <w:t>-</w:t>
            </w:r>
            <w:r w:rsidRPr="009E2BBE">
              <w:t>assured</w:t>
            </w:r>
          </w:p>
          <w:p w14:paraId="37CF59AD" w14:textId="08F49DEB" w:rsidR="00FC7F54" w:rsidRPr="009E2BBE" w:rsidRDefault="00F773D7" w:rsidP="00FC7F54">
            <w:pPr>
              <w:pStyle w:val="Tabletext"/>
              <w:numPr>
                <w:ilvl w:val="0"/>
                <w:numId w:val="41"/>
              </w:numPr>
            </w:pPr>
            <w:r w:rsidRPr="009E2BBE">
              <w:t xml:space="preserve">who will </w:t>
            </w:r>
            <w:r w:rsidR="00FC7F54" w:rsidRPr="009E2BBE">
              <w:t xml:space="preserve">assure the </w:t>
            </w:r>
            <w:proofErr w:type="gramStart"/>
            <w:r w:rsidR="00FC7F54" w:rsidRPr="009E2BBE">
              <w:t>qualification</w:t>
            </w:r>
            <w:r w:rsidRPr="009E2BBE">
              <w:t>.</w:t>
            </w:r>
            <w:proofErr w:type="gramEnd"/>
          </w:p>
          <w:p w14:paraId="7DFEE7C6" w14:textId="6A2737EB" w:rsidR="00FC7F54" w:rsidRPr="009E2BBE" w:rsidRDefault="00FC7F54" w:rsidP="00FC7F54">
            <w:pPr>
              <w:pStyle w:val="Tabletext"/>
            </w:pPr>
            <w:r w:rsidRPr="009E2BBE">
              <w:t>If the qualification is based on an approved qualification product</w:t>
            </w:r>
            <w:r w:rsidR="00273C80" w:rsidRPr="009E2BBE">
              <w:t>,</w:t>
            </w:r>
            <w:r w:rsidRPr="009E2BBE">
              <w:t xml:space="preserve"> then the assessment strategy developed as part of that process should be used as the basis for the assessment methodology.</w:t>
            </w:r>
          </w:p>
        </w:tc>
      </w:tr>
      <w:tr w:rsidR="009D76A8" w:rsidRPr="009E2BBE" w14:paraId="4B5D7061" w14:textId="77777777" w:rsidTr="00873EDB">
        <w:tc>
          <w:tcPr>
            <w:cnfStyle w:val="000010000000" w:firstRow="0" w:lastRow="0" w:firstColumn="0" w:lastColumn="0" w:oddVBand="1" w:evenVBand="0" w:oddHBand="0" w:evenHBand="0" w:firstRowFirstColumn="0" w:firstRowLastColumn="0" w:lastRowFirstColumn="0" w:lastRowLastColumn="0"/>
            <w:tcW w:w="2552" w:type="dxa"/>
          </w:tcPr>
          <w:p w14:paraId="42A3E94F" w14:textId="22C3D6DD" w:rsidR="009D76A8" w:rsidRPr="009E2BBE" w:rsidRDefault="00873EDB" w:rsidP="00873EDB">
            <w:pPr>
              <w:pStyle w:val="Tabletext"/>
            </w:pPr>
            <w:r w:rsidRPr="009E2BBE">
              <w:t>SCQF credit rating</w:t>
            </w:r>
          </w:p>
        </w:tc>
        <w:tc>
          <w:tcPr>
            <w:cnfStyle w:val="000001000000" w:firstRow="0" w:lastRow="0" w:firstColumn="0" w:lastColumn="0" w:oddVBand="0" w:evenVBand="1" w:oddHBand="0" w:evenHBand="0" w:firstRowFirstColumn="0" w:firstRowLastColumn="0" w:lastRowFirstColumn="0" w:lastRowLastColumn="0"/>
            <w:tcW w:w="6519" w:type="dxa"/>
          </w:tcPr>
          <w:p w14:paraId="18A2C1C9" w14:textId="78D72757" w:rsidR="009D76A8" w:rsidRPr="009E2BBE" w:rsidRDefault="00C55FEE" w:rsidP="00873EDB">
            <w:pPr>
              <w:pStyle w:val="Tabletext"/>
            </w:pPr>
            <w:r w:rsidRPr="009E2BBE">
              <w:t xml:space="preserve">Accreditation </w:t>
            </w:r>
            <w:r w:rsidR="00273C80" w:rsidRPr="009E2BBE">
              <w:t>m</w:t>
            </w:r>
            <w:r w:rsidRPr="009E2BBE">
              <w:t>anagers should be consulted when undertaking credit rating. The credit rating provides the SCQF level and credit value for the qualification and component units.</w:t>
            </w:r>
          </w:p>
          <w:p w14:paraId="253A5F0E" w14:textId="11C69726" w:rsidR="00C55FEE" w:rsidRPr="009E2BBE" w:rsidRDefault="00C55FEE" w:rsidP="00C55FEE">
            <w:pPr>
              <w:pStyle w:val="Tabletext"/>
            </w:pPr>
            <w:r w:rsidRPr="009E2BBE">
              <w:t>Even if the qualification is based on an approved qualification product, the credit rating may differ if the awarding body is not implementing the full approved qualification structure. In this case the minimum and maximum credit values will need to be recalculated.</w:t>
            </w:r>
          </w:p>
        </w:tc>
      </w:tr>
      <w:tr w:rsidR="009D76A8" w:rsidRPr="009E2BBE" w14:paraId="2D69823A" w14:textId="77777777" w:rsidTr="00873ED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tcPr>
          <w:p w14:paraId="5AAD2057" w14:textId="4DA1DA19" w:rsidR="009D76A8" w:rsidRPr="009E2BBE" w:rsidRDefault="00873EDB" w:rsidP="00873EDB">
            <w:pPr>
              <w:pStyle w:val="Tabletext"/>
            </w:pPr>
            <w:r w:rsidRPr="009E2BBE">
              <w:t xml:space="preserve">Develop </w:t>
            </w:r>
            <w:r w:rsidR="00273C80" w:rsidRPr="009E2BBE">
              <w:t xml:space="preserve">core skills </w:t>
            </w:r>
            <w:r w:rsidRPr="009E2BBE">
              <w:t>signposting</w:t>
            </w:r>
          </w:p>
        </w:tc>
        <w:tc>
          <w:tcPr>
            <w:cnfStyle w:val="000001000000" w:firstRow="0" w:lastRow="0" w:firstColumn="0" w:lastColumn="0" w:oddVBand="0" w:evenVBand="1" w:oddHBand="0" w:evenHBand="0" w:firstRowFirstColumn="0" w:firstRowLastColumn="0" w:lastRowFirstColumn="0" w:lastRowLastColumn="0"/>
            <w:tcW w:w="6519" w:type="dxa"/>
          </w:tcPr>
          <w:p w14:paraId="3EBE810C" w14:textId="200399BA" w:rsidR="009D76A8" w:rsidRPr="009E2BBE" w:rsidRDefault="00C55FEE" w:rsidP="00873EDB">
            <w:pPr>
              <w:pStyle w:val="Tabletext"/>
            </w:pPr>
            <w:r w:rsidRPr="009E2BBE">
              <w:t xml:space="preserve">Core </w:t>
            </w:r>
            <w:r w:rsidR="00273C80" w:rsidRPr="009E2BBE">
              <w:t>s</w:t>
            </w:r>
            <w:r w:rsidRPr="009E2BBE">
              <w:t xml:space="preserve">kills signposting is mandatory for Scottish vocational qualifications. It indicates where </w:t>
            </w:r>
            <w:r w:rsidR="004E7E19" w:rsidRPr="009E2BBE">
              <w:t>c</w:t>
            </w:r>
            <w:r w:rsidRPr="009E2BBE">
              <w:t>ore skills may be attained through delivery and assessment of the qualification.</w:t>
            </w:r>
          </w:p>
        </w:tc>
      </w:tr>
      <w:tr w:rsidR="009D76A8" w:rsidRPr="009E2BBE" w14:paraId="03E590F7" w14:textId="77777777" w:rsidTr="00873EDB">
        <w:tc>
          <w:tcPr>
            <w:cnfStyle w:val="000010000000" w:firstRow="0" w:lastRow="0" w:firstColumn="0" w:lastColumn="0" w:oddVBand="1" w:evenVBand="0" w:oddHBand="0" w:evenHBand="0" w:firstRowFirstColumn="0" w:firstRowLastColumn="0" w:lastRowFirstColumn="0" w:lastRowLastColumn="0"/>
            <w:tcW w:w="2552" w:type="dxa"/>
          </w:tcPr>
          <w:p w14:paraId="43B5AEE1" w14:textId="5538D76F" w:rsidR="009D76A8" w:rsidRPr="009E2BBE" w:rsidRDefault="00873EDB" w:rsidP="00873EDB">
            <w:pPr>
              <w:pStyle w:val="Tabletext"/>
            </w:pPr>
            <w:r w:rsidRPr="009E2BBE">
              <w:t>Develop support materials for qualification</w:t>
            </w:r>
          </w:p>
        </w:tc>
        <w:tc>
          <w:tcPr>
            <w:cnfStyle w:val="000001000000" w:firstRow="0" w:lastRow="0" w:firstColumn="0" w:lastColumn="0" w:oddVBand="0" w:evenVBand="1" w:oddHBand="0" w:evenHBand="0" w:firstRowFirstColumn="0" w:firstRowLastColumn="0" w:lastRowFirstColumn="0" w:lastRowLastColumn="0"/>
            <w:tcW w:w="6519" w:type="dxa"/>
          </w:tcPr>
          <w:p w14:paraId="7038513C" w14:textId="452D445E" w:rsidR="00297C0B" w:rsidRPr="009E2BBE" w:rsidRDefault="00297C0B" w:rsidP="00297C0B">
            <w:pPr>
              <w:pStyle w:val="Tabletext"/>
            </w:pPr>
            <w:r w:rsidRPr="009E2BBE">
              <w:t>Supporting information for qualifications may include items such as guidance for assessors, qualification specification, instruments of assessment, evidence requirements</w:t>
            </w:r>
            <w:r w:rsidR="00273C80" w:rsidRPr="009E2BBE">
              <w:t>,</w:t>
            </w:r>
            <w:r w:rsidRPr="009E2BBE">
              <w:t xml:space="preserve"> as well as materials related to assessment.</w:t>
            </w:r>
          </w:p>
          <w:p w14:paraId="2C02D657" w14:textId="6FF6A4B7" w:rsidR="00297C0B" w:rsidRPr="009E2BBE" w:rsidRDefault="00297C0B" w:rsidP="00297C0B">
            <w:pPr>
              <w:pStyle w:val="Tabletext"/>
            </w:pPr>
            <w:r w:rsidRPr="009E2BBE">
              <w:t>SQA Accreditation does not approve the support materials but they may be scrutinised under their regulatory activity.</w:t>
            </w:r>
          </w:p>
        </w:tc>
      </w:tr>
      <w:tr w:rsidR="00873EDB" w:rsidRPr="009E2BBE" w14:paraId="2D015631" w14:textId="77777777" w:rsidTr="00873ED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tcPr>
          <w:p w14:paraId="24B46D16" w14:textId="42C4228B" w:rsidR="00873EDB" w:rsidRPr="009E2BBE" w:rsidRDefault="00873EDB" w:rsidP="00873EDB">
            <w:pPr>
              <w:pStyle w:val="Tabletext"/>
            </w:pPr>
            <w:r w:rsidRPr="009E2BBE">
              <w:t>Develop quality assurance</w:t>
            </w:r>
          </w:p>
        </w:tc>
        <w:tc>
          <w:tcPr>
            <w:cnfStyle w:val="000001000000" w:firstRow="0" w:lastRow="0" w:firstColumn="0" w:lastColumn="0" w:oddVBand="0" w:evenVBand="1" w:oddHBand="0" w:evenHBand="0" w:firstRowFirstColumn="0" w:firstRowLastColumn="0" w:lastRowFirstColumn="0" w:lastRowLastColumn="0"/>
            <w:tcW w:w="6519" w:type="dxa"/>
          </w:tcPr>
          <w:p w14:paraId="38C9B3BE" w14:textId="6DC634F7" w:rsidR="00873EDB" w:rsidRPr="009E2BBE" w:rsidRDefault="00297C0B" w:rsidP="00873EDB">
            <w:pPr>
              <w:pStyle w:val="Tabletext"/>
            </w:pPr>
            <w:r w:rsidRPr="009E2BBE">
              <w:t>An appropriate quality assurance mechanism</w:t>
            </w:r>
            <w:r w:rsidR="00273C80" w:rsidRPr="009E2BBE">
              <w:t>,</w:t>
            </w:r>
            <w:r w:rsidRPr="009E2BBE">
              <w:t xml:space="preserve"> including both internal and external elements</w:t>
            </w:r>
            <w:r w:rsidR="00273C80" w:rsidRPr="009E2BBE">
              <w:t>,</w:t>
            </w:r>
            <w:r w:rsidRPr="009E2BBE">
              <w:t xml:space="preserve"> must be developed for the qualification. It should outline who the quality assurance personnel are, how they will assure the quality, where it will be done, such as workplace or classroom, and how often it will occur.</w:t>
            </w:r>
          </w:p>
        </w:tc>
      </w:tr>
      <w:tr w:rsidR="00873EDB" w:rsidRPr="009E2BBE" w14:paraId="037C49E2" w14:textId="77777777" w:rsidTr="00873EDB">
        <w:tc>
          <w:tcPr>
            <w:cnfStyle w:val="000010000000" w:firstRow="0" w:lastRow="0" w:firstColumn="0" w:lastColumn="0" w:oddVBand="1" w:evenVBand="0" w:oddHBand="0" w:evenHBand="0" w:firstRowFirstColumn="0" w:firstRowLastColumn="0" w:lastRowFirstColumn="0" w:lastRowLastColumn="0"/>
            <w:tcW w:w="2552" w:type="dxa"/>
          </w:tcPr>
          <w:p w14:paraId="35D818DD" w14:textId="593F417B" w:rsidR="00873EDB" w:rsidRPr="009E2BBE" w:rsidRDefault="00873EDB" w:rsidP="00873EDB">
            <w:pPr>
              <w:pStyle w:val="Tabletext"/>
            </w:pPr>
            <w:r w:rsidRPr="009E2BBE">
              <w:t>Marketing materials</w:t>
            </w:r>
          </w:p>
        </w:tc>
        <w:tc>
          <w:tcPr>
            <w:cnfStyle w:val="000001000000" w:firstRow="0" w:lastRow="0" w:firstColumn="0" w:lastColumn="0" w:oddVBand="0" w:evenVBand="1" w:oddHBand="0" w:evenHBand="0" w:firstRowFirstColumn="0" w:firstRowLastColumn="0" w:lastRowFirstColumn="0" w:lastRowLastColumn="0"/>
            <w:tcW w:w="6519" w:type="dxa"/>
          </w:tcPr>
          <w:p w14:paraId="3E3E9F91" w14:textId="475A003F" w:rsidR="00873EDB" w:rsidRPr="009E2BBE" w:rsidRDefault="00297C0B" w:rsidP="00873EDB">
            <w:pPr>
              <w:pStyle w:val="Tabletext"/>
            </w:pPr>
            <w:r w:rsidRPr="009E2BBE">
              <w:t>A marketing plan for the qualification should be submitted with the qualification to outline how the qualification will be promoted.</w:t>
            </w:r>
          </w:p>
        </w:tc>
      </w:tr>
      <w:tr w:rsidR="00873EDB" w:rsidRPr="009E2BBE" w14:paraId="358F2173" w14:textId="77777777" w:rsidTr="00873ED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tcPr>
          <w:p w14:paraId="1E14FDDF" w14:textId="0E343007" w:rsidR="00873EDB" w:rsidRPr="009E2BBE" w:rsidRDefault="00873EDB" w:rsidP="00873EDB">
            <w:pPr>
              <w:pStyle w:val="Tabletext"/>
            </w:pPr>
            <w:r w:rsidRPr="009E2BBE">
              <w:t>Submission to SQA Accreditation</w:t>
            </w:r>
          </w:p>
        </w:tc>
        <w:tc>
          <w:tcPr>
            <w:cnfStyle w:val="000001000000" w:firstRow="0" w:lastRow="0" w:firstColumn="0" w:lastColumn="0" w:oddVBand="0" w:evenVBand="1" w:oddHBand="0" w:evenHBand="0" w:firstRowFirstColumn="0" w:firstRowLastColumn="0" w:lastRowFirstColumn="0" w:lastRowLastColumn="0"/>
            <w:tcW w:w="6519" w:type="dxa"/>
          </w:tcPr>
          <w:p w14:paraId="2FD929EB" w14:textId="364FB5EC" w:rsidR="00873EDB" w:rsidRPr="009E2BBE" w:rsidRDefault="00ED3F7A" w:rsidP="00873EDB">
            <w:pPr>
              <w:pStyle w:val="Tabletext"/>
            </w:pPr>
            <w:r w:rsidRPr="009E2BBE">
              <w:t xml:space="preserve">Once the submission is received by SQA Accreditation, it is assessed by the relevant </w:t>
            </w:r>
            <w:r w:rsidR="00273C80" w:rsidRPr="009E2BBE">
              <w:t xml:space="preserve">accreditation manager </w:t>
            </w:r>
            <w:r w:rsidRPr="009E2BBE">
              <w:t>within 20 working days to ensure it is ready for consideration by the ACG.</w:t>
            </w:r>
          </w:p>
          <w:p w14:paraId="265C149A" w14:textId="1F58B3E5" w:rsidR="00ED3F7A" w:rsidRPr="009E2BBE" w:rsidRDefault="00ED3F7A" w:rsidP="00ED3F7A">
            <w:pPr>
              <w:pStyle w:val="Tabletext"/>
            </w:pPr>
            <w:r w:rsidRPr="009E2BBE">
              <w:t>Once approved, the qualification is added to the SQA Accreditation website.</w:t>
            </w:r>
          </w:p>
        </w:tc>
      </w:tr>
    </w:tbl>
    <w:p w14:paraId="263111D6" w14:textId="216A6B1B" w:rsidR="00873EDB" w:rsidRPr="009E2BBE" w:rsidRDefault="00873EDB" w:rsidP="00873EDB">
      <w:pPr>
        <w:pStyle w:val="Source"/>
      </w:pPr>
      <w:r w:rsidRPr="009E2BBE">
        <w:t>Source: Derived from Scottish Qualification</w:t>
      </w:r>
      <w:r w:rsidR="003255FD" w:rsidRPr="009E2BBE">
        <w:t>s</w:t>
      </w:r>
      <w:r w:rsidRPr="009E2BBE">
        <w:t xml:space="preserve"> Authority </w:t>
      </w:r>
      <w:r w:rsidR="00273C80" w:rsidRPr="009E2BBE">
        <w:t>(</w:t>
      </w:r>
      <w:r w:rsidRPr="009E2BBE">
        <w:t>2018</w:t>
      </w:r>
      <w:r w:rsidR="00A22814" w:rsidRPr="009E2BBE">
        <w:t>c</w:t>
      </w:r>
      <w:r w:rsidR="00273C80" w:rsidRPr="009E2BBE">
        <w:t>)</w:t>
      </w:r>
      <w:r w:rsidRPr="009E2BBE">
        <w:t>.</w:t>
      </w:r>
    </w:p>
    <w:p w14:paraId="290AEFE8" w14:textId="77777777" w:rsidR="00FB0899" w:rsidRPr="009E2BBE" w:rsidRDefault="00FB0899">
      <w:pPr>
        <w:spacing w:before="0" w:line="240" w:lineRule="auto"/>
        <w:rPr>
          <w:rFonts w:ascii="Arial" w:hAnsi="Arial" w:cs="Tahoma"/>
          <w:color w:val="000000"/>
          <w:sz w:val="24"/>
        </w:rPr>
      </w:pPr>
      <w:r w:rsidRPr="009E2BBE">
        <w:br w:type="page"/>
      </w:r>
    </w:p>
    <w:p w14:paraId="1719AFE2" w14:textId="61FFAFDF" w:rsidR="009D76A8" w:rsidRPr="009E2BBE" w:rsidRDefault="00132B4D" w:rsidP="00132B4D">
      <w:pPr>
        <w:pStyle w:val="Heading3"/>
      </w:pPr>
      <w:r w:rsidRPr="009E2BBE">
        <w:t>Stakeholders involved</w:t>
      </w:r>
    </w:p>
    <w:p w14:paraId="0ECD8542" w14:textId="1C41F529" w:rsidR="00140E62" w:rsidRPr="009E2BBE" w:rsidRDefault="00136C23" w:rsidP="00132B4D">
      <w:pPr>
        <w:pStyle w:val="Dotpoint10"/>
      </w:pPr>
      <w:r w:rsidRPr="009E2BBE">
        <w:t xml:space="preserve">The </w:t>
      </w:r>
      <w:r w:rsidR="00140E62" w:rsidRPr="009E2BBE">
        <w:t>Scottish Qualifications Authority</w:t>
      </w:r>
      <w:r w:rsidR="00AB4753" w:rsidRPr="009E2BBE">
        <w:t xml:space="preserve"> </w:t>
      </w:r>
      <w:r w:rsidRPr="009E2BBE">
        <w:t>Accreditation arm provide</w:t>
      </w:r>
      <w:r w:rsidR="00057D6B" w:rsidRPr="009E2BBE">
        <w:t>s</w:t>
      </w:r>
      <w:r w:rsidR="00140E62" w:rsidRPr="009E2BBE">
        <w:t xml:space="preserve"> accreditation approval</w:t>
      </w:r>
      <w:r w:rsidR="00BA1233" w:rsidRPr="009E2BBE">
        <w:t xml:space="preserve"> of qualifications</w:t>
      </w:r>
      <w:r w:rsidRPr="009E2BBE">
        <w:t xml:space="preserve"> and</w:t>
      </w:r>
      <w:r w:rsidR="00BA1233" w:rsidRPr="009E2BBE">
        <w:t xml:space="preserve"> awarding bodies to develop and deliver qualifications</w:t>
      </w:r>
      <w:r w:rsidRPr="009E2BBE">
        <w:t>. The specific areas involved in qualification development are:</w:t>
      </w:r>
    </w:p>
    <w:p w14:paraId="75CB867E" w14:textId="4934CDD2" w:rsidR="00132B4D" w:rsidRPr="009E2BBE" w:rsidRDefault="009664E5" w:rsidP="00132B4D">
      <w:pPr>
        <w:pStyle w:val="Dotpoint2"/>
      </w:pPr>
      <w:r w:rsidRPr="009E2BBE">
        <w:t xml:space="preserve">An </w:t>
      </w:r>
      <w:r w:rsidR="00273C80" w:rsidRPr="009E2BBE">
        <w:t xml:space="preserve">accreditation manager </w:t>
      </w:r>
      <w:r w:rsidRPr="009E2BBE">
        <w:t xml:space="preserve">is </w:t>
      </w:r>
      <w:r w:rsidR="00ED3F7A" w:rsidRPr="009E2BBE">
        <w:t>available for each sector</w:t>
      </w:r>
      <w:r w:rsidRPr="009E2BBE">
        <w:t xml:space="preserve"> to help with the development of qualifications. Their role is to ensure the process meets the requirements of SQA and to facilitate sign-off. The qualification developer, whether SSO or awarding body, should update the </w:t>
      </w:r>
      <w:r w:rsidR="00273C80" w:rsidRPr="009E2BBE">
        <w:t xml:space="preserve">accreditation manager </w:t>
      </w:r>
      <w:r w:rsidRPr="009E2BBE">
        <w:t>regularly and include them in meetings. They can also provide advice around consultation and assigning SCQF credit ratings (Scottish Qualification</w:t>
      </w:r>
      <w:r w:rsidR="00273C80" w:rsidRPr="009E2BBE">
        <w:t>s</w:t>
      </w:r>
      <w:r w:rsidRPr="009E2BBE">
        <w:t xml:space="preserve"> Authority 201</w:t>
      </w:r>
      <w:r w:rsidR="00A22814" w:rsidRPr="009E2BBE">
        <w:t>8b</w:t>
      </w:r>
      <w:r w:rsidRPr="009E2BBE">
        <w:t>).</w:t>
      </w:r>
    </w:p>
    <w:p w14:paraId="2F5DDF53" w14:textId="310FE0EE" w:rsidR="00132B4D" w:rsidRPr="009E2BBE" w:rsidRDefault="00273C80" w:rsidP="00132B4D">
      <w:pPr>
        <w:pStyle w:val="Dotpoint2"/>
      </w:pPr>
      <w:r w:rsidRPr="009E2BBE">
        <w:t xml:space="preserve">The </w:t>
      </w:r>
      <w:r w:rsidR="00132B4D" w:rsidRPr="009E2BBE">
        <w:t>Accreditation Co-ordination Group (ACG) is part of Scottish Qualifications Authority and approve</w:t>
      </w:r>
      <w:r w:rsidRPr="009E2BBE">
        <w:t>s</w:t>
      </w:r>
      <w:r w:rsidR="00132B4D" w:rsidRPr="009E2BBE">
        <w:t xml:space="preserve"> qualifications. The group consists of the Head of Accreditation, Senior Accreditation Manager, Senior Regulation Manager, </w:t>
      </w:r>
      <w:r w:rsidR="00A22814" w:rsidRPr="009E2BBE">
        <w:t xml:space="preserve">Information and Research Manager and </w:t>
      </w:r>
      <w:r w:rsidR="00132B4D" w:rsidRPr="009E2BBE">
        <w:t>Accreditation Officer (Scottish Qualification</w:t>
      </w:r>
      <w:r w:rsidRPr="009E2BBE">
        <w:t>s</w:t>
      </w:r>
      <w:r w:rsidR="00132B4D" w:rsidRPr="009E2BBE">
        <w:t xml:space="preserve"> Authority 201</w:t>
      </w:r>
      <w:r w:rsidR="00A22814" w:rsidRPr="009E2BBE">
        <w:t>8b</w:t>
      </w:r>
      <w:r w:rsidR="00132B4D" w:rsidRPr="009E2BBE">
        <w:t>).</w:t>
      </w:r>
    </w:p>
    <w:p w14:paraId="329C01BE" w14:textId="7EC6F0C6" w:rsidR="00140E62" w:rsidRPr="009E2BBE" w:rsidRDefault="00140E62" w:rsidP="00132B4D">
      <w:pPr>
        <w:pStyle w:val="Dotpoint10"/>
      </w:pPr>
      <w:r w:rsidRPr="009E2BBE">
        <w:t>Standard</w:t>
      </w:r>
      <w:r w:rsidR="00273C80" w:rsidRPr="009E2BBE">
        <w:t>-</w:t>
      </w:r>
      <w:r w:rsidR="00C46CE6" w:rsidRPr="009E2BBE">
        <w:t>s</w:t>
      </w:r>
      <w:r w:rsidRPr="009E2BBE">
        <w:t xml:space="preserve">etting </w:t>
      </w:r>
      <w:r w:rsidR="00C46CE6" w:rsidRPr="009E2BBE">
        <w:t>o</w:t>
      </w:r>
      <w:r w:rsidRPr="009E2BBE">
        <w:t>rganisations</w:t>
      </w:r>
      <w:r w:rsidR="00C46CE6" w:rsidRPr="009E2BBE">
        <w:t xml:space="preserve"> (SSOs)</w:t>
      </w:r>
      <w:r w:rsidR="00136C23" w:rsidRPr="009E2BBE">
        <w:t xml:space="preserve"> are</w:t>
      </w:r>
      <w:r w:rsidR="0071152A" w:rsidRPr="009E2BBE">
        <w:t xml:space="preserve"> sector skill councils, sector bodies a</w:t>
      </w:r>
      <w:r w:rsidR="00DC01DB" w:rsidRPr="009E2BBE">
        <w:t>n</w:t>
      </w:r>
      <w:r w:rsidR="0071152A" w:rsidRPr="009E2BBE">
        <w:t>d standards</w:t>
      </w:r>
      <w:r w:rsidR="00273C80" w:rsidRPr="009E2BBE">
        <w:t>-</w:t>
      </w:r>
      <w:r w:rsidR="0071152A" w:rsidRPr="009E2BBE">
        <w:t xml:space="preserve">setting bodies, or a partnership thereof, </w:t>
      </w:r>
      <w:r w:rsidR="00273C80" w:rsidRPr="009E2BBE">
        <w:t>which</w:t>
      </w:r>
      <w:r w:rsidR="0071152A" w:rsidRPr="009E2BBE">
        <w:t xml:space="preserve"> are involved in the development of qualification products (Scottish Qualification</w:t>
      </w:r>
      <w:r w:rsidR="00273C80" w:rsidRPr="009E2BBE">
        <w:t>s</w:t>
      </w:r>
      <w:r w:rsidR="0071152A" w:rsidRPr="009E2BBE">
        <w:t xml:space="preserve"> Authority 2018</w:t>
      </w:r>
      <w:r w:rsidR="00A22814" w:rsidRPr="009E2BBE">
        <w:t>c</w:t>
      </w:r>
      <w:r w:rsidR="0071152A" w:rsidRPr="009E2BBE">
        <w:t>).</w:t>
      </w:r>
    </w:p>
    <w:p w14:paraId="23905F57" w14:textId="09C8D672" w:rsidR="001E7D71" w:rsidRPr="009E2BBE" w:rsidRDefault="001E7D71" w:rsidP="00132B4D">
      <w:pPr>
        <w:pStyle w:val="Dotpoint10"/>
      </w:pPr>
      <w:r w:rsidRPr="009E2BBE">
        <w:t>Awarding bodies</w:t>
      </w:r>
      <w:r w:rsidR="00136C23" w:rsidRPr="009E2BBE">
        <w:t xml:space="preserve"> are organisations, companies and charitable bodies that have been approved by SQA Accreditation to deliver accredited qualifications (Scottish Qualification</w:t>
      </w:r>
      <w:r w:rsidR="00273C80" w:rsidRPr="009E2BBE">
        <w:t>s</w:t>
      </w:r>
      <w:r w:rsidR="00136C23" w:rsidRPr="009E2BBE">
        <w:t xml:space="preserve"> Authority 201</w:t>
      </w:r>
      <w:r w:rsidR="00A22814" w:rsidRPr="009E2BBE">
        <w:t>8b</w:t>
      </w:r>
      <w:r w:rsidR="00136C23" w:rsidRPr="009E2BBE">
        <w:t>). They develop the qualifications that they offer.</w:t>
      </w:r>
    </w:p>
    <w:p w14:paraId="5A8B6034" w14:textId="0858FE5D" w:rsidR="00693B33" w:rsidRPr="009E2BBE" w:rsidRDefault="00810217" w:rsidP="00693B33">
      <w:pPr>
        <w:pStyle w:val="Heading3"/>
      </w:pPr>
      <w:r w:rsidRPr="009E2BBE">
        <w:t>Other relevant information</w:t>
      </w:r>
    </w:p>
    <w:p w14:paraId="70D2D30A" w14:textId="78DC3D0B" w:rsidR="00DC097D" w:rsidRPr="009E2BBE" w:rsidRDefault="00273C80" w:rsidP="00DC097D">
      <w:pPr>
        <w:pStyle w:val="Text"/>
      </w:pPr>
      <w:r w:rsidRPr="009E2BBE">
        <w:t xml:space="preserve">Scottish Qualifications Authority </w:t>
      </w:r>
      <w:r w:rsidR="00DC097D" w:rsidRPr="009E2BBE">
        <w:t>Accreditation reviews</w:t>
      </w:r>
      <w:r w:rsidR="00810217" w:rsidRPr="009E2BBE">
        <w:t xml:space="preserve"> </w:t>
      </w:r>
      <w:r w:rsidR="00DC097D" w:rsidRPr="009E2BBE">
        <w:t xml:space="preserve">registrations and certifications every six months to identify accredited qualifications with no uptake. If a qualification has had no </w:t>
      </w:r>
      <w:r w:rsidR="0003240A" w:rsidRPr="009E2BBE">
        <w:t xml:space="preserve">candidate </w:t>
      </w:r>
      <w:r w:rsidR="00DC097D" w:rsidRPr="009E2BBE">
        <w:t xml:space="preserve">uptake for a period of two </w:t>
      </w:r>
      <w:r w:rsidR="00265D05" w:rsidRPr="009E2BBE">
        <w:t>years,</w:t>
      </w:r>
      <w:r w:rsidR="00DC097D" w:rsidRPr="009E2BBE">
        <w:t xml:space="preserve"> then it will be reviewed by SQA Accreditation and a recommendation may be made to the ACG to withdraw it. The awarding body is notified of the intention to review the qualification and </w:t>
      </w:r>
      <w:r w:rsidR="00821730" w:rsidRPr="009E2BBE">
        <w:t>is</w:t>
      </w:r>
      <w:r w:rsidR="00DC097D" w:rsidRPr="009E2BBE">
        <w:t xml:space="preserve"> able to provide justification for keeping it registered</w:t>
      </w:r>
      <w:r w:rsidR="0003240A" w:rsidRPr="009E2BBE">
        <w:t xml:space="preserve">. Some of the reasons for continuing </w:t>
      </w:r>
      <w:r w:rsidR="001F6B34" w:rsidRPr="009E2BBE">
        <w:t>registration of</w:t>
      </w:r>
      <w:r w:rsidR="0003240A" w:rsidRPr="009E2BBE">
        <w:t xml:space="preserve"> the qualification include active promotion of the qualification and sufficient unit uptake</w:t>
      </w:r>
      <w:r w:rsidR="00581FFA" w:rsidRPr="009E2BBE">
        <w:t>,</w:t>
      </w:r>
      <w:r w:rsidR="0003240A" w:rsidRPr="009E2BBE">
        <w:t xml:space="preserve"> </w:t>
      </w:r>
      <w:r w:rsidR="001F6B34" w:rsidRPr="009E2BBE">
        <w:t>as opposed to</w:t>
      </w:r>
      <w:r w:rsidR="0003240A" w:rsidRPr="009E2BBE">
        <w:t xml:space="preserve"> full qualification demand</w:t>
      </w:r>
      <w:r w:rsidR="00DC097D" w:rsidRPr="009E2BBE">
        <w:t xml:space="preserve"> (</w:t>
      </w:r>
      <w:hyperlink r:id="rId25" w:history="1">
        <w:r w:rsidRPr="009E2BBE">
          <w:t>Scottish Qualifications Authority</w:t>
        </w:r>
        <w:r w:rsidR="00C764D0" w:rsidRPr="009E2BBE">
          <w:rPr>
            <w:rStyle w:val="Hyperlink"/>
          </w:rPr>
          <w:t xml:space="preserve"> Accreditation 2020</w:t>
        </w:r>
      </w:hyperlink>
      <w:r w:rsidR="00DC097D" w:rsidRPr="009E2BBE">
        <w:t>).</w:t>
      </w:r>
    </w:p>
    <w:p w14:paraId="4F52A3F2" w14:textId="7E3526E7" w:rsidR="00693B33" w:rsidRPr="009E2BBE" w:rsidRDefault="00693B33" w:rsidP="00693B33">
      <w:pPr>
        <w:pStyle w:val="Heading2"/>
      </w:pPr>
      <w:bookmarkStart w:id="83" w:name="_Toc65741387"/>
      <w:r w:rsidRPr="009E2BBE">
        <w:t>Northern Ireland</w:t>
      </w:r>
      <w:r w:rsidR="00CE1173" w:rsidRPr="009E2BBE">
        <w:t xml:space="preserve"> and Wales</w:t>
      </w:r>
      <w:bookmarkEnd w:id="83"/>
    </w:p>
    <w:p w14:paraId="5CF841D6" w14:textId="27FA7421" w:rsidR="00814D23" w:rsidRPr="009E2BBE" w:rsidRDefault="00CE1173" w:rsidP="00814D23">
      <w:pPr>
        <w:pStyle w:val="Text"/>
      </w:pPr>
      <w:r w:rsidRPr="009E2BBE">
        <w:t xml:space="preserve">Information regarding the </w:t>
      </w:r>
      <w:r w:rsidR="00EA3747" w:rsidRPr="009E2BBE">
        <w:t>qualification development process</w:t>
      </w:r>
      <w:r w:rsidR="001A5EEB" w:rsidRPr="009E2BBE">
        <w:t xml:space="preserve"> </w:t>
      </w:r>
      <w:r w:rsidRPr="009E2BBE">
        <w:t xml:space="preserve">for vocational or technical qualifications in these nations is unclear. </w:t>
      </w:r>
      <w:r w:rsidR="00814D23" w:rsidRPr="009E2BBE">
        <w:t>Vocational qualifications in both Wales and Northern Ireland are</w:t>
      </w:r>
      <w:r w:rsidRPr="009E2BBE">
        <w:t xml:space="preserve"> closely aligned to England</w:t>
      </w:r>
      <w:r w:rsidR="00814D23" w:rsidRPr="009E2BBE">
        <w:t xml:space="preserve"> to allow for</w:t>
      </w:r>
      <w:r w:rsidR="004E7E19" w:rsidRPr="009E2BBE">
        <w:t xml:space="preserve"> international</w:t>
      </w:r>
      <w:r w:rsidR="00814D23" w:rsidRPr="009E2BBE">
        <w:t xml:space="preserve"> </w:t>
      </w:r>
      <w:r w:rsidR="004E7E19" w:rsidRPr="009E2BBE">
        <w:t>mobility</w:t>
      </w:r>
      <w:r w:rsidR="00814D23" w:rsidRPr="009E2BBE">
        <w:t xml:space="preserve"> (Qualification</w:t>
      </w:r>
      <w:r w:rsidR="00211471" w:rsidRPr="009E2BBE">
        <w:t>s</w:t>
      </w:r>
      <w:r w:rsidR="00814D23" w:rsidRPr="009E2BBE">
        <w:t xml:space="preserve"> Wales 2016)</w:t>
      </w:r>
      <w:r w:rsidRPr="009E2BBE">
        <w:t xml:space="preserve">, although </w:t>
      </w:r>
      <w:r w:rsidR="004E7E19" w:rsidRPr="009E2BBE">
        <w:t>it is unclear whether</w:t>
      </w:r>
      <w:r w:rsidRPr="009E2BBE">
        <w:t xml:space="preserve"> this remains the case following the recent changes in England. </w:t>
      </w:r>
      <w:r w:rsidR="00814D23" w:rsidRPr="009E2BBE">
        <w:t>Like England, the qualifications are developed by awarding bodies</w:t>
      </w:r>
      <w:r w:rsidR="004E7E19" w:rsidRPr="009E2BBE">
        <w:t>,</w:t>
      </w:r>
      <w:r w:rsidR="00814D23" w:rsidRPr="009E2BBE">
        <w:t xml:space="preserve"> with many of the awarding bodies based in England (Qualification</w:t>
      </w:r>
      <w:r w:rsidR="00443FEE" w:rsidRPr="009E2BBE">
        <w:t>s</w:t>
      </w:r>
      <w:r w:rsidR="00814D23" w:rsidRPr="009E2BBE">
        <w:t xml:space="preserve"> Wales 2016). These qualifications are aligned to the Regulated Qualifications Framework for Northern Ireland and England, and the Credit and Qualifications Framework o</w:t>
      </w:r>
      <w:r w:rsidR="00C46CE6" w:rsidRPr="009E2BBE">
        <w:t>f</w:t>
      </w:r>
      <w:r w:rsidR="00814D23" w:rsidRPr="009E2BBE">
        <w:t xml:space="preserve"> Wales</w:t>
      </w:r>
      <w:r w:rsidRPr="009E2BBE">
        <w:t xml:space="preserve"> (</w:t>
      </w:r>
      <w:hyperlink r:id="rId26" w:history="1">
        <w:r w:rsidR="00BF25DF" w:rsidRPr="009E2BBE">
          <w:rPr>
            <w:rStyle w:val="Hyperlink"/>
          </w:rPr>
          <w:t>QAA</w:t>
        </w:r>
      </w:hyperlink>
      <w:r w:rsidR="00BF25DF" w:rsidRPr="009E2BBE">
        <w:rPr>
          <w:rStyle w:val="Hyperlink"/>
        </w:rPr>
        <w:t xml:space="preserve"> et al. 2019</w:t>
      </w:r>
      <w:r w:rsidRPr="009E2BBE">
        <w:t xml:space="preserve">). </w:t>
      </w:r>
      <w:proofErr w:type="spellStart"/>
      <w:r w:rsidR="001A5EEB" w:rsidRPr="009E2BBE">
        <w:t>Ofqual</w:t>
      </w:r>
      <w:proofErr w:type="spellEnd"/>
      <w:r w:rsidR="001A5EEB" w:rsidRPr="009E2BBE">
        <w:t xml:space="preserve"> in England maintains the register of regulated qualifications for England and Northern Ireland (</w:t>
      </w:r>
      <w:proofErr w:type="spellStart"/>
      <w:r w:rsidR="00C764D0" w:rsidRPr="009E2BBE">
        <w:t>Ofqual</w:t>
      </w:r>
      <w:proofErr w:type="spellEnd"/>
      <w:r w:rsidR="00C764D0" w:rsidRPr="009E2BBE">
        <w:t xml:space="preserve"> 2020)</w:t>
      </w:r>
      <w:r w:rsidR="001A5EEB" w:rsidRPr="009E2BBE">
        <w:t xml:space="preserve">. </w:t>
      </w:r>
      <w:r w:rsidR="00814D23" w:rsidRPr="009E2BBE">
        <w:t>Qualifications in Northern Ireland are regulated by CCEA Regulation</w:t>
      </w:r>
      <w:r w:rsidR="006055A6" w:rsidRPr="009E2BBE">
        <w:t>,</w:t>
      </w:r>
      <w:r w:rsidR="00814D23" w:rsidRPr="009E2BBE">
        <w:t xml:space="preserve"> and in Wales they are regulated by Qualification Wales (</w:t>
      </w:r>
      <w:r w:rsidR="005D4BFB" w:rsidRPr="009E2BBE">
        <w:t>CCEA</w:t>
      </w:r>
      <w:r w:rsidR="004431A9" w:rsidRPr="009E2BBE">
        <w:t xml:space="preserve"> [Council for the Curriculum, Examinations &amp; Assessment]</w:t>
      </w:r>
      <w:r w:rsidR="005D4BFB" w:rsidRPr="009E2BBE">
        <w:t xml:space="preserve"> 2020</w:t>
      </w:r>
      <w:r w:rsidR="006055A6" w:rsidRPr="009E2BBE">
        <w:t>;</w:t>
      </w:r>
      <w:r w:rsidR="005D4BFB" w:rsidRPr="009E2BBE">
        <w:t xml:space="preserve"> </w:t>
      </w:r>
      <w:hyperlink r:id="rId27" w:history="1">
        <w:r w:rsidR="005D4BFB" w:rsidRPr="009E2BBE">
          <w:rPr>
            <w:rStyle w:val="Hyperlink"/>
          </w:rPr>
          <w:t>Qualification</w:t>
        </w:r>
      </w:hyperlink>
      <w:r w:rsidR="004431A9" w:rsidRPr="009E2BBE">
        <w:rPr>
          <w:rStyle w:val="Hyperlink"/>
        </w:rPr>
        <w:t>s</w:t>
      </w:r>
      <w:r w:rsidR="005D4BFB" w:rsidRPr="009E2BBE">
        <w:rPr>
          <w:rStyle w:val="Hyperlink"/>
        </w:rPr>
        <w:t xml:space="preserve"> Wales 2020a</w:t>
      </w:r>
      <w:r w:rsidR="005D4BFB" w:rsidRPr="009E2BBE">
        <w:t>)</w:t>
      </w:r>
      <w:r w:rsidR="00814D23" w:rsidRPr="009E2BBE">
        <w:t xml:space="preserve">. </w:t>
      </w:r>
      <w:r w:rsidR="001A5EEB" w:rsidRPr="009E2BBE">
        <w:t>Vocational qualifications in both Northern Ireland and Wales are linked to the National Occupational Standards</w:t>
      </w:r>
      <w:r w:rsidR="00814D23" w:rsidRPr="009E2BBE">
        <w:t xml:space="preserve"> mentioned earlier. However, further information regarding vocational qualification development and approval </w:t>
      </w:r>
      <w:r w:rsidR="00C46CE6" w:rsidRPr="009E2BBE">
        <w:t>specifically</w:t>
      </w:r>
      <w:r w:rsidR="00814D23" w:rsidRPr="009E2BBE">
        <w:t xml:space="preserve"> for these countries could not be found at this stage. </w:t>
      </w:r>
    </w:p>
    <w:p w14:paraId="24A4BFF1" w14:textId="77777777" w:rsidR="00FB0899" w:rsidRPr="009E2BBE" w:rsidRDefault="00FB0899">
      <w:pPr>
        <w:spacing w:before="0" w:line="240" w:lineRule="auto"/>
        <w:rPr>
          <w:rFonts w:ascii="Arial" w:hAnsi="Arial" w:cs="Tahoma"/>
          <w:color w:val="000000"/>
          <w:sz w:val="24"/>
        </w:rPr>
      </w:pPr>
      <w:r w:rsidRPr="009E2BBE">
        <w:br w:type="page"/>
      </w:r>
    </w:p>
    <w:p w14:paraId="65AC1AF4" w14:textId="23A24E5B" w:rsidR="00814D23" w:rsidRPr="009E2BBE" w:rsidRDefault="00814D23" w:rsidP="00814D23">
      <w:pPr>
        <w:pStyle w:val="Heading3"/>
      </w:pPr>
      <w:r w:rsidRPr="009E2BBE">
        <w:t>Other information</w:t>
      </w:r>
    </w:p>
    <w:p w14:paraId="7FBCC7A9" w14:textId="29C44864" w:rsidR="00814D23" w:rsidRPr="009E2BBE" w:rsidRDefault="00814D23" w:rsidP="004E726B">
      <w:pPr>
        <w:pStyle w:val="Text"/>
      </w:pPr>
      <w:r w:rsidRPr="009E2BBE">
        <w:t>Qualification</w:t>
      </w:r>
      <w:r w:rsidR="00A636F1" w:rsidRPr="009E2BBE">
        <w:t>s</w:t>
      </w:r>
      <w:r w:rsidRPr="009E2BBE">
        <w:t xml:space="preserve"> Wales ha</w:t>
      </w:r>
      <w:r w:rsidR="006055A6" w:rsidRPr="009E2BBE">
        <w:t>s</w:t>
      </w:r>
      <w:r w:rsidRPr="009E2BBE">
        <w:t xml:space="preserve"> </w:t>
      </w:r>
      <w:r w:rsidR="006055A6" w:rsidRPr="009E2BBE">
        <w:t>its</w:t>
      </w:r>
      <w:r w:rsidRPr="009E2BBE">
        <w:t xml:space="preserve"> own </w:t>
      </w:r>
      <w:r w:rsidR="00A26B8A" w:rsidRPr="009E2BBE">
        <w:t>‘</w:t>
      </w:r>
      <w:r w:rsidRPr="009E2BBE">
        <w:t>Vocational Qualifications Strategy</w:t>
      </w:r>
      <w:r w:rsidR="00A26B8A" w:rsidRPr="009E2BBE">
        <w:t>’</w:t>
      </w:r>
      <w:r w:rsidR="00AB00D0" w:rsidRPr="009E2BBE">
        <w:t>,</w:t>
      </w:r>
      <w:r w:rsidRPr="009E2BBE">
        <w:t xml:space="preserve"> released in 2016</w:t>
      </w:r>
      <w:r w:rsidR="00C261C3" w:rsidRPr="009E2BBE">
        <w:t>; it</w:t>
      </w:r>
      <w:r w:rsidR="004E7E19" w:rsidRPr="009E2BBE">
        <w:t xml:space="preserve"> highlight</w:t>
      </w:r>
      <w:r w:rsidR="00C261C3" w:rsidRPr="009E2BBE">
        <w:t>s</w:t>
      </w:r>
      <w:r w:rsidR="004E7E19" w:rsidRPr="009E2BBE">
        <w:t xml:space="preserve"> </w:t>
      </w:r>
      <w:r w:rsidRPr="009E2BBE">
        <w:t>a concern that the qualifications developed for use by the three countries are also available in the Welsh language (Qualifications Wales 2016).</w:t>
      </w:r>
      <w:r w:rsidR="003A5447" w:rsidRPr="009E2BBE">
        <w:t xml:space="preserve"> Wales also ha</w:t>
      </w:r>
      <w:r w:rsidR="00AB00D0" w:rsidRPr="009E2BBE">
        <w:t>s</w:t>
      </w:r>
      <w:r w:rsidR="003A5447" w:rsidRPr="009E2BBE">
        <w:t xml:space="preserve"> </w:t>
      </w:r>
      <w:r w:rsidR="00AB00D0" w:rsidRPr="009E2BBE">
        <w:t>its</w:t>
      </w:r>
      <w:r w:rsidR="003A5447" w:rsidRPr="009E2BBE">
        <w:t xml:space="preserve"> own strategies in place for ensuring that the </w:t>
      </w:r>
      <w:r w:rsidR="00444CF1" w:rsidRPr="009E2BBE">
        <w:t xml:space="preserve">available </w:t>
      </w:r>
      <w:r w:rsidR="003A5447" w:rsidRPr="009E2BBE">
        <w:t xml:space="preserve">vocational qualifications meet </w:t>
      </w:r>
      <w:r w:rsidR="00C261C3" w:rsidRPr="009E2BBE">
        <w:t>its</w:t>
      </w:r>
      <w:r w:rsidR="003A5447" w:rsidRPr="009E2BBE">
        <w:t xml:space="preserve"> economic needs and the needs of </w:t>
      </w:r>
      <w:r w:rsidR="00444CF1" w:rsidRPr="009E2BBE">
        <w:t>its</w:t>
      </w:r>
      <w:r w:rsidR="003A5447" w:rsidRPr="009E2BBE">
        <w:t xml:space="preserve"> learners</w:t>
      </w:r>
      <w:r w:rsidR="00444CF1" w:rsidRPr="009E2BBE">
        <w:t>.</w:t>
      </w:r>
      <w:r w:rsidR="003A5447" w:rsidRPr="009E2BBE">
        <w:t xml:space="preserve"> </w:t>
      </w:r>
      <w:r w:rsidR="00AB00D0" w:rsidRPr="009E2BBE">
        <w:t>A</w:t>
      </w:r>
      <w:r w:rsidR="003A5447" w:rsidRPr="009E2BBE">
        <w:t xml:space="preserve"> series of sector reviews </w:t>
      </w:r>
      <w:r w:rsidR="00AB00D0" w:rsidRPr="009E2BBE">
        <w:t xml:space="preserve">has been introduced </w:t>
      </w:r>
      <w:r w:rsidR="003A5447" w:rsidRPr="009E2BBE">
        <w:t xml:space="preserve">to analyse the qualifications available in the sector for learners aged 14 years and upwards to </w:t>
      </w:r>
      <w:r w:rsidR="00AB00D0" w:rsidRPr="009E2BBE">
        <w:t>determine</w:t>
      </w:r>
      <w:r w:rsidR="003A5447" w:rsidRPr="009E2BBE">
        <w:t xml:space="preserve"> </w:t>
      </w:r>
      <w:r w:rsidR="00AB00D0" w:rsidRPr="009E2BBE">
        <w:t xml:space="preserve">whether </w:t>
      </w:r>
      <w:r w:rsidR="003A5447" w:rsidRPr="009E2BBE">
        <w:t xml:space="preserve">they are sufficient for the Welsh environment. These sector reviews involve engagement with a range of stakeholders, such as employers, </w:t>
      </w:r>
      <w:proofErr w:type="gramStart"/>
      <w:r w:rsidR="003A5447" w:rsidRPr="009E2BBE">
        <w:t>providers</w:t>
      </w:r>
      <w:proofErr w:type="gramEnd"/>
      <w:r w:rsidR="003A5447" w:rsidRPr="009E2BBE">
        <w:t xml:space="preserve"> and higher education providers (Qualification</w:t>
      </w:r>
      <w:r w:rsidR="00673CB1" w:rsidRPr="009E2BBE">
        <w:t>s</w:t>
      </w:r>
      <w:r w:rsidR="003A5447" w:rsidRPr="009E2BBE">
        <w:t xml:space="preserve"> Wales 2016). These sector reviews may result in an identified need for a new qualification. If this occurs, then Qualification</w:t>
      </w:r>
      <w:r w:rsidR="00673CB1" w:rsidRPr="009E2BBE">
        <w:t>s</w:t>
      </w:r>
      <w:r w:rsidR="003A5447" w:rsidRPr="009E2BBE">
        <w:t xml:space="preserve"> Wales either:</w:t>
      </w:r>
    </w:p>
    <w:p w14:paraId="71EE850F" w14:textId="6A19F732" w:rsidR="007C7781" w:rsidRPr="009E2BBE" w:rsidRDefault="004E7E19" w:rsidP="007C7781">
      <w:pPr>
        <w:pStyle w:val="Dotpoint10"/>
      </w:pPr>
      <w:r w:rsidRPr="009E2BBE">
        <w:t>i</w:t>
      </w:r>
      <w:r w:rsidR="007C7781" w:rsidRPr="009E2BBE">
        <w:t>nvit</w:t>
      </w:r>
      <w:r w:rsidR="003A5447" w:rsidRPr="009E2BBE">
        <w:t>es</w:t>
      </w:r>
      <w:r w:rsidR="007C7781" w:rsidRPr="009E2BBE">
        <w:t xml:space="preserve"> awarding bodies to submit qualifications that meet the approval criteria that Qualification</w:t>
      </w:r>
      <w:r w:rsidR="00673CB1" w:rsidRPr="009E2BBE">
        <w:t>s</w:t>
      </w:r>
      <w:r w:rsidR="007C7781" w:rsidRPr="009E2BBE">
        <w:t xml:space="preserve"> Wales has developed and published; or</w:t>
      </w:r>
    </w:p>
    <w:p w14:paraId="1D45C0BB" w14:textId="3BD96B58" w:rsidR="007C7781" w:rsidRPr="009E2BBE" w:rsidRDefault="004E7E19" w:rsidP="007C7781">
      <w:pPr>
        <w:pStyle w:val="Dotpoint10"/>
      </w:pPr>
      <w:r w:rsidRPr="009E2BBE">
        <w:t>c</w:t>
      </w:r>
      <w:r w:rsidR="007C7781" w:rsidRPr="009E2BBE">
        <w:t>ommission</w:t>
      </w:r>
      <w:r w:rsidR="003A5447" w:rsidRPr="009E2BBE">
        <w:t>s</w:t>
      </w:r>
      <w:r w:rsidR="007C7781" w:rsidRPr="009E2BBE">
        <w:t xml:space="preserve"> an awarding body to develop the new qualifications (</w:t>
      </w:r>
      <w:r w:rsidR="005D4BFB" w:rsidRPr="009E2BBE">
        <w:t>Qualification</w:t>
      </w:r>
      <w:r w:rsidR="007624AA" w:rsidRPr="009E2BBE">
        <w:t>s</w:t>
      </w:r>
      <w:r w:rsidR="005D4BFB" w:rsidRPr="009E2BBE">
        <w:t xml:space="preserve"> Wales 2020b).</w:t>
      </w:r>
    </w:p>
    <w:p w14:paraId="78064517" w14:textId="39E58145" w:rsidR="002D5112" w:rsidRPr="009E2BBE" w:rsidRDefault="002D5112" w:rsidP="008D1E6E">
      <w:pPr>
        <w:pStyle w:val="Dotpoint10"/>
        <w:rPr>
          <w:rFonts w:ascii="Arial" w:hAnsi="Arial" w:cs="Tahoma"/>
          <w:kern w:val="28"/>
          <w:sz w:val="44"/>
          <w:szCs w:val="56"/>
        </w:rPr>
      </w:pPr>
      <w:r w:rsidRPr="009E2BBE">
        <w:br w:type="page"/>
      </w:r>
    </w:p>
    <w:p w14:paraId="0B922CC0" w14:textId="5A53FA54" w:rsidR="002D5112" w:rsidRPr="009E2BBE" w:rsidRDefault="000E5B91" w:rsidP="002D5112">
      <w:pPr>
        <w:pStyle w:val="Heading1"/>
      </w:pPr>
      <w:bookmarkStart w:id="84" w:name="_Toc65741388"/>
      <w:r w:rsidRPr="009E2BBE">
        <w:t>United States</w:t>
      </w:r>
      <w:bookmarkEnd w:id="84"/>
    </w:p>
    <w:p w14:paraId="2F9B3F24" w14:textId="24B75278" w:rsidR="000E5B91" w:rsidRPr="009E2BBE" w:rsidRDefault="000E5B91" w:rsidP="000E5B91">
      <w:pPr>
        <w:pStyle w:val="Heading2"/>
      </w:pPr>
      <w:bookmarkStart w:id="85" w:name="_Toc65741389"/>
      <w:r w:rsidRPr="009E2BBE">
        <w:t>Overview</w:t>
      </w:r>
      <w:bookmarkEnd w:id="85"/>
    </w:p>
    <w:p w14:paraId="7F872664" w14:textId="535C46D7" w:rsidR="00AB6D61" w:rsidRPr="009E2BBE" w:rsidRDefault="00BB2399" w:rsidP="00AB6D61">
      <w:pPr>
        <w:pStyle w:val="Text"/>
      </w:pPr>
      <w:r w:rsidRPr="009E2BBE">
        <w:t xml:space="preserve">Vocational education and training in the United States is more commonly referred to </w:t>
      </w:r>
      <w:proofErr w:type="gramStart"/>
      <w:r w:rsidRPr="009E2BBE">
        <w:t xml:space="preserve">as </w:t>
      </w:r>
      <w:r w:rsidR="007624AA" w:rsidRPr="009E2BBE">
        <w:t>;</w:t>
      </w:r>
      <w:r w:rsidR="00AB00D0" w:rsidRPr="009E2BBE">
        <w:t>career</w:t>
      </w:r>
      <w:proofErr w:type="gramEnd"/>
      <w:r w:rsidR="00AB00D0" w:rsidRPr="009E2BBE">
        <w:t xml:space="preserve"> technical education</w:t>
      </w:r>
      <w:r w:rsidR="007624AA" w:rsidRPr="009E2BBE">
        <w:t>’</w:t>
      </w:r>
      <w:r w:rsidRPr="009E2BBE">
        <w:t xml:space="preserve"> (CTE).</w:t>
      </w:r>
      <w:r w:rsidR="00035D72" w:rsidRPr="009E2BBE">
        <w:t xml:space="preserve"> </w:t>
      </w:r>
      <w:r w:rsidR="006E0C5E" w:rsidRPr="009E2BBE">
        <w:t>From our previous work, we know that there is a National Career Clusters Framework</w:t>
      </w:r>
      <w:r w:rsidR="00AB00D0" w:rsidRPr="009E2BBE">
        <w:t>,</w:t>
      </w:r>
      <w:r w:rsidR="006E0C5E" w:rsidRPr="009E2BBE">
        <w:t xml:space="preserve"> consisting of 16 career clusters and 79 career pathways, which is used to organise CTE programs, curriculum design and instruction across most states (Wibrow &amp; Waugh 2020). </w:t>
      </w:r>
      <w:r w:rsidR="00376EB5" w:rsidRPr="009E2BBE">
        <w:t xml:space="preserve">Development of the National Career Clusters Framework was led by the US Department of Education (Dortch 2014). </w:t>
      </w:r>
      <w:r w:rsidR="006E0C5E" w:rsidRPr="009E2BBE">
        <w:t>The Common Career Technical Core (CCTC)</w:t>
      </w:r>
      <w:r w:rsidR="00B870C5" w:rsidRPr="009E2BBE">
        <w:t xml:space="preserve"> provides a set of standards to</w:t>
      </w:r>
      <w:r w:rsidR="006E0C5E" w:rsidRPr="009E2BBE">
        <w:t xml:space="preserve"> underpin each of the career clusters and </w:t>
      </w:r>
      <w:r w:rsidR="00B870C5" w:rsidRPr="009E2BBE">
        <w:t>career pathways</w:t>
      </w:r>
      <w:r w:rsidR="00B67E26" w:rsidRPr="009E2BBE">
        <w:t xml:space="preserve"> and</w:t>
      </w:r>
      <w:r w:rsidR="00B870C5" w:rsidRPr="009E2BBE">
        <w:t xml:space="preserve"> highlight</w:t>
      </w:r>
      <w:r w:rsidR="00B67E26" w:rsidRPr="009E2BBE">
        <w:t>s</w:t>
      </w:r>
      <w:r w:rsidR="00B870C5" w:rsidRPr="009E2BBE">
        <w:t xml:space="preserve"> the knowledge and skills students should </w:t>
      </w:r>
      <w:r w:rsidR="00AB00D0" w:rsidRPr="009E2BBE">
        <w:t>possess</w:t>
      </w:r>
      <w:r w:rsidR="00B870C5" w:rsidRPr="009E2BBE">
        <w:t xml:space="preserve"> after completing their program of study (</w:t>
      </w:r>
      <w:bookmarkStart w:id="86" w:name="_Hlk51585146"/>
      <w:r w:rsidR="00B870C5" w:rsidRPr="009E2BBE">
        <w:t>National Association of State Directors of Career Technical Education Consortium &amp; National Career Technical Education Foundation 2012</w:t>
      </w:r>
      <w:bookmarkEnd w:id="86"/>
      <w:r w:rsidR="00B870C5" w:rsidRPr="009E2BBE">
        <w:t xml:space="preserve">). </w:t>
      </w:r>
      <w:r w:rsidR="00376EB5" w:rsidRPr="009E2BBE">
        <w:t xml:space="preserve">Development of </w:t>
      </w:r>
      <w:r w:rsidR="00B870C5" w:rsidRPr="009E2BBE">
        <w:t xml:space="preserve">the Common Career Technical Core was led by Advance CTE (formerly National Association of State Directors of Career Technical Education Consortium), a national non-profit organisation representing </w:t>
      </w:r>
      <w:r w:rsidR="00E10210" w:rsidRPr="009E2BBE">
        <w:t>s</w:t>
      </w:r>
      <w:r w:rsidR="00B870C5" w:rsidRPr="009E2BBE">
        <w:t xml:space="preserve">tate CTE </w:t>
      </w:r>
      <w:r w:rsidR="00E10210" w:rsidRPr="009E2BBE">
        <w:t>d</w:t>
      </w:r>
      <w:r w:rsidR="00B870C5" w:rsidRPr="009E2BBE">
        <w:t xml:space="preserve">irectors and state leaders of </w:t>
      </w:r>
      <w:r w:rsidR="00AB00D0" w:rsidRPr="009E2BBE">
        <w:t xml:space="preserve">career technical education </w:t>
      </w:r>
      <w:r w:rsidR="00B870C5" w:rsidRPr="009E2BBE">
        <w:t>(</w:t>
      </w:r>
      <w:r w:rsidR="00E946AB" w:rsidRPr="009E2BBE">
        <w:t>Advance CTE: State Leaders Connecting Learning to Work 2020)</w:t>
      </w:r>
      <w:r w:rsidR="00B870C5" w:rsidRPr="009E2BBE">
        <w:t>.</w:t>
      </w:r>
      <w:r w:rsidR="00B67E26" w:rsidRPr="009E2BBE">
        <w:t xml:space="preserve"> However, as each state is responsible for </w:t>
      </w:r>
      <w:r w:rsidR="00AB00D0" w:rsidRPr="009E2BBE">
        <w:t>its</w:t>
      </w:r>
      <w:r w:rsidR="00B67E26" w:rsidRPr="009E2BBE">
        <w:t xml:space="preserve"> own training system</w:t>
      </w:r>
      <w:r w:rsidR="00AB00D0" w:rsidRPr="009E2BBE">
        <w:t>,</w:t>
      </w:r>
      <w:r w:rsidR="009E5869" w:rsidRPr="009E2BBE">
        <w:t xml:space="preserve"> </w:t>
      </w:r>
      <w:r w:rsidR="00B67E26" w:rsidRPr="009E2BBE">
        <w:t xml:space="preserve">qualification development differs by state. </w:t>
      </w:r>
    </w:p>
    <w:p w14:paraId="5A7FE1CF" w14:textId="1E982843" w:rsidR="009E5869" w:rsidRPr="009E2BBE" w:rsidRDefault="009E5869" w:rsidP="00AB6D61">
      <w:pPr>
        <w:pStyle w:val="Text"/>
      </w:pPr>
      <w:r w:rsidRPr="009E2BBE">
        <w:t>Additionally, there is no national qualification framework in the United States, which further increases the differences between states (</w:t>
      </w:r>
      <w:r w:rsidR="00AB6D61" w:rsidRPr="009E2BBE">
        <w:t>UNESCO-UNEVOC International Centre for Technical and Vocational Education and Training 2015</w:t>
      </w:r>
      <w:r w:rsidRPr="009E2BBE">
        <w:t xml:space="preserve">). </w:t>
      </w:r>
      <w:r w:rsidR="00AB6D61" w:rsidRPr="009E2BBE">
        <w:t>While there have been some calls to move towards a centralised credentia</w:t>
      </w:r>
      <w:r w:rsidR="007A5FCE" w:rsidRPr="009E2BBE">
        <w:t>l</w:t>
      </w:r>
      <w:r w:rsidR="00AB6D61" w:rsidRPr="009E2BBE">
        <w:t xml:space="preserve">ling system </w:t>
      </w:r>
      <w:r w:rsidR="006E67E4" w:rsidRPr="009E2BBE">
        <w:t>to under</w:t>
      </w:r>
      <w:r w:rsidR="00C46CE6" w:rsidRPr="009E2BBE">
        <w:t>stand</w:t>
      </w:r>
      <w:r w:rsidR="006E67E4" w:rsidRPr="009E2BBE">
        <w:t xml:space="preserve"> the number of credentials across the United States</w:t>
      </w:r>
      <w:r w:rsidR="00AB6D61" w:rsidRPr="009E2BBE">
        <w:t xml:space="preserve">, </w:t>
      </w:r>
      <w:r w:rsidR="006E67E4" w:rsidRPr="009E2BBE">
        <w:t>this does not appear to be mandatory (</w:t>
      </w:r>
      <w:r w:rsidR="00E946AB" w:rsidRPr="009E2BBE">
        <w:t>Credential Engine 2018).</w:t>
      </w:r>
    </w:p>
    <w:p w14:paraId="49793878" w14:textId="46A6DC6D" w:rsidR="00F51E3A" w:rsidRPr="009E2BBE" w:rsidRDefault="00EA1417" w:rsidP="00AB6D61">
      <w:pPr>
        <w:pStyle w:val="Text"/>
      </w:pPr>
      <w:r w:rsidRPr="009E2BBE">
        <w:t>The section below</w:t>
      </w:r>
      <w:r w:rsidR="00F51E3A" w:rsidRPr="009E2BBE">
        <w:t xml:space="preserve"> focus</w:t>
      </w:r>
      <w:r w:rsidRPr="009E2BBE">
        <w:t>es</w:t>
      </w:r>
      <w:r w:rsidR="00F51E3A" w:rsidRPr="009E2BBE">
        <w:t xml:space="preserve"> on the development of CTE qualifications in California</w:t>
      </w:r>
      <w:r w:rsidR="00C46CE6" w:rsidRPr="009E2BBE">
        <w:t>n</w:t>
      </w:r>
      <w:r w:rsidR="00F51E3A" w:rsidRPr="009E2BBE">
        <w:t xml:space="preserve"> community colleges</w:t>
      </w:r>
      <w:r w:rsidR="00AB00D0" w:rsidRPr="009E2BBE">
        <w:t>,</w:t>
      </w:r>
      <w:r w:rsidR="00F51E3A" w:rsidRPr="009E2BBE">
        <w:t xml:space="preserve"> as </w:t>
      </w:r>
      <w:r w:rsidR="00B373DD" w:rsidRPr="009E2BBE">
        <w:t>this group is</w:t>
      </w:r>
      <w:r w:rsidR="00F51E3A" w:rsidRPr="009E2BBE">
        <w:t xml:space="preserve"> one of the largest providers of CTE in the United States. </w:t>
      </w:r>
      <w:r w:rsidR="00AB00D0" w:rsidRPr="009E2BBE">
        <w:t>California has</w:t>
      </w:r>
      <w:r w:rsidR="00F51E3A" w:rsidRPr="009E2BBE">
        <w:t xml:space="preserve"> 116 colleges</w:t>
      </w:r>
      <w:r w:rsidR="00B952AC" w:rsidRPr="009E2BBE">
        <w:t>, which</w:t>
      </w:r>
      <w:r w:rsidR="00F51E3A" w:rsidRPr="009E2BBE">
        <w:t xml:space="preserve"> teach more than 2.1 million students each year (</w:t>
      </w:r>
      <w:r w:rsidR="00E946AB" w:rsidRPr="009E2BBE">
        <w:t>California Community Colleges Chancellor</w:t>
      </w:r>
      <w:r w:rsidR="00A26B8A" w:rsidRPr="009E2BBE">
        <w:t>’</w:t>
      </w:r>
      <w:r w:rsidR="00E946AB" w:rsidRPr="009E2BBE">
        <w:t>s Office 2020</w:t>
      </w:r>
      <w:r w:rsidR="00F51E3A" w:rsidRPr="009E2BBE">
        <w:t>).</w:t>
      </w:r>
    </w:p>
    <w:p w14:paraId="4A80DC32" w14:textId="75251EA7" w:rsidR="00C413BA" w:rsidRPr="009E2BBE" w:rsidRDefault="00C413BA" w:rsidP="00C413BA">
      <w:pPr>
        <w:pStyle w:val="Heading2"/>
      </w:pPr>
      <w:bookmarkStart w:id="87" w:name="_Toc65741390"/>
      <w:r w:rsidRPr="009E2BBE">
        <w:t>CTE qualification development in California Community Colleges</w:t>
      </w:r>
      <w:bookmarkEnd w:id="87"/>
    </w:p>
    <w:p w14:paraId="48E92AA2" w14:textId="4228C410" w:rsidR="00F51E3A" w:rsidRPr="009E2BBE" w:rsidRDefault="00F51E3A" w:rsidP="00C413BA">
      <w:pPr>
        <w:pStyle w:val="Text"/>
      </w:pPr>
      <w:r w:rsidRPr="009E2BBE">
        <w:t>Much of the program and course development</w:t>
      </w:r>
      <w:r w:rsidR="00CB64E5" w:rsidRPr="009E2BBE">
        <w:t xml:space="preserve"> in community colleges</w:t>
      </w:r>
      <w:r w:rsidRPr="009E2BBE">
        <w:t xml:space="preserve"> is tied to Californian legislation</w:t>
      </w:r>
      <w:r w:rsidR="00C23D19" w:rsidRPr="009E2BBE">
        <w:t>, specifically</w:t>
      </w:r>
      <w:r w:rsidRPr="009E2BBE">
        <w:t xml:space="preserve"> </w:t>
      </w:r>
      <w:r w:rsidR="00CC3048" w:rsidRPr="009E2BBE">
        <w:t xml:space="preserve">the </w:t>
      </w:r>
      <w:r w:rsidRPr="009E2BBE">
        <w:t>Education Code and California Code of Regulations. This stipulates who can approve courses, standards and criteria for courses, the award of certificates and a range of other items</w:t>
      </w:r>
      <w:r w:rsidR="00CC3048" w:rsidRPr="009E2BBE">
        <w:t xml:space="preserve">. They are also highlighted in the </w:t>
      </w:r>
      <w:r w:rsidR="00CC3048" w:rsidRPr="009E2BBE">
        <w:rPr>
          <w:i/>
          <w:iCs/>
        </w:rPr>
        <w:t xml:space="preserve">Program and </w:t>
      </w:r>
      <w:r w:rsidR="00307B90" w:rsidRPr="009E2BBE">
        <w:rPr>
          <w:i/>
          <w:iCs/>
        </w:rPr>
        <w:t>course approval handbook</w:t>
      </w:r>
      <w:r w:rsidR="00307B90" w:rsidRPr="009E2BBE">
        <w:t xml:space="preserve"> </w:t>
      </w:r>
      <w:r w:rsidRPr="009E2BBE">
        <w:t>(California Community Colleges Chancellor</w:t>
      </w:r>
      <w:r w:rsidR="00A26B8A" w:rsidRPr="009E2BBE">
        <w:t>’</w:t>
      </w:r>
      <w:r w:rsidRPr="009E2BBE">
        <w:t>s Office 2019).</w:t>
      </w:r>
    </w:p>
    <w:p w14:paraId="4BF39B41" w14:textId="605A047F" w:rsidR="00CC3048" w:rsidRPr="009E2BBE" w:rsidRDefault="00CC3048" w:rsidP="00C413BA">
      <w:pPr>
        <w:pStyle w:val="Text"/>
      </w:pPr>
      <w:r w:rsidRPr="009E2BBE">
        <w:t xml:space="preserve">The </w:t>
      </w:r>
      <w:r w:rsidRPr="009E2BBE">
        <w:rPr>
          <w:i/>
          <w:iCs/>
        </w:rPr>
        <w:t xml:space="preserve">Program </w:t>
      </w:r>
      <w:r w:rsidR="00307B90" w:rsidRPr="009E2BBE">
        <w:rPr>
          <w:i/>
          <w:iCs/>
        </w:rPr>
        <w:t>and course approval handbook</w:t>
      </w:r>
      <w:r w:rsidR="00307B90" w:rsidRPr="009E2BBE">
        <w:t xml:space="preserve"> </w:t>
      </w:r>
      <w:r w:rsidRPr="009E2BBE">
        <w:t>outlines the requirement for approval of all courses and programs (similar to units and qualifications in Australia</w:t>
      </w:r>
      <w:r w:rsidR="00307B90" w:rsidRPr="009E2BBE">
        <w:t>,</w:t>
      </w:r>
      <w:r w:rsidRPr="009E2BBE">
        <w:t xml:space="preserve"> respectively) developed by the community colleges. </w:t>
      </w:r>
      <w:r w:rsidR="00A3477E" w:rsidRPr="009E2BBE">
        <w:t>It is not broken down into specific stages nor does it provide an indication of the timeframe take</w:t>
      </w:r>
      <w:r w:rsidR="00C46CE6" w:rsidRPr="009E2BBE">
        <w:t>n</w:t>
      </w:r>
      <w:r w:rsidR="00A3477E" w:rsidRPr="009E2BBE">
        <w:t xml:space="preserve"> to develop a CTE program. However, the following information is required for </w:t>
      </w:r>
      <w:r w:rsidR="00181BE9" w:rsidRPr="009E2BBE">
        <w:t xml:space="preserve">the </w:t>
      </w:r>
      <w:r w:rsidR="00A3477E" w:rsidRPr="009E2BBE">
        <w:t>approval</w:t>
      </w:r>
      <w:r w:rsidR="00181BE9" w:rsidRPr="009E2BBE">
        <w:t xml:space="preserve"> of degrees submitted with the program goal of </w:t>
      </w:r>
      <w:r w:rsidR="00A26B8A" w:rsidRPr="009E2BBE">
        <w:t>‘</w:t>
      </w:r>
      <w:r w:rsidR="00307B90" w:rsidRPr="009E2BBE">
        <w:t>career technical education</w:t>
      </w:r>
      <w:r w:rsidR="00A26B8A" w:rsidRPr="009E2BBE">
        <w:t>’</w:t>
      </w:r>
      <w:r w:rsidR="00A3477E" w:rsidRPr="009E2BBE">
        <w:t>:</w:t>
      </w:r>
    </w:p>
    <w:p w14:paraId="6AD97322" w14:textId="0734FAFE" w:rsidR="00A3477E" w:rsidRPr="009E2BBE" w:rsidRDefault="00307B90" w:rsidP="00A3477E">
      <w:pPr>
        <w:pStyle w:val="Dotpoint10"/>
      </w:pPr>
      <w:r w:rsidRPr="009E2BBE">
        <w:t>n</w:t>
      </w:r>
      <w:r w:rsidR="00A3477E" w:rsidRPr="009E2BBE">
        <w:t>arrative of the program goals and objectives addressing a valid workforce preparation purpose; catalogue description of skills and learning outcomes; program requirements like sequencing; master planning</w:t>
      </w:r>
      <w:r w:rsidR="0007601D" w:rsidRPr="009E2BBE">
        <w:t>,</w:t>
      </w:r>
      <w:r w:rsidR="00A3477E" w:rsidRPr="009E2BBE">
        <w:t xml:space="preserve"> showing how it fits in with mission of education in California; enrolment and completion projections; how the program fits in the college curriculum; similar programs at other colleges; and transfer preparation information.</w:t>
      </w:r>
    </w:p>
    <w:p w14:paraId="61394A1D" w14:textId="5201498C" w:rsidR="00A3477E" w:rsidRPr="009E2BBE" w:rsidRDefault="0007601D" w:rsidP="00A3477E">
      <w:pPr>
        <w:pStyle w:val="Dotpoint10"/>
      </w:pPr>
      <w:r w:rsidRPr="009E2BBE">
        <w:t>c</w:t>
      </w:r>
      <w:r w:rsidR="00A3477E" w:rsidRPr="009E2BBE">
        <w:t>ourse outline of record (COR) of all courses in the major area of emphasis</w:t>
      </w:r>
    </w:p>
    <w:p w14:paraId="1DFAA4CE" w14:textId="452D3127" w:rsidR="00A3477E" w:rsidRPr="009E2BBE" w:rsidRDefault="0007601D" w:rsidP="00A3477E">
      <w:pPr>
        <w:pStyle w:val="Dotpoint10"/>
      </w:pPr>
      <w:r w:rsidRPr="009E2BBE">
        <w:t>l</w:t>
      </w:r>
      <w:r w:rsidR="00A3477E" w:rsidRPr="009E2BBE">
        <w:t>abour market information</w:t>
      </w:r>
      <w:r w:rsidR="00684F4A" w:rsidRPr="009E2BBE">
        <w:t xml:space="preserve"> </w:t>
      </w:r>
      <w:r w:rsidR="00F773D7" w:rsidRPr="009E2BBE">
        <w:t>showing</w:t>
      </w:r>
      <w:r w:rsidR="00684F4A" w:rsidRPr="009E2BBE">
        <w:t xml:space="preserve"> that jobs (tied to </w:t>
      </w:r>
      <w:r w:rsidRPr="009E2BBE">
        <w:t>standard occupational codes</w:t>
      </w:r>
      <w:r w:rsidR="00684F4A" w:rsidRPr="009E2BBE">
        <w:t>) are available for program completers within the regional area of the college and cover</w:t>
      </w:r>
      <w:r w:rsidR="00EE1F4E" w:rsidRPr="009E2BBE">
        <w:t>ing</w:t>
      </w:r>
      <w:r w:rsidR="00684F4A" w:rsidRPr="009E2BBE">
        <w:t xml:space="preserve"> information such as the new job market, earning potential, career potential, emerging occupations, competitive fields, CTE skills and entrepreneurial opportunities</w:t>
      </w:r>
      <w:r w:rsidR="00A3477E" w:rsidRPr="009E2BBE">
        <w:t xml:space="preserve"> </w:t>
      </w:r>
    </w:p>
    <w:p w14:paraId="5AE8A43D" w14:textId="5D275C7C" w:rsidR="00A3477E" w:rsidRPr="009E2BBE" w:rsidRDefault="0007601D" w:rsidP="00A3477E">
      <w:pPr>
        <w:pStyle w:val="Dotpoint10"/>
      </w:pPr>
      <w:r w:rsidRPr="009E2BBE">
        <w:t xml:space="preserve">advisory committee </w:t>
      </w:r>
      <w:r w:rsidR="00A3477E" w:rsidRPr="009E2BBE">
        <w:t>recommendation</w:t>
      </w:r>
      <w:r w:rsidR="00E60EAA" w:rsidRPr="009E2BBE">
        <w:t>, which can include industry and curriculum members</w:t>
      </w:r>
      <w:r w:rsidR="00A3477E" w:rsidRPr="009E2BBE">
        <w:t xml:space="preserve"> </w:t>
      </w:r>
    </w:p>
    <w:p w14:paraId="47E56CC2" w14:textId="1D096CD8" w:rsidR="00A3477E" w:rsidRPr="009E2BBE" w:rsidRDefault="0007601D" w:rsidP="00A3477E">
      <w:pPr>
        <w:pStyle w:val="Dotpoint10"/>
      </w:pPr>
      <w:r w:rsidRPr="009E2BBE">
        <w:t xml:space="preserve">regional consortium </w:t>
      </w:r>
      <w:r w:rsidR="00A3477E" w:rsidRPr="009E2BBE">
        <w:t>recommendation</w:t>
      </w:r>
      <w:r w:rsidR="00E60EAA" w:rsidRPr="009E2BBE">
        <w:t xml:space="preserve">, which is a group of CTE faculty and administrators from that region </w:t>
      </w:r>
      <w:r w:rsidRPr="009E2BBE">
        <w:t>who</w:t>
      </w:r>
      <w:r w:rsidR="00E60EAA" w:rsidRPr="009E2BBE">
        <w:t xml:space="preserve"> provide leadership on economic development and CTE, coordinate staff development and increase knowledge of programs in the region</w:t>
      </w:r>
    </w:p>
    <w:p w14:paraId="45BC950C" w14:textId="4CE19A8C" w:rsidR="00A3477E" w:rsidRPr="009E2BBE" w:rsidRDefault="0007601D" w:rsidP="00A3477E">
      <w:pPr>
        <w:pStyle w:val="Dotpoint10"/>
      </w:pPr>
      <w:r w:rsidRPr="009E2BBE">
        <w:t>a</w:t>
      </w:r>
      <w:r w:rsidR="00A3477E" w:rsidRPr="009E2BBE">
        <w:t>ppropriate transfer preparation documentation i</w:t>
      </w:r>
      <w:r w:rsidR="00CD0E33" w:rsidRPr="009E2BBE">
        <w:t>f</w:t>
      </w:r>
      <w:r w:rsidR="00A3477E" w:rsidRPr="009E2BBE">
        <w:t xml:space="preserve"> the program is designed for both CTE and transfer</w:t>
      </w:r>
      <w:r w:rsidR="00181BE9" w:rsidRPr="009E2BBE">
        <w:t xml:space="preserve"> (California Community Colleges Chancellor</w:t>
      </w:r>
      <w:r w:rsidR="00A26B8A" w:rsidRPr="009E2BBE">
        <w:t>’</w:t>
      </w:r>
      <w:r w:rsidR="00181BE9" w:rsidRPr="009E2BBE">
        <w:t>s Office 2019).</w:t>
      </w:r>
    </w:p>
    <w:p w14:paraId="22A2D682" w14:textId="77777777" w:rsidR="003670EF" w:rsidRPr="009E2BBE" w:rsidRDefault="003670EF" w:rsidP="00C23D19">
      <w:pPr>
        <w:pStyle w:val="Text"/>
      </w:pPr>
      <w:r w:rsidRPr="009E2BBE">
        <w:t>Approval of community college programs in California consist of three main steps:</w:t>
      </w:r>
    </w:p>
    <w:p w14:paraId="6B39BC3B" w14:textId="040F1ED8" w:rsidR="003670EF" w:rsidRPr="009E2BBE" w:rsidRDefault="00A26B8A" w:rsidP="00EA3747">
      <w:pPr>
        <w:pStyle w:val="NumberedListContinuing"/>
      </w:pPr>
      <w:r w:rsidRPr="009E2BBE">
        <w:t>‘</w:t>
      </w:r>
      <w:r w:rsidR="003670EF" w:rsidRPr="009E2BBE">
        <w:t>The District Governing Board approves the course or program</w:t>
      </w:r>
    </w:p>
    <w:p w14:paraId="7A9A2953" w14:textId="531EFDF0" w:rsidR="003670EF" w:rsidRPr="009E2BBE" w:rsidRDefault="003670EF" w:rsidP="00EA3747">
      <w:pPr>
        <w:pStyle w:val="NumberedListContinuing"/>
      </w:pPr>
      <w:r w:rsidRPr="009E2BBE">
        <w:t>The Regional Consortium recommends the program (only for programs with an occupational goal)</w:t>
      </w:r>
    </w:p>
    <w:p w14:paraId="731AF5A2" w14:textId="6700C63D" w:rsidR="003670EF" w:rsidRPr="009E2BBE" w:rsidRDefault="003670EF" w:rsidP="00EA3747">
      <w:pPr>
        <w:pStyle w:val="NumberedListContinuing"/>
      </w:pPr>
      <w:r w:rsidRPr="009E2BBE">
        <w:t>The Chancellor</w:t>
      </w:r>
      <w:r w:rsidR="00A26B8A" w:rsidRPr="009E2BBE">
        <w:t>’</w:t>
      </w:r>
      <w:r w:rsidRPr="009E2BBE">
        <w:t>s Office chapters the course or program and a control number is issued</w:t>
      </w:r>
      <w:r w:rsidR="00A26B8A" w:rsidRPr="009E2BBE">
        <w:t>’</w:t>
      </w:r>
      <w:r w:rsidRPr="009E2BBE">
        <w:t xml:space="preserve"> (California Community Colleges Chancellor</w:t>
      </w:r>
      <w:r w:rsidR="00A26B8A" w:rsidRPr="009E2BBE">
        <w:t>’</w:t>
      </w:r>
      <w:r w:rsidRPr="009E2BBE">
        <w:t>s Office 2019, p.22).</w:t>
      </w:r>
    </w:p>
    <w:p w14:paraId="061AE2FA" w14:textId="72896144" w:rsidR="00412ECA" w:rsidRPr="009E2BBE" w:rsidRDefault="00412ECA" w:rsidP="00BC3AB9">
      <w:pPr>
        <w:pStyle w:val="Dotpoint10"/>
      </w:pPr>
      <w:r w:rsidRPr="009E2BBE">
        <w:br w:type="page"/>
      </w:r>
    </w:p>
    <w:p w14:paraId="6D7DB031" w14:textId="046C15FE" w:rsidR="00EA35ED" w:rsidRPr="009E2BBE" w:rsidRDefault="00412ECA" w:rsidP="00412ECA">
      <w:pPr>
        <w:pStyle w:val="Heading1"/>
      </w:pPr>
      <w:bookmarkStart w:id="88" w:name="_Toc65741391"/>
      <w:r w:rsidRPr="009E2BBE">
        <w:t>References</w:t>
      </w:r>
      <w:bookmarkEnd w:id="88"/>
    </w:p>
    <w:p w14:paraId="074D0F10" w14:textId="2E118BFE" w:rsidR="00E946AB" w:rsidRPr="009E2BBE" w:rsidRDefault="00E946AB" w:rsidP="001F1115">
      <w:pPr>
        <w:pStyle w:val="References"/>
      </w:pPr>
      <w:r w:rsidRPr="009E2BBE">
        <w:t xml:space="preserve">Advance CTE: State Leaders Connecting Learning to Work 2020, </w:t>
      </w:r>
      <w:r w:rsidR="00A26B8A" w:rsidRPr="009E2BBE">
        <w:t>‘</w:t>
      </w:r>
      <w:r w:rsidRPr="009E2BBE">
        <w:t>Who we are</w:t>
      </w:r>
      <w:r w:rsidR="00A26B8A" w:rsidRPr="009E2BBE">
        <w:t>’</w:t>
      </w:r>
      <w:r w:rsidRPr="009E2BBE">
        <w:t xml:space="preserve">, viewed </w:t>
      </w:r>
      <w:r w:rsidR="00B96B3E" w:rsidRPr="009E2BBE">
        <w:t xml:space="preserve">September </w:t>
      </w:r>
      <w:r w:rsidRPr="009E2BBE">
        <w:t>2020</w:t>
      </w:r>
      <w:r w:rsidR="0007601D" w:rsidRPr="009E2BBE">
        <w:t>,</w:t>
      </w:r>
      <w:r w:rsidRPr="009E2BBE">
        <w:t xml:space="preserve"> &lt;https://www.careertech.org/who-we-are&gt;.</w:t>
      </w:r>
    </w:p>
    <w:p w14:paraId="5CC5F0D5" w14:textId="2769C7E5" w:rsidR="00A26B8A" w:rsidRPr="009E2BBE" w:rsidRDefault="00A26B8A" w:rsidP="00A26B8A">
      <w:pPr>
        <w:pStyle w:val="References"/>
      </w:pPr>
      <w:r w:rsidRPr="009E2BBE">
        <w:t xml:space="preserve">Arnold, CH, Wheelahan, L, Moodie, G, Beaulieu, J &amp; Taylor-Cline, J-C 2018, ‘Mapping the typology of transition systems in a liberal market economy: the case of Canada’, </w:t>
      </w:r>
      <w:r w:rsidRPr="009E2BBE">
        <w:rPr>
          <w:i/>
          <w:iCs/>
        </w:rPr>
        <w:t>Journal of Education and Work</w:t>
      </w:r>
      <w:r w:rsidRPr="009E2BBE">
        <w:t>, pp.125—43, viewed September 2020, &lt;https://doi.org/10.1080/13639080.2017.1414941&gt;.</w:t>
      </w:r>
    </w:p>
    <w:p w14:paraId="7D76EEFD" w14:textId="084452D1" w:rsidR="000178B6" w:rsidRPr="009E2BBE" w:rsidRDefault="000178B6" w:rsidP="000178B6">
      <w:pPr>
        <w:pStyle w:val="References"/>
      </w:pPr>
      <w:r w:rsidRPr="009E2BBE">
        <w:t>Australian Department of Education, Skills and Employment 2020, ‘Training packages’, viewed December 2020, &lt;https://www.dese.gov.au/aisc/training-packages&gt;.</w:t>
      </w:r>
    </w:p>
    <w:p w14:paraId="1FFAC919" w14:textId="77777777" w:rsidR="000178B6" w:rsidRPr="009E2BBE" w:rsidRDefault="000178B6" w:rsidP="000178B6">
      <w:pPr>
        <w:pStyle w:val="References"/>
      </w:pPr>
      <w:r w:rsidRPr="009E2BBE">
        <w:t xml:space="preserve">Australian Department of Industry 2012, </w:t>
      </w:r>
      <w:r w:rsidRPr="009E2BBE">
        <w:rPr>
          <w:i/>
          <w:iCs/>
        </w:rPr>
        <w:t>Standards for training packages</w:t>
      </w:r>
      <w:r w:rsidRPr="009E2BBE">
        <w:t>, Canberra, viewed September 2020, &lt;https://docs.employment.gov.au/documents/standards-training-packages&gt;.</w:t>
      </w:r>
    </w:p>
    <w:p w14:paraId="5579B95C" w14:textId="4723A6C4" w:rsidR="001F627F" w:rsidRPr="009E2BBE" w:rsidRDefault="0007601D" w:rsidP="001F1115">
      <w:pPr>
        <w:pStyle w:val="References"/>
        <w:rPr>
          <w:i/>
          <w:iCs/>
        </w:rPr>
      </w:pPr>
      <w:r w:rsidRPr="009E2BBE">
        <w:t>Australian Industry Skills Committee (</w:t>
      </w:r>
      <w:r w:rsidR="00507320" w:rsidRPr="009E2BBE">
        <w:t>AISC</w:t>
      </w:r>
      <w:r w:rsidRPr="009E2BBE">
        <w:t>)</w:t>
      </w:r>
      <w:r w:rsidR="00507320" w:rsidRPr="009E2BBE">
        <w:t xml:space="preserve"> 2019</w:t>
      </w:r>
      <w:r w:rsidR="001F627F" w:rsidRPr="009E2BBE">
        <w:t>a</w:t>
      </w:r>
      <w:r w:rsidR="00507320" w:rsidRPr="009E2BBE">
        <w:t xml:space="preserve">, </w:t>
      </w:r>
      <w:r w:rsidR="001F627F" w:rsidRPr="009E2BBE">
        <w:rPr>
          <w:i/>
          <w:iCs/>
        </w:rPr>
        <w:t xml:space="preserve">Industry </w:t>
      </w:r>
      <w:r w:rsidRPr="009E2BBE">
        <w:rPr>
          <w:i/>
          <w:iCs/>
        </w:rPr>
        <w:t>reference committees</w:t>
      </w:r>
      <w:r w:rsidR="001F627F" w:rsidRPr="009E2BBE">
        <w:rPr>
          <w:i/>
          <w:iCs/>
        </w:rPr>
        <w:t>: operating framework for the development of training packages,</w:t>
      </w:r>
      <w:r w:rsidR="001F627F" w:rsidRPr="009E2BBE">
        <w:t xml:space="preserve"> AISC, Canberra, viewed September 2020</w:t>
      </w:r>
      <w:r w:rsidRPr="009E2BBE">
        <w:t>,</w:t>
      </w:r>
      <w:r w:rsidR="001F627F" w:rsidRPr="009E2BBE">
        <w:t xml:space="preserve"> &lt;https://www.aisc.net.au/content/irc-operating-framework&gt;.</w:t>
      </w:r>
    </w:p>
    <w:p w14:paraId="59253860" w14:textId="02C15AEE" w:rsidR="00507320" w:rsidRPr="009E2BBE" w:rsidRDefault="00D94950" w:rsidP="001F1115">
      <w:pPr>
        <w:pStyle w:val="References"/>
      </w:pPr>
      <w:r w:rsidRPr="009E2BBE">
        <w:t>——</w:t>
      </w:r>
      <w:r w:rsidR="001F627F" w:rsidRPr="009E2BBE">
        <w:t xml:space="preserve">2019b, </w:t>
      </w:r>
      <w:r w:rsidR="00507320" w:rsidRPr="009E2BBE">
        <w:rPr>
          <w:i/>
          <w:iCs/>
        </w:rPr>
        <w:t xml:space="preserve">Training </w:t>
      </w:r>
      <w:r w:rsidRPr="009E2BBE">
        <w:rPr>
          <w:i/>
          <w:iCs/>
        </w:rPr>
        <w:t>p</w:t>
      </w:r>
      <w:r w:rsidR="00507320" w:rsidRPr="009E2BBE">
        <w:rPr>
          <w:i/>
          <w:iCs/>
        </w:rPr>
        <w:t>ackage development and endorsement process policy</w:t>
      </w:r>
      <w:r w:rsidR="00507320" w:rsidRPr="009E2BBE">
        <w:t xml:space="preserve">, AISC, Canberra, viewed </w:t>
      </w:r>
      <w:r w:rsidR="00B96B3E" w:rsidRPr="009E2BBE">
        <w:t xml:space="preserve">September </w:t>
      </w:r>
      <w:r w:rsidR="0007601D" w:rsidRPr="009E2BBE">
        <w:t>2020,</w:t>
      </w:r>
      <w:r w:rsidR="00507320" w:rsidRPr="009E2BBE">
        <w:t xml:space="preserve"> </w:t>
      </w:r>
      <w:r w:rsidRPr="009E2BBE">
        <w:t>&lt;</w:t>
      </w:r>
      <w:hyperlink r:id="rId28" w:history="1">
        <w:r w:rsidR="00D84F66" w:rsidRPr="009E2BBE">
          <w:rPr>
            <w:rStyle w:val="Hyperlink"/>
            <w:sz w:val="18"/>
          </w:rPr>
          <w:t>https://docs.employment.gov.au/system/files/doc/other/tpdepp_jun_2020.pdf</w:t>
        </w:r>
      </w:hyperlink>
      <w:r w:rsidR="00507320" w:rsidRPr="009E2BBE">
        <w:t>&gt;.</w:t>
      </w:r>
    </w:p>
    <w:p w14:paraId="43995B7E" w14:textId="15D2A078" w:rsidR="004701DA" w:rsidRPr="009E2BBE" w:rsidRDefault="00D94950" w:rsidP="001F1115">
      <w:pPr>
        <w:pStyle w:val="References"/>
      </w:pPr>
      <w:r w:rsidRPr="009E2BBE">
        <w:t>——</w:t>
      </w:r>
      <w:r w:rsidR="004701DA" w:rsidRPr="009E2BBE">
        <w:t xml:space="preserve">2020, </w:t>
      </w:r>
      <w:r w:rsidR="00A26B8A" w:rsidRPr="009E2BBE">
        <w:t>‘</w:t>
      </w:r>
      <w:r w:rsidR="004701DA" w:rsidRPr="009E2BBE">
        <w:t>Streamlining the National Training System</w:t>
      </w:r>
      <w:r w:rsidR="00A26B8A" w:rsidRPr="009E2BBE">
        <w:t>’</w:t>
      </w:r>
      <w:r w:rsidR="004701DA" w:rsidRPr="009E2BBE">
        <w:t xml:space="preserve">, viewed September </w:t>
      </w:r>
      <w:r w:rsidR="0007601D" w:rsidRPr="009E2BBE">
        <w:t>2020,</w:t>
      </w:r>
      <w:r w:rsidR="004701DA" w:rsidRPr="009E2BBE">
        <w:t xml:space="preserve"> &lt;</w:t>
      </w:r>
      <w:r w:rsidR="00DE06BE" w:rsidRPr="009E2BBE">
        <w:t>https://www.aisc.net.au/content/streamlining-national-training-system&gt;.</w:t>
      </w:r>
    </w:p>
    <w:p w14:paraId="5A7AE467" w14:textId="71AA7C4C" w:rsidR="00462102" w:rsidRPr="009E2BBE" w:rsidRDefault="00D94950" w:rsidP="001F1115">
      <w:pPr>
        <w:pStyle w:val="References"/>
      </w:pPr>
      <w:r w:rsidRPr="009E2BBE">
        <w:t>——</w:t>
      </w:r>
      <w:r w:rsidR="00462102" w:rsidRPr="009E2BBE">
        <w:t xml:space="preserve">2020b, </w:t>
      </w:r>
      <w:r w:rsidR="00A26B8A" w:rsidRPr="009E2BBE">
        <w:t>‘</w:t>
      </w:r>
      <w:r w:rsidR="00462102" w:rsidRPr="009E2BBE">
        <w:t xml:space="preserve">Industry </w:t>
      </w:r>
      <w:r w:rsidRPr="009E2BBE">
        <w:t>reference committees</w:t>
      </w:r>
      <w:r w:rsidR="00A26B8A" w:rsidRPr="009E2BBE">
        <w:t>’</w:t>
      </w:r>
      <w:r w:rsidR="00462102" w:rsidRPr="009E2BBE">
        <w:t>, viewed December 2020</w:t>
      </w:r>
      <w:r w:rsidRPr="009E2BBE">
        <w:t>,</w:t>
      </w:r>
      <w:r w:rsidR="00462102" w:rsidRPr="009E2BBE">
        <w:t xml:space="preserve"> &lt;</w:t>
      </w:r>
      <w:hyperlink r:id="rId29" w:history="1">
        <w:r w:rsidR="00462102" w:rsidRPr="009E2BBE">
          <w:rPr>
            <w:rStyle w:val="Hyperlink"/>
            <w:sz w:val="18"/>
          </w:rPr>
          <w:t>https://www.aisc.net.au/irc/industry-reference-committees</w:t>
        </w:r>
      </w:hyperlink>
      <w:r w:rsidR="00462102" w:rsidRPr="009E2BBE">
        <w:t>&gt;.</w:t>
      </w:r>
    </w:p>
    <w:p w14:paraId="07036128" w14:textId="67E88651" w:rsidR="00EC103A" w:rsidRPr="009E2BBE" w:rsidRDefault="00D94950" w:rsidP="00B96B3E">
      <w:pPr>
        <w:pStyle w:val="References"/>
      </w:pPr>
      <w:r w:rsidRPr="009E2BBE">
        <w:t>Australian Skills Quality Authority (</w:t>
      </w:r>
      <w:r w:rsidR="00EC103A" w:rsidRPr="009E2BBE">
        <w:t>ASQA</w:t>
      </w:r>
      <w:r w:rsidRPr="009E2BBE">
        <w:t>)</w:t>
      </w:r>
      <w:r w:rsidR="00EC103A" w:rsidRPr="009E2BBE">
        <w:t xml:space="preserve"> 2019, </w:t>
      </w:r>
      <w:r w:rsidR="00A26B8A" w:rsidRPr="009E2BBE">
        <w:t>‘</w:t>
      </w:r>
      <w:r w:rsidR="00EC103A" w:rsidRPr="009E2BBE">
        <w:t>Getting a course accredited</w:t>
      </w:r>
      <w:r w:rsidR="00A26B8A" w:rsidRPr="009E2BBE">
        <w:t>’</w:t>
      </w:r>
      <w:r w:rsidRPr="009E2BBE">
        <w:t>,</w:t>
      </w:r>
      <w:r w:rsidR="00EC103A" w:rsidRPr="009E2BBE">
        <w:t xml:space="preserve"> viewed October </w:t>
      </w:r>
      <w:r w:rsidR="0007601D" w:rsidRPr="009E2BBE">
        <w:t>2020,</w:t>
      </w:r>
      <w:r w:rsidR="00EC103A" w:rsidRPr="009E2BBE">
        <w:t xml:space="preserve"> </w:t>
      </w:r>
      <w:r w:rsidRPr="009E2BBE">
        <w:t>&lt;</w:t>
      </w:r>
      <w:hyperlink r:id="rId30" w:history="1">
        <w:r w:rsidR="008B60FE" w:rsidRPr="009E2BBE">
          <w:rPr>
            <w:rStyle w:val="Hyperlink"/>
            <w:sz w:val="18"/>
          </w:rPr>
          <w:t>https://www.asqa.gov.au/resources/fact-sheets/getting-a-course-accredited</w:t>
        </w:r>
      </w:hyperlink>
      <w:r w:rsidR="00EC103A" w:rsidRPr="009E2BBE">
        <w:t>&gt;.</w:t>
      </w:r>
    </w:p>
    <w:p w14:paraId="1E2520F6" w14:textId="2C6D5E24" w:rsidR="008B60FE" w:rsidRPr="009E2BBE" w:rsidRDefault="00D94950" w:rsidP="00B96B3E">
      <w:pPr>
        <w:pStyle w:val="References"/>
      </w:pPr>
      <w:r w:rsidRPr="009E2BBE">
        <w:t>——</w:t>
      </w:r>
      <w:r w:rsidR="008B60FE" w:rsidRPr="009E2BBE">
        <w:t xml:space="preserve">2020, </w:t>
      </w:r>
      <w:r w:rsidR="00A26B8A" w:rsidRPr="009E2BBE">
        <w:t>‘</w:t>
      </w:r>
      <w:r w:rsidR="008B60FE" w:rsidRPr="009E2BBE">
        <w:t>What is an accredited course?</w:t>
      </w:r>
      <w:r w:rsidR="00A26B8A" w:rsidRPr="009E2BBE">
        <w:t>’</w:t>
      </w:r>
      <w:r w:rsidRPr="009E2BBE">
        <w:t>,</w:t>
      </w:r>
      <w:r w:rsidR="008B60FE" w:rsidRPr="009E2BBE">
        <w:t xml:space="preserve"> viewed November </w:t>
      </w:r>
      <w:r w:rsidR="0007601D" w:rsidRPr="009E2BBE">
        <w:t>2020,</w:t>
      </w:r>
      <w:r w:rsidR="008B60FE" w:rsidRPr="009E2BBE">
        <w:t xml:space="preserve"> &lt;</w:t>
      </w:r>
      <w:r w:rsidR="00BE2A95" w:rsidRPr="009E2BBE">
        <w:t>https://www.asqa.gov.au/course-accreditation/overview</w:t>
      </w:r>
      <w:r w:rsidR="008B60FE" w:rsidRPr="009E2BBE">
        <w:t>&gt;.</w:t>
      </w:r>
    </w:p>
    <w:p w14:paraId="36F1A856" w14:textId="2C334557" w:rsidR="007A0192" w:rsidRPr="009E2BBE" w:rsidRDefault="007A0192" w:rsidP="001F1115">
      <w:pPr>
        <w:pStyle w:val="References"/>
      </w:pPr>
      <w:r w:rsidRPr="009E2BBE">
        <w:t xml:space="preserve">Bolton, H &amp; Pillay, R 2019, </w:t>
      </w:r>
      <w:r w:rsidRPr="009E2BBE">
        <w:rPr>
          <w:i/>
          <w:iCs/>
        </w:rPr>
        <w:t>Assessment of the impact of selected aspects of the South African National Qualifications Framework: 2017 NQF impact study report</w:t>
      </w:r>
      <w:r w:rsidRPr="009E2BBE">
        <w:t xml:space="preserve">, South African Qualifications Authority, Pretoria, viewed </w:t>
      </w:r>
      <w:r w:rsidR="00B96B3E" w:rsidRPr="009E2BBE">
        <w:t xml:space="preserve">September </w:t>
      </w:r>
      <w:r w:rsidRPr="009E2BBE">
        <w:t>2020, &lt;https://www.saqa.org.za/documents/research-papers/national-qualifications-framework-impact-study-report-2017-assessment-impact-selected-aspects-south-african-national-qualifications-framework&gt;.</w:t>
      </w:r>
    </w:p>
    <w:p w14:paraId="4E279A7D" w14:textId="3FDA6FD7" w:rsidR="00C23D19" w:rsidRPr="009E2BBE" w:rsidRDefault="00C23D19" w:rsidP="001F1115">
      <w:pPr>
        <w:pStyle w:val="References"/>
      </w:pPr>
      <w:r w:rsidRPr="009E2BBE">
        <w:t>California Community Colleges Chancellor</w:t>
      </w:r>
      <w:r w:rsidR="00A26B8A" w:rsidRPr="009E2BBE">
        <w:t>’</w:t>
      </w:r>
      <w:r w:rsidRPr="009E2BBE">
        <w:t xml:space="preserve">s Office 2019, </w:t>
      </w:r>
      <w:r w:rsidRPr="009E2BBE">
        <w:rPr>
          <w:i/>
          <w:iCs/>
        </w:rPr>
        <w:t xml:space="preserve">Program and </w:t>
      </w:r>
      <w:r w:rsidR="00D94950" w:rsidRPr="009E2BBE">
        <w:rPr>
          <w:i/>
          <w:iCs/>
        </w:rPr>
        <w:t>course approval handbook</w:t>
      </w:r>
      <w:r w:rsidRPr="009E2BBE">
        <w:t xml:space="preserve">, 7th </w:t>
      </w:r>
      <w:proofErr w:type="spellStart"/>
      <w:r w:rsidRPr="009E2BBE">
        <w:t>edn</w:t>
      </w:r>
      <w:proofErr w:type="spellEnd"/>
      <w:r w:rsidRPr="009E2BBE">
        <w:t>, California Community Colleges Chancellor</w:t>
      </w:r>
      <w:r w:rsidR="00A26B8A" w:rsidRPr="009E2BBE">
        <w:t>’</w:t>
      </w:r>
      <w:r w:rsidRPr="009E2BBE">
        <w:t xml:space="preserve">s Office, California, viewed </w:t>
      </w:r>
      <w:r w:rsidR="00B96B3E" w:rsidRPr="009E2BBE">
        <w:t xml:space="preserve">September </w:t>
      </w:r>
      <w:r w:rsidR="0007601D" w:rsidRPr="009E2BBE">
        <w:t>2020,</w:t>
      </w:r>
      <w:r w:rsidRPr="009E2BBE">
        <w:t xml:space="preserve"> </w:t>
      </w:r>
      <w:r w:rsidR="00D94950" w:rsidRPr="009E2BBE">
        <w:t>&lt;</w:t>
      </w:r>
      <w:hyperlink r:id="rId31" w:history="1">
        <w:r w:rsidR="00E946AB" w:rsidRPr="009E2BBE">
          <w:rPr>
            <w:rStyle w:val="Hyperlink"/>
            <w:sz w:val="18"/>
          </w:rPr>
          <w:t>https://asccc.org/sites/default/files/CCCCO_Report_Program_Course_Approval-web-102819.pdf</w:t>
        </w:r>
      </w:hyperlink>
      <w:r w:rsidRPr="009E2BBE">
        <w:t>&gt;.</w:t>
      </w:r>
    </w:p>
    <w:p w14:paraId="6C31E385" w14:textId="798C224C" w:rsidR="00E946AB" w:rsidRPr="009E2BBE" w:rsidRDefault="00D94950" w:rsidP="001F1115">
      <w:pPr>
        <w:pStyle w:val="References"/>
      </w:pPr>
      <w:r w:rsidRPr="009E2BBE">
        <w:t>——</w:t>
      </w:r>
      <w:r w:rsidR="00E946AB" w:rsidRPr="009E2BBE">
        <w:t xml:space="preserve">2020, </w:t>
      </w:r>
      <w:r w:rsidR="00A26B8A" w:rsidRPr="009E2BBE">
        <w:t>‘</w:t>
      </w:r>
      <w:r w:rsidR="00E946AB" w:rsidRPr="009E2BBE">
        <w:t xml:space="preserve">State of the </w:t>
      </w:r>
      <w:r w:rsidRPr="009E2BBE">
        <w:t>s</w:t>
      </w:r>
      <w:r w:rsidR="00E946AB" w:rsidRPr="009E2BBE">
        <w:t>ystem</w:t>
      </w:r>
      <w:r w:rsidR="00A26B8A" w:rsidRPr="009E2BBE">
        <w:t>’</w:t>
      </w:r>
      <w:r w:rsidR="00E946AB" w:rsidRPr="009E2BBE">
        <w:t xml:space="preserve">, viewed </w:t>
      </w:r>
      <w:r w:rsidR="00B96B3E" w:rsidRPr="009E2BBE">
        <w:t xml:space="preserve">September </w:t>
      </w:r>
      <w:r w:rsidR="0007601D" w:rsidRPr="009E2BBE">
        <w:t>2020,</w:t>
      </w:r>
      <w:r w:rsidR="00E946AB" w:rsidRPr="009E2BBE">
        <w:t xml:space="preserve"> </w:t>
      </w:r>
      <w:r w:rsidRPr="009E2BBE">
        <w:t>&lt;</w:t>
      </w:r>
      <w:hyperlink r:id="rId32" w:history="1">
        <w:r w:rsidR="005D4BFB" w:rsidRPr="009E2BBE">
          <w:rPr>
            <w:rStyle w:val="Hyperlink"/>
            <w:sz w:val="18"/>
          </w:rPr>
          <w:t>https://www.cccco.edu/About-Us/State-of-the-System</w:t>
        </w:r>
      </w:hyperlink>
      <w:r w:rsidR="00E946AB" w:rsidRPr="009E2BBE">
        <w:t>&gt;.</w:t>
      </w:r>
    </w:p>
    <w:p w14:paraId="3AC11B87" w14:textId="44DDCBEB" w:rsidR="00D94950" w:rsidRPr="009E2BBE" w:rsidRDefault="00D94950" w:rsidP="001F1115">
      <w:pPr>
        <w:pStyle w:val="References"/>
      </w:pPr>
      <w:r w:rsidRPr="009E2BBE">
        <w:t xml:space="preserve">Canadian Council of Directors of Apprenticeship 2020, </w:t>
      </w:r>
      <w:r w:rsidR="00A26B8A" w:rsidRPr="009E2BBE">
        <w:t>‘</w:t>
      </w:r>
      <w:r w:rsidRPr="009E2BBE">
        <w:t>Red Seal Program</w:t>
      </w:r>
      <w:r w:rsidR="00A26B8A" w:rsidRPr="009E2BBE">
        <w:t>’</w:t>
      </w:r>
      <w:r w:rsidRPr="009E2BBE">
        <w:t>, viewed September 2020, &lt;http://www.red-seal.ca/about/pr.4gr.1m-&gt;.</w:t>
      </w:r>
    </w:p>
    <w:p w14:paraId="42790AB5" w14:textId="01311C0A" w:rsidR="005D4BFB" w:rsidRPr="009E2BBE" w:rsidRDefault="005D4BFB" w:rsidP="001F1115">
      <w:pPr>
        <w:pStyle w:val="References"/>
      </w:pPr>
      <w:r w:rsidRPr="009E2BBE">
        <w:t xml:space="preserve">CCEA </w:t>
      </w:r>
      <w:r w:rsidR="00CE5B4D" w:rsidRPr="009E2BBE">
        <w:t xml:space="preserve">(Council </w:t>
      </w:r>
      <w:r w:rsidR="004431A9" w:rsidRPr="009E2BBE">
        <w:t xml:space="preserve">for the Curriculum, Examinations &amp; Assessment) </w:t>
      </w:r>
      <w:r w:rsidRPr="009E2BBE">
        <w:t xml:space="preserve">2020, </w:t>
      </w:r>
      <w:r w:rsidR="00A26B8A" w:rsidRPr="009E2BBE">
        <w:t>‘</w:t>
      </w:r>
      <w:r w:rsidRPr="009E2BBE">
        <w:t xml:space="preserve">About CCEA </w:t>
      </w:r>
      <w:r w:rsidR="00D94950" w:rsidRPr="009E2BBE">
        <w:t>r</w:t>
      </w:r>
      <w:r w:rsidRPr="009E2BBE">
        <w:t>egulation</w:t>
      </w:r>
      <w:r w:rsidR="00A26B8A" w:rsidRPr="009E2BBE">
        <w:t>’</w:t>
      </w:r>
      <w:r w:rsidRPr="009E2BBE">
        <w:t xml:space="preserve">, viewed </w:t>
      </w:r>
      <w:r w:rsidR="00B96B3E" w:rsidRPr="009E2BBE">
        <w:t xml:space="preserve">September </w:t>
      </w:r>
      <w:r w:rsidR="0007601D" w:rsidRPr="009E2BBE">
        <w:t>2020,</w:t>
      </w:r>
      <w:r w:rsidRPr="009E2BBE">
        <w:t xml:space="preserve"> &lt;https://ccea.org.uk/regulation/about&gt;.</w:t>
      </w:r>
    </w:p>
    <w:p w14:paraId="604B0A06" w14:textId="54630B53" w:rsidR="00A7430D" w:rsidRPr="009E2BBE" w:rsidRDefault="00A7430D" w:rsidP="001F1115">
      <w:pPr>
        <w:pStyle w:val="References"/>
      </w:pPr>
      <w:r w:rsidRPr="009E2BBE">
        <w:t>Cedefop 2019, Vocational education and training in Finland: short description, Publications Office, Luxembourg.</w:t>
      </w:r>
    </w:p>
    <w:p w14:paraId="7BF4605A" w14:textId="3AA55B52" w:rsidR="009D29CF" w:rsidRPr="009E2BBE" w:rsidRDefault="001F1115" w:rsidP="001F1115">
      <w:pPr>
        <w:pStyle w:val="References"/>
      </w:pPr>
      <w:r w:rsidRPr="009E2BBE">
        <w:t xml:space="preserve">Cedefop &amp; Finnish National Agency for Education 2019, </w:t>
      </w:r>
      <w:r w:rsidRPr="009E2BBE">
        <w:rPr>
          <w:i/>
          <w:iCs/>
        </w:rPr>
        <w:t xml:space="preserve">Vocational </w:t>
      </w:r>
      <w:proofErr w:type="gramStart"/>
      <w:r w:rsidRPr="009E2BBE">
        <w:rPr>
          <w:i/>
          <w:iCs/>
        </w:rPr>
        <w:t>education</w:t>
      </w:r>
      <w:proofErr w:type="gramEnd"/>
      <w:r w:rsidRPr="009E2BBE">
        <w:rPr>
          <w:i/>
          <w:iCs/>
        </w:rPr>
        <w:t xml:space="preserve"> and training in Europe: Finland</w:t>
      </w:r>
      <w:r w:rsidR="00D94950" w:rsidRPr="009E2BBE">
        <w:t xml:space="preserve"> (</w:t>
      </w:r>
      <w:r w:rsidRPr="009E2BBE">
        <w:t xml:space="preserve">From </w:t>
      </w:r>
      <w:proofErr w:type="spellStart"/>
      <w:r w:rsidRPr="009E2BBE">
        <w:t>Cedefop</w:t>
      </w:r>
      <w:proofErr w:type="spellEnd"/>
      <w:r w:rsidRPr="009E2BBE">
        <w:t xml:space="preserve">; </w:t>
      </w:r>
      <w:proofErr w:type="spellStart"/>
      <w:r w:rsidRPr="009E2BBE">
        <w:t>ReferNet</w:t>
      </w:r>
      <w:proofErr w:type="spellEnd"/>
      <w:r w:rsidRPr="009E2BBE">
        <w:t>. Vocational education and training in Europe database</w:t>
      </w:r>
      <w:r w:rsidR="00D94950" w:rsidRPr="009E2BBE">
        <w:t>)</w:t>
      </w:r>
      <w:r w:rsidRPr="009E2BBE">
        <w:t xml:space="preserve"> &lt;https://www.cedefop.europa.eu/en/tools/vet-in-europe/systems/finland&gt;</w:t>
      </w:r>
      <w:r w:rsidR="007A0192" w:rsidRPr="009E2BBE">
        <w:t>.</w:t>
      </w:r>
    </w:p>
    <w:p w14:paraId="0F72ED82" w14:textId="555E295F" w:rsidR="00D84F66" w:rsidRPr="009E2BBE" w:rsidRDefault="00D84F66" w:rsidP="001F1115">
      <w:pPr>
        <w:pStyle w:val="References"/>
      </w:pPr>
      <w:r w:rsidRPr="009E2BBE">
        <w:t xml:space="preserve">Centennial College 2018, </w:t>
      </w:r>
      <w:r w:rsidR="00A26B8A" w:rsidRPr="009E2BBE">
        <w:t>‘</w:t>
      </w:r>
      <w:r w:rsidRPr="009E2BBE">
        <w:t xml:space="preserve">Program </w:t>
      </w:r>
      <w:r w:rsidR="00D94950" w:rsidRPr="009E2BBE">
        <w:t xml:space="preserve">advisory committee </w:t>
      </w:r>
      <w:r w:rsidRPr="009E2BBE">
        <w:t>member guide</w:t>
      </w:r>
      <w:r w:rsidR="00A26B8A" w:rsidRPr="009E2BBE">
        <w:t>’</w:t>
      </w:r>
      <w:r w:rsidRPr="009E2BBE">
        <w:t>, Centennial College</w:t>
      </w:r>
      <w:r w:rsidR="007229D0" w:rsidRPr="009E2BBE">
        <w:t xml:space="preserve">, viewed September 2020, </w:t>
      </w:r>
      <w:r w:rsidR="00D94950" w:rsidRPr="009E2BBE">
        <w:t>&lt;</w:t>
      </w:r>
      <w:r w:rsidR="007229D0" w:rsidRPr="009E2BBE">
        <w:t>https://www.centennialcollege.ca/centres-institutes/teaching-excellence-and-academic-quality/academic-quality-assurance/program-advisory-committee/&gt;.</w:t>
      </w:r>
    </w:p>
    <w:p w14:paraId="3C4A459B" w14:textId="343729D1" w:rsidR="00D84F66" w:rsidRPr="009E2BBE" w:rsidRDefault="00D84F66" w:rsidP="00D84F66">
      <w:pPr>
        <w:pStyle w:val="References"/>
      </w:pPr>
      <w:r w:rsidRPr="009E2BBE">
        <w:t xml:space="preserve">Conestoga College 2019, </w:t>
      </w:r>
      <w:r w:rsidR="00A26B8A" w:rsidRPr="009E2BBE">
        <w:t>‘</w:t>
      </w:r>
      <w:r w:rsidRPr="009E2BBE">
        <w:t>Program development procedure</w:t>
      </w:r>
      <w:r w:rsidR="00A26B8A" w:rsidRPr="009E2BBE">
        <w:t>’</w:t>
      </w:r>
      <w:r w:rsidRPr="009E2BBE">
        <w:t>, Conestoga College, Ontario, viewed September 2020, &lt;https://cms.conestogac.on.ca/sites/corporate-websites/policies/PDFDocuments/Curriculum/Program%20Development%20Procedure.pdf&gt;.</w:t>
      </w:r>
    </w:p>
    <w:p w14:paraId="037BC0FF" w14:textId="2AAF71CA" w:rsidR="00D84F66" w:rsidRPr="009E2BBE" w:rsidRDefault="00D94950" w:rsidP="00D84F66">
      <w:pPr>
        <w:pStyle w:val="References"/>
      </w:pPr>
      <w:r w:rsidRPr="009E2BBE">
        <w:t>——</w:t>
      </w:r>
      <w:r w:rsidR="00D84F66" w:rsidRPr="009E2BBE">
        <w:t xml:space="preserve">2019, </w:t>
      </w:r>
      <w:r w:rsidR="00A26B8A" w:rsidRPr="009E2BBE">
        <w:t>‘</w:t>
      </w:r>
      <w:r w:rsidR="00D84F66" w:rsidRPr="009E2BBE">
        <w:t>Program review procedure, Ontario</w:t>
      </w:r>
      <w:r w:rsidR="00A26B8A" w:rsidRPr="009E2BBE">
        <w:t>’</w:t>
      </w:r>
      <w:r w:rsidR="00D84F66" w:rsidRPr="009E2BBE">
        <w:t>, viewed September 2020, &lt;https://cms.conestogac.on.ca/sites/corporate-websites/policies/PDFDocuments/Curriculum/Program%20Review%20Procedure.pdf&gt;.</w:t>
      </w:r>
    </w:p>
    <w:p w14:paraId="294C4439" w14:textId="7BBCB0DB" w:rsidR="00E946AB" w:rsidRPr="009E2BBE" w:rsidRDefault="00E946AB" w:rsidP="001F1115">
      <w:pPr>
        <w:pStyle w:val="References"/>
      </w:pPr>
      <w:r w:rsidRPr="009E2BBE">
        <w:t xml:space="preserve">Credential Engine 2018, </w:t>
      </w:r>
      <w:r w:rsidR="00A26B8A" w:rsidRPr="009E2BBE">
        <w:t>‘</w:t>
      </w:r>
      <w:r w:rsidRPr="009E2BBE">
        <w:t>About us</w:t>
      </w:r>
      <w:r w:rsidR="00A26B8A" w:rsidRPr="009E2BBE">
        <w:t>’</w:t>
      </w:r>
      <w:r w:rsidR="005D4BFB" w:rsidRPr="009E2BBE">
        <w:t>,</w:t>
      </w:r>
      <w:r w:rsidRPr="009E2BBE">
        <w:t xml:space="preserve"> viewed </w:t>
      </w:r>
      <w:r w:rsidR="00B96B3E" w:rsidRPr="009E2BBE">
        <w:t xml:space="preserve">September </w:t>
      </w:r>
      <w:r w:rsidR="0007601D" w:rsidRPr="009E2BBE">
        <w:t>2020,</w:t>
      </w:r>
      <w:r w:rsidRPr="009E2BBE">
        <w:t xml:space="preserve"> &lt;</w:t>
      </w:r>
      <w:hyperlink r:id="rId33" w:history="1">
        <w:r w:rsidR="00BE2A95" w:rsidRPr="009E2BBE">
          <w:rPr>
            <w:rStyle w:val="Hyperlink"/>
            <w:sz w:val="18"/>
          </w:rPr>
          <w:t>https://credentialengine.org/about/</w:t>
        </w:r>
      </w:hyperlink>
      <w:r w:rsidRPr="009E2BBE">
        <w:t>&gt;.</w:t>
      </w:r>
    </w:p>
    <w:p w14:paraId="54047F84" w14:textId="063E3515" w:rsidR="00376EB5" w:rsidRPr="009E2BBE" w:rsidRDefault="00376EB5" w:rsidP="00376EB5">
      <w:pPr>
        <w:pStyle w:val="References"/>
      </w:pPr>
      <w:r w:rsidRPr="009E2BBE">
        <w:t xml:space="preserve">Dortch, C 2014, </w:t>
      </w:r>
      <w:r w:rsidRPr="009E2BBE">
        <w:rPr>
          <w:i/>
          <w:iCs/>
        </w:rPr>
        <w:t xml:space="preserve">Career and </w:t>
      </w:r>
      <w:r w:rsidR="00D94950" w:rsidRPr="009E2BBE">
        <w:rPr>
          <w:i/>
          <w:iCs/>
        </w:rPr>
        <w:t xml:space="preserve">technical education </w:t>
      </w:r>
      <w:r w:rsidRPr="009E2BBE">
        <w:rPr>
          <w:i/>
          <w:iCs/>
        </w:rPr>
        <w:t xml:space="preserve">(CTE): </w:t>
      </w:r>
      <w:r w:rsidR="00D94950" w:rsidRPr="009E2BBE">
        <w:rPr>
          <w:i/>
          <w:iCs/>
        </w:rPr>
        <w:t>a primer</w:t>
      </w:r>
      <w:r w:rsidRPr="009E2BBE">
        <w:t xml:space="preserve">, Congressional Research Service, United States, viewed </w:t>
      </w:r>
      <w:r w:rsidR="00B96B3E" w:rsidRPr="009E2BBE">
        <w:t xml:space="preserve">September </w:t>
      </w:r>
      <w:r w:rsidR="0007601D" w:rsidRPr="009E2BBE">
        <w:t>2020,</w:t>
      </w:r>
      <w:r w:rsidRPr="009E2BBE">
        <w:t xml:space="preserve"> </w:t>
      </w:r>
      <w:r w:rsidR="00D94950" w:rsidRPr="009E2BBE">
        <w:t>&lt;</w:t>
      </w:r>
      <w:hyperlink r:id="rId34" w:history="1">
        <w:r w:rsidR="008723DC" w:rsidRPr="009E2BBE">
          <w:rPr>
            <w:rStyle w:val="Hyperlink"/>
            <w:sz w:val="18"/>
          </w:rPr>
          <w:t>https://fas.org/sgp/crs/misc/R42748.pdf</w:t>
        </w:r>
      </w:hyperlink>
      <w:r w:rsidRPr="009E2BBE">
        <w:t>&gt;.</w:t>
      </w:r>
    </w:p>
    <w:p w14:paraId="554B3AA9" w14:textId="609DE10D" w:rsidR="00A7430D" w:rsidRPr="009E2BBE" w:rsidRDefault="00A7430D" w:rsidP="00A7430D">
      <w:pPr>
        <w:pStyle w:val="References"/>
      </w:pPr>
      <w:r w:rsidRPr="009E2BBE">
        <w:t xml:space="preserve">Finland Ministry of Education and Culture 2019, </w:t>
      </w:r>
      <w:r w:rsidRPr="009E2BBE">
        <w:rPr>
          <w:i/>
          <w:iCs/>
        </w:rPr>
        <w:t>Finnish VET in a nutshell</w:t>
      </w:r>
      <w:r w:rsidRPr="009E2BBE">
        <w:t>, Ministry of Education and Culture and Finnish National Agency for Education, Helsinki.</w:t>
      </w:r>
    </w:p>
    <w:p w14:paraId="190C08FC" w14:textId="292F4D6A" w:rsidR="0087304C" w:rsidRPr="009E2BBE" w:rsidRDefault="003A711F" w:rsidP="0087304C">
      <w:pPr>
        <w:pStyle w:val="References"/>
      </w:pPr>
      <w:r w:rsidRPr="009E2BBE">
        <w:t xml:space="preserve">Finnish National Agency for Education </w:t>
      </w:r>
      <w:r w:rsidR="0087304C" w:rsidRPr="009E2BBE">
        <w:t xml:space="preserve">2017, </w:t>
      </w:r>
      <w:r w:rsidR="0087304C" w:rsidRPr="009E2BBE">
        <w:rPr>
          <w:i/>
          <w:iCs/>
        </w:rPr>
        <w:t xml:space="preserve">Vocational </w:t>
      </w:r>
      <w:r w:rsidR="00D94950" w:rsidRPr="009E2BBE">
        <w:rPr>
          <w:i/>
          <w:iCs/>
        </w:rPr>
        <w:t>qualification in business</w:t>
      </w:r>
      <w:r w:rsidR="0087304C" w:rsidRPr="009E2BBE">
        <w:t xml:space="preserve">, Finnish National Agency for Education, Helsinki, viewed </w:t>
      </w:r>
      <w:r w:rsidR="00B96B3E" w:rsidRPr="009E2BBE">
        <w:t xml:space="preserve">September </w:t>
      </w:r>
      <w:r w:rsidR="0007601D" w:rsidRPr="009E2BBE">
        <w:t>2020,</w:t>
      </w:r>
      <w:r w:rsidR="0087304C" w:rsidRPr="009E2BBE">
        <w:t xml:space="preserve"> </w:t>
      </w:r>
      <w:r w:rsidR="00D94950" w:rsidRPr="009E2BBE">
        <w:t>&lt;</w:t>
      </w:r>
      <w:hyperlink r:id="rId35" w:history="1">
        <w:r w:rsidR="0087304C" w:rsidRPr="009E2BBE">
          <w:rPr>
            <w:rStyle w:val="Hyperlink"/>
            <w:sz w:val="18"/>
          </w:rPr>
          <w:t>https://eperusteet.opintopolku.fi/eperusteet-service/api/dokumentit/6371087</w:t>
        </w:r>
      </w:hyperlink>
      <w:r w:rsidR="0087304C" w:rsidRPr="009E2BBE">
        <w:t>&gt;.</w:t>
      </w:r>
    </w:p>
    <w:p w14:paraId="0F57DC29" w14:textId="45EEFF54" w:rsidR="0087304C" w:rsidRPr="009E2BBE" w:rsidRDefault="00D94950" w:rsidP="0087304C">
      <w:pPr>
        <w:pStyle w:val="References"/>
      </w:pPr>
      <w:r w:rsidRPr="009E2BBE">
        <w:t>——</w:t>
      </w:r>
      <w:r w:rsidR="0087304C" w:rsidRPr="009E2BBE">
        <w:t xml:space="preserve">2018, </w:t>
      </w:r>
      <w:r w:rsidR="0087304C" w:rsidRPr="009E2BBE">
        <w:rPr>
          <w:i/>
          <w:iCs/>
        </w:rPr>
        <w:t xml:space="preserve">Further Vocational </w:t>
      </w:r>
      <w:r w:rsidRPr="009E2BBE">
        <w:rPr>
          <w:i/>
          <w:iCs/>
        </w:rPr>
        <w:t>qualification in restaurant customer service</w:t>
      </w:r>
      <w:r w:rsidR="0087304C" w:rsidRPr="009E2BBE">
        <w:t xml:space="preserve">, Finnish National Agency for Education, Helsinki, viewed </w:t>
      </w:r>
      <w:r w:rsidR="00B96B3E" w:rsidRPr="009E2BBE">
        <w:t xml:space="preserve">September </w:t>
      </w:r>
      <w:r w:rsidR="0007601D" w:rsidRPr="009E2BBE">
        <w:t>2020,</w:t>
      </w:r>
      <w:r w:rsidR="0087304C" w:rsidRPr="009E2BBE">
        <w:t xml:space="preserve"> &lt;https://eperusteet.opintopolku.fi/eperusteet-service/api/dokumentit/6671198&gt;.</w:t>
      </w:r>
    </w:p>
    <w:p w14:paraId="67AB0FE2" w14:textId="5F6C19F1" w:rsidR="003A711F" w:rsidRPr="009E2BBE" w:rsidRDefault="00D94950" w:rsidP="00376EB5">
      <w:pPr>
        <w:pStyle w:val="References"/>
      </w:pPr>
      <w:r w:rsidRPr="009E2BBE">
        <w:t>——</w:t>
      </w:r>
      <w:r w:rsidR="003A711F" w:rsidRPr="009E2BBE">
        <w:t xml:space="preserve">2019, </w:t>
      </w:r>
      <w:r w:rsidR="003A711F" w:rsidRPr="009E2BBE">
        <w:rPr>
          <w:i/>
          <w:iCs/>
        </w:rPr>
        <w:t>Vocational qualifications in Finland 2019</w:t>
      </w:r>
      <w:r w:rsidR="003A711F" w:rsidRPr="009E2BBE">
        <w:t>, Finnish National Agency for Education and Ministry of Education and Culture, Helsinki.</w:t>
      </w:r>
    </w:p>
    <w:p w14:paraId="6F2D9145" w14:textId="051D6520" w:rsidR="00D84F66" w:rsidRPr="009E2BBE" w:rsidRDefault="00D84F66" w:rsidP="00376EB5">
      <w:pPr>
        <w:pStyle w:val="References"/>
      </w:pPr>
      <w:proofErr w:type="spellStart"/>
      <w:r w:rsidRPr="009E2BBE">
        <w:t>Foucher</w:t>
      </w:r>
      <w:proofErr w:type="spellEnd"/>
      <w:r w:rsidRPr="009E2BBE">
        <w:t xml:space="preserve">, R &amp; </w:t>
      </w:r>
      <w:proofErr w:type="spellStart"/>
      <w:r w:rsidRPr="009E2BBE">
        <w:t>Hassi</w:t>
      </w:r>
      <w:proofErr w:type="spellEnd"/>
      <w:r w:rsidRPr="009E2BBE">
        <w:t xml:space="preserve">, A 2013, </w:t>
      </w:r>
      <w:r w:rsidR="00A26B8A" w:rsidRPr="009E2BBE">
        <w:t>‘</w:t>
      </w:r>
      <w:r w:rsidRPr="009E2BBE">
        <w:t>International briefing 28: training and development in Québec</w:t>
      </w:r>
      <w:r w:rsidR="00A26B8A" w:rsidRPr="009E2BBE">
        <w:t>’</w:t>
      </w:r>
      <w:r w:rsidRPr="009E2BBE">
        <w:t>,</w:t>
      </w:r>
      <w:r w:rsidR="0092101A" w:rsidRPr="009E2BBE">
        <w:t xml:space="preserve"> </w:t>
      </w:r>
      <w:r w:rsidR="0092101A" w:rsidRPr="009E2BBE">
        <w:rPr>
          <w:i/>
          <w:iCs/>
        </w:rPr>
        <w:t>International Journal of Training and Development</w:t>
      </w:r>
      <w:r w:rsidR="0092101A" w:rsidRPr="009E2BBE">
        <w:t>,</w:t>
      </w:r>
      <w:r w:rsidRPr="009E2BBE">
        <w:t xml:space="preserve"> </w:t>
      </w:r>
      <w:r w:rsidR="0092101A" w:rsidRPr="009E2BBE">
        <w:t>vol.17, no.1, pp.76</w:t>
      </w:r>
      <w:r w:rsidR="00286D02" w:rsidRPr="009E2BBE">
        <w:t>–</w:t>
      </w:r>
      <w:r w:rsidR="0092101A" w:rsidRPr="009E2BBE">
        <w:t>91</w:t>
      </w:r>
      <w:r w:rsidRPr="009E2BBE">
        <w:t xml:space="preserve">, viewed </w:t>
      </w:r>
      <w:r w:rsidR="00B96B3E" w:rsidRPr="009E2BBE">
        <w:t xml:space="preserve">September </w:t>
      </w:r>
      <w:r w:rsidRPr="009E2BBE">
        <w:t>2020,</w:t>
      </w:r>
      <w:r w:rsidR="0092101A" w:rsidRPr="009E2BBE">
        <w:t xml:space="preserve"> &lt;https://doi.org/10.1111/j.1468-2419.2012.00418.x&gt;</w:t>
      </w:r>
    </w:p>
    <w:p w14:paraId="2EED23F8" w14:textId="5137913E" w:rsidR="005646D9" w:rsidRPr="009E2BBE" w:rsidRDefault="005646D9" w:rsidP="00376EB5">
      <w:pPr>
        <w:pStyle w:val="References"/>
      </w:pPr>
      <w:r w:rsidRPr="009E2BBE">
        <w:t xml:space="preserve">Fyusion 2018, </w:t>
      </w:r>
      <w:r w:rsidRPr="009E2BBE">
        <w:rPr>
          <w:i/>
          <w:iCs/>
        </w:rPr>
        <w:t xml:space="preserve">Training package development, </w:t>
      </w:r>
      <w:proofErr w:type="gramStart"/>
      <w:r w:rsidRPr="009E2BBE">
        <w:rPr>
          <w:i/>
          <w:iCs/>
        </w:rPr>
        <w:t>endorsement</w:t>
      </w:r>
      <w:proofErr w:type="gramEnd"/>
      <w:r w:rsidRPr="009E2BBE">
        <w:rPr>
          <w:i/>
          <w:iCs/>
        </w:rPr>
        <w:t xml:space="preserve"> and implantation process: current state report</w:t>
      </w:r>
      <w:r w:rsidRPr="009E2BBE">
        <w:t xml:space="preserve">, AISC, Canberra, viewed </w:t>
      </w:r>
      <w:r w:rsidR="00B96B3E" w:rsidRPr="009E2BBE">
        <w:t xml:space="preserve">September </w:t>
      </w:r>
      <w:r w:rsidR="0007601D" w:rsidRPr="009E2BBE">
        <w:t>2020,</w:t>
      </w:r>
      <w:r w:rsidRPr="009E2BBE">
        <w:t xml:space="preserve"> &lt;https://www.aisc.net.au/sites/default/files/documents/Training%20Package%20Development%2C%20Endorsement%20and%20Implementation%20Process.pdf&gt;.</w:t>
      </w:r>
    </w:p>
    <w:p w14:paraId="1E7E5C53" w14:textId="420C10FC" w:rsidR="00D84F66" w:rsidRPr="009E2BBE" w:rsidRDefault="00D84F66" w:rsidP="00D84F66">
      <w:pPr>
        <w:pStyle w:val="References"/>
      </w:pPr>
      <w:proofErr w:type="spellStart"/>
      <w:r w:rsidRPr="009E2BBE">
        <w:t>Gouvernement</w:t>
      </w:r>
      <w:proofErr w:type="spellEnd"/>
      <w:r w:rsidRPr="009E2BBE">
        <w:t xml:space="preserve"> du Québec 2010, </w:t>
      </w:r>
      <w:r w:rsidRPr="009E2BBE">
        <w:rPr>
          <w:i/>
          <w:iCs/>
        </w:rPr>
        <w:t xml:space="preserve">Vocational and </w:t>
      </w:r>
      <w:r w:rsidR="00286D02" w:rsidRPr="009E2BBE">
        <w:rPr>
          <w:i/>
          <w:iCs/>
        </w:rPr>
        <w:t xml:space="preserve">technical training </w:t>
      </w:r>
      <w:r w:rsidRPr="009E2BBE">
        <w:rPr>
          <w:i/>
          <w:iCs/>
        </w:rPr>
        <w:t>in Québec</w:t>
      </w:r>
      <w:r w:rsidRPr="009E2BBE">
        <w:t>, viewed September 2020, &lt;http://www.education.gouv.qc.ca/fileadmin/site_web/documents/enseignement-superieur/Formation-professionnelle-technique-2010-VA.pdf&gt;.</w:t>
      </w:r>
    </w:p>
    <w:p w14:paraId="70A8AA86" w14:textId="177BABDF" w:rsidR="00D84F66" w:rsidRPr="009E2BBE" w:rsidRDefault="00286D02" w:rsidP="00D84F66">
      <w:pPr>
        <w:pStyle w:val="References"/>
      </w:pPr>
      <w:r w:rsidRPr="009E2BBE">
        <w:t>——</w:t>
      </w:r>
      <w:r w:rsidR="00D84F66" w:rsidRPr="009E2BBE">
        <w:t>20</w:t>
      </w:r>
      <w:r w:rsidR="00F82877" w:rsidRPr="009E2BBE">
        <w:t>19</w:t>
      </w:r>
      <w:r w:rsidR="00D84F66" w:rsidRPr="009E2BBE">
        <w:t xml:space="preserve">, </w:t>
      </w:r>
      <w:r w:rsidR="00A26B8A" w:rsidRPr="009E2BBE">
        <w:t>‘</w:t>
      </w:r>
      <w:r w:rsidR="00D84F66" w:rsidRPr="009E2BBE">
        <w:t>Sectorial workforce committees</w:t>
      </w:r>
      <w:r w:rsidR="00A26B8A" w:rsidRPr="009E2BBE">
        <w:t>’</w:t>
      </w:r>
      <w:r w:rsidR="00D84F66" w:rsidRPr="009E2BBE">
        <w:t>, viewed September 2020, &lt;https://www.cpmt.gouv.qc.ca/reseau-des-partenaires/comites-sectoriels_en.asp&gt;.</w:t>
      </w:r>
    </w:p>
    <w:p w14:paraId="48FC1A12" w14:textId="26FD06F4" w:rsidR="00D84F66" w:rsidRPr="009E2BBE" w:rsidRDefault="00D84F66" w:rsidP="00D84F66">
      <w:pPr>
        <w:pStyle w:val="References"/>
      </w:pPr>
      <w:proofErr w:type="spellStart"/>
      <w:r w:rsidRPr="009E2BBE">
        <w:t>Gouvernement</w:t>
      </w:r>
      <w:proofErr w:type="spellEnd"/>
      <w:r w:rsidRPr="009E2BBE">
        <w:t xml:space="preserve"> du Quebec</w:t>
      </w:r>
      <w:r w:rsidR="007229D0" w:rsidRPr="009E2BBE">
        <w:t xml:space="preserve"> &amp;</w:t>
      </w:r>
      <w:r w:rsidRPr="009E2BBE">
        <w:t xml:space="preserve"> </w:t>
      </w:r>
      <w:proofErr w:type="spellStart"/>
      <w:r w:rsidRPr="009E2BBE">
        <w:t>Ministere</w:t>
      </w:r>
      <w:proofErr w:type="spellEnd"/>
      <w:r w:rsidRPr="009E2BBE">
        <w:t xml:space="preserve"> de </w:t>
      </w:r>
      <w:proofErr w:type="spellStart"/>
      <w:r w:rsidRPr="009E2BBE">
        <w:t>l</w:t>
      </w:r>
      <w:r w:rsidR="00A26B8A" w:rsidRPr="009E2BBE">
        <w:t>’</w:t>
      </w:r>
      <w:r w:rsidRPr="009E2BBE">
        <w:t>Education</w:t>
      </w:r>
      <w:proofErr w:type="spellEnd"/>
      <w:r w:rsidRPr="009E2BBE">
        <w:t xml:space="preserve"> 2003, </w:t>
      </w:r>
      <w:r w:rsidRPr="009E2BBE">
        <w:rPr>
          <w:i/>
          <w:iCs/>
        </w:rPr>
        <w:t>Vocational and technical education in Quebec: a system integrating educational and management engineering</w:t>
      </w:r>
      <w:r w:rsidRPr="009E2BBE">
        <w:t xml:space="preserve">, viewed </w:t>
      </w:r>
      <w:r w:rsidR="0092101A" w:rsidRPr="009E2BBE">
        <w:t>September</w:t>
      </w:r>
      <w:r w:rsidRPr="009E2BBE">
        <w:t xml:space="preserve"> 2020</w:t>
      </w:r>
      <w:r w:rsidR="00F82877" w:rsidRPr="009E2BBE">
        <w:t>,</w:t>
      </w:r>
      <w:r w:rsidR="0092101A" w:rsidRPr="009E2BBE">
        <w:t xml:space="preserve"> </w:t>
      </w:r>
      <w:r w:rsidR="00F82877" w:rsidRPr="009E2BBE">
        <w:t>&lt;https://www.inforoutefpt.org/ministere_docs/cooperation/fptQC/vteinquebec_interactive.pdf&gt;</w:t>
      </w:r>
    </w:p>
    <w:p w14:paraId="5D039AD8" w14:textId="127491FD" w:rsidR="00233594" w:rsidRPr="009E2BBE" w:rsidRDefault="00233594" w:rsidP="00376EB5">
      <w:pPr>
        <w:pStyle w:val="References"/>
      </w:pPr>
      <w:r w:rsidRPr="009E2BBE">
        <w:t xml:space="preserve">GOV.UK 2020, </w:t>
      </w:r>
      <w:r w:rsidR="00A26B8A" w:rsidRPr="009E2BBE">
        <w:t>‘</w:t>
      </w:r>
      <w:r w:rsidRPr="009E2BBE">
        <w:t>About us</w:t>
      </w:r>
      <w:r w:rsidR="00A26B8A" w:rsidRPr="009E2BBE">
        <w:t>’</w:t>
      </w:r>
      <w:r w:rsidRPr="009E2BBE">
        <w:t xml:space="preserve">, viewed </w:t>
      </w:r>
      <w:r w:rsidR="00B96B3E" w:rsidRPr="009E2BBE">
        <w:t xml:space="preserve">September </w:t>
      </w:r>
      <w:r w:rsidR="0007601D" w:rsidRPr="009E2BBE">
        <w:t>2020,</w:t>
      </w:r>
      <w:r w:rsidRPr="009E2BBE">
        <w:t xml:space="preserve"> &lt;</w:t>
      </w:r>
      <w:hyperlink r:id="rId36" w:history="1">
        <w:r w:rsidR="00F82877" w:rsidRPr="009E2BBE">
          <w:rPr>
            <w:rStyle w:val="Hyperlink"/>
            <w:sz w:val="18"/>
          </w:rPr>
          <w:t>https://www.gov.uk/government/organisations/ofqual/about</w:t>
        </w:r>
      </w:hyperlink>
      <w:r w:rsidRPr="009E2BBE">
        <w:t>&gt;.</w:t>
      </w:r>
    </w:p>
    <w:p w14:paraId="0E52C2F8" w14:textId="136AB343" w:rsidR="00D84F66" w:rsidRPr="009E2BBE" w:rsidRDefault="00D84F66" w:rsidP="00376EB5">
      <w:pPr>
        <w:pStyle w:val="References"/>
      </w:pPr>
      <w:r w:rsidRPr="009E2BBE">
        <w:t xml:space="preserve">Government of Canada 2020, </w:t>
      </w:r>
      <w:r w:rsidR="00A26B8A" w:rsidRPr="009E2BBE">
        <w:t>‘</w:t>
      </w:r>
      <w:r w:rsidRPr="009E2BBE">
        <w:t>National Occupational Classification</w:t>
      </w:r>
      <w:r w:rsidR="00A26B8A" w:rsidRPr="009E2BBE">
        <w:t>’</w:t>
      </w:r>
      <w:r w:rsidRPr="009E2BBE">
        <w:t>, viewed September 2020, &lt;https://noc.esdc.gc.ca/Home/Welcome/fa59668ab36a47bda4484e6f5f03e664&gt;.</w:t>
      </w:r>
    </w:p>
    <w:p w14:paraId="158E9F97" w14:textId="4CB607F5" w:rsidR="00D84F66" w:rsidRPr="009E2BBE" w:rsidRDefault="00D84F66" w:rsidP="008723DC">
      <w:pPr>
        <w:pStyle w:val="References"/>
      </w:pPr>
      <w:r w:rsidRPr="009E2BBE">
        <w:t xml:space="preserve">Industry Training Authority 2016, </w:t>
      </w:r>
      <w:r w:rsidR="00A26B8A" w:rsidRPr="009E2BBE">
        <w:t>‘</w:t>
      </w:r>
      <w:r w:rsidRPr="009E2BBE">
        <w:t>Canadian Council of Directors of Apprenticeship: update on Strengthening the Red Seal Program</w:t>
      </w:r>
      <w:r w:rsidR="00A26B8A" w:rsidRPr="009E2BBE">
        <w:t>’</w:t>
      </w:r>
      <w:r w:rsidRPr="009E2BBE">
        <w:t>, viewed September 2002, &lt;https://www.itabc.ca/sites/default/files/docs/Trades-Training/2A51-DECK-HarmoSRSNatStakeholderMtgUpdate-20160310-EN-V02-FINAL1MUL-4112016-610.pdf&gt;.</w:t>
      </w:r>
    </w:p>
    <w:p w14:paraId="60F9EACD" w14:textId="5BEF7EBE" w:rsidR="005B1537" w:rsidRPr="009E2BBE" w:rsidRDefault="005B1537" w:rsidP="008723DC">
      <w:pPr>
        <w:pStyle w:val="References"/>
      </w:pPr>
      <w:r w:rsidRPr="009E2BBE">
        <w:t xml:space="preserve">Institute for Apprenticeships and Technical Education 2020a, </w:t>
      </w:r>
      <w:r w:rsidR="00A26B8A" w:rsidRPr="009E2BBE">
        <w:t>‘</w:t>
      </w:r>
      <w:r w:rsidRPr="009E2BBE">
        <w:t>Occupational maps</w:t>
      </w:r>
      <w:r w:rsidR="00A26B8A" w:rsidRPr="009E2BBE">
        <w:t>’</w:t>
      </w:r>
      <w:r w:rsidRPr="009E2BBE">
        <w:t xml:space="preserve">, viewed </w:t>
      </w:r>
      <w:r w:rsidR="00B96B3E" w:rsidRPr="009E2BBE">
        <w:t xml:space="preserve">September </w:t>
      </w:r>
      <w:r w:rsidR="0007601D" w:rsidRPr="009E2BBE">
        <w:t>2020,</w:t>
      </w:r>
      <w:r w:rsidRPr="009E2BBE">
        <w:t xml:space="preserve"> </w:t>
      </w:r>
      <w:r w:rsidR="00D94950" w:rsidRPr="009E2BBE">
        <w:t>&lt;</w:t>
      </w:r>
      <w:hyperlink r:id="rId37" w:history="1">
        <w:r w:rsidR="00B461DE" w:rsidRPr="009E2BBE">
          <w:rPr>
            <w:rStyle w:val="Hyperlink"/>
            <w:sz w:val="18"/>
          </w:rPr>
          <w:t>https://www.instituteforapprenticeships.org/about/occupational-maps/</w:t>
        </w:r>
      </w:hyperlink>
      <w:r w:rsidRPr="009E2BBE">
        <w:t>&gt;.</w:t>
      </w:r>
    </w:p>
    <w:p w14:paraId="58C53FF3" w14:textId="50B0953A" w:rsidR="00B461DE" w:rsidRPr="009E2BBE" w:rsidRDefault="00286D02" w:rsidP="008723DC">
      <w:pPr>
        <w:pStyle w:val="References"/>
      </w:pPr>
      <w:r w:rsidRPr="009E2BBE">
        <w:t>—</w:t>
      </w:r>
      <w:r w:rsidR="000178B6" w:rsidRPr="009E2BBE">
        <w:t>—</w:t>
      </w:r>
      <w:r w:rsidR="00B461DE" w:rsidRPr="009E2BBE">
        <w:t>2020b</w:t>
      </w:r>
      <w:r w:rsidR="00E0208F" w:rsidRPr="009E2BBE">
        <w:t xml:space="preserve">, </w:t>
      </w:r>
      <w:r w:rsidR="00A26B8A" w:rsidRPr="009E2BBE">
        <w:t>‘</w:t>
      </w:r>
      <w:r w:rsidR="00E0208F" w:rsidRPr="009E2BBE">
        <w:t>Approvals process and timelines</w:t>
      </w:r>
      <w:r w:rsidR="00A26B8A" w:rsidRPr="009E2BBE">
        <w:t>’</w:t>
      </w:r>
      <w:r w:rsidR="00E0208F" w:rsidRPr="009E2BBE">
        <w:t xml:space="preserve">, viewed </w:t>
      </w:r>
      <w:r w:rsidR="00B96B3E" w:rsidRPr="009E2BBE">
        <w:t xml:space="preserve">September </w:t>
      </w:r>
      <w:r w:rsidR="0007601D" w:rsidRPr="009E2BBE">
        <w:t>2020,</w:t>
      </w:r>
      <w:r w:rsidR="00E0208F" w:rsidRPr="009E2BBE">
        <w:t xml:space="preserve"> &lt;https://www.instituteforapprenticeships.org/higher-technical-qualifications/approvals-process-and-timelines/&gt;.</w:t>
      </w:r>
    </w:p>
    <w:p w14:paraId="758FEABA" w14:textId="116F5D03" w:rsidR="00B461DE" w:rsidRPr="009E2BBE" w:rsidRDefault="00286D02" w:rsidP="008723DC">
      <w:pPr>
        <w:pStyle w:val="References"/>
      </w:pPr>
      <w:r w:rsidRPr="009E2BBE">
        <w:t>——</w:t>
      </w:r>
      <w:r w:rsidR="00B461DE" w:rsidRPr="009E2BBE">
        <w:t>2020c</w:t>
      </w:r>
      <w:r w:rsidR="00E0208F" w:rsidRPr="009E2BBE">
        <w:t xml:space="preserve">, </w:t>
      </w:r>
      <w:r w:rsidR="00A26B8A" w:rsidRPr="009E2BBE">
        <w:t>‘</w:t>
      </w:r>
      <w:r w:rsidR="00E0208F" w:rsidRPr="009E2BBE">
        <w:t>What is a higher technical qualification?</w:t>
      </w:r>
      <w:r w:rsidR="00A26B8A" w:rsidRPr="009E2BBE">
        <w:t>’</w:t>
      </w:r>
      <w:r w:rsidR="00E0208F" w:rsidRPr="009E2BBE">
        <w:t xml:space="preserve">, viewed </w:t>
      </w:r>
      <w:r w:rsidR="00B96B3E" w:rsidRPr="009E2BBE">
        <w:t xml:space="preserve">September </w:t>
      </w:r>
      <w:r w:rsidR="0007601D" w:rsidRPr="009E2BBE">
        <w:t>2020,</w:t>
      </w:r>
      <w:r w:rsidR="00E0208F" w:rsidRPr="009E2BBE">
        <w:t xml:space="preserve"> &lt;https://www.instituteforapprenticeships.org/higher-technical-qualifications/what-is-a-higher-technical-qualification/&gt;.</w:t>
      </w:r>
    </w:p>
    <w:p w14:paraId="6875179D" w14:textId="09193054" w:rsidR="00B461DE" w:rsidRPr="009E2BBE" w:rsidRDefault="00286D02" w:rsidP="008723DC">
      <w:pPr>
        <w:pStyle w:val="References"/>
      </w:pPr>
      <w:r w:rsidRPr="009E2BBE">
        <w:t>——</w:t>
      </w:r>
      <w:r w:rsidR="00B461DE" w:rsidRPr="009E2BBE">
        <w:t>2020d</w:t>
      </w:r>
      <w:r w:rsidR="00E0208F" w:rsidRPr="009E2BBE">
        <w:t xml:space="preserve">, </w:t>
      </w:r>
      <w:r w:rsidR="00A26B8A" w:rsidRPr="009E2BBE">
        <w:t>‘</w:t>
      </w:r>
      <w:r w:rsidR="00E0208F" w:rsidRPr="009E2BBE">
        <w:t xml:space="preserve">Route </w:t>
      </w:r>
      <w:r w:rsidR="000178B6" w:rsidRPr="009E2BBE">
        <w:t>p</w:t>
      </w:r>
      <w:r w:rsidR="00E0208F" w:rsidRPr="009E2BBE">
        <w:t>anels</w:t>
      </w:r>
      <w:r w:rsidR="00A26B8A" w:rsidRPr="009E2BBE">
        <w:t>’</w:t>
      </w:r>
      <w:r w:rsidR="00E0208F" w:rsidRPr="009E2BBE">
        <w:t xml:space="preserve">, viewed </w:t>
      </w:r>
      <w:r w:rsidR="00B96B3E" w:rsidRPr="009E2BBE">
        <w:t xml:space="preserve">September </w:t>
      </w:r>
      <w:r w:rsidR="0007601D" w:rsidRPr="009E2BBE">
        <w:t>2020,</w:t>
      </w:r>
      <w:r w:rsidR="00E0208F" w:rsidRPr="009E2BBE">
        <w:t xml:space="preserve"> &lt;https://www.instituteforapprenticeships.org/about/how-we-do-it/route-panels/&gt;.</w:t>
      </w:r>
    </w:p>
    <w:p w14:paraId="57D85AA1" w14:textId="740F78DA" w:rsidR="00B461DE" w:rsidRPr="009E2BBE" w:rsidRDefault="00286D02" w:rsidP="008723DC">
      <w:pPr>
        <w:pStyle w:val="References"/>
      </w:pPr>
      <w:r w:rsidRPr="009E2BBE">
        <w:t>——</w:t>
      </w:r>
      <w:r w:rsidR="00B461DE" w:rsidRPr="009E2BBE">
        <w:t>2020e</w:t>
      </w:r>
      <w:r w:rsidR="00A344B3" w:rsidRPr="009E2BBE">
        <w:t xml:space="preserve">, </w:t>
      </w:r>
      <w:r w:rsidR="00A26B8A" w:rsidRPr="009E2BBE">
        <w:t>‘</w:t>
      </w:r>
      <w:r w:rsidR="00A344B3" w:rsidRPr="009E2BBE">
        <w:t xml:space="preserve">The </w:t>
      </w:r>
      <w:r w:rsidR="000178B6" w:rsidRPr="009E2BBE">
        <w:t>approval and funding committee’</w:t>
      </w:r>
      <w:r w:rsidR="00A344B3" w:rsidRPr="009E2BBE">
        <w:t xml:space="preserve">, viewed </w:t>
      </w:r>
      <w:r w:rsidR="00B96B3E" w:rsidRPr="009E2BBE">
        <w:t xml:space="preserve">September </w:t>
      </w:r>
      <w:r w:rsidR="0007601D" w:rsidRPr="009E2BBE">
        <w:t>2020,</w:t>
      </w:r>
      <w:r w:rsidR="00A344B3" w:rsidRPr="009E2BBE">
        <w:t xml:space="preserve"> &lt;https://www.instituteforapprenticeships.org/about/how-we-do-it/committees/the-approval-and-funding-committee/&gt;.</w:t>
      </w:r>
    </w:p>
    <w:p w14:paraId="185F724E" w14:textId="06D4D8AF" w:rsidR="00B461DE" w:rsidRPr="009E2BBE" w:rsidRDefault="00286D02" w:rsidP="008723DC">
      <w:pPr>
        <w:pStyle w:val="References"/>
      </w:pPr>
      <w:r w:rsidRPr="009E2BBE">
        <w:t>——</w:t>
      </w:r>
      <w:r w:rsidR="00B461DE" w:rsidRPr="009E2BBE">
        <w:t>2020f</w:t>
      </w:r>
      <w:r w:rsidR="00A344B3" w:rsidRPr="009E2BBE">
        <w:t xml:space="preserve">, </w:t>
      </w:r>
      <w:r w:rsidR="00A26B8A" w:rsidRPr="009E2BBE">
        <w:t>‘</w:t>
      </w:r>
      <w:r w:rsidR="00A344B3" w:rsidRPr="009E2BBE">
        <w:t>Changes to qualifications</w:t>
      </w:r>
      <w:r w:rsidR="00A26B8A" w:rsidRPr="009E2BBE">
        <w:t>’</w:t>
      </w:r>
      <w:r w:rsidR="00A344B3" w:rsidRPr="009E2BBE">
        <w:t xml:space="preserve">, viewed </w:t>
      </w:r>
      <w:r w:rsidR="00B96B3E" w:rsidRPr="009E2BBE">
        <w:t xml:space="preserve">September </w:t>
      </w:r>
      <w:r w:rsidR="0007601D" w:rsidRPr="009E2BBE">
        <w:t>2020,</w:t>
      </w:r>
      <w:r w:rsidR="00A344B3" w:rsidRPr="009E2BBE">
        <w:t xml:space="preserve"> &lt;https://www.instituteforapprenticeships.org/higher-technical-qualifications/changes-to-qualifications/&gt;.</w:t>
      </w:r>
    </w:p>
    <w:p w14:paraId="19FF6C7B" w14:textId="744C848A" w:rsidR="00ED3895" w:rsidRPr="009E2BBE" w:rsidRDefault="00ED3895" w:rsidP="008723DC">
      <w:pPr>
        <w:pStyle w:val="References"/>
      </w:pPr>
      <w:r w:rsidRPr="009E2BBE">
        <w:t xml:space="preserve">——2020g, </w:t>
      </w:r>
      <w:r w:rsidR="00A26B8A" w:rsidRPr="009E2BBE">
        <w:t>‘</w:t>
      </w:r>
      <w:r w:rsidRPr="009E2BBE">
        <w:t>What are T-Levels?</w:t>
      </w:r>
      <w:r w:rsidR="00A26B8A" w:rsidRPr="009E2BBE">
        <w:t>’</w:t>
      </w:r>
      <w:r w:rsidRPr="009E2BBE">
        <w:t>, viewed February 2020, &lt;https://www.instituteforapprenticeships.org/t-levels/what-are-t-levels/&gt;.</w:t>
      </w:r>
    </w:p>
    <w:p w14:paraId="7AFA5E29" w14:textId="6213DB56" w:rsidR="00D84F66" w:rsidRPr="009E2BBE" w:rsidRDefault="00D84F66" w:rsidP="008723DC">
      <w:pPr>
        <w:pStyle w:val="References"/>
      </w:pPr>
      <w:r w:rsidRPr="009E2BBE">
        <w:t xml:space="preserve">Korero Matauranga 2019, </w:t>
      </w:r>
      <w:r w:rsidRPr="009E2BBE">
        <w:rPr>
          <w:i/>
          <w:iCs/>
        </w:rPr>
        <w:t xml:space="preserve">A unified system for all vocational education: </w:t>
      </w:r>
      <w:r w:rsidR="00286D02" w:rsidRPr="009E2BBE">
        <w:rPr>
          <w:i/>
          <w:iCs/>
        </w:rPr>
        <w:t>r</w:t>
      </w:r>
      <w:r w:rsidRPr="009E2BBE">
        <w:rPr>
          <w:i/>
          <w:iCs/>
        </w:rPr>
        <w:t>eform of vocational education</w:t>
      </w:r>
      <w:r w:rsidRPr="009E2BBE">
        <w:t>, viewed September 2020, &lt;https://conversation.education.govt.nz/assets/RoVE/AoC/A-unified-system-for-all-vocational-education.pdf&gt;.</w:t>
      </w:r>
    </w:p>
    <w:p w14:paraId="4DD28C3C" w14:textId="7294BB66" w:rsidR="00B870C5" w:rsidRPr="009E2BBE" w:rsidRDefault="00B870C5" w:rsidP="00B870C5">
      <w:pPr>
        <w:pStyle w:val="References"/>
      </w:pPr>
      <w:r w:rsidRPr="009E2BBE">
        <w:t xml:space="preserve">National Association of State Directors of Career Technical Education Consortium &amp; National Career Technical Education Foundation 2012, </w:t>
      </w:r>
      <w:r w:rsidR="0025254C" w:rsidRPr="009E2BBE">
        <w:t>‘</w:t>
      </w:r>
      <w:r w:rsidRPr="009E2BBE">
        <w:t>Common Career Technical Core</w:t>
      </w:r>
      <w:r w:rsidR="0025254C" w:rsidRPr="009E2BBE">
        <w:t>’</w:t>
      </w:r>
      <w:r w:rsidRPr="009E2BBE">
        <w:t xml:space="preserve">, National Association of State Directors of Career Technical Education Consortium/National Career Technical Education Foundation, Silver Spring, MD, viewed </w:t>
      </w:r>
      <w:r w:rsidR="00B96B3E" w:rsidRPr="009E2BBE">
        <w:t xml:space="preserve">September </w:t>
      </w:r>
      <w:r w:rsidR="0007601D" w:rsidRPr="009E2BBE">
        <w:t>2020,</w:t>
      </w:r>
      <w:r w:rsidRPr="009E2BBE">
        <w:t xml:space="preserve"> </w:t>
      </w:r>
      <w:r w:rsidR="00D94950" w:rsidRPr="009E2BBE">
        <w:t>&lt;</w:t>
      </w:r>
      <w:hyperlink r:id="rId38" w:history="1">
        <w:r w:rsidR="009051D3" w:rsidRPr="009E2BBE">
          <w:rPr>
            <w:rStyle w:val="Hyperlink"/>
            <w:sz w:val="18"/>
          </w:rPr>
          <w:t>https://cte.careertech.org/sites/default/files/CCTC_Standards_Formatted_2014.pdf</w:t>
        </w:r>
      </w:hyperlink>
      <w:r w:rsidRPr="009E2BBE">
        <w:t>&gt;.</w:t>
      </w:r>
    </w:p>
    <w:p w14:paraId="50543CAE" w14:textId="03EE9C69" w:rsidR="00C900E8" w:rsidRPr="009E2BBE" w:rsidRDefault="00C900E8" w:rsidP="00B870C5">
      <w:pPr>
        <w:pStyle w:val="References"/>
      </w:pPr>
      <w:r w:rsidRPr="009E2BBE">
        <w:t xml:space="preserve">New Zealand Ministry of Education 2020, </w:t>
      </w:r>
      <w:r w:rsidR="00A26B8A" w:rsidRPr="009E2BBE">
        <w:t>‘</w:t>
      </w:r>
      <w:r w:rsidRPr="009E2BBE">
        <w:t xml:space="preserve">Youth </w:t>
      </w:r>
      <w:r w:rsidR="00AB4055" w:rsidRPr="009E2BBE">
        <w:t>g</w:t>
      </w:r>
      <w:r w:rsidRPr="009E2BBE">
        <w:t>uarantee</w:t>
      </w:r>
      <w:r w:rsidR="00A26B8A" w:rsidRPr="009E2BBE">
        <w:t>’</w:t>
      </w:r>
      <w:r w:rsidRPr="009E2BBE">
        <w:t>, viewed September 2020, &lt;http://youthguarantee.education.govt.nz/&gt;</w:t>
      </w:r>
    </w:p>
    <w:p w14:paraId="613290F9" w14:textId="60891FBB" w:rsidR="00D84F66" w:rsidRPr="009E2BBE" w:rsidRDefault="00D84F66" w:rsidP="00B870C5">
      <w:pPr>
        <w:pStyle w:val="References"/>
      </w:pPr>
      <w:r w:rsidRPr="009E2BBE">
        <w:t>New Zealand Qualifications Authority</w:t>
      </w:r>
      <w:r w:rsidR="00426A80" w:rsidRPr="009E2BBE">
        <w:t xml:space="preserve"> 2016,</w:t>
      </w:r>
      <w:r w:rsidRPr="009E2BBE">
        <w:t xml:space="preserve"> </w:t>
      </w:r>
      <w:r w:rsidR="00A26B8A" w:rsidRPr="009E2BBE">
        <w:t>‘</w:t>
      </w:r>
      <w:r w:rsidRPr="009E2BBE">
        <w:t>The New Zealand Qualifications Framework</w:t>
      </w:r>
      <w:r w:rsidR="00A26B8A" w:rsidRPr="009E2BBE">
        <w:t>’</w:t>
      </w:r>
      <w:r w:rsidRPr="009E2BBE">
        <w:t>, viewed September 2020, &lt;https://www.nzqa.govt.nz/assets/Studying-in-NZ/New-Zealand-Qualification-Framework/requirements-nzqf.pdf&gt;.</w:t>
      </w:r>
    </w:p>
    <w:p w14:paraId="102ADF37" w14:textId="178443AF" w:rsidR="007123E3" w:rsidRPr="009E2BBE" w:rsidRDefault="007123E3" w:rsidP="00B870C5">
      <w:pPr>
        <w:pStyle w:val="References"/>
      </w:pPr>
      <w:r w:rsidRPr="009E2BBE">
        <w:t xml:space="preserve">——2020, </w:t>
      </w:r>
      <w:r w:rsidR="00A26B8A" w:rsidRPr="009E2BBE">
        <w:t>‘</w:t>
      </w:r>
      <w:r w:rsidRPr="009E2BBE">
        <w:t>Wānanga</w:t>
      </w:r>
      <w:r w:rsidR="00A26B8A" w:rsidRPr="009E2BBE">
        <w:t>’</w:t>
      </w:r>
      <w:r w:rsidRPr="009E2BBE">
        <w:t>, viewed August 2020, &lt;https://www.nzqa.govt.nz/audience-pages/wananga/&gt;.</w:t>
      </w:r>
    </w:p>
    <w:p w14:paraId="45EC2214" w14:textId="4A265B81" w:rsidR="00A26B8A" w:rsidRPr="009E2BBE" w:rsidRDefault="00A26B8A" w:rsidP="00A26B8A">
      <w:pPr>
        <w:pStyle w:val="References"/>
      </w:pPr>
      <w:r w:rsidRPr="009E2BBE">
        <w:t>New Zealand Tertiary Education Commission 2020a, ‘Workforce development councils’, viewed September 2020, &lt;https://www.tec.govt.nz/rove/workforce-development-councils/&gt;.</w:t>
      </w:r>
    </w:p>
    <w:p w14:paraId="0EE4301C" w14:textId="179C31DD" w:rsidR="00A26B8A" w:rsidRPr="009E2BBE" w:rsidRDefault="00A26B8A" w:rsidP="00A26B8A">
      <w:pPr>
        <w:pStyle w:val="References"/>
      </w:pPr>
      <w:r w:rsidRPr="009E2BBE">
        <w:t>——2020b, ‘Qualification development fund’, viewed December 2020, &lt;https://www.tec.govt.nz/funding/funding-and-performance/funding/fund-finder/</w:t>
      </w:r>
      <w:r w:rsidR="00EA3747" w:rsidRPr="009E2BBE">
        <w:t xml:space="preserve">qualification development </w:t>
      </w:r>
      <w:r w:rsidRPr="009E2BBE">
        <w:t>-fund/&gt;.</w:t>
      </w:r>
    </w:p>
    <w:p w14:paraId="0B58C597" w14:textId="634807F0" w:rsidR="00A26B8A" w:rsidRPr="009E2BBE" w:rsidRDefault="00A26B8A" w:rsidP="00A26B8A">
      <w:pPr>
        <w:pStyle w:val="References"/>
      </w:pPr>
      <w:r w:rsidRPr="009E2BBE">
        <w:t>New Zealand Treasury 2020, ‘Estimates of appropriations: vote tertiary education — education and workforce sector — estimates 2020/2021’, viewed October 2020, &lt;https://www.treasury.govt.nz/publications/estimates/vote-tertiary-education-education-and-workforce-sector-estimates-2020-21&gt;</w:t>
      </w:r>
    </w:p>
    <w:p w14:paraId="136240F4" w14:textId="72B22D31" w:rsidR="00C764D0" w:rsidRPr="009E2BBE" w:rsidRDefault="00C764D0" w:rsidP="00B870C5">
      <w:pPr>
        <w:pStyle w:val="References"/>
      </w:pPr>
      <w:proofErr w:type="spellStart"/>
      <w:r w:rsidRPr="009E2BBE">
        <w:t>Ofqual</w:t>
      </w:r>
      <w:proofErr w:type="spellEnd"/>
      <w:r w:rsidRPr="009E2BBE">
        <w:t xml:space="preserve"> 2020, </w:t>
      </w:r>
      <w:r w:rsidR="00A26B8A" w:rsidRPr="009E2BBE">
        <w:t>‘</w:t>
      </w:r>
      <w:r w:rsidRPr="009E2BBE">
        <w:t>The Register</w:t>
      </w:r>
      <w:r w:rsidR="00A26B8A" w:rsidRPr="009E2BBE">
        <w:t>’</w:t>
      </w:r>
      <w:r w:rsidRPr="009E2BBE">
        <w:t xml:space="preserve">, viewed </w:t>
      </w:r>
      <w:r w:rsidR="00B96B3E" w:rsidRPr="009E2BBE">
        <w:t xml:space="preserve">September </w:t>
      </w:r>
      <w:r w:rsidR="0007601D" w:rsidRPr="009E2BBE">
        <w:t>2020,</w:t>
      </w:r>
      <w:r w:rsidRPr="009E2BBE">
        <w:t xml:space="preserve"> &lt;https://register.ofqual.gov.uk/&gt;.</w:t>
      </w:r>
    </w:p>
    <w:p w14:paraId="53B42562" w14:textId="5CD1557F" w:rsidR="00AB4055" w:rsidRPr="009E2BBE" w:rsidRDefault="00AB4055" w:rsidP="00AB4055">
      <w:pPr>
        <w:pStyle w:val="References"/>
      </w:pPr>
      <w:r w:rsidRPr="009E2BBE">
        <w:t xml:space="preserve">Ontario Colleges 2020, </w:t>
      </w:r>
      <w:r w:rsidR="00A26B8A" w:rsidRPr="009E2BBE">
        <w:t>‘</w:t>
      </w:r>
      <w:r w:rsidRPr="009E2BBE">
        <w:t>Credit transfer between colleges and universities in Ontario</w:t>
      </w:r>
      <w:r w:rsidR="00A26B8A" w:rsidRPr="009E2BBE">
        <w:t>’</w:t>
      </w:r>
      <w:r w:rsidRPr="009E2BBE">
        <w:t>, viewed September 2020, &lt;https://www.ontariocolleges.ca/en/apply/transfer-credits&gt;.</w:t>
      </w:r>
    </w:p>
    <w:p w14:paraId="688FF1FB" w14:textId="03C6CCB8" w:rsidR="00D84F66" w:rsidRPr="009E2BBE" w:rsidRDefault="005D6281" w:rsidP="00D84F66">
      <w:pPr>
        <w:pStyle w:val="References"/>
      </w:pPr>
      <w:r w:rsidRPr="009E2BBE">
        <w:t>Ontario Council on Articulation and Transfer (</w:t>
      </w:r>
      <w:r w:rsidR="00D84F66" w:rsidRPr="009E2BBE">
        <w:t>ONCAT</w:t>
      </w:r>
      <w:r w:rsidRPr="009E2BBE">
        <w:t>)</w:t>
      </w:r>
      <w:r w:rsidR="00D84F66" w:rsidRPr="009E2BBE">
        <w:t xml:space="preserve"> 2020, </w:t>
      </w:r>
      <w:r w:rsidR="00A26B8A" w:rsidRPr="009E2BBE">
        <w:t>‘</w:t>
      </w:r>
      <w:r w:rsidR="00D84F66" w:rsidRPr="009E2BBE">
        <w:t>About transfer</w:t>
      </w:r>
      <w:r w:rsidR="00A26B8A" w:rsidRPr="009E2BBE">
        <w:t>’</w:t>
      </w:r>
      <w:r w:rsidR="00D84F66" w:rsidRPr="009E2BBE">
        <w:t>, viewed September 2020, &lt;https://www.oncat.ca/en/about-us/about-transfer&gt;.</w:t>
      </w:r>
    </w:p>
    <w:p w14:paraId="4723978C" w14:textId="37579FF0" w:rsidR="00D84F66" w:rsidRPr="009E2BBE" w:rsidRDefault="00D84F66" w:rsidP="00D84F66">
      <w:pPr>
        <w:pStyle w:val="References"/>
      </w:pPr>
      <w:r w:rsidRPr="009E2BBE">
        <w:t xml:space="preserve">Ontario Ministry of Colleges and Universities 2017, </w:t>
      </w:r>
      <w:r w:rsidR="00A26B8A" w:rsidRPr="009E2BBE">
        <w:t>‘</w:t>
      </w:r>
      <w:r w:rsidRPr="009E2BBE">
        <w:t xml:space="preserve">Published </w:t>
      </w:r>
      <w:r w:rsidR="00AB4055" w:rsidRPr="009E2BBE">
        <w:t>college program standards</w:t>
      </w:r>
      <w:r w:rsidR="00A26B8A" w:rsidRPr="009E2BBE">
        <w:t>’</w:t>
      </w:r>
      <w:r w:rsidRPr="009E2BBE">
        <w:t>, viewed September 2020, &lt;http://www.tcu.gov.on.ca/pepg/audiences/colleges/progstan/&gt;.</w:t>
      </w:r>
    </w:p>
    <w:p w14:paraId="0C45121D" w14:textId="06AC70E3" w:rsidR="00AB4055" w:rsidRPr="009E2BBE" w:rsidRDefault="00AB4055" w:rsidP="00D84F66">
      <w:pPr>
        <w:pStyle w:val="References"/>
      </w:pPr>
      <w:r w:rsidRPr="009E2BBE">
        <w:t xml:space="preserve">Ontario Ministry of Training 2014, </w:t>
      </w:r>
      <w:r w:rsidR="00A26B8A" w:rsidRPr="009E2BBE">
        <w:t>‘</w:t>
      </w:r>
      <w:r w:rsidRPr="009E2BBE">
        <w:t>Recreation and leisure services program standard</w:t>
      </w:r>
      <w:r w:rsidR="00A26B8A" w:rsidRPr="009E2BBE">
        <w:t>’</w:t>
      </w:r>
      <w:r w:rsidRPr="009E2BBE">
        <w:t>, viewed September 2020, &lt;http://www.tcu.gov.on.ca/pepg/audiences/colleges/progstan/humserv/52203.pdf&gt;.</w:t>
      </w:r>
    </w:p>
    <w:p w14:paraId="72E970BE" w14:textId="1F692C78" w:rsidR="002C3864" w:rsidRPr="009E2BBE" w:rsidRDefault="002C3864" w:rsidP="00B870C5">
      <w:pPr>
        <w:pStyle w:val="References"/>
      </w:pPr>
      <w:proofErr w:type="spellStart"/>
      <w:r w:rsidRPr="009E2BBE">
        <w:t>PolicySA</w:t>
      </w:r>
      <w:proofErr w:type="spellEnd"/>
      <w:r w:rsidRPr="009E2BBE">
        <w:t xml:space="preserve"> 2020, </w:t>
      </w:r>
      <w:r w:rsidR="00A26B8A" w:rsidRPr="009E2BBE">
        <w:t>‘</w:t>
      </w:r>
      <w:r w:rsidRPr="009E2BBE">
        <w:t xml:space="preserve">NQF </w:t>
      </w:r>
      <w:r w:rsidR="00AB4055" w:rsidRPr="009E2BBE">
        <w:t>t</w:t>
      </w:r>
      <w:r w:rsidRPr="009E2BBE">
        <w:t>erminology</w:t>
      </w:r>
      <w:r w:rsidR="00A26B8A" w:rsidRPr="009E2BBE">
        <w:t>’</w:t>
      </w:r>
      <w:r w:rsidRPr="009E2BBE">
        <w:t xml:space="preserve">, viewed </w:t>
      </w:r>
      <w:r w:rsidR="00B96B3E" w:rsidRPr="009E2BBE">
        <w:t xml:space="preserve">September </w:t>
      </w:r>
      <w:r w:rsidR="0007601D" w:rsidRPr="009E2BBE">
        <w:t>2020,</w:t>
      </w:r>
      <w:r w:rsidRPr="009E2BBE">
        <w:t xml:space="preserve"> &lt;https://www.policysa.com/Toolkit/nqfterminology.html&gt;.</w:t>
      </w:r>
    </w:p>
    <w:p w14:paraId="329A49C9" w14:textId="33A3C9AB" w:rsidR="000178B6" w:rsidRPr="009E2BBE" w:rsidRDefault="000178B6" w:rsidP="000178B6">
      <w:pPr>
        <w:pStyle w:val="References"/>
      </w:pPr>
      <w:r w:rsidRPr="009E2BBE">
        <w:t>Qualification</w:t>
      </w:r>
      <w:r w:rsidR="00211471" w:rsidRPr="009E2BBE">
        <w:t>s</w:t>
      </w:r>
      <w:r w:rsidRPr="009E2BBE">
        <w:t xml:space="preserve"> Wales 2016, </w:t>
      </w:r>
      <w:r w:rsidRPr="009E2BBE">
        <w:rPr>
          <w:i/>
          <w:iCs/>
        </w:rPr>
        <w:t>Vocational qualifications strategy</w:t>
      </w:r>
      <w:r w:rsidRPr="009E2BBE">
        <w:t>, Qualification Wales, Newport, viewed September 2020, &lt;</w:t>
      </w:r>
      <w:hyperlink r:id="rId39" w:history="1">
        <w:r w:rsidRPr="009E2BBE">
          <w:t>https://www.qualificationswales.org/english/publications/040117-vq-strategy/</w:t>
        </w:r>
      </w:hyperlink>
      <w:r w:rsidRPr="009E2BBE">
        <w:t xml:space="preserve">&gt;. </w:t>
      </w:r>
    </w:p>
    <w:p w14:paraId="640D7B4F" w14:textId="77777777" w:rsidR="000178B6" w:rsidRPr="009E2BBE" w:rsidRDefault="000178B6" w:rsidP="000178B6">
      <w:pPr>
        <w:pStyle w:val="References"/>
      </w:pPr>
      <w:r w:rsidRPr="009E2BBE">
        <w:t>——2020a, ‘About us’, viewed September 2020, &lt;https://www.qualificationswales.org/english/about-us/&gt;.</w:t>
      </w:r>
    </w:p>
    <w:p w14:paraId="744076FD" w14:textId="25196CB5" w:rsidR="000178B6" w:rsidRPr="009E2BBE" w:rsidRDefault="000178B6" w:rsidP="000178B6">
      <w:pPr>
        <w:pStyle w:val="References"/>
      </w:pPr>
      <w:r w:rsidRPr="009E2BBE">
        <w:t>——2020b, ‘Vocational qualification reform’, viewed September 2020, &lt;</w:t>
      </w:r>
      <w:hyperlink r:id="rId40" w:history="1">
        <w:r w:rsidRPr="009E2BBE">
          <w:rPr>
            <w:rStyle w:val="Hyperlink"/>
            <w:sz w:val="18"/>
          </w:rPr>
          <w:t>https://www.qualificationswales.org/english/qualifications/qualification-reform/vocational-qualification-reform/vocational-qualification-reform/</w:t>
        </w:r>
      </w:hyperlink>
      <w:r w:rsidRPr="009E2BBE">
        <w:t>&gt;.</w:t>
      </w:r>
    </w:p>
    <w:p w14:paraId="5FFAC947" w14:textId="77777777" w:rsidR="00736B45" w:rsidRPr="009E2BBE" w:rsidRDefault="00736B45" w:rsidP="00736B45">
      <w:pPr>
        <w:pStyle w:val="References"/>
      </w:pPr>
      <w:r w:rsidRPr="009E2BBE">
        <w:t xml:space="preserve">Quality Assurance Agency for Higher Education (QAA), Scottish Credit and Qualifications Frameworks Partnership, Council for the Curriculum, Examinations and Assessment, </w:t>
      </w:r>
      <w:proofErr w:type="spellStart"/>
      <w:r w:rsidRPr="009E2BBE">
        <w:t>Ofqual</w:t>
      </w:r>
      <w:proofErr w:type="spellEnd"/>
      <w:r w:rsidRPr="009E2BBE">
        <w:t xml:space="preserve">, the Credit and Qualifications Framework for Wales &amp; Quality and Qualifications Ireland 2019, </w:t>
      </w:r>
      <w:r w:rsidRPr="009E2BBE">
        <w:rPr>
          <w:i/>
          <w:iCs/>
        </w:rPr>
        <w:t>Qualifications can cross boundaries: a guide to comparing qualifications in the UK and Ireland</w:t>
      </w:r>
      <w:r w:rsidRPr="009E2BBE">
        <w:t>, QAA, Gloucester, viewed September 2020, &lt;</w:t>
      </w:r>
      <w:hyperlink r:id="rId41" w:history="1">
        <w:r w:rsidRPr="009E2BBE">
          <w:t>https://www.qaa.ac.uk/docs/qaa/quality-code/qualifications-can-cross-boundaries.pdf?sfvrsn=a852f981_16</w:t>
        </w:r>
      </w:hyperlink>
      <w:r w:rsidRPr="009E2BBE">
        <w:t>&gt;.</w:t>
      </w:r>
    </w:p>
    <w:p w14:paraId="019A4E67" w14:textId="53925B96" w:rsidR="0004259E" w:rsidRPr="009E2BBE" w:rsidRDefault="00AB4055" w:rsidP="001F1115">
      <w:pPr>
        <w:pStyle w:val="References"/>
      </w:pPr>
      <w:r w:rsidRPr="009E2BBE">
        <w:t>Quality Council for Trades &amp; Occupations (</w:t>
      </w:r>
      <w:r w:rsidR="00D57514" w:rsidRPr="009E2BBE">
        <w:t>QCTO</w:t>
      </w:r>
      <w:r w:rsidRPr="009E2BBE">
        <w:t>)</w:t>
      </w:r>
      <w:r w:rsidR="00D57514" w:rsidRPr="009E2BBE">
        <w:t xml:space="preserve"> </w:t>
      </w:r>
      <w:r w:rsidR="0004259E" w:rsidRPr="009E2BBE">
        <w:t xml:space="preserve">2011, </w:t>
      </w:r>
      <w:r w:rsidR="0004259E" w:rsidRPr="009E2BBE">
        <w:rPr>
          <w:i/>
          <w:iCs/>
        </w:rPr>
        <w:t xml:space="preserve">Policy on </w:t>
      </w:r>
      <w:r w:rsidRPr="009E2BBE">
        <w:rPr>
          <w:i/>
          <w:iCs/>
        </w:rPr>
        <w:t>d</w:t>
      </w:r>
      <w:r w:rsidR="0004259E" w:rsidRPr="009E2BBE">
        <w:rPr>
          <w:i/>
          <w:iCs/>
        </w:rPr>
        <w:t>elegation to DQPs and AQPs</w:t>
      </w:r>
      <w:r w:rsidR="0004259E" w:rsidRPr="009E2BBE">
        <w:t xml:space="preserve">, QCTO, Pretoria, viewed </w:t>
      </w:r>
      <w:r w:rsidR="00B96B3E" w:rsidRPr="009E2BBE">
        <w:t xml:space="preserve">September </w:t>
      </w:r>
      <w:r w:rsidR="0007601D" w:rsidRPr="009E2BBE">
        <w:t>2020,</w:t>
      </w:r>
      <w:r w:rsidR="0004259E" w:rsidRPr="009E2BBE">
        <w:t xml:space="preserve"> &lt;http://www.qcto.org.za/images/Policies/delegation_to_dqps_and_aqps.pdf&gt;.</w:t>
      </w:r>
    </w:p>
    <w:p w14:paraId="34F6DDBD" w14:textId="189E7F4F" w:rsidR="009A17FA" w:rsidRPr="009E2BBE" w:rsidRDefault="00AB4055" w:rsidP="001F1115">
      <w:pPr>
        <w:pStyle w:val="References"/>
      </w:pPr>
      <w:r w:rsidRPr="009E2BBE">
        <w:t>——</w:t>
      </w:r>
      <w:r w:rsidR="009A17FA" w:rsidRPr="009E2BBE">
        <w:t xml:space="preserve">2014, </w:t>
      </w:r>
      <w:r w:rsidR="009A17FA" w:rsidRPr="009E2BBE">
        <w:rPr>
          <w:i/>
          <w:iCs/>
        </w:rPr>
        <w:t xml:space="preserve">Occupational </w:t>
      </w:r>
      <w:r w:rsidRPr="009E2BBE">
        <w:rPr>
          <w:i/>
          <w:iCs/>
        </w:rPr>
        <w:t>qualifications development facilitator manual</w:t>
      </w:r>
      <w:r w:rsidR="009A17FA" w:rsidRPr="009E2BBE">
        <w:t xml:space="preserve">, QCTO, Pretoria, viewed </w:t>
      </w:r>
      <w:r w:rsidR="00B96B3E" w:rsidRPr="009E2BBE">
        <w:t xml:space="preserve">September </w:t>
      </w:r>
      <w:r w:rsidR="0007601D" w:rsidRPr="009E2BBE">
        <w:t>2020,</w:t>
      </w:r>
      <w:r w:rsidR="009A17FA" w:rsidRPr="009E2BBE">
        <w:t xml:space="preserve"> </w:t>
      </w:r>
      <w:r w:rsidR="00D94950" w:rsidRPr="009E2BBE">
        <w:t>&lt;</w:t>
      </w:r>
      <w:r w:rsidR="009A17FA" w:rsidRPr="009E2BBE">
        <w:t>http://www.qcto.org.za/images/procedures/20140730_qdf_manual_-_august_2014.pdf&gt;.</w:t>
      </w:r>
    </w:p>
    <w:p w14:paraId="03E0C460" w14:textId="76D609EF" w:rsidR="00D57514" w:rsidRPr="009E2BBE" w:rsidRDefault="00AB4055" w:rsidP="009A17FA">
      <w:pPr>
        <w:pStyle w:val="References"/>
      </w:pPr>
      <w:r w:rsidRPr="009E2BBE">
        <w:t>——</w:t>
      </w:r>
      <w:r w:rsidR="00D57514" w:rsidRPr="009E2BBE">
        <w:t>20</w:t>
      </w:r>
      <w:r w:rsidR="009A17FA" w:rsidRPr="009E2BBE">
        <w:t xml:space="preserve">19a, </w:t>
      </w:r>
      <w:r w:rsidR="00A26B8A" w:rsidRPr="009E2BBE">
        <w:t>‘</w:t>
      </w:r>
      <w:r w:rsidR="009A17FA" w:rsidRPr="009E2BBE">
        <w:t xml:space="preserve">Full and </w:t>
      </w:r>
      <w:r w:rsidRPr="009E2BBE">
        <w:t>part registered qualifications</w:t>
      </w:r>
      <w:r w:rsidR="00A26B8A" w:rsidRPr="009E2BBE">
        <w:t>’</w:t>
      </w:r>
      <w:r w:rsidR="009A17FA" w:rsidRPr="009E2BBE">
        <w:t xml:space="preserve">, viewed </w:t>
      </w:r>
      <w:r w:rsidR="00B96B3E" w:rsidRPr="009E2BBE">
        <w:t xml:space="preserve">September </w:t>
      </w:r>
      <w:r w:rsidR="0007601D" w:rsidRPr="009E2BBE">
        <w:t>2020,</w:t>
      </w:r>
      <w:r w:rsidR="009A17FA" w:rsidRPr="009E2BBE">
        <w:t xml:space="preserve"> &lt;</w:t>
      </w:r>
      <w:hyperlink r:id="rId42" w:history="1">
        <w:r w:rsidR="009A17FA" w:rsidRPr="009E2BBE">
          <w:rPr>
            <w:rStyle w:val="Hyperlink"/>
            <w:sz w:val="18"/>
          </w:rPr>
          <w:t>https://www.qcto.org.za/services/qualifications</w:t>
        </w:r>
      </w:hyperlink>
      <w:r w:rsidR="009A17FA" w:rsidRPr="009E2BBE">
        <w:t>&gt;.</w:t>
      </w:r>
    </w:p>
    <w:p w14:paraId="51BE7D15" w14:textId="0A048BE6" w:rsidR="00D57514" w:rsidRPr="009E2BBE" w:rsidRDefault="00AB4055" w:rsidP="001F1115">
      <w:pPr>
        <w:pStyle w:val="References"/>
      </w:pPr>
      <w:r w:rsidRPr="009E2BBE">
        <w:t>——</w:t>
      </w:r>
      <w:r w:rsidR="00D57514" w:rsidRPr="009E2BBE">
        <w:t>20</w:t>
      </w:r>
      <w:r w:rsidR="009A17FA" w:rsidRPr="009E2BBE">
        <w:t>19</w:t>
      </w:r>
      <w:r w:rsidR="00D57514" w:rsidRPr="009E2BBE">
        <w:t>b</w:t>
      </w:r>
      <w:r w:rsidR="00384E31" w:rsidRPr="009E2BBE">
        <w:t xml:space="preserve">, </w:t>
      </w:r>
      <w:r w:rsidR="00A26B8A" w:rsidRPr="009E2BBE">
        <w:t>‘</w:t>
      </w:r>
      <w:r w:rsidR="00384E31" w:rsidRPr="009E2BBE">
        <w:t xml:space="preserve">Application to develop an </w:t>
      </w:r>
      <w:r w:rsidRPr="009E2BBE">
        <w:t>occupational qualification</w:t>
      </w:r>
      <w:r w:rsidR="00A26B8A" w:rsidRPr="009E2BBE">
        <w:t>’</w:t>
      </w:r>
      <w:r w:rsidR="00384E31" w:rsidRPr="009E2BBE">
        <w:t xml:space="preserve">, viewed </w:t>
      </w:r>
      <w:r w:rsidR="00B96B3E" w:rsidRPr="009E2BBE">
        <w:t xml:space="preserve">September </w:t>
      </w:r>
      <w:r w:rsidR="0007601D" w:rsidRPr="009E2BBE">
        <w:t>2020,</w:t>
      </w:r>
      <w:r w:rsidR="00384E31" w:rsidRPr="009E2BBE">
        <w:t xml:space="preserve"> &lt;</w:t>
      </w:r>
      <w:hyperlink r:id="rId43" w:history="1">
        <w:r w:rsidR="00384E31" w:rsidRPr="009E2BBE">
          <w:rPr>
            <w:rStyle w:val="Hyperlink"/>
            <w:sz w:val="18"/>
          </w:rPr>
          <w:t>https://www.qcto.org.za/application-to-develop-an-occupational-qualification?layout=table</w:t>
        </w:r>
      </w:hyperlink>
      <w:r w:rsidR="00384E31" w:rsidRPr="009E2BBE">
        <w:t>&gt;.</w:t>
      </w:r>
    </w:p>
    <w:p w14:paraId="16B13A97" w14:textId="100F27EF" w:rsidR="00100AB2" w:rsidRPr="009E2BBE" w:rsidRDefault="00AB4055" w:rsidP="001F1115">
      <w:pPr>
        <w:pStyle w:val="References"/>
      </w:pPr>
      <w:r w:rsidRPr="009E2BBE">
        <w:t>——</w:t>
      </w:r>
      <w:r w:rsidR="00100AB2" w:rsidRPr="009E2BBE">
        <w:t xml:space="preserve">2019c, </w:t>
      </w:r>
      <w:r w:rsidR="00A26B8A" w:rsidRPr="009E2BBE">
        <w:t>‘</w:t>
      </w:r>
      <w:r w:rsidR="00100AB2" w:rsidRPr="009E2BBE">
        <w:t xml:space="preserve">Air </w:t>
      </w:r>
      <w:r w:rsidRPr="009E2BBE">
        <w:t>conditioning and refrigeration mechanic</w:t>
      </w:r>
      <w:r w:rsidR="00A26B8A" w:rsidRPr="009E2BBE">
        <w:t>’</w:t>
      </w:r>
      <w:r w:rsidR="00100AB2" w:rsidRPr="009E2BBE">
        <w:t xml:space="preserve">, viewed </w:t>
      </w:r>
      <w:r w:rsidR="00B96B3E" w:rsidRPr="009E2BBE">
        <w:t xml:space="preserve">September </w:t>
      </w:r>
      <w:r w:rsidR="0007601D" w:rsidRPr="009E2BBE">
        <w:t>2020,</w:t>
      </w:r>
      <w:r w:rsidR="00100AB2" w:rsidRPr="009E2BBE">
        <w:t xml:space="preserve"> &lt;https://qcto.org.za/index.php?option=com_edocman&amp;view=category&amp;layout=table&amp;id=394&amp;Itemid=687&gt;.</w:t>
      </w:r>
    </w:p>
    <w:p w14:paraId="71B3985A" w14:textId="51BD3D96" w:rsidR="00D84F66" w:rsidRPr="009E2BBE" w:rsidRDefault="00D84F66" w:rsidP="001F1115">
      <w:pPr>
        <w:pStyle w:val="References"/>
      </w:pPr>
      <w:r w:rsidRPr="009E2BBE">
        <w:t xml:space="preserve">Red Seal 2020, </w:t>
      </w:r>
      <w:r w:rsidR="00A26B8A" w:rsidRPr="009E2BBE">
        <w:t>‘</w:t>
      </w:r>
      <w:r w:rsidRPr="009E2BBE">
        <w:t>Updating occupational standards</w:t>
      </w:r>
      <w:r w:rsidR="00A26B8A" w:rsidRPr="009E2BBE">
        <w:t>’</w:t>
      </w:r>
      <w:r w:rsidRPr="009E2BBE">
        <w:t>, viewed September 2020, &lt;http://www.red-seal.ca/others/iesr/p-07-.5pd.1t.3ng-.4s-eng.html&gt;.</w:t>
      </w:r>
    </w:p>
    <w:p w14:paraId="644AF582" w14:textId="7FC4CA5D" w:rsidR="00226F10" w:rsidRPr="009E2BBE" w:rsidRDefault="00226F10" w:rsidP="00A22814">
      <w:pPr>
        <w:pStyle w:val="References"/>
      </w:pPr>
      <w:proofErr w:type="spellStart"/>
      <w:r w:rsidRPr="009E2BBE">
        <w:t>Renold</w:t>
      </w:r>
      <w:proofErr w:type="spellEnd"/>
      <w:r w:rsidRPr="009E2BBE">
        <w:t xml:space="preserve">, U, </w:t>
      </w:r>
      <w:proofErr w:type="spellStart"/>
      <w:r w:rsidRPr="009E2BBE">
        <w:t>Bolli</w:t>
      </w:r>
      <w:proofErr w:type="spellEnd"/>
      <w:r w:rsidRPr="009E2BBE">
        <w:t xml:space="preserve">, T, Caves, K, </w:t>
      </w:r>
      <w:proofErr w:type="spellStart"/>
      <w:r w:rsidRPr="009E2BBE">
        <w:t>Bürgi</w:t>
      </w:r>
      <w:proofErr w:type="spellEnd"/>
      <w:r w:rsidRPr="009E2BBE">
        <w:t xml:space="preserve">, J, Egg, M, Kemper, J &amp; </w:t>
      </w:r>
      <w:proofErr w:type="spellStart"/>
      <w:r w:rsidRPr="009E2BBE">
        <w:t>Rageth</w:t>
      </w:r>
      <w:proofErr w:type="spellEnd"/>
      <w:r w:rsidRPr="009E2BBE">
        <w:t>, L 2016, Feasibility study for a curriculum comparison in vocational education and training, intermediary report II: Education-Employment Linkage Index, No.80, KOF Swiss Economic Institute, Zurich.</w:t>
      </w:r>
    </w:p>
    <w:p w14:paraId="73A484BB" w14:textId="79B3081B" w:rsidR="00D41477" w:rsidRPr="009E2BBE" w:rsidRDefault="00A26B8A" w:rsidP="00A22814">
      <w:pPr>
        <w:pStyle w:val="References"/>
      </w:pPr>
      <w:r w:rsidRPr="009E2BBE">
        <w:t>South African Qualifications Authority (</w:t>
      </w:r>
      <w:r w:rsidR="00D41477" w:rsidRPr="009E2BBE">
        <w:t>SAQA</w:t>
      </w:r>
      <w:r w:rsidRPr="009E2BBE">
        <w:t>)</w:t>
      </w:r>
      <w:r w:rsidR="00D41477" w:rsidRPr="009E2BBE">
        <w:t xml:space="preserve"> 2020, </w:t>
      </w:r>
      <w:r w:rsidRPr="009E2BBE">
        <w:t>‘</w:t>
      </w:r>
      <w:r w:rsidR="00D41477" w:rsidRPr="009E2BBE">
        <w:t xml:space="preserve">Policy and </w:t>
      </w:r>
      <w:r w:rsidRPr="009E2BBE">
        <w:t xml:space="preserve">criteria for the registration of qualifications and part-qualifications </w:t>
      </w:r>
      <w:r w:rsidR="00D41477" w:rsidRPr="009E2BBE">
        <w:t>on the National Qualifications Framework (</w:t>
      </w:r>
      <w:r w:rsidRPr="009E2BBE">
        <w:t>a</w:t>
      </w:r>
      <w:r w:rsidR="00D41477" w:rsidRPr="009E2BBE">
        <w:t>s amended 2020)</w:t>
      </w:r>
      <w:r w:rsidRPr="009E2BBE">
        <w:t>’</w:t>
      </w:r>
      <w:r w:rsidR="00D41477" w:rsidRPr="009E2BBE">
        <w:t xml:space="preserve">, SAQA, Pretoria, viewed </w:t>
      </w:r>
      <w:r w:rsidR="00B96B3E" w:rsidRPr="009E2BBE">
        <w:t xml:space="preserve">September </w:t>
      </w:r>
      <w:r w:rsidR="0007601D" w:rsidRPr="009E2BBE">
        <w:t>2020,</w:t>
      </w:r>
      <w:r w:rsidR="00D41477" w:rsidRPr="009E2BBE">
        <w:t xml:space="preserve"> &lt;https://www.saqa.org.za/documents/policies-and-criteria/policy-and-criteria-registration-qualifications-and-part-qualifications&gt;.</w:t>
      </w:r>
    </w:p>
    <w:p w14:paraId="5B2F8D38" w14:textId="75CE63A4" w:rsidR="00A22814" w:rsidRPr="009E2BBE" w:rsidRDefault="00DC01DB" w:rsidP="00A22814">
      <w:pPr>
        <w:pStyle w:val="References"/>
      </w:pPr>
      <w:r w:rsidRPr="009E2BBE">
        <w:t xml:space="preserve">Scottish Qualifications Authority </w:t>
      </w:r>
      <w:r w:rsidR="00A26B8A" w:rsidRPr="009E2BBE">
        <w:t xml:space="preserve">(SQA) </w:t>
      </w:r>
      <w:r w:rsidR="00A22814" w:rsidRPr="009E2BBE">
        <w:t xml:space="preserve">2018a, </w:t>
      </w:r>
      <w:r w:rsidR="00A22814" w:rsidRPr="009E2BBE">
        <w:rPr>
          <w:i/>
          <w:iCs/>
        </w:rPr>
        <w:t>Guide to Scottish Vocational Qualifications (SVQs)</w:t>
      </w:r>
      <w:r w:rsidR="00A22814" w:rsidRPr="009E2BBE">
        <w:t xml:space="preserve">, Scottish Qualifications Authority, Glasgow, viewed </w:t>
      </w:r>
      <w:r w:rsidR="00B96B3E" w:rsidRPr="009E2BBE">
        <w:t xml:space="preserve">September </w:t>
      </w:r>
      <w:r w:rsidR="0007601D" w:rsidRPr="009E2BBE">
        <w:t>2020,</w:t>
      </w:r>
      <w:r w:rsidR="00A22814" w:rsidRPr="009E2BBE">
        <w:t xml:space="preserve"> &lt;https://www.sqa.org.uk/sqa/files_ccc/GuideToSVQs.pdf&gt;.</w:t>
      </w:r>
    </w:p>
    <w:p w14:paraId="1B6B0DD0" w14:textId="2DAC3D95" w:rsidR="00DC01DB" w:rsidRPr="009E2BBE" w:rsidRDefault="00A26B8A" w:rsidP="001F1115">
      <w:pPr>
        <w:pStyle w:val="References"/>
      </w:pPr>
      <w:r w:rsidRPr="009E2BBE">
        <w:t>——</w:t>
      </w:r>
      <w:r w:rsidR="00DC01DB" w:rsidRPr="009E2BBE">
        <w:t>201</w:t>
      </w:r>
      <w:r w:rsidR="00A22814" w:rsidRPr="009E2BBE">
        <w:t>8b</w:t>
      </w:r>
      <w:r w:rsidR="00233594" w:rsidRPr="009E2BBE">
        <w:t xml:space="preserve">, </w:t>
      </w:r>
      <w:r w:rsidR="00233594" w:rsidRPr="009E2BBE">
        <w:rPr>
          <w:i/>
          <w:iCs/>
        </w:rPr>
        <w:t>Developing Scottish qualifications products for approval: a guide for standard setting organisations</w:t>
      </w:r>
      <w:r w:rsidR="00233594" w:rsidRPr="009E2BBE">
        <w:t>,</w:t>
      </w:r>
      <w:r w:rsidR="00233594" w:rsidRPr="009E2BBE">
        <w:rPr>
          <w:i/>
          <w:iCs/>
        </w:rPr>
        <w:t xml:space="preserve"> </w:t>
      </w:r>
      <w:r w:rsidR="00233594" w:rsidRPr="009E2BBE">
        <w:t xml:space="preserve">Scottish Qualifications Authority, Glasgow, viewed </w:t>
      </w:r>
      <w:r w:rsidR="00B96B3E" w:rsidRPr="009E2BBE">
        <w:t xml:space="preserve">September </w:t>
      </w:r>
      <w:r w:rsidR="0007601D" w:rsidRPr="009E2BBE">
        <w:t>2020,</w:t>
      </w:r>
      <w:r w:rsidR="00A22814" w:rsidRPr="009E2BBE">
        <w:t xml:space="preserve"> &lt;https://accreditation.sqa.org.uk/accreditation/accreditationfiles/Quals/Developing_Scottish_Qualification_Products_for_Approval_2018.pdf&gt;.</w:t>
      </w:r>
    </w:p>
    <w:p w14:paraId="2795870E" w14:textId="0470FE94" w:rsidR="00DC01DB" w:rsidRPr="009E2BBE" w:rsidRDefault="00A26B8A" w:rsidP="001F1115">
      <w:pPr>
        <w:pStyle w:val="References"/>
      </w:pPr>
      <w:r w:rsidRPr="009E2BBE">
        <w:t>——</w:t>
      </w:r>
      <w:r w:rsidR="00DC01DB" w:rsidRPr="009E2BBE">
        <w:t>2018</w:t>
      </w:r>
      <w:r w:rsidR="00A22814" w:rsidRPr="009E2BBE">
        <w:t>c</w:t>
      </w:r>
      <w:r w:rsidR="00233594" w:rsidRPr="009E2BBE">
        <w:t xml:space="preserve">, </w:t>
      </w:r>
      <w:r w:rsidR="00233594" w:rsidRPr="009E2BBE">
        <w:rPr>
          <w:i/>
          <w:iCs/>
        </w:rPr>
        <w:t>Developing qualifications for accreditation: a guide for awarding bodies</w:t>
      </w:r>
      <w:r w:rsidR="00233594" w:rsidRPr="009E2BBE">
        <w:t xml:space="preserve">, Scottish Qualifications Authority, Glasgow, viewed </w:t>
      </w:r>
      <w:r w:rsidR="00B96B3E" w:rsidRPr="009E2BBE">
        <w:t>September</w:t>
      </w:r>
      <w:r w:rsidR="00233594" w:rsidRPr="009E2BBE">
        <w:t xml:space="preserve"> </w:t>
      </w:r>
      <w:r w:rsidR="0007601D" w:rsidRPr="009E2BBE">
        <w:t>2020,</w:t>
      </w:r>
      <w:r w:rsidR="00DC01DB" w:rsidRPr="009E2BBE">
        <w:t xml:space="preserve"> </w:t>
      </w:r>
      <w:r w:rsidR="00233594" w:rsidRPr="009E2BBE">
        <w:t>&lt;</w:t>
      </w:r>
      <w:hyperlink r:id="rId44" w:history="1">
        <w:r w:rsidR="00B47A97" w:rsidRPr="009E2BBE">
          <w:rPr>
            <w:rStyle w:val="Hyperlink"/>
            <w:sz w:val="18"/>
          </w:rPr>
          <w:t>https://accreditation.sqa.org.uk/accreditation/accreditationfiles/Quals/Developing_Qualifications_for_Accreditation_2018.pdf</w:t>
        </w:r>
      </w:hyperlink>
      <w:r w:rsidR="00233594" w:rsidRPr="009E2BBE">
        <w:t>&gt;.</w:t>
      </w:r>
    </w:p>
    <w:p w14:paraId="4CC107D7" w14:textId="1A849CB2" w:rsidR="00D84F66" w:rsidRPr="009E2BBE" w:rsidRDefault="00D84F66" w:rsidP="001F1115">
      <w:pPr>
        <w:pStyle w:val="References"/>
      </w:pPr>
      <w:r w:rsidRPr="009E2BBE">
        <w:t xml:space="preserve">Seneca College 2020, </w:t>
      </w:r>
      <w:r w:rsidR="00A26B8A" w:rsidRPr="009E2BBE">
        <w:t>‘</w:t>
      </w:r>
      <w:r w:rsidRPr="009E2BBE">
        <w:t xml:space="preserve">Program </w:t>
      </w:r>
      <w:r w:rsidR="00A26B8A" w:rsidRPr="009E2BBE">
        <w:t>advisory committees’</w:t>
      </w:r>
      <w:r w:rsidRPr="009E2BBE">
        <w:t>, viewed September 2020, &lt;https://www.senecacollege.ca/about/advisory/committees.html&gt;.</w:t>
      </w:r>
    </w:p>
    <w:p w14:paraId="562B3630" w14:textId="236600AD" w:rsidR="00AB4055" w:rsidRPr="009E2BBE" w:rsidRDefault="00AB4055" w:rsidP="00AB4055">
      <w:pPr>
        <w:pStyle w:val="References"/>
      </w:pPr>
      <w:r w:rsidRPr="009E2BBE">
        <w:t xml:space="preserve">Singapore Ministry of Trade and Industry 2020, </w:t>
      </w:r>
      <w:r w:rsidR="00A26B8A" w:rsidRPr="009E2BBE">
        <w:t>‘</w:t>
      </w:r>
      <w:r w:rsidRPr="009E2BBE">
        <w:t>The Future Economy Council</w:t>
      </w:r>
      <w:r w:rsidR="00A26B8A" w:rsidRPr="009E2BBE">
        <w:t>’</w:t>
      </w:r>
      <w:r w:rsidRPr="009E2BBE">
        <w:t>, viewed September 2020, &lt;https://www.mti.gov.sg/FutureEconomy/Economic-Clusters&gt;.</w:t>
      </w:r>
    </w:p>
    <w:p w14:paraId="42803A7C" w14:textId="57F9BA98" w:rsidR="00A26B8A" w:rsidRPr="009E2BBE" w:rsidRDefault="00A26B8A" w:rsidP="00AB4055">
      <w:pPr>
        <w:pStyle w:val="References"/>
      </w:pPr>
      <w:r w:rsidRPr="009E2BBE">
        <w:t>Skills Development Scotland Co. Ltd 2020, ‘About NOS’, viewed September 2020, &lt;</w:t>
      </w:r>
      <w:hyperlink r:id="rId45" w:history="1">
        <w:r w:rsidRPr="009E2BBE">
          <w:rPr>
            <w:rStyle w:val="Hyperlink"/>
            <w:sz w:val="18"/>
          </w:rPr>
          <w:t>https://www.ukstandards.org.uk/About-nos</w:t>
        </w:r>
      </w:hyperlink>
      <w:r w:rsidRPr="009E2BBE">
        <w:t>&gt;.</w:t>
      </w:r>
    </w:p>
    <w:p w14:paraId="74D5F4AB" w14:textId="71A5763F" w:rsidR="00D84F66" w:rsidRPr="009E2BBE" w:rsidRDefault="00D84F66" w:rsidP="00D84F66">
      <w:pPr>
        <w:pStyle w:val="References"/>
      </w:pPr>
      <w:proofErr w:type="spellStart"/>
      <w:r w:rsidRPr="009E2BBE">
        <w:t>SkillsFuture</w:t>
      </w:r>
      <w:proofErr w:type="spellEnd"/>
      <w:r w:rsidRPr="009E2BBE">
        <w:t xml:space="preserve"> Singapore 2020, </w:t>
      </w:r>
      <w:r w:rsidR="00A26B8A" w:rsidRPr="009E2BBE">
        <w:t>‘</w:t>
      </w:r>
      <w:r w:rsidRPr="009E2BBE">
        <w:t xml:space="preserve">Overview of </w:t>
      </w:r>
      <w:r w:rsidR="00A26B8A" w:rsidRPr="009E2BBE">
        <w:t>technical skills and competencies’</w:t>
      </w:r>
      <w:r w:rsidRPr="009E2BBE">
        <w:t>, viewed September 2020, &lt;https://www.skillsfuture.sg/-/media/SkillsFuture/Initiatives/Files/SF-for-Human-Resource/iv-TSCGSC/TSC_overview_20180524.pdf?la=en&gt;.</w:t>
      </w:r>
    </w:p>
    <w:p w14:paraId="4F184692" w14:textId="30EBF897" w:rsidR="00D84F66" w:rsidRPr="009E2BBE" w:rsidRDefault="00A26B8A" w:rsidP="00D84F66">
      <w:pPr>
        <w:pStyle w:val="References"/>
      </w:pPr>
      <w:r w:rsidRPr="009E2BBE">
        <w:t>——</w:t>
      </w:r>
      <w:r w:rsidR="00D84F66" w:rsidRPr="009E2BBE">
        <w:t xml:space="preserve">2020, </w:t>
      </w:r>
      <w:r w:rsidRPr="009E2BBE">
        <w:t>‘</w:t>
      </w:r>
      <w:r w:rsidR="00D84F66" w:rsidRPr="009E2BBE">
        <w:t>Singapore workforce skills qualifications (WSQ)</w:t>
      </w:r>
      <w:r w:rsidRPr="009E2BBE">
        <w:t>’</w:t>
      </w:r>
      <w:r w:rsidR="00D84F66" w:rsidRPr="009E2BBE">
        <w:t>, viewed September 2020, &lt;https://www.ssg.gov.sg/wsq.html&gt;.</w:t>
      </w:r>
    </w:p>
    <w:p w14:paraId="39959BDB" w14:textId="2361BC82" w:rsidR="00D84F66" w:rsidRPr="009E2BBE" w:rsidRDefault="00A26B8A" w:rsidP="00D84F66">
      <w:pPr>
        <w:pStyle w:val="References"/>
      </w:pPr>
      <w:r w:rsidRPr="009E2BBE">
        <w:t>——</w:t>
      </w:r>
      <w:r w:rsidR="00D84F66" w:rsidRPr="009E2BBE">
        <w:t xml:space="preserve">2020, </w:t>
      </w:r>
      <w:r w:rsidRPr="009E2BBE">
        <w:t>‘</w:t>
      </w:r>
      <w:r w:rsidR="00D84F66" w:rsidRPr="009E2BBE">
        <w:t xml:space="preserve">Skills map </w:t>
      </w:r>
      <w:r w:rsidRPr="009E2BBE">
        <w:t>—</w:t>
      </w:r>
      <w:r w:rsidR="00D84F66" w:rsidRPr="009E2BBE">
        <w:t xml:space="preserve"> sales associate/brand associate</w:t>
      </w:r>
      <w:r w:rsidRPr="009E2BBE">
        <w:t>’</w:t>
      </w:r>
      <w:r w:rsidR="00D84F66" w:rsidRPr="009E2BBE">
        <w:t>, viewed September 2020, &lt;https://www.skillsfuture.sg/skills-framework/retail&gt;.</w:t>
      </w:r>
    </w:p>
    <w:p w14:paraId="325F5B39" w14:textId="499142DA" w:rsidR="00C764D0" w:rsidRPr="009E2BBE" w:rsidRDefault="00C764D0" w:rsidP="00C764D0">
      <w:pPr>
        <w:pStyle w:val="References"/>
      </w:pPr>
      <w:r w:rsidRPr="009E2BBE">
        <w:t xml:space="preserve">SQA Accreditation 2020, </w:t>
      </w:r>
      <w:r w:rsidR="00A26B8A" w:rsidRPr="009E2BBE">
        <w:t>‘</w:t>
      </w:r>
      <w:r w:rsidRPr="009E2BBE">
        <w:t xml:space="preserve">Accredited </w:t>
      </w:r>
      <w:r w:rsidR="00A26B8A" w:rsidRPr="009E2BBE">
        <w:t>qualification zero uptake policy’</w:t>
      </w:r>
      <w:r w:rsidRPr="009E2BBE">
        <w:rPr>
          <w:i/>
          <w:iCs/>
        </w:rPr>
        <w:t xml:space="preserve">, </w:t>
      </w:r>
      <w:r w:rsidRPr="009E2BBE">
        <w:t xml:space="preserve">SQA Accreditation, viewed </w:t>
      </w:r>
      <w:r w:rsidR="00B96B3E" w:rsidRPr="009E2BBE">
        <w:t>September</w:t>
      </w:r>
      <w:r w:rsidRPr="009E2BBE">
        <w:t xml:space="preserve"> </w:t>
      </w:r>
      <w:r w:rsidR="0007601D" w:rsidRPr="009E2BBE">
        <w:t>2020,</w:t>
      </w:r>
      <w:r w:rsidRPr="009E2BBE">
        <w:t xml:space="preserve"> &lt;https://accreditation.sqa.org.uk/accreditation/accreditationfiles/Policies/200128_Zero_Uptake_Policy_V7.pd</w:t>
      </w:r>
      <w:r w:rsidR="00B47A97" w:rsidRPr="009E2BBE">
        <w:t>f</w:t>
      </w:r>
      <w:r w:rsidRPr="009E2BBE">
        <w:t>&gt;.</w:t>
      </w:r>
    </w:p>
    <w:p w14:paraId="16CB180E" w14:textId="77777777" w:rsidR="00A26B8A" w:rsidRPr="009E2BBE" w:rsidRDefault="00A26B8A" w:rsidP="00A26B8A">
      <w:pPr>
        <w:pStyle w:val="References"/>
      </w:pPr>
      <w:r w:rsidRPr="009E2BBE">
        <w:t>UNESCO-UNEVOC International Centre for Technical and Vocational Education and Training</w:t>
      </w:r>
      <w:r w:rsidRPr="009E2BBE">
        <w:cr/>
        <w:t xml:space="preserve">2015, </w:t>
      </w:r>
      <w:r w:rsidRPr="009E2BBE">
        <w:rPr>
          <w:i/>
          <w:iCs/>
        </w:rPr>
        <w:t>World TVET Database United States of America</w:t>
      </w:r>
      <w:r w:rsidRPr="009E2BBE">
        <w:t>, UNESCO, Bonn, viewed September 2020, &lt;</w:t>
      </w:r>
      <w:hyperlink r:id="rId46" w:history="1">
        <w:r w:rsidRPr="009E2BBE">
          <w:rPr>
            <w:rStyle w:val="Hyperlink"/>
            <w:sz w:val="18"/>
          </w:rPr>
          <w:t>https://unevoc.unesco.org/wtdb/worldtvetdatabase_usa_en.pdf</w:t>
        </w:r>
      </w:hyperlink>
      <w:r w:rsidRPr="009E2BBE">
        <w:t>&gt;.</w:t>
      </w:r>
    </w:p>
    <w:p w14:paraId="37AEDB0B" w14:textId="75DFC2C6" w:rsidR="00B96B3E" w:rsidRPr="009E2BBE" w:rsidRDefault="00B96B3E" w:rsidP="00B96B3E">
      <w:pPr>
        <w:pStyle w:val="References"/>
      </w:pPr>
      <w:r w:rsidRPr="009E2BBE">
        <w:t>U</w:t>
      </w:r>
      <w:r w:rsidR="00A26B8A" w:rsidRPr="009E2BBE">
        <w:t>nited Kingdom</w:t>
      </w:r>
      <w:r w:rsidRPr="009E2BBE">
        <w:t xml:space="preserve"> Department of Education 2020, </w:t>
      </w:r>
      <w:r w:rsidR="00A26B8A" w:rsidRPr="009E2BBE">
        <w:t>‘</w:t>
      </w:r>
      <w:r w:rsidRPr="009E2BBE">
        <w:t>Major overhaul of higher technical education announced</w:t>
      </w:r>
      <w:r w:rsidR="00A26B8A" w:rsidRPr="009E2BBE">
        <w:t>’,</w:t>
      </w:r>
      <w:r w:rsidRPr="009E2BBE">
        <w:t xml:space="preserve"> </w:t>
      </w:r>
      <w:r w:rsidR="00A26B8A" w:rsidRPr="009E2BBE">
        <w:t>p</w:t>
      </w:r>
      <w:r w:rsidRPr="009E2BBE">
        <w:t xml:space="preserve">ress </w:t>
      </w:r>
      <w:r w:rsidR="00A26B8A" w:rsidRPr="009E2BBE">
        <w:t>r</w:t>
      </w:r>
      <w:r w:rsidRPr="009E2BBE">
        <w:t>elease</w:t>
      </w:r>
      <w:r w:rsidR="00A26B8A" w:rsidRPr="009E2BBE">
        <w:t>,</w:t>
      </w:r>
      <w:r w:rsidRPr="009E2BBE">
        <w:t xml:space="preserve"> 14 July 2020, viewed September </w:t>
      </w:r>
      <w:r w:rsidR="0007601D" w:rsidRPr="009E2BBE">
        <w:t>2020,</w:t>
      </w:r>
      <w:r w:rsidRPr="009E2BBE">
        <w:t xml:space="preserve"> &lt;https://www.gov.uk/government/news/major-overhaul-of-higher-technical-education-announced&gt;.</w:t>
      </w:r>
    </w:p>
    <w:p w14:paraId="19EBE525" w14:textId="40C1A508" w:rsidR="00286D02" w:rsidRPr="009E2BBE" w:rsidRDefault="00286D02" w:rsidP="00286D02">
      <w:pPr>
        <w:pStyle w:val="References"/>
      </w:pPr>
      <w:r w:rsidRPr="009E2BBE">
        <w:t>U</w:t>
      </w:r>
      <w:r w:rsidR="00A26B8A" w:rsidRPr="009E2BBE">
        <w:t>nited Kingdom</w:t>
      </w:r>
      <w:r w:rsidRPr="009E2BBE">
        <w:t xml:space="preserve"> Independent Panel on Technical Education 2016, </w:t>
      </w:r>
      <w:r w:rsidRPr="009E2BBE">
        <w:rPr>
          <w:i/>
        </w:rPr>
        <w:t>Report of the Independent Panel on Technical Education (Sainsbury review)</w:t>
      </w:r>
      <w:r w:rsidRPr="009E2BBE">
        <w:t>, UK Department for Business, Innovation and Skills, London.</w:t>
      </w:r>
    </w:p>
    <w:p w14:paraId="6CB41E95" w14:textId="18879F9D" w:rsidR="00AB4055" w:rsidRPr="009E2BBE" w:rsidRDefault="00AB4055" w:rsidP="00AB4055">
      <w:pPr>
        <w:pStyle w:val="References"/>
      </w:pPr>
      <w:r w:rsidRPr="009E2BBE">
        <w:t>U</w:t>
      </w:r>
      <w:r w:rsidR="00A26B8A" w:rsidRPr="009E2BBE">
        <w:t>nited Kingdom</w:t>
      </w:r>
      <w:r w:rsidRPr="009E2BBE">
        <w:t xml:space="preserve"> Post-18 Education and Funding Review Panel 2019, </w:t>
      </w:r>
      <w:r w:rsidR="00A26B8A" w:rsidRPr="009E2BBE">
        <w:t>‘</w:t>
      </w:r>
      <w:r w:rsidRPr="009E2BBE">
        <w:t>Independent panel report to the review of post-18 education and funding</w:t>
      </w:r>
      <w:r w:rsidR="00A26B8A" w:rsidRPr="009E2BBE">
        <w:t>’,</w:t>
      </w:r>
      <w:r w:rsidRPr="009E2BBE">
        <w:t xml:space="preserve"> </w:t>
      </w:r>
      <w:proofErr w:type="spellStart"/>
      <w:r w:rsidRPr="009E2BBE">
        <w:t>Augar</w:t>
      </w:r>
      <w:proofErr w:type="spellEnd"/>
      <w:r w:rsidRPr="009E2BBE">
        <w:t xml:space="preserve"> review, Department of Education, London, England, viewed September 2020, &lt;https://www.gov.uk/government/publications/post-18-review-of-education-and-funding-independent-panel-report&gt;.</w:t>
      </w:r>
    </w:p>
    <w:p w14:paraId="1630C7E7" w14:textId="2629CC97" w:rsidR="007C1383" w:rsidRPr="009E2BBE" w:rsidRDefault="007C1383" w:rsidP="007C1383">
      <w:pPr>
        <w:pStyle w:val="References"/>
      </w:pPr>
      <w:r w:rsidRPr="009E2BBE">
        <w:t xml:space="preserve">Wibrow, B 2014, </w:t>
      </w:r>
      <w:r w:rsidRPr="009E2BBE">
        <w:rPr>
          <w:i/>
          <w:iCs/>
        </w:rPr>
        <w:t>Qualification utilisation: occupational outcomes — overview</w:t>
      </w:r>
      <w:r w:rsidRPr="009E2BBE">
        <w:t>, NCVER, Adelaide.</w:t>
      </w:r>
    </w:p>
    <w:p w14:paraId="356EF24A" w14:textId="7992BE0F" w:rsidR="007D7BD8" w:rsidRPr="009E2BBE" w:rsidRDefault="007D7BD8" w:rsidP="001F1115">
      <w:pPr>
        <w:pStyle w:val="References"/>
      </w:pPr>
      <w:r w:rsidRPr="009E2BBE">
        <w:t xml:space="preserve">Wibrow, B &amp; Waugh, J 2020, </w:t>
      </w:r>
      <w:r w:rsidRPr="009E2BBE">
        <w:rPr>
          <w:i/>
          <w:iCs/>
        </w:rPr>
        <w:t>International models to rationalise VET qualifications, including occupational clusters: case studies — support document</w:t>
      </w:r>
      <w:r w:rsidRPr="009E2BBE">
        <w:t>, NCVER, Adelaide.</w:t>
      </w:r>
    </w:p>
    <w:p w14:paraId="0D924402" w14:textId="5A1C64A7" w:rsidR="00753DE6" w:rsidRPr="009E2BBE" w:rsidRDefault="00753DE6" w:rsidP="001F1115">
      <w:pPr>
        <w:pStyle w:val="References"/>
      </w:pPr>
      <w:r w:rsidRPr="009E2BBE">
        <w:t>World Bank 2015, ‘Promoting skills development and job creation in East Asia Project’,</w:t>
      </w:r>
      <w:r w:rsidR="00226F10" w:rsidRPr="009E2BBE">
        <w:t xml:space="preserve"> World Bank,</w:t>
      </w:r>
      <w:r w:rsidRPr="009E2BBE">
        <w:t xml:space="preserve"> </w:t>
      </w:r>
      <w:r w:rsidR="00226F10" w:rsidRPr="009E2BBE">
        <w:t>viewed January 2020, &lt;http://documents1.worldbank.org/curated/en/380681508754067096/pdf/120593-WP-P150980-PUBLIC-Singapore-NQF-summary.pdf &gt;.</w:t>
      </w:r>
    </w:p>
    <w:bookmarkEnd w:id="14"/>
    <w:bookmarkEnd w:id="15"/>
    <w:bookmarkEnd w:id="16"/>
    <w:bookmarkEnd w:id="17"/>
    <w:bookmarkEnd w:id="19"/>
    <w:p w14:paraId="41946DBE" w14:textId="48B1BD93" w:rsidR="008E46A2" w:rsidRPr="009E2BBE" w:rsidRDefault="008E46A2" w:rsidP="00DC01DB">
      <w:pPr>
        <w:pStyle w:val="References"/>
        <w:ind w:left="0" w:firstLine="0"/>
      </w:pPr>
    </w:p>
    <w:p w14:paraId="1D1A5CFE" w14:textId="77777777" w:rsidR="00426A80" w:rsidRPr="009E2BBE" w:rsidRDefault="00426A80">
      <w:pPr>
        <w:spacing w:before="0" w:line="240" w:lineRule="auto"/>
        <w:rPr>
          <w:sz w:val="18"/>
        </w:rPr>
      </w:pPr>
    </w:p>
    <w:p w14:paraId="65C29541" w14:textId="7E639D36" w:rsidR="008E46A2" w:rsidRPr="009E2BBE" w:rsidRDefault="008E46A2">
      <w:pPr>
        <w:spacing w:before="0" w:line="240" w:lineRule="auto"/>
        <w:rPr>
          <w:sz w:val="18"/>
        </w:rPr>
      </w:pPr>
    </w:p>
    <w:sectPr w:rsidR="008E46A2" w:rsidRPr="009E2BBE" w:rsidSect="00371F8A">
      <w:headerReference w:type="even" r:id="rId47"/>
      <w:headerReference w:type="default" r:id="rId48"/>
      <w:footerReference w:type="even" r:id="rId49"/>
      <w:footerReference w:type="default" r:id="rId50"/>
      <w:headerReference w:type="first" r:id="rId51"/>
      <w:pgSz w:w="11907" w:h="16840" w:code="9"/>
      <w:pgMar w:top="1276" w:right="1418" w:bottom="992" w:left="1418"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5B0C7" w14:textId="77777777" w:rsidR="00784BED" w:rsidRDefault="00784BED">
      <w:r>
        <w:separator/>
      </w:r>
    </w:p>
  </w:endnote>
  <w:endnote w:type="continuationSeparator" w:id="0">
    <w:p w14:paraId="75B94D6E" w14:textId="77777777" w:rsidR="00784BED" w:rsidRDefault="0078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KLFD I+ Garamond">
    <w:altName w:val="Garamond"/>
    <w:panose1 w:val="00000000000000000000"/>
    <w:charset w:val="00"/>
    <w:family w:val="roman"/>
    <w:notTrueType/>
    <w:pitch w:val="default"/>
    <w:sig w:usb0="00000003" w:usb1="00000000" w:usb2="00000000" w:usb3="00000000" w:csb0="00000001" w:csb1="00000000"/>
  </w:font>
  <w:font w:name="HPUOYX+GillSans-LightItalic">
    <w:altName w:val="Calibri"/>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ant 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A077D" w14:textId="77777777" w:rsidR="00784BED" w:rsidRDefault="00784BED">
    <w:pPr>
      <w:pStyle w:val="Footer"/>
    </w:pPr>
    <w:r>
      <w:rPr>
        <w:noProof/>
        <w:lang w:eastAsia="en-AU"/>
      </w:rPr>
      <mc:AlternateContent>
        <mc:Choice Requires="wps">
          <w:drawing>
            <wp:anchor distT="0" distB="0" distL="114300" distR="114300" simplePos="0" relativeHeight="251659264" behindDoc="0" locked="0" layoutInCell="1" allowOverlap="1" wp14:anchorId="7E9C5EFD" wp14:editId="4FF5004D">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506ED" w14:textId="77777777" w:rsidR="00784BED" w:rsidRPr="00A9334E" w:rsidRDefault="00784BED" w:rsidP="00D9094A">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00976713" w14:textId="77777777" w:rsidR="00784BED" w:rsidRDefault="00784BED" w:rsidP="00D9094A"/>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C5EFD" id="_x0000_t202" coordsize="21600,21600" o:spt="202" path="m,l,21600r21600,l21600,xe">
              <v:stroke joinstyle="miter"/>
              <v:path gradientshapeok="t" o:connecttype="rect"/>
            </v:shapetype>
            <v:shape id="Text Box 5" o:spid="_x0000_s1028" type="#_x0000_t202" style="position:absolute;margin-left:-20.8pt;margin-top:-800.1pt;width:87pt;height: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i8gEAAMsDAAAOAAAAZHJzL2Uyb0RvYy54bWysU9tu2zAMfR+wfxD0vtgOclmMOEXXosOA&#10;7gK0+wBalmJhtqhJSuz8/Sg5TbPtbdiLIF50eEgebW/GvmNH6bxGU/FilnMmjcBGm33Fvz8/vHvP&#10;mQ9gGujQyIqfpOc3u7dvtoMt5Rxb7BrpGIEYXw624m0ItswyL1rZg5+hlYaCCl0PgUy3zxoHA6H3&#10;XTbP81U2oGusQyG9J+/9FOS7hK+UFOGrUl4G1lWcuIV0unTW8cx2Wyj3DmyrxZkG/AOLHrShoheo&#10;ewjADk7/BdVr4dCjCjOBfYZKaSFTD9RNkf/RzVMLVqZeaDjeXsbk/x+s+HL85phuKr7kzEBPK3qW&#10;Y2AfcGTLOJ3B+pKSniylhZHctOXUqbePKH54ZvCuBbOXt87h0EpoiF0RX2ZXTyccH0Hq4TM2VAYO&#10;ARPQqFwfR0fDYIROWzpdNhOpiFiyyBebnEKCYkW+Xm1WZMUiUL68t86HjxJ7Fi8Vd7T7hA/HRx+m&#10;1JeUWM7gg+468kPZmd8chBk9iX+kPJEPYz1SdmyqxuZEnTic5ETyp0s852uiOJCaKu5/HsBJzrpP&#10;hgayKRaLKL9kLJbrORnuOlJfR8CIFkmkgbPpehcmyR6s0/uWik0rMHhLQ1Q6dfdK7EydFJPmc1Z3&#10;lOS1nbJe/+DuFwAAAP//AwBQSwMEFAAGAAgAAAAhABoaXp3jAAAADAEAAA8AAABkcnMvZG93bnJl&#10;di54bWxMj8FOwzAMhu9IvENkJG5b0m5UozSdEIhJXNDWwYFb2pi2onFKk63d25Odtpstf/r9/dl6&#10;Mh074uBaSxKiuQCGVFndUi3hc/82WwFzXpFWnSWUcEIH6/z2JlOptiPt8Fj4moUQcqmS0Hjfp5y7&#10;qkGj3Nz2SOH2YwejfFiHmutBjSHcdDwWIuFGtRQ+NKrHlwar3+JgJHyVH6du1y++RTu+b6fN37Z4&#10;3dRS3t9Nz0/APE7+AsNZP6hDHpxKeyDtWCdhtoySgIYhSoSIgZ2ZRbwEVkp4fFgBzzN+XSL/BwAA&#10;//8DAFBLAQItABQABgAIAAAAIQC2gziS/gAAAOEBAAATAAAAAAAAAAAAAAAAAAAAAABbQ29udGVu&#10;dF9UeXBlc10ueG1sUEsBAi0AFAAGAAgAAAAhADj9If/WAAAAlAEAAAsAAAAAAAAAAAAAAAAALwEA&#10;AF9yZWxzLy5yZWxzUEsBAi0AFAAGAAgAAAAhAGUb86LyAQAAywMAAA4AAAAAAAAAAAAAAAAALgIA&#10;AGRycy9lMm9Eb2MueG1sUEsBAi0AFAAGAAgAAAAhABoaXp3jAAAADAEAAA8AAAAAAAAAAAAAAAAA&#10;TAQAAGRycy9kb3ducmV2LnhtbFBLBQYAAAAABAAEAPMAAABcBQAAAAA=&#10;" filled="f" stroked="f">
              <v:textbox style="layout-flow:vertical;mso-layout-flow-alt:bottom-to-top">
                <w:txbxContent>
                  <w:p w14:paraId="0C7506ED" w14:textId="77777777" w:rsidR="00784BED" w:rsidRPr="00A9334E" w:rsidRDefault="00784BED" w:rsidP="00D9094A">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00976713" w14:textId="77777777" w:rsidR="00784BED" w:rsidRDefault="00784BED" w:rsidP="00D9094A"/>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BC917" w14:textId="45A9CA13" w:rsidR="00784BED" w:rsidRPr="0007272F" w:rsidRDefault="00784BED" w:rsidP="0007272F">
    <w:pPr>
      <w:pStyle w:val="Footer"/>
      <w:tabs>
        <w:tab w:val="clear" w:pos="8505"/>
        <w:tab w:val="right" w:pos="9071"/>
      </w:tabs>
      <w:rPr>
        <w:rFonts w:cs="Arial"/>
      </w:rPr>
    </w:pPr>
    <w:r w:rsidRPr="00CA52CD">
      <w:rPr>
        <w:rFonts w:cs="Arial"/>
      </w:rPr>
      <w:t>International models to streamline VET qualifications: case studies</w:t>
    </w:r>
    <w:r w:rsidRPr="0007272F">
      <w:rPr>
        <w:rFonts w:cs="Arial"/>
      </w:rPr>
      <w:tab/>
      <w:t xml:space="preserve">NCVER | </w:t>
    </w:r>
    <w:r w:rsidRPr="0007272F">
      <w:rPr>
        <w:rStyle w:val="PageNumber"/>
        <w:rFonts w:ascii="Arial" w:hAnsi="Arial" w:cs="Arial"/>
        <w:sz w:val="17"/>
      </w:rPr>
      <w:fldChar w:fldCharType="begin"/>
    </w:r>
    <w:r w:rsidRPr="0007272F">
      <w:rPr>
        <w:rStyle w:val="PageNumber"/>
        <w:rFonts w:ascii="Arial" w:hAnsi="Arial" w:cs="Arial"/>
        <w:sz w:val="17"/>
      </w:rPr>
      <w:instrText xml:space="preserve"> PAGE </w:instrText>
    </w:r>
    <w:r w:rsidRPr="0007272F">
      <w:rPr>
        <w:rStyle w:val="PageNumber"/>
        <w:rFonts w:ascii="Arial" w:hAnsi="Arial" w:cs="Arial"/>
        <w:sz w:val="17"/>
      </w:rPr>
      <w:fldChar w:fldCharType="separate"/>
    </w:r>
    <w:r w:rsidRPr="0007272F">
      <w:rPr>
        <w:rStyle w:val="PageNumber"/>
        <w:rFonts w:ascii="Arial" w:hAnsi="Arial" w:cs="Arial"/>
        <w:sz w:val="17"/>
      </w:rPr>
      <w:t>8</w:t>
    </w:r>
    <w:r w:rsidRPr="0007272F">
      <w:rPr>
        <w:rStyle w:val="PageNumber"/>
        <w:rFonts w:ascii="Arial" w:hAnsi="Arial" w:cs="Arial"/>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8438F" w14:textId="5C775194" w:rsidR="00784BED" w:rsidRPr="002A11C2" w:rsidRDefault="00784BED" w:rsidP="0007272F">
    <w:pPr>
      <w:pStyle w:val="Footer"/>
      <w:tabs>
        <w:tab w:val="clear" w:pos="8505"/>
        <w:tab w:val="right" w:pos="9071"/>
      </w:tabs>
    </w:pPr>
    <w:r w:rsidRPr="00CA52CD">
      <w:t>International models to streamline VET qualifications: case studies</w:t>
    </w:r>
    <w:r w:rsidRPr="002A11C2">
      <w:tab/>
      <w:t xml:space="preserve">NCVER | </w:t>
    </w:r>
    <w:r w:rsidRPr="002A11C2">
      <w:rPr>
        <w:rStyle w:val="PageNumber"/>
        <w:rFonts w:ascii="Arial" w:hAnsi="Arial"/>
        <w:sz w:val="17"/>
      </w:rPr>
      <w:fldChar w:fldCharType="begin"/>
    </w:r>
    <w:r w:rsidRPr="002A11C2">
      <w:rPr>
        <w:rStyle w:val="PageNumber"/>
        <w:rFonts w:ascii="Arial" w:hAnsi="Arial"/>
        <w:sz w:val="17"/>
      </w:rPr>
      <w:instrText xml:space="preserve"> PAGE </w:instrText>
    </w:r>
    <w:r w:rsidRPr="002A11C2">
      <w:rPr>
        <w:rStyle w:val="PageNumber"/>
        <w:rFonts w:ascii="Arial" w:hAnsi="Arial"/>
        <w:sz w:val="17"/>
      </w:rPr>
      <w:fldChar w:fldCharType="separate"/>
    </w:r>
    <w:r w:rsidRPr="002A11C2">
      <w:rPr>
        <w:rStyle w:val="PageNumber"/>
        <w:rFonts w:ascii="Arial" w:hAnsi="Arial"/>
        <w:sz w:val="17"/>
      </w:rPr>
      <w:t>8</w:t>
    </w:r>
    <w:r w:rsidRPr="002A11C2">
      <w:rPr>
        <w:rStyle w:val="PageNumber"/>
        <w:rFonts w:ascii="Arial" w:hAnsi="Arial"/>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A2076" w14:textId="77777777" w:rsidR="00784BED" w:rsidRDefault="00784BED">
      <w:r>
        <w:separator/>
      </w:r>
    </w:p>
  </w:footnote>
  <w:footnote w:type="continuationSeparator" w:id="0">
    <w:p w14:paraId="17EC8E2D" w14:textId="77777777" w:rsidR="00784BED" w:rsidRDefault="00784BED">
      <w:r>
        <w:continuationSeparator/>
      </w:r>
    </w:p>
  </w:footnote>
  <w:footnote w:id="1">
    <w:p w14:paraId="7993CB54" w14:textId="1ED79283" w:rsidR="00784BED" w:rsidRPr="007123E3" w:rsidRDefault="00784BED">
      <w:pPr>
        <w:pStyle w:val="FootnoteText"/>
        <w:rPr>
          <w:lang w:val="en-US"/>
        </w:rPr>
      </w:pPr>
      <w:r w:rsidRPr="00FB0899">
        <w:rPr>
          <w:rStyle w:val="FootnoteReference"/>
          <w:vertAlign w:val="baseline"/>
        </w:rPr>
        <w:footnoteRef/>
      </w:r>
      <w:r>
        <w:t xml:space="preserve"> </w:t>
      </w:r>
      <w:r w:rsidRPr="007123E3">
        <w:t>W</w:t>
      </w:r>
      <w:r w:rsidRPr="00A30639">
        <w:t>ā</w:t>
      </w:r>
      <w:r w:rsidRPr="007123E3">
        <w:t>nanga are tertiary institutions that provide education based on Maori traditions and customs (New Zealand Qualifications Authority 2020).</w:t>
      </w:r>
    </w:p>
  </w:footnote>
  <w:footnote w:id="2">
    <w:p w14:paraId="45556B94" w14:textId="1AD66814" w:rsidR="00784BED" w:rsidRPr="00160914" w:rsidRDefault="00784BED" w:rsidP="00FB0899">
      <w:pPr>
        <w:pStyle w:val="FootnoteText"/>
        <w:spacing w:before="0"/>
        <w:rPr>
          <w:lang w:val="en-US"/>
        </w:rPr>
      </w:pPr>
      <w:r w:rsidRPr="00FB0899">
        <w:rPr>
          <w:rStyle w:val="FootnoteReference"/>
          <w:vertAlign w:val="baseline"/>
        </w:rPr>
        <w:footnoteRef/>
      </w:r>
      <w:r>
        <w:t xml:space="preserve"> </w:t>
      </w:r>
      <w:r>
        <w:tab/>
      </w:r>
      <w:r w:rsidRPr="007A395B">
        <w:t>Rūnanga</w:t>
      </w:r>
      <w:r>
        <w:t xml:space="preserve"> </w:t>
      </w:r>
      <w:r w:rsidRPr="007A395B">
        <w:t>is a</w:t>
      </w:r>
      <w:r>
        <w:t xml:space="preserve"> </w:t>
      </w:r>
      <w:r w:rsidRPr="008A26A1">
        <w:t xml:space="preserve">Māori </w:t>
      </w:r>
      <w:r w:rsidRPr="007A395B">
        <w:t>council, tribal council, assembly, board or boardroom</w:t>
      </w:r>
      <w:r>
        <w:t>.</w:t>
      </w:r>
    </w:p>
  </w:footnote>
  <w:footnote w:id="3">
    <w:p w14:paraId="628965CA" w14:textId="2E63847C" w:rsidR="00784BED" w:rsidRPr="00BF2AC4" w:rsidRDefault="00784BED" w:rsidP="00FB0899">
      <w:pPr>
        <w:pStyle w:val="FootnoteText"/>
        <w:spacing w:before="0"/>
        <w:rPr>
          <w:lang w:val="en-US"/>
        </w:rPr>
      </w:pPr>
      <w:r w:rsidRPr="00FB0899">
        <w:rPr>
          <w:rStyle w:val="FootnoteReference"/>
          <w:vertAlign w:val="baseline"/>
        </w:rPr>
        <w:footnoteRef/>
      </w:r>
      <w:r>
        <w:t xml:space="preserve"> </w:t>
      </w:r>
      <w:r>
        <w:tab/>
      </w:r>
      <w:r w:rsidRPr="008A26A1">
        <w:t xml:space="preserve">Iwi are the largest social units in Aotearoa (New Zealand) Māori society. </w:t>
      </w:r>
    </w:p>
  </w:footnote>
  <w:footnote w:id="4">
    <w:p w14:paraId="3B2EECF1" w14:textId="7A9FB4A1" w:rsidR="00784BED" w:rsidRPr="00ED3895" w:rsidRDefault="00784BED">
      <w:pPr>
        <w:pStyle w:val="FootnoteText"/>
        <w:rPr>
          <w:lang w:val="en-US"/>
        </w:rPr>
      </w:pPr>
      <w:r w:rsidRPr="00FB0899">
        <w:rPr>
          <w:rStyle w:val="FootnoteReference"/>
          <w:vertAlign w:val="baseline"/>
        </w:rPr>
        <w:footnoteRef/>
      </w:r>
      <w:r>
        <w:t xml:space="preserve"> </w:t>
      </w:r>
      <w:r w:rsidRPr="00ED3895">
        <w:t>T Levels</w:t>
      </w:r>
      <w:r>
        <w:t>’</w:t>
      </w:r>
      <w:r w:rsidRPr="00ED3895">
        <w:t xml:space="preserve"> are two-year, technical study programs, available alongside </w:t>
      </w:r>
      <w:r>
        <w:t>‘</w:t>
      </w:r>
      <w:r w:rsidRPr="00ED3895">
        <w:t>A Levels</w:t>
      </w:r>
      <w:r>
        <w:t>’</w:t>
      </w:r>
      <w:r w:rsidRPr="00ED3895">
        <w:t xml:space="preserve"> (academic pathway), and apprenticeships for students who have completed the General Certificate of Secondary Education (GSCE) (Institute for Apprenticeships and Technical Education 2020</w:t>
      </w:r>
      <w:r>
        <w:t>g</w:t>
      </w:r>
      <w:r w:rsidRPr="00ED3895">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DC261" w14:textId="508D1EBE" w:rsidR="00784BED" w:rsidRDefault="00784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5E493" w14:textId="3CC1255A" w:rsidR="00784BED" w:rsidRDefault="00784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C5A52" w14:textId="58C2CE0D" w:rsidR="00784BED" w:rsidRDefault="00784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68E8"/>
    <w:multiLevelType w:val="hybridMultilevel"/>
    <w:tmpl w:val="171C07D0"/>
    <w:lvl w:ilvl="0" w:tplc="B344A4F6">
      <w:start w:val="1"/>
      <w:numFmt w:val="bullet"/>
      <w:lvlText w:val=""/>
      <w:lvlJc w:val="left"/>
      <w:pPr>
        <w:tabs>
          <w:tab w:val="num" w:pos="284"/>
        </w:tabs>
        <w:ind w:left="284" w:hanging="360"/>
      </w:pPr>
      <w:rPr>
        <w:rFonts w:ascii="Wingdings" w:hAnsi="Wingdings" w:hint="default"/>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 w15:restartNumberingAfterBreak="0">
    <w:nsid w:val="01F410EF"/>
    <w:multiLevelType w:val="hybridMultilevel"/>
    <w:tmpl w:val="42146892"/>
    <w:lvl w:ilvl="0" w:tplc="24BA3DD4">
      <w:start w:val="1"/>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AE23179"/>
    <w:multiLevelType w:val="hybridMultilevel"/>
    <w:tmpl w:val="50B80B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4" w15:restartNumberingAfterBreak="0">
    <w:nsid w:val="187F083E"/>
    <w:multiLevelType w:val="hybridMultilevel"/>
    <w:tmpl w:val="C4A0BF16"/>
    <w:lvl w:ilvl="0" w:tplc="0C090005">
      <w:start w:val="1"/>
      <w:numFmt w:val="bullet"/>
      <w:lvlText w:val=""/>
      <w:lvlJc w:val="left"/>
      <w:pPr>
        <w:tabs>
          <w:tab w:val="num" w:pos="720"/>
        </w:tabs>
        <w:ind w:left="720" w:hanging="360"/>
      </w:pPr>
      <w:rPr>
        <w:rFonts w:ascii="Wingdings" w:hAnsi="Wingdings" w:hint="default"/>
      </w:rPr>
    </w:lvl>
    <w:lvl w:ilvl="1" w:tplc="391067CA">
      <w:start w:val="1"/>
      <w:numFmt w:val="bullet"/>
      <w:pStyle w:val="A-Dotpt2"/>
      <w:lvlText w:val=""/>
      <w:lvlJc w:val="left"/>
      <w:pPr>
        <w:tabs>
          <w:tab w:val="num" w:pos="1477"/>
        </w:tabs>
        <w:ind w:left="147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C76E8"/>
    <w:multiLevelType w:val="hybridMultilevel"/>
    <w:tmpl w:val="D00AA7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C2E388D"/>
    <w:multiLevelType w:val="hybridMultilevel"/>
    <w:tmpl w:val="2F88C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07D2C"/>
    <w:multiLevelType w:val="hybridMultilevel"/>
    <w:tmpl w:val="C7E4F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D6442B"/>
    <w:multiLevelType w:val="hybridMultilevel"/>
    <w:tmpl w:val="BD4EE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2D3A76"/>
    <w:multiLevelType w:val="hybridMultilevel"/>
    <w:tmpl w:val="DB0AA2D0"/>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0" w15:restartNumberingAfterBreak="0">
    <w:nsid w:val="368247CE"/>
    <w:multiLevelType w:val="hybridMultilevel"/>
    <w:tmpl w:val="2A988218"/>
    <w:lvl w:ilvl="0" w:tplc="316452FE">
      <w:start w:val="1"/>
      <w:numFmt w:val="bullet"/>
      <w:pStyle w:val="BulletList"/>
      <w:lvlText w:val=""/>
      <w:lvlJc w:val="left"/>
      <w:pPr>
        <w:tabs>
          <w:tab w:val="num" w:pos="757"/>
        </w:tabs>
        <w:ind w:left="757" w:hanging="397"/>
      </w:pPr>
      <w:rPr>
        <w:rFonts w:ascii="Symbol" w:hAnsi="Symbol" w:hint="default"/>
        <w:sz w:val="18"/>
      </w:rPr>
    </w:lvl>
    <w:lvl w:ilvl="1" w:tplc="0E40F548">
      <w:start w:val="1"/>
      <w:numFmt w:val="bullet"/>
      <w:lvlText w:val=""/>
      <w:lvlJc w:val="left"/>
      <w:pPr>
        <w:tabs>
          <w:tab w:val="num" w:pos="1477"/>
        </w:tabs>
        <w:ind w:left="1477" w:hanging="397"/>
      </w:pPr>
      <w:rPr>
        <w:rFonts w:ascii="Symbol" w:hAnsi="Symbol" w:hint="default"/>
        <w:sz w:val="18"/>
      </w:rPr>
    </w:lvl>
    <w:lvl w:ilvl="2" w:tplc="7BAC00C4">
      <w:start w:val="1"/>
      <w:numFmt w:val="decimal"/>
      <w:lvlText w:val="%3."/>
      <w:lvlJc w:val="left"/>
      <w:pPr>
        <w:tabs>
          <w:tab w:val="num" w:pos="2160"/>
        </w:tabs>
        <w:ind w:left="2160" w:hanging="360"/>
      </w:pPr>
      <w:rPr>
        <w:rFonts w:hint="default"/>
        <w:sz w:val="18"/>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F1ABA"/>
    <w:multiLevelType w:val="hybridMultilevel"/>
    <w:tmpl w:val="3202E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D4436"/>
    <w:multiLevelType w:val="multilevel"/>
    <w:tmpl w:val="2154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FE03D6"/>
    <w:multiLevelType w:val="hybridMultilevel"/>
    <w:tmpl w:val="C91E1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0D40EB"/>
    <w:multiLevelType w:val="hybridMultilevel"/>
    <w:tmpl w:val="813A3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1E46AC"/>
    <w:multiLevelType w:val="hybridMultilevel"/>
    <w:tmpl w:val="0B08A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5F7891"/>
    <w:multiLevelType w:val="hybridMultilevel"/>
    <w:tmpl w:val="4D2AB5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8D7622"/>
    <w:multiLevelType w:val="hybridMultilevel"/>
    <w:tmpl w:val="A5BED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DE1894"/>
    <w:multiLevelType w:val="hybridMultilevel"/>
    <w:tmpl w:val="36221926"/>
    <w:lvl w:ilvl="0" w:tplc="460C90EE">
      <w:start w:val="1"/>
      <w:numFmt w:val="bullet"/>
      <w:pStyle w:val="Dotpoin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A465A7"/>
    <w:multiLevelType w:val="hybridMultilevel"/>
    <w:tmpl w:val="05584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8D6842"/>
    <w:multiLevelType w:val="hybridMultilevel"/>
    <w:tmpl w:val="DAE40626"/>
    <w:lvl w:ilvl="0" w:tplc="4B02EA6C">
      <w:start w:val="1"/>
      <w:numFmt w:val="decimal"/>
      <w:pStyle w:val="NumberedListContinu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9501445"/>
    <w:multiLevelType w:val="hybridMultilevel"/>
    <w:tmpl w:val="83C8FBE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733495"/>
    <w:multiLevelType w:val="hybridMultilevel"/>
    <w:tmpl w:val="113C7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D97A6B"/>
    <w:multiLevelType w:val="hybridMultilevel"/>
    <w:tmpl w:val="4F1E9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EC054A"/>
    <w:multiLevelType w:val="multilevel"/>
    <w:tmpl w:val="62D05A8A"/>
    <w:lvl w:ilvl="0">
      <w:start w:val="1"/>
      <w:numFmt w:val="decimal"/>
      <w:pStyle w:val="ItemL1"/>
      <w:isLgl/>
      <w:suff w:val="space"/>
      <w:lvlText w:val="Item %1"/>
      <w:lvlJc w:val="left"/>
      <w:pPr>
        <w:ind w:left="680" w:hanging="680"/>
      </w:pPr>
      <w:rPr>
        <w:rFonts w:ascii="Arial" w:hAnsi="Arial" w:hint="default"/>
        <w:b w:val="0"/>
        <w:bCs/>
        <w:i w:val="0"/>
        <w:caps w:val="0"/>
        <w:sz w:val="32"/>
        <w:szCs w:val="32"/>
      </w:rPr>
    </w:lvl>
    <w:lvl w:ilvl="1">
      <w:start w:val="1"/>
      <w:numFmt w:val="decimal"/>
      <w:pStyle w:val="MENoIndent6"/>
      <w:lvlText w:val="%1.%2"/>
      <w:lvlJc w:val="left"/>
      <w:pPr>
        <w:tabs>
          <w:tab w:val="num" w:pos="680"/>
        </w:tabs>
        <w:ind w:left="680" w:hanging="680"/>
      </w:pPr>
      <w:rPr>
        <w:rFonts w:hint="default"/>
      </w:rPr>
    </w:lvl>
    <w:lvl w:ilvl="2">
      <w:start w:val="1"/>
      <w:numFmt w:val="lowerLetter"/>
      <w:lvlText w:val="(%3)"/>
      <w:lvlJc w:val="left"/>
      <w:pPr>
        <w:tabs>
          <w:tab w:val="num" w:pos="680"/>
        </w:tabs>
        <w:ind w:left="680" w:hanging="680"/>
      </w:pPr>
      <w:rPr>
        <w:rFonts w:hint="default"/>
      </w:rPr>
    </w:lvl>
    <w:lvl w:ilvl="3">
      <w:start w:val="1"/>
      <w:numFmt w:val="lowerRoman"/>
      <w:lvlText w:val="(%4)"/>
      <w:lvlJc w:val="left"/>
      <w:pPr>
        <w:tabs>
          <w:tab w:val="num" w:pos="1400"/>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5FED5A93"/>
    <w:multiLevelType w:val="hybridMultilevel"/>
    <w:tmpl w:val="E7E247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1287A92"/>
    <w:multiLevelType w:val="hybridMultilevel"/>
    <w:tmpl w:val="87485D52"/>
    <w:lvl w:ilvl="0" w:tplc="B344A4F6">
      <w:start w:val="1"/>
      <w:numFmt w:val="bullet"/>
      <w:lvlText w:val=""/>
      <w:lvlJc w:val="left"/>
      <w:pPr>
        <w:tabs>
          <w:tab w:val="num" w:pos="720"/>
        </w:tabs>
        <w:ind w:left="720" w:hanging="360"/>
      </w:pPr>
      <w:rPr>
        <w:rFonts w:ascii="Wingdings" w:hAnsi="Wingdings" w:hint="default"/>
      </w:rPr>
    </w:lvl>
    <w:lvl w:ilvl="1" w:tplc="B5168840">
      <w:start w:val="1"/>
      <w:numFmt w:val="bullet"/>
      <w:pStyle w:val="Pop-bulletpt-level2"/>
      <w:lvlText w:val=""/>
      <w:lvlJc w:val="left"/>
      <w:pPr>
        <w:tabs>
          <w:tab w:val="num" w:pos="1440"/>
        </w:tabs>
        <w:ind w:left="1440" w:hanging="360"/>
      </w:pPr>
      <w:rPr>
        <w:rFonts w:ascii="Wingdings 2" w:hAnsi="Wingdings 2"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F45E2E"/>
    <w:multiLevelType w:val="hybridMultilevel"/>
    <w:tmpl w:val="5352F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4E6124"/>
    <w:multiLevelType w:val="multilevel"/>
    <w:tmpl w:val="B8088798"/>
    <w:lvl w:ilvl="0">
      <w:start w:val="1"/>
      <w:numFmt w:val="decimal"/>
      <w:pStyle w:val="MEBasic1"/>
      <w:lvlText w:val="%1."/>
      <w:lvlJc w:val="left"/>
      <w:pPr>
        <w:tabs>
          <w:tab w:val="num" w:pos="822"/>
        </w:tabs>
        <w:ind w:left="822" w:hanging="680"/>
      </w:pPr>
      <w:rPr>
        <w:rFonts w:ascii="Arial Narrow" w:hAnsi="Arial Narrow" w:hint="default"/>
        <w:b w:val="0"/>
        <w:bCs w:val="0"/>
        <w:sz w:val="32"/>
        <w:szCs w:val="32"/>
      </w:rPr>
    </w:lvl>
    <w:lvl w:ilvl="1">
      <w:start w:val="1"/>
      <w:numFmt w:val="decimal"/>
      <w:pStyle w:val="MEBasic2"/>
      <w:lvlText w:val="%1.%2"/>
      <w:lvlJc w:val="left"/>
      <w:pPr>
        <w:tabs>
          <w:tab w:val="num" w:pos="822"/>
        </w:tabs>
        <w:ind w:left="822" w:hanging="680"/>
      </w:pPr>
      <w:rPr>
        <w:rFonts w:hint="default"/>
      </w:rPr>
    </w:lvl>
    <w:lvl w:ilvl="2">
      <w:start w:val="1"/>
      <w:numFmt w:val="lowerLetter"/>
      <w:pStyle w:val="MEBasic3"/>
      <w:lvlText w:val="(%3)"/>
      <w:lvlJc w:val="left"/>
      <w:pPr>
        <w:tabs>
          <w:tab w:val="num" w:pos="1503"/>
        </w:tabs>
        <w:ind w:left="1503" w:hanging="681"/>
      </w:pPr>
      <w:rPr>
        <w:rFonts w:hint="default"/>
      </w:rPr>
    </w:lvl>
    <w:lvl w:ilvl="3">
      <w:start w:val="1"/>
      <w:numFmt w:val="lowerRoman"/>
      <w:pStyle w:val="MEBasic4"/>
      <w:lvlText w:val="(%4)"/>
      <w:lvlJc w:val="left"/>
      <w:pPr>
        <w:tabs>
          <w:tab w:val="num" w:pos="2183"/>
        </w:tabs>
        <w:ind w:left="2183" w:hanging="680"/>
      </w:pPr>
      <w:rPr>
        <w:rFonts w:hint="default"/>
      </w:rPr>
    </w:lvl>
    <w:lvl w:ilvl="4">
      <w:start w:val="1"/>
      <w:numFmt w:val="upperLetter"/>
      <w:pStyle w:val="MEBasic5"/>
      <w:lvlText w:val="(%5)"/>
      <w:lvlJc w:val="left"/>
      <w:pPr>
        <w:tabs>
          <w:tab w:val="num" w:pos="2864"/>
        </w:tabs>
        <w:ind w:left="2864" w:hanging="681"/>
      </w:pPr>
      <w:rPr>
        <w:rFonts w:hint="default"/>
      </w:rPr>
    </w:lvl>
    <w:lvl w:ilvl="5">
      <w:start w:val="1"/>
      <w:numFmt w:val="none"/>
      <w:lvlText w:val=""/>
      <w:lvlJc w:val="left"/>
      <w:pPr>
        <w:tabs>
          <w:tab w:val="num" w:pos="142"/>
        </w:tabs>
        <w:ind w:left="142" w:firstLine="0"/>
      </w:pPr>
      <w:rPr>
        <w:rFonts w:hint="default"/>
      </w:rPr>
    </w:lvl>
    <w:lvl w:ilvl="6">
      <w:start w:val="1"/>
      <w:numFmt w:val="none"/>
      <w:lvlText w:val="%7"/>
      <w:lvlJc w:val="left"/>
      <w:pPr>
        <w:tabs>
          <w:tab w:val="num" w:pos="142"/>
        </w:tabs>
        <w:ind w:left="142" w:firstLine="0"/>
      </w:pPr>
      <w:rPr>
        <w:rFonts w:hint="default"/>
      </w:rPr>
    </w:lvl>
    <w:lvl w:ilvl="7">
      <w:start w:val="1"/>
      <w:numFmt w:val="none"/>
      <w:suff w:val="nothing"/>
      <w:lvlText w:val="%8"/>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30" w15:restartNumberingAfterBreak="0">
    <w:nsid w:val="671D0908"/>
    <w:multiLevelType w:val="hybridMultilevel"/>
    <w:tmpl w:val="369A1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5C320B"/>
    <w:multiLevelType w:val="hybridMultilevel"/>
    <w:tmpl w:val="0F466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742D25"/>
    <w:multiLevelType w:val="hybridMultilevel"/>
    <w:tmpl w:val="5D087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AE585F"/>
    <w:multiLevelType w:val="hybridMultilevel"/>
    <w:tmpl w:val="F982A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F921DB"/>
    <w:multiLevelType w:val="hybridMultilevel"/>
    <w:tmpl w:val="2E68A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524D89"/>
    <w:multiLevelType w:val="hybridMultilevel"/>
    <w:tmpl w:val="8E26C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7" w15:restartNumberingAfterBreak="0">
    <w:nsid w:val="6E6568BB"/>
    <w:multiLevelType w:val="hybridMultilevel"/>
    <w:tmpl w:val="93E07882"/>
    <w:lvl w:ilvl="0" w:tplc="FB20ABCA">
      <w:start w:val="1"/>
      <w:numFmt w:val="bullet"/>
      <w:pStyle w:val="Dotpoint10"/>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C42FB1"/>
    <w:multiLevelType w:val="hybridMultilevel"/>
    <w:tmpl w:val="5B64732C"/>
    <w:lvl w:ilvl="0" w:tplc="CA188448">
      <w:start w:val="1"/>
      <w:numFmt w:val="bullet"/>
      <w:pStyle w:val="DotPoints"/>
      <w:lvlText w:val=""/>
      <w:lvlJc w:val="left"/>
      <w:pPr>
        <w:tabs>
          <w:tab w:val="num" w:pos="454"/>
        </w:tabs>
        <w:ind w:left="454" w:hanging="397"/>
      </w:pPr>
      <w:rPr>
        <w:rFonts w:ascii="Symbol" w:hAnsi="Symbol" w:hint="default"/>
        <w:color w:val="333399"/>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D123F6"/>
    <w:multiLevelType w:val="hybridMultilevel"/>
    <w:tmpl w:val="78D27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B34FCF"/>
    <w:multiLevelType w:val="hybridMultilevel"/>
    <w:tmpl w:val="2BF25332"/>
    <w:lvl w:ilvl="0" w:tplc="10526C82">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1" w15:restartNumberingAfterBreak="0">
    <w:nsid w:val="7103467C"/>
    <w:multiLevelType w:val="hybridMultilevel"/>
    <w:tmpl w:val="A5BED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24E69AB"/>
    <w:multiLevelType w:val="hybridMultilevel"/>
    <w:tmpl w:val="24F07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E206B5"/>
    <w:multiLevelType w:val="hybridMultilevel"/>
    <w:tmpl w:val="DEAC1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5F2761"/>
    <w:multiLevelType w:val="hybridMultilevel"/>
    <w:tmpl w:val="E6F6F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C4582F"/>
    <w:multiLevelType w:val="hybridMultilevel"/>
    <w:tmpl w:val="A32A1F6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6" w15:restartNumberingAfterBreak="0">
    <w:nsid w:val="79F21757"/>
    <w:multiLevelType w:val="hybridMultilevel"/>
    <w:tmpl w:val="2DD6C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53132A"/>
    <w:multiLevelType w:val="hybridMultilevel"/>
    <w:tmpl w:val="D5280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7"/>
  </w:num>
  <w:num w:numId="3">
    <w:abstractNumId w:val="26"/>
  </w:num>
  <w:num w:numId="4">
    <w:abstractNumId w:val="0"/>
  </w:num>
  <w:num w:numId="5">
    <w:abstractNumId w:val="27"/>
  </w:num>
  <w:num w:numId="6">
    <w:abstractNumId w:val="4"/>
  </w:num>
  <w:num w:numId="7">
    <w:abstractNumId w:val="21"/>
  </w:num>
  <w:num w:numId="8">
    <w:abstractNumId w:val="3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0"/>
  </w:num>
  <w:num w:numId="12">
    <w:abstractNumId w:val="32"/>
  </w:num>
  <w:num w:numId="13">
    <w:abstractNumId w:val="2"/>
  </w:num>
  <w:num w:numId="14">
    <w:abstractNumId w:val="25"/>
  </w:num>
  <w:num w:numId="15">
    <w:abstractNumId w:val="16"/>
  </w:num>
  <w:num w:numId="16">
    <w:abstractNumId w:val="33"/>
  </w:num>
  <w:num w:numId="17">
    <w:abstractNumId w:val="41"/>
  </w:num>
  <w:num w:numId="18">
    <w:abstractNumId w:val="46"/>
  </w:num>
  <w:num w:numId="19">
    <w:abstractNumId w:val="17"/>
  </w:num>
  <w:num w:numId="20">
    <w:abstractNumId w:val="9"/>
  </w:num>
  <w:num w:numId="21">
    <w:abstractNumId w:val="11"/>
  </w:num>
  <w:num w:numId="22">
    <w:abstractNumId w:val="39"/>
  </w:num>
  <w:num w:numId="23">
    <w:abstractNumId w:val="44"/>
  </w:num>
  <w:num w:numId="24">
    <w:abstractNumId w:val="7"/>
  </w:num>
  <w:num w:numId="25">
    <w:abstractNumId w:val="20"/>
  </w:num>
  <w:num w:numId="26">
    <w:abstractNumId w:val="36"/>
  </w:num>
  <w:num w:numId="27">
    <w:abstractNumId w:val="15"/>
  </w:num>
  <w:num w:numId="28">
    <w:abstractNumId w:val="28"/>
  </w:num>
  <w:num w:numId="29">
    <w:abstractNumId w:val="30"/>
  </w:num>
  <w:num w:numId="30">
    <w:abstractNumId w:val="34"/>
  </w:num>
  <w:num w:numId="31">
    <w:abstractNumId w:val="6"/>
  </w:num>
  <w:num w:numId="32">
    <w:abstractNumId w:val="19"/>
  </w:num>
  <w:num w:numId="33">
    <w:abstractNumId w:val="8"/>
  </w:num>
  <w:num w:numId="34">
    <w:abstractNumId w:val="35"/>
  </w:num>
  <w:num w:numId="35">
    <w:abstractNumId w:val="31"/>
  </w:num>
  <w:num w:numId="36">
    <w:abstractNumId w:val="23"/>
  </w:num>
  <w:num w:numId="37">
    <w:abstractNumId w:val="42"/>
  </w:num>
  <w:num w:numId="38">
    <w:abstractNumId w:val="14"/>
  </w:num>
  <w:num w:numId="39">
    <w:abstractNumId w:val="43"/>
  </w:num>
  <w:num w:numId="40">
    <w:abstractNumId w:val="22"/>
  </w:num>
  <w:num w:numId="41">
    <w:abstractNumId w:val="47"/>
  </w:num>
  <w:num w:numId="42">
    <w:abstractNumId w:val="13"/>
  </w:num>
  <w:num w:numId="43">
    <w:abstractNumId w:val="45"/>
  </w:num>
  <w:num w:numId="44">
    <w:abstractNumId w:val="5"/>
  </w:num>
  <w:num w:numId="45">
    <w:abstractNumId w:val="12"/>
  </w:num>
  <w:num w:numId="46">
    <w:abstractNumId w:val="40"/>
  </w:num>
  <w:num w:numId="47">
    <w:abstractNumId w:val="18"/>
  </w:num>
  <w:num w:numId="4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trackRevisions/>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38913">
      <o:colormru v:ext="edit" colors="#ffc4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3sbA0NDE2NLQwMjRS0lEKTi0uzszPAykwqQUAdmz2+SwAAAA="/>
    <w:docVar w:name="EN.Layout" w:val="&lt;ENLayout&gt;&lt;Style&gt;NCVER Author Date&lt;/Style&gt;&lt;LeftDelim&gt;{&lt;/LeftDelim&gt;&lt;RightDelim&gt;}&lt;/RightDelim&gt;&lt;FontName&gt;Trebuchet MS&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e0v2p5ut9294eed99p2s2tzvzzwsadrf2t&quot;&gt;WAUGH EndNote Library&lt;record-ids&gt;&lt;item&gt;72&lt;/item&gt;&lt;item&gt;75&lt;/item&gt;&lt;item&gt;76&lt;/item&gt;&lt;item&gt;77&lt;/item&gt;&lt;item&gt;78&lt;/item&gt;&lt;item&gt;80&lt;/item&gt;&lt;item&gt;82&lt;/item&gt;&lt;item&gt;84&lt;/item&gt;&lt;item&gt;85&lt;/item&gt;&lt;item&gt;87&lt;/item&gt;&lt;item&gt;88&lt;/item&gt;&lt;item&gt;89&lt;/item&gt;&lt;item&gt;90&lt;/item&gt;&lt;item&gt;91&lt;/item&gt;&lt;item&gt;92&lt;/item&gt;&lt;item&gt;94&lt;/item&gt;&lt;item&gt;95&lt;/item&gt;&lt;item&gt;96&lt;/item&gt;&lt;item&gt;97&lt;/item&gt;&lt;item&gt;98&lt;/item&gt;&lt;item&gt;99&lt;/item&gt;&lt;item&gt;100&lt;/item&gt;&lt;/record-ids&gt;&lt;/item&gt;&lt;/Libraries&gt;"/>
  </w:docVars>
  <w:rsids>
    <w:rsidRoot w:val="004A2751"/>
    <w:rsid w:val="000034FB"/>
    <w:rsid w:val="00003DFE"/>
    <w:rsid w:val="00004380"/>
    <w:rsid w:val="0000443D"/>
    <w:rsid w:val="0000575E"/>
    <w:rsid w:val="00006D4E"/>
    <w:rsid w:val="000108B2"/>
    <w:rsid w:val="00011168"/>
    <w:rsid w:val="000143B7"/>
    <w:rsid w:val="00014D85"/>
    <w:rsid w:val="000178B6"/>
    <w:rsid w:val="00017F87"/>
    <w:rsid w:val="00020A8C"/>
    <w:rsid w:val="00020D7A"/>
    <w:rsid w:val="0002143D"/>
    <w:rsid w:val="00021A1A"/>
    <w:rsid w:val="00022290"/>
    <w:rsid w:val="00024B43"/>
    <w:rsid w:val="00024BAE"/>
    <w:rsid w:val="00025072"/>
    <w:rsid w:val="00025408"/>
    <w:rsid w:val="00031BBD"/>
    <w:rsid w:val="0003240A"/>
    <w:rsid w:val="00034C5E"/>
    <w:rsid w:val="00035D72"/>
    <w:rsid w:val="00040B14"/>
    <w:rsid w:val="00041F13"/>
    <w:rsid w:val="0004259E"/>
    <w:rsid w:val="0004369A"/>
    <w:rsid w:val="00043AA6"/>
    <w:rsid w:val="00044036"/>
    <w:rsid w:val="00045E77"/>
    <w:rsid w:val="0004657F"/>
    <w:rsid w:val="00047444"/>
    <w:rsid w:val="000475D7"/>
    <w:rsid w:val="0004780F"/>
    <w:rsid w:val="000533F9"/>
    <w:rsid w:val="00054945"/>
    <w:rsid w:val="0005690C"/>
    <w:rsid w:val="00057D6B"/>
    <w:rsid w:val="00060385"/>
    <w:rsid w:val="00060F63"/>
    <w:rsid w:val="0006125F"/>
    <w:rsid w:val="0006503F"/>
    <w:rsid w:val="000656A6"/>
    <w:rsid w:val="00072149"/>
    <w:rsid w:val="0007272F"/>
    <w:rsid w:val="00073C78"/>
    <w:rsid w:val="00074BD4"/>
    <w:rsid w:val="000754B1"/>
    <w:rsid w:val="00075B5B"/>
    <w:rsid w:val="0007601D"/>
    <w:rsid w:val="00076F8C"/>
    <w:rsid w:val="00083C29"/>
    <w:rsid w:val="00083E14"/>
    <w:rsid w:val="000857CD"/>
    <w:rsid w:val="00085FC0"/>
    <w:rsid w:val="00087190"/>
    <w:rsid w:val="0009060A"/>
    <w:rsid w:val="00092492"/>
    <w:rsid w:val="00094F1C"/>
    <w:rsid w:val="000950D7"/>
    <w:rsid w:val="0009533D"/>
    <w:rsid w:val="00096E0C"/>
    <w:rsid w:val="00097996"/>
    <w:rsid w:val="000A3299"/>
    <w:rsid w:val="000A4472"/>
    <w:rsid w:val="000A478F"/>
    <w:rsid w:val="000A4976"/>
    <w:rsid w:val="000A5A1F"/>
    <w:rsid w:val="000A6A74"/>
    <w:rsid w:val="000A74E0"/>
    <w:rsid w:val="000B006E"/>
    <w:rsid w:val="000B1C0A"/>
    <w:rsid w:val="000B24C4"/>
    <w:rsid w:val="000B485B"/>
    <w:rsid w:val="000B4F38"/>
    <w:rsid w:val="000B7E55"/>
    <w:rsid w:val="000C5406"/>
    <w:rsid w:val="000C6A12"/>
    <w:rsid w:val="000C7938"/>
    <w:rsid w:val="000D0320"/>
    <w:rsid w:val="000D1083"/>
    <w:rsid w:val="000D3C22"/>
    <w:rsid w:val="000D71B1"/>
    <w:rsid w:val="000E2BB9"/>
    <w:rsid w:val="000E2F48"/>
    <w:rsid w:val="000E5B91"/>
    <w:rsid w:val="000E691E"/>
    <w:rsid w:val="000E6F16"/>
    <w:rsid w:val="000F3399"/>
    <w:rsid w:val="000F502E"/>
    <w:rsid w:val="000F6839"/>
    <w:rsid w:val="000F7AC4"/>
    <w:rsid w:val="00100AB2"/>
    <w:rsid w:val="00104D8F"/>
    <w:rsid w:val="0010761A"/>
    <w:rsid w:val="001077F8"/>
    <w:rsid w:val="00110362"/>
    <w:rsid w:val="00110780"/>
    <w:rsid w:val="001108E7"/>
    <w:rsid w:val="00111494"/>
    <w:rsid w:val="001135AB"/>
    <w:rsid w:val="00113805"/>
    <w:rsid w:val="00113DBA"/>
    <w:rsid w:val="001173C6"/>
    <w:rsid w:val="001201F5"/>
    <w:rsid w:val="00123B5C"/>
    <w:rsid w:val="001277DB"/>
    <w:rsid w:val="00132B4D"/>
    <w:rsid w:val="0013325C"/>
    <w:rsid w:val="00133490"/>
    <w:rsid w:val="00134BE1"/>
    <w:rsid w:val="0013599A"/>
    <w:rsid w:val="00135C75"/>
    <w:rsid w:val="00135FC0"/>
    <w:rsid w:val="00136C23"/>
    <w:rsid w:val="001378C6"/>
    <w:rsid w:val="0013790E"/>
    <w:rsid w:val="00140500"/>
    <w:rsid w:val="00140E62"/>
    <w:rsid w:val="001420FA"/>
    <w:rsid w:val="0014414C"/>
    <w:rsid w:val="001462FF"/>
    <w:rsid w:val="0014784F"/>
    <w:rsid w:val="00150874"/>
    <w:rsid w:val="001509F3"/>
    <w:rsid w:val="00151ED1"/>
    <w:rsid w:val="00160403"/>
    <w:rsid w:val="00160914"/>
    <w:rsid w:val="001612F6"/>
    <w:rsid w:val="00161A80"/>
    <w:rsid w:val="00162D8C"/>
    <w:rsid w:val="001647B6"/>
    <w:rsid w:val="00164BA0"/>
    <w:rsid w:val="00167F17"/>
    <w:rsid w:val="00171AD6"/>
    <w:rsid w:val="001736DA"/>
    <w:rsid w:val="00173775"/>
    <w:rsid w:val="00173C82"/>
    <w:rsid w:val="00175F90"/>
    <w:rsid w:val="00177376"/>
    <w:rsid w:val="00180EDB"/>
    <w:rsid w:val="00181BE9"/>
    <w:rsid w:val="00181C2D"/>
    <w:rsid w:val="001826FC"/>
    <w:rsid w:val="0018623F"/>
    <w:rsid w:val="00187BF6"/>
    <w:rsid w:val="001908C1"/>
    <w:rsid w:val="00190BC3"/>
    <w:rsid w:val="00190BF0"/>
    <w:rsid w:val="00191744"/>
    <w:rsid w:val="001925A8"/>
    <w:rsid w:val="001934C2"/>
    <w:rsid w:val="00194889"/>
    <w:rsid w:val="00195A9C"/>
    <w:rsid w:val="0019751C"/>
    <w:rsid w:val="001A09E1"/>
    <w:rsid w:val="001A1835"/>
    <w:rsid w:val="001A33C6"/>
    <w:rsid w:val="001A5EEB"/>
    <w:rsid w:val="001A6366"/>
    <w:rsid w:val="001A7348"/>
    <w:rsid w:val="001A752B"/>
    <w:rsid w:val="001B41C5"/>
    <w:rsid w:val="001B43CF"/>
    <w:rsid w:val="001B59EE"/>
    <w:rsid w:val="001B6A61"/>
    <w:rsid w:val="001B781A"/>
    <w:rsid w:val="001C004A"/>
    <w:rsid w:val="001C04F6"/>
    <w:rsid w:val="001C6514"/>
    <w:rsid w:val="001C6CF8"/>
    <w:rsid w:val="001C7E83"/>
    <w:rsid w:val="001D6153"/>
    <w:rsid w:val="001E0B8C"/>
    <w:rsid w:val="001E12A7"/>
    <w:rsid w:val="001E1B50"/>
    <w:rsid w:val="001E4812"/>
    <w:rsid w:val="001E643D"/>
    <w:rsid w:val="001E7D71"/>
    <w:rsid w:val="001F1115"/>
    <w:rsid w:val="001F1DE9"/>
    <w:rsid w:val="001F47E3"/>
    <w:rsid w:val="001F627F"/>
    <w:rsid w:val="001F6B34"/>
    <w:rsid w:val="001F7D84"/>
    <w:rsid w:val="002014C0"/>
    <w:rsid w:val="0020164C"/>
    <w:rsid w:val="002020CA"/>
    <w:rsid w:val="002032D6"/>
    <w:rsid w:val="002034E7"/>
    <w:rsid w:val="00207928"/>
    <w:rsid w:val="002102BB"/>
    <w:rsid w:val="0021084A"/>
    <w:rsid w:val="00211471"/>
    <w:rsid w:val="0021321E"/>
    <w:rsid w:val="00216B1B"/>
    <w:rsid w:val="00223857"/>
    <w:rsid w:val="00226F10"/>
    <w:rsid w:val="0022763B"/>
    <w:rsid w:val="002277A9"/>
    <w:rsid w:val="0023054C"/>
    <w:rsid w:val="00231931"/>
    <w:rsid w:val="00233559"/>
    <w:rsid w:val="00233594"/>
    <w:rsid w:val="00233BFA"/>
    <w:rsid w:val="00241BB2"/>
    <w:rsid w:val="00241F3F"/>
    <w:rsid w:val="00244EB7"/>
    <w:rsid w:val="00245269"/>
    <w:rsid w:val="0024790E"/>
    <w:rsid w:val="00251024"/>
    <w:rsid w:val="0025254C"/>
    <w:rsid w:val="002533DD"/>
    <w:rsid w:val="002536DE"/>
    <w:rsid w:val="00253AFA"/>
    <w:rsid w:val="002542D4"/>
    <w:rsid w:val="00255137"/>
    <w:rsid w:val="00257394"/>
    <w:rsid w:val="00261FB7"/>
    <w:rsid w:val="00265260"/>
    <w:rsid w:val="00265D05"/>
    <w:rsid w:val="002724B9"/>
    <w:rsid w:val="002728C6"/>
    <w:rsid w:val="00272DBF"/>
    <w:rsid w:val="00273C80"/>
    <w:rsid w:val="002756FF"/>
    <w:rsid w:val="00277970"/>
    <w:rsid w:val="00283543"/>
    <w:rsid w:val="0028464B"/>
    <w:rsid w:val="00284FCB"/>
    <w:rsid w:val="002862D7"/>
    <w:rsid w:val="00286D02"/>
    <w:rsid w:val="00291BB1"/>
    <w:rsid w:val="00292A00"/>
    <w:rsid w:val="002936E4"/>
    <w:rsid w:val="00293753"/>
    <w:rsid w:val="00293FA0"/>
    <w:rsid w:val="00297C0B"/>
    <w:rsid w:val="002A11C2"/>
    <w:rsid w:val="002A2E88"/>
    <w:rsid w:val="002A46BE"/>
    <w:rsid w:val="002A60F6"/>
    <w:rsid w:val="002B029B"/>
    <w:rsid w:val="002B0FF7"/>
    <w:rsid w:val="002B180A"/>
    <w:rsid w:val="002B3C7A"/>
    <w:rsid w:val="002B3E5E"/>
    <w:rsid w:val="002B47EB"/>
    <w:rsid w:val="002B6A64"/>
    <w:rsid w:val="002B6B88"/>
    <w:rsid w:val="002C3864"/>
    <w:rsid w:val="002C61C4"/>
    <w:rsid w:val="002D5112"/>
    <w:rsid w:val="002D61F7"/>
    <w:rsid w:val="002E00FB"/>
    <w:rsid w:val="002E047D"/>
    <w:rsid w:val="002E196B"/>
    <w:rsid w:val="002E61A4"/>
    <w:rsid w:val="002E76AC"/>
    <w:rsid w:val="002E7A4D"/>
    <w:rsid w:val="002F0368"/>
    <w:rsid w:val="002F417D"/>
    <w:rsid w:val="002F4CC4"/>
    <w:rsid w:val="002F57CB"/>
    <w:rsid w:val="002F5CE4"/>
    <w:rsid w:val="00300FAB"/>
    <w:rsid w:val="003019CC"/>
    <w:rsid w:val="00303AEF"/>
    <w:rsid w:val="00303C52"/>
    <w:rsid w:val="00307B90"/>
    <w:rsid w:val="00313554"/>
    <w:rsid w:val="00314057"/>
    <w:rsid w:val="00316303"/>
    <w:rsid w:val="00316F98"/>
    <w:rsid w:val="00323819"/>
    <w:rsid w:val="00323C21"/>
    <w:rsid w:val="003255FD"/>
    <w:rsid w:val="00325A16"/>
    <w:rsid w:val="00330B1B"/>
    <w:rsid w:val="00331413"/>
    <w:rsid w:val="00332956"/>
    <w:rsid w:val="0033376E"/>
    <w:rsid w:val="00333782"/>
    <w:rsid w:val="0033385C"/>
    <w:rsid w:val="00335559"/>
    <w:rsid w:val="00335619"/>
    <w:rsid w:val="00336E31"/>
    <w:rsid w:val="0034021F"/>
    <w:rsid w:val="00343521"/>
    <w:rsid w:val="00344854"/>
    <w:rsid w:val="00346F17"/>
    <w:rsid w:val="003527D8"/>
    <w:rsid w:val="00357188"/>
    <w:rsid w:val="0036101C"/>
    <w:rsid w:val="0036529B"/>
    <w:rsid w:val="003670EF"/>
    <w:rsid w:val="00371F8A"/>
    <w:rsid w:val="00372401"/>
    <w:rsid w:val="00372BCA"/>
    <w:rsid w:val="00373253"/>
    <w:rsid w:val="00373686"/>
    <w:rsid w:val="0037442A"/>
    <w:rsid w:val="00374500"/>
    <w:rsid w:val="00375E0C"/>
    <w:rsid w:val="00376EB5"/>
    <w:rsid w:val="0037766A"/>
    <w:rsid w:val="00377698"/>
    <w:rsid w:val="003805DB"/>
    <w:rsid w:val="00382344"/>
    <w:rsid w:val="00384E31"/>
    <w:rsid w:val="0039263D"/>
    <w:rsid w:val="00393327"/>
    <w:rsid w:val="00393FC8"/>
    <w:rsid w:val="0039484B"/>
    <w:rsid w:val="00395440"/>
    <w:rsid w:val="00395447"/>
    <w:rsid w:val="003956A4"/>
    <w:rsid w:val="0039680B"/>
    <w:rsid w:val="003A01F5"/>
    <w:rsid w:val="003A09DC"/>
    <w:rsid w:val="003A107F"/>
    <w:rsid w:val="003A2AAC"/>
    <w:rsid w:val="003A5447"/>
    <w:rsid w:val="003A711F"/>
    <w:rsid w:val="003B0363"/>
    <w:rsid w:val="003B16DA"/>
    <w:rsid w:val="003B2766"/>
    <w:rsid w:val="003B483E"/>
    <w:rsid w:val="003B4A04"/>
    <w:rsid w:val="003B62C8"/>
    <w:rsid w:val="003B678F"/>
    <w:rsid w:val="003B67BC"/>
    <w:rsid w:val="003C4988"/>
    <w:rsid w:val="003D0FCD"/>
    <w:rsid w:val="003D14BA"/>
    <w:rsid w:val="003D1DD8"/>
    <w:rsid w:val="003D2721"/>
    <w:rsid w:val="003D450A"/>
    <w:rsid w:val="003D4B3E"/>
    <w:rsid w:val="003D5DBF"/>
    <w:rsid w:val="003D7D6B"/>
    <w:rsid w:val="003E004D"/>
    <w:rsid w:val="003E2E45"/>
    <w:rsid w:val="003E4AD9"/>
    <w:rsid w:val="003E67CB"/>
    <w:rsid w:val="003E7E1B"/>
    <w:rsid w:val="003F0C78"/>
    <w:rsid w:val="003F1614"/>
    <w:rsid w:val="003F1E82"/>
    <w:rsid w:val="003F5B20"/>
    <w:rsid w:val="003F5EE2"/>
    <w:rsid w:val="003F6836"/>
    <w:rsid w:val="003F6E4E"/>
    <w:rsid w:val="00404C98"/>
    <w:rsid w:val="004059D6"/>
    <w:rsid w:val="0040748E"/>
    <w:rsid w:val="004103B1"/>
    <w:rsid w:val="00412ECA"/>
    <w:rsid w:val="00414125"/>
    <w:rsid w:val="00415127"/>
    <w:rsid w:val="0041622C"/>
    <w:rsid w:val="00416712"/>
    <w:rsid w:val="0041764C"/>
    <w:rsid w:val="00417C37"/>
    <w:rsid w:val="004237CC"/>
    <w:rsid w:val="00423C3B"/>
    <w:rsid w:val="00426A80"/>
    <w:rsid w:val="00430639"/>
    <w:rsid w:val="00432102"/>
    <w:rsid w:val="00432F30"/>
    <w:rsid w:val="00434B97"/>
    <w:rsid w:val="004351ED"/>
    <w:rsid w:val="00437315"/>
    <w:rsid w:val="00437361"/>
    <w:rsid w:val="004431A9"/>
    <w:rsid w:val="00443FEE"/>
    <w:rsid w:val="00444CF1"/>
    <w:rsid w:val="00445B3C"/>
    <w:rsid w:val="00445BFE"/>
    <w:rsid w:val="00446944"/>
    <w:rsid w:val="00446BEA"/>
    <w:rsid w:val="00450DB8"/>
    <w:rsid w:val="00452372"/>
    <w:rsid w:val="0045268D"/>
    <w:rsid w:val="00456222"/>
    <w:rsid w:val="004578B8"/>
    <w:rsid w:val="00462102"/>
    <w:rsid w:val="0046273D"/>
    <w:rsid w:val="00462C66"/>
    <w:rsid w:val="0046678D"/>
    <w:rsid w:val="00470099"/>
    <w:rsid w:val="004701DA"/>
    <w:rsid w:val="004718A6"/>
    <w:rsid w:val="00472100"/>
    <w:rsid w:val="00477C2E"/>
    <w:rsid w:val="00480B23"/>
    <w:rsid w:val="00480F46"/>
    <w:rsid w:val="00483E2D"/>
    <w:rsid w:val="00484C1A"/>
    <w:rsid w:val="004862A8"/>
    <w:rsid w:val="00492008"/>
    <w:rsid w:val="00493FFE"/>
    <w:rsid w:val="004A0C0F"/>
    <w:rsid w:val="004A12C2"/>
    <w:rsid w:val="004A13E8"/>
    <w:rsid w:val="004A2751"/>
    <w:rsid w:val="004A5400"/>
    <w:rsid w:val="004A57B1"/>
    <w:rsid w:val="004A7CE8"/>
    <w:rsid w:val="004B190D"/>
    <w:rsid w:val="004B2B73"/>
    <w:rsid w:val="004B568E"/>
    <w:rsid w:val="004B703C"/>
    <w:rsid w:val="004B7DC6"/>
    <w:rsid w:val="004C0925"/>
    <w:rsid w:val="004C0BE7"/>
    <w:rsid w:val="004C1D97"/>
    <w:rsid w:val="004C236E"/>
    <w:rsid w:val="004C630C"/>
    <w:rsid w:val="004C701D"/>
    <w:rsid w:val="004D10EB"/>
    <w:rsid w:val="004D3215"/>
    <w:rsid w:val="004D6623"/>
    <w:rsid w:val="004D6A41"/>
    <w:rsid w:val="004D7E43"/>
    <w:rsid w:val="004E1A61"/>
    <w:rsid w:val="004E2DAB"/>
    <w:rsid w:val="004E3024"/>
    <w:rsid w:val="004E30EC"/>
    <w:rsid w:val="004E7227"/>
    <w:rsid w:val="004E726B"/>
    <w:rsid w:val="004E7351"/>
    <w:rsid w:val="004E7E19"/>
    <w:rsid w:val="004F0B76"/>
    <w:rsid w:val="004F0CA8"/>
    <w:rsid w:val="004F14FF"/>
    <w:rsid w:val="004F1C09"/>
    <w:rsid w:val="004F4CD0"/>
    <w:rsid w:val="004F5764"/>
    <w:rsid w:val="004F5AD4"/>
    <w:rsid w:val="0050145D"/>
    <w:rsid w:val="0050170B"/>
    <w:rsid w:val="0050428D"/>
    <w:rsid w:val="005070AF"/>
    <w:rsid w:val="00507320"/>
    <w:rsid w:val="005104D3"/>
    <w:rsid w:val="00511467"/>
    <w:rsid w:val="005134EB"/>
    <w:rsid w:val="00520D7E"/>
    <w:rsid w:val="0052276C"/>
    <w:rsid w:val="00524D58"/>
    <w:rsid w:val="00524EF7"/>
    <w:rsid w:val="005259E1"/>
    <w:rsid w:val="00525E4B"/>
    <w:rsid w:val="005261B5"/>
    <w:rsid w:val="00527088"/>
    <w:rsid w:val="005304C9"/>
    <w:rsid w:val="005317A2"/>
    <w:rsid w:val="0053291A"/>
    <w:rsid w:val="00533139"/>
    <w:rsid w:val="005358AF"/>
    <w:rsid w:val="0053755A"/>
    <w:rsid w:val="00537A0A"/>
    <w:rsid w:val="00537E8B"/>
    <w:rsid w:val="00544FEF"/>
    <w:rsid w:val="00551FF7"/>
    <w:rsid w:val="00552318"/>
    <w:rsid w:val="005532A1"/>
    <w:rsid w:val="00553F35"/>
    <w:rsid w:val="0055583A"/>
    <w:rsid w:val="00555DD7"/>
    <w:rsid w:val="005617BC"/>
    <w:rsid w:val="005646D9"/>
    <w:rsid w:val="005674AD"/>
    <w:rsid w:val="00570758"/>
    <w:rsid w:val="00574B06"/>
    <w:rsid w:val="00574DA4"/>
    <w:rsid w:val="005765FC"/>
    <w:rsid w:val="00577379"/>
    <w:rsid w:val="00580824"/>
    <w:rsid w:val="005817C2"/>
    <w:rsid w:val="00581F49"/>
    <w:rsid w:val="00581FFA"/>
    <w:rsid w:val="005825C2"/>
    <w:rsid w:val="00582840"/>
    <w:rsid w:val="005830D6"/>
    <w:rsid w:val="0058450E"/>
    <w:rsid w:val="00584735"/>
    <w:rsid w:val="0058523C"/>
    <w:rsid w:val="00590AFD"/>
    <w:rsid w:val="00590B22"/>
    <w:rsid w:val="00591E2A"/>
    <w:rsid w:val="005927E9"/>
    <w:rsid w:val="005935DF"/>
    <w:rsid w:val="00597F88"/>
    <w:rsid w:val="005A067A"/>
    <w:rsid w:val="005A1362"/>
    <w:rsid w:val="005A2A23"/>
    <w:rsid w:val="005A58CC"/>
    <w:rsid w:val="005A707A"/>
    <w:rsid w:val="005A78AF"/>
    <w:rsid w:val="005A7A0E"/>
    <w:rsid w:val="005B0719"/>
    <w:rsid w:val="005B1537"/>
    <w:rsid w:val="005B175E"/>
    <w:rsid w:val="005B203A"/>
    <w:rsid w:val="005B5647"/>
    <w:rsid w:val="005B5DF9"/>
    <w:rsid w:val="005C0795"/>
    <w:rsid w:val="005C0E87"/>
    <w:rsid w:val="005C2690"/>
    <w:rsid w:val="005C277E"/>
    <w:rsid w:val="005C2867"/>
    <w:rsid w:val="005C50F8"/>
    <w:rsid w:val="005C5E5A"/>
    <w:rsid w:val="005D0B14"/>
    <w:rsid w:val="005D21C9"/>
    <w:rsid w:val="005D4BFB"/>
    <w:rsid w:val="005D6281"/>
    <w:rsid w:val="005D63CE"/>
    <w:rsid w:val="005D6605"/>
    <w:rsid w:val="005D77A3"/>
    <w:rsid w:val="005E1587"/>
    <w:rsid w:val="005E2717"/>
    <w:rsid w:val="005E41BA"/>
    <w:rsid w:val="005E4764"/>
    <w:rsid w:val="005E53E4"/>
    <w:rsid w:val="005E551A"/>
    <w:rsid w:val="005F0483"/>
    <w:rsid w:val="005F0A46"/>
    <w:rsid w:val="005F3607"/>
    <w:rsid w:val="005F4E17"/>
    <w:rsid w:val="005F4E97"/>
    <w:rsid w:val="006051A3"/>
    <w:rsid w:val="006055A6"/>
    <w:rsid w:val="00606763"/>
    <w:rsid w:val="00610B4F"/>
    <w:rsid w:val="0061134D"/>
    <w:rsid w:val="00611BC8"/>
    <w:rsid w:val="006130B5"/>
    <w:rsid w:val="0061450C"/>
    <w:rsid w:val="00614C5C"/>
    <w:rsid w:val="006165F6"/>
    <w:rsid w:val="00616EAE"/>
    <w:rsid w:val="00621FAA"/>
    <w:rsid w:val="00624122"/>
    <w:rsid w:val="00624AFF"/>
    <w:rsid w:val="00633765"/>
    <w:rsid w:val="0063575D"/>
    <w:rsid w:val="00636153"/>
    <w:rsid w:val="0063682D"/>
    <w:rsid w:val="00636ED5"/>
    <w:rsid w:val="0063718A"/>
    <w:rsid w:val="00640297"/>
    <w:rsid w:val="00644184"/>
    <w:rsid w:val="00644277"/>
    <w:rsid w:val="00644BD0"/>
    <w:rsid w:val="006451A3"/>
    <w:rsid w:val="006475B6"/>
    <w:rsid w:val="006478CC"/>
    <w:rsid w:val="00652973"/>
    <w:rsid w:val="00660777"/>
    <w:rsid w:val="00663DAD"/>
    <w:rsid w:val="006640D3"/>
    <w:rsid w:val="00666DE8"/>
    <w:rsid w:val="006714BE"/>
    <w:rsid w:val="00672B42"/>
    <w:rsid w:val="00673AEA"/>
    <w:rsid w:val="00673CB1"/>
    <w:rsid w:val="00674FAE"/>
    <w:rsid w:val="00675147"/>
    <w:rsid w:val="0067712D"/>
    <w:rsid w:val="00681404"/>
    <w:rsid w:val="00683CFE"/>
    <w:rsid w:val="00684F4A"/>
    <w:rsid w:val="00687428"/>
    <w:rsid w:val="006876BD"/>
    <w:rsid w:val="00690C21"/>
    <w:rsid w:val="00692379"/>
    <w:rsid w:val="0069253F"/>
    <w:rsid w:val="00692815"/>
    <w:rsid w:val="00693979"/>
    <w:rsid w:val="00693B33"/>
    <w:rsid w:val="006941D4"/>
    <w:rsid w:val="00694A98"/>
    <w:rsid w:val="00694D3B"/>
    <w:rsid w:val="00696A48"/>
    <w:rsid w:val="006A245A"/>
    <w:rsid w:val="006A2EA1"/>
    <w:rsid w:val="006A2F83"/>
    <w:rsid w:val="006A4607"/>
    <w:rsid w:val="006A68AE"/>
    <w:rsid w:val="006A72B6"/>
    <w:rsid w:val="006B19F7"/>
    <w:rsid w:val="006B32AE"/>
    <w:rsid w:val="006B353C"/>
    <w:rsid w:val="006B3DF9"/>
    <w:rsid w:val="006B47B0"/>
    <w:rsid w:val="006B47D2"/>
    <w:rsid w:val="006B5782"/>
    <w:rsid w:val="006B5BDF"/>
    <w:rsid w:val="006C172C"/>
    <w:rsid w:val="006C1926"/>
    <w:rsid w:val="006C293E"/>
    <w:rsid w:val="006C3104"/>
    <w:rsid w:val="006C56E9"/>
    <w:rsid w:val="006C5DA9"/>
    <w:rsid w:val="006C624A"/>
    <w:rsid w:val="006D12A4"/>
    <w:rsid w:val="006D546E"/>
    <w:rsid w:val="006D68B1"/>
    <w:rsid w:val="006E0926"/>
    <w:rsid w:val="006E0C5E"/>
    <w:rsid w:val="006E17AC"/>
    <w:rsid w:val="006E2DBF"/>
    <w:rsid w:val="006E40EA"/>
    <w:rsid w:val="006E67E4"/>
    <w:rsid w:val="006F04C8"/>
    <w:rsid w:val="006F08C1"/>
    <w:rsid w:val="006F7837"/>
    <w:rsid w:val="00700303"/>
    <w:rsid w:val="007026F4"/>
    <w:rsid w:val="00702A3E"/>
    <w:rsid w:val="00702C20"/>
    <w:rsid w:val="007037A4"/>
    <w:rsid w:val="00703B66"/>
    <w:rsid w:val="00705615"/>
    <w:rsid w:val="00705D63"/>
    <w:rsid w:val="0070689B"/>
    <w:rsid w:val="00707C2B"/>
    <w:rsid w:val="007105E6"/>
    <w:rsid w:val="00710DBB"/>
    <w:rsid w:val="0071152A"/>
    <w:rsid w:val="00711A97"/>
    <w:rsid w:val="007123E3"/>
    <w:rsid w:val="00713609"/>
    <w:rsid w:val="00716C61"/>
    <w:rsid w:val="00722086"/>
    <w:rsid w:val="00722110"/>
    <w:rsid w:val="007229D0"/>
    <w:rsid w:val="0072349A"/>
    <w:rsid w:val="00723AE6"/>
    <w:rsid w:val="00723DB9"/>
    <w:rsid w:val="00724239"/>
    <w:rsid w:val="00727A2C"/>
    <w:rsid w:val="00731064"/>
    <w:rsid w:val="00731E73"/>
    <w:rsid w:val="00731EC8"/>
    <w:rsid w:val="0073488B"/>
    <w:rsid w:val="0073593C"/>
    <w:rsid w:val="007365AB"/>
    <w:rsid w:val="00736B45"/>
    <w:rsid w:val="00736EFD"/>
    <w:rsid w:val="007370DB"/>
    <w:rsid w:val="007412E2"/>
    <w:rsid w:val="00743627"/>
    <w:rsid w:val="007479D6"/>
    <w:rsid w:val="00751D49"/>
    <w:rsid w:val="00753DE6"/>
    <w:rsid w:val="0075638E"/>
    <w:rsid w:val="00760BFC"/>
    <w:rsid w:val="00761CED"/>
    <w:rsid w:val="007624AA"/>
    <w:rsid w:val="00765C8F"/>
    <w:rsid w:val="00765FE9"/>
    <w:rsid w:val="00766E2F"/>
    <w:rsid w:val="00767837"/>
    <w:rsid w:val="00776422"/>
    <w:rsid w:val="0077703A"/>
    <w:rsid w:val="00777517"/>
    <w:rsid w:val="007802E7"/>
    <w:rsid w:val="00782BA6"/>
    <w:rsid w:val="0078371C"/>
    <w:rsid w:val="00783F44"/>
    <w:rsid w:val="00784BED"/>
    <w:rsid w:val="00784D43"/>
    <w:rsid w:val="00786014"/>
    <w:rsid w:val="00796B18"/>
    <w:rsid w:val="00797212"/>
    <w:rsid w:val="007A0192"/>
    <w:rsid w:val="007A395B"/>
    <w:rsid w:val="007A4BE8"/>
    <w:rsid w:val="007A5FCE"/>
    <w:rsid w:val="007B25DD"/>
    <w:rsid w:val="007B3FA6"/>
    <w:rsid w:val="007B4BE4"/>
    <w:rsid w:val="007B4DCB"/>
    <w:rsid w:val="007B5806"/>
    <w:rsid w:val="007B6269"/>
    <w:rsid w:val="007B63A2"/>
    <w:rsid w:val="007B65C2"/>
    <w:rsid w:val="007C1383"/>
    <w:rsid w:val="007C50A7"/>
    <w:rsid w:val="007C71B1"/>
    <w:rsid w:val="007C7781"/>
    <w:rsid w:val="007D5789"/>
    <w:rsid w:val="007D578F"/>
    <w:rsid w:val="007D67EE"/>
    <w:rsid w:val="007D7BD8"/>
    <w:rsid w:val="007F2A90"/>
    <w:rsid w:val="007F382E"/>
    <w:rsid w:val="007F3AC5"/>
    <w:rsid w:val="007F50C6"/>
    <w:rsid w:val="007F51CC"/>
    <w:rsid w:val="007F6837"/>
    <w:rsid w:val="00800010"/>
    <w:rsid w:val="008046DD"/>
    <w:rsid w:val="00804A51"/>
    <w:rsid w:val="00806C1C"/>
    <w:rsid w:val="00807913"/>
    <w:rsid w:val="00807A70"/>
    <w:rsid w:val="00810217"/>
    <w:rsid w:val="0081254F"/>
    <w:rsid w:val="00812A3F"/>
    <w:rsid w:val="00814689"/>
    <w:rsid w:val="00814D23"/>
    <w:rsid w:val="00821730"/>
    <w:rsid w:val="00822490"/>
    <w:rsid w:val="00822EC3"/>
    <w:rsid w:val="00825997"/>
    <w:rsid w:val="00826757"/>
    <w:rsid w:val="00830540"/>
    <w:rsid w:val="008326CD"/>
    <w:rsid w:val="00832B18"/>
    <w:rsid w:val="00835551"/>
    <w:rsid w:val="00835B7D"/>
    <w:rsid w:val="008409B7"/>
    <w:rsid w:val="00842393"/>
    <w:rsid w:val="0084433B"/>
    <w:rsid w:val="008445C7"/>
    <w:rsid w:val="00845B7C"/>
    <w:rsid w:val="00846E0A"/>
    <w:rsid w:val="008470E7"/>
    <w:rsid w:val="0085042B"/>
    <w:rsid w:val="00860EB7"/>
    <w:rsid w:val="00861AD2"/>
    <w:rsid w:val="00861EFE"/>
    <w:rsid w:val="00862088"/>
    <w:rsid w:val="00862C2C"/>
    <w:rsid w:val="00864B97"/>
    <w:rsid w:val="008666C4"/>
    <w:rsid w:val="00867236"/>
    <w:rsid w:val="00871E18"/>
    <w:rsid w:val="008723DC"/>
    <w:rsid w:val="00872735"/>
    <w:rsid w:val="0087304C"/>
    <w:rsid w:val="00873676"/>
    <w:rsid w:val="00873EDB"/>
    <w:rsid w:val="0087781F"/>
    <w:rsid w:val="00883748"/>
    <w:rsid w:val="00890908"/>
    <w:rsid w:val="0089233A"/>
    <w:rsid w:val="008947C6"/>
    <w:rsid w:val="00896940"/>
    <w:rsid w:val="008A0074"/>
    <w:rsid w:val="008A08D8"/>
    <w:rsid w:val="008A26A1"/>
    <w:rsid w:val="008A66AE"/>
    <w:rsid w:val="008B2492"/>
    <w:rsid w:val="008B2DEB"/>
    <w:rsid w:val="008B5EBF"/>
    <w:rsid w:val="008B60FE"/>
    <w:rsid w:val="008B74AF"/>
    <w:rsid w:val="008C0A74"/>
    <w:rsid w:val="008C2A34"/>
    <w:rsid w:val="008C3ADA"/>
    <w:rsid w:val="008C5E8E"/>
    <w:rsid w:val="008D1E6E"/>
    <w:rsid w:val="008D2792"/>
    <w:rsid w:val="008D2ACC"/>
    <w:rsid w:val="008D307D"/>
    <w:rsid w:val="008D3497"/>
    <w:rsid w:val="008D34ED"/>
    <w:rsid w:val="008D3B42"/>
    <w:rsid w:val="008D40B1"/>
    <w:rsid w:val="008D4B77"/>
    <w:rsid w:val="008D75A5"/>
    <w:rsid w:val="008E1B06"/>
    <w:rsid w:val="008E3094"/>
    <w:rsid w:val="008E46A2"/>
    <w:rsid w:val="008E54DE"/>
    <w:rsid w:val="008E61D9"/>
    <w:rsid w:val="008F0EB8"/>
    <w:rsid w:val="008F20BA"/>
    <w:rsid w:val="008F5023"/>
    <w:rsid w:val="008F5170"/>
    <w:rsid w:val="008F69CF"/>
    <w:rsid w:val="008F6B7E"/>
    <w:rsid w:val="008F6E5D"/>
    <w:rsid w:val="008F7331"/>
    <w:rsid w:val="008F7D15"/>
    <w:rsid w:val="00900F06"/>
    <w:rsid w:val="0090128A"/>
    <w:rsid w:val="00901D16"/>
    <w:rsid w:val="00904ACC"/>
    <w:rsid w:val="00905057"/>
    <w:rsid w:val="009051D3"/>
    <w:rsid w:val="009058B5"/>
    <w:rsid w:val="00906090"/>
    <w:rsid w:val="009069D3"/>
    <w:rsid w:val="00906F99"/>
    <w:rsid w:val="009079C5"/>
    <w:rsid w:val="0091086A"/>
    <w:rsid w:val="009135E1"/>
    <w:rsid w:val="00914715"/>
    <w:rsid w:val="00915F68"/>
    <w:rsid w:val="00916086"/>
    <w:rsid w:val="009164C3"/>
    <w:rsid w:val="0092101A"/>
    <w:rsid w:val="0092120F"/>
    <w:rsid w:val="00922CD6"/>
    <w:rsid w:val="00925826"/>
    <w:rsid w:val="00927556"/>
    <w:rsid w:val="0093141C"/>
    <w:rsid w:val="00931B40"/>
    <w:rsid w:val="00932130"/>
    <w:rsid w:val="009328F6"/>
    <w:rsid w:val="009330D4"/>
    <w:rsid w:val="00933317"/>
    <w:rsid w:val="00934A5C"/>
    <w:rsid w:val="00936A1C"/>
    <w:rsid w:val="00937FC8"/>
    <w:rsid w:val="0094320A"/>
    <w:rsid w:val="00951823"/>
    <w:rsid w:val="00952122"/>
    <w:rsid w:val="00952F16"/>
    <w:rsid w:val="009538E6"/>
    <w:rsid w:val="009575B6"/>
    <w:rsid w:val="00957BAC"/>
    <w:rsid w:val="00964276"/>
    <w:rsid w:val="009660C0"/>
    <w:rsid w:val="009664E5"/>
    <w:rsid w:val="00966545"/>
    <w:rsid w:val="00966E30"/>
    <w:rsid w:val="009704E4"/>
    <w:rsid w:val="00971D32"/>
    <w:rsid w:val="00976850"/>
    <w:rsid w:val="00977032"/>
    <w:rsid w:val="009775C7"/>
    <w:rsid w:val="00977DC5"/>
    <w:rsid w:val="00984D1F"/>
    <w:rsid w:val="00985D65"/>
    <w:rsid w:val="00986575"/>
    <w:rsid w:val="009900CF"/>
    <w:rsid w:val="0099156E"/>
    <w:rsid w:val="0099311F"/>
    <w:rsid w:val="00996745"/>
    <w:rsid w:val="009A0289"/>
    <w:rsid w:val="009A17FA"/>
    <w:rsid w:val="009A23BC"/>
    <w:rsid w:val="009A4862"/>
    <w:rsid w:val="009A6A74"/>
    <w:rsid w:val="009B04B2"/>
    <w:rsid w:val="009B14AF"/>
    <w:rsid w:val="009B2E00"/>
    <w:rsid w:val="009B3818"/>
    <w:rsid w:val="009B5774"/>
    <w:rsid w:val="009C1138"/>
    <w:rsid w:val="009C22BE"/>
    <w:rsid w:val="009C388D"/>
    <w:rsid w:val="009C3F68"/>
    <w:rsid w:val="009C3FDB"/>
    <w:rsid w:val="009C4493"/>
    <w:rsid w:val="009C57A2"/>
    <w:rsid w:val="009D2245"/>
    <w:rsid w:val="009D28A7"/>
    <w:rsid w:val="009D29CF"/>
    <w:rsid w:val="009D76A8"/>
    <w:rsid w:val="009E128E"/>
    <w:rsid w:val="009E179C"/>
    <w:rsid w:val="009E231A"/>
    <w:rsid w:val="009E2B1A"/>
    <w:rsid w:val="009E2BBE"/>
    <w:rsid w:val="009E2F64"/>
    <w:rsid w:val="009E511B"/>
    <w:rsid w:val="009E5869"/>
    <w:rsid w:val="009F1178"/>
    <w:rsid w:val="009F42FD"/>
    <w:rsid w:val="009F49BF"/>
    <w:rsid w:val="009F4F0C"/>
    <w:rsid w:val="009F52F0"/>
    <w:rsid w:val="00A00BC9"/>
    <w:rsid w:val="00A0109A"/>
    <w:rsid w:val="00A02FC7"/>
    <w:rsid w:val="00A05412"/>
    <w:rsid w:val="00A06A20"/>
    <w:rsid w:val="00A06F2C"/>
    <w:rsid w:val="00A06F97"/>
    <w:rsid w:val="00A10E2B"/>
    <w:rsid w:val="00A15F09"/>
    <w:rsid w:val="00A166CA"/>
    <w:rsid w:val="00A17B12"/>
    <w:rsid w:val="00A17D61"/>
    <w:rsid w:val="00A20372"/>
    <w:rsid w:val="00A21ADB"/>
    <w:rsid w:val="00A22814"/>
    <w:rsid w:val="00A228EE"/>
    <w:rsid w:val="00A23D13"/>
    <w:rsid w:val="00A23F50"/>
    <w:rsid w:val="00A2469B"/>
    <w:rsid w:val="00A248DB"/>
    <w:rsid w:val="00A258D2"/>
    <w:rsid w:val="00A26188"/>
    <w:rsid w:val="00A2676C"/>
    <w:rsid w:val="00A26B8A"/>
    <w:rsid w:val="00A26DDC"/>
    <w:rsid w:val="00A2768A"/>
    <w:rsid w:val="00A30084"/>
    <w:rsid w:val="00A303B3"/>
    <w:rsid w:val="00A30AB5"/>
    <w:rsid w:val="00A344B3"/>
    <w:rsid w:val="00A3477E"/>
    <w:rsid w:val="00A35232"/>
    <w:rsid w:val="00A357C5"/>
    <w:rsid w:val="00A41B4A"/>
    <w:rsid w:val="00A42CCE"/>
    <w:rsid w:val="00A43E62"/>
    <w:rsid w:val="00A43FAD"/>
    <w:rsid w:val="00A45D99"/>
    <w:rsid w:val="00A4628F"/>
    <w:rsid w:val="00A50895"/>
    <w:rsid w:val="00A5747A"/>
    <w:rsid w:val="00A6294D"/>
    <w:rsid w:val="00A636F1"/>
    <w:rsid w:val="00A6377F"/>
    <w:rsid w:val="00A65311"/>
    <w:rsid w:val="00A661C5"/>
    <w:rsid w:val="00A72A4F"/>
    <w:rsid w:val="00A72AE2"/>
    <w:rsid w:val="00A73094"/>
    <w:rsid w:val="00A73318"/>
    <w:rsid w:val="00A73C55"/>
    <w:rsid w:val="00A7430D"/>
    <w:rsid w:val="00A802AE"/>
    <w:rsid w:val="00A80954"/>
    <w:rsid w:val="00A815CE"/>
    <w:rsid w:val="00A82AB5"/>
    <w:rsid w:val="00A841ED"/>
    <w:rsid w:val="00A85C6C"/>
    <w:rsid w:val="00A86266"/>
    <w:rsid w:val="00AA1DE7"/>
    <w:rsid w:val="00AA3130"/>
    <w:rsid w:val="00AA3591"/>
    <w:rsid w:val="00AA44D4"/>
    <w:rsid w:val="00AA4510"/>
    <w:rsid w:val="00AA50E8"/>
    <w:rsid w:val="00AA5CA1"/>
    <w:rsid w:val="00AB00D0"/>
    <w:rsid w:val="00AB4055"/>
    <w:rsid w:val="00AB4753"/>
    <w:rsid w:val="00AB6D61"/>
    <w:rsid w:val="00AB75CA"/>
    <w:rsid w:val="00AC0E16"/>
    <w:rsid w:val="00AC142C"/>
    <w:rsid w:val="00AC3753"/>
    <w:rsid w:val="00AC38DC"/>
    <w:rsid w:val="00AC40DE"/>
    <w:rsid w:val="00AC424B"/>
    <w:rsid w:val="00AC461D"/>
    <w:rsid w:val="00AC6370"/>
    <w:rsid w:val="00AC6DF6"/>
    <w:rsid w:val="00AC79A9"/>
    <w:rsid w:val="00AD0611"/>
    <w:rsid w:val="00AD1238"/>
    <w:rsid w:val="00AD37D5"/>
    <w:rsid w:val="00AD5772"/>
    <w:rsid w:val="00AD6CB6"/>
    <w:rsid w:val="00AE0CC0"/>
    <w:rsid w:val="00AE18F0"/>
    <w:rsid w:val="00AE19DE"/>
    <w:rsid w:val="00AE2B59"/>
    <w:rsid w:val="00AE2F4A"/>
    <w:rsid w:val="00AE5AEF"/>
    <w:rsid w:val="00AF1005"/>
    <w:rsid w:val="00AF4B88"/>
    <w:rsid w:val="00AF5CBC"/>
    <w:rsid w:val="00AF6116"/>
    <w:rsid w:val="00B007C2"/>
    <w:rsid w:val="00B00E7A"/>
    <w:rsid w:val="00B15344"/>
    <w:rsid w:val="00B15D8A"/>
    <w:rsid w:val="00B17D83"/>
    <w:rsid w:val="00B215A8"/>
    <w:rsid w:val="00B221C2"/>
    <w:rsid w:val="00B255DB"/>
    <w:rsid w:val="00B26DF9"/>
    <w:rsid w:val="00B27FB6"/>
    <w:rsid w:val="00B33C76"/>
    <w:rsid w:val="00B36DE9"/>
    <w:rsid w:val="00B373DD"/>
    <w:rsid w:val="00B40C9A"/>
    <w:rsid w:val="00B41272"/>
    <w:rsid w:val="00B45627"/>
    <w:rsid w:val="00B461DE"/>
    <w:rsid w:val="00B4715C"/>
    <w:rsid w:val="00B47A97"/>
    <w:rsid w:val="00B50107"/>
    <w:rsid w:val="00B515FF"/>
    <w:rsid w:val="00B5553D"/>
    <w:rsid w:val="00B5708F"/>
    <w:rsid w:val="00B579FC"/>
    <w:rsid w:val="00B61702"/>
    <w:rsid w:val="00B6417B"/>
    <w:rsid w:val="00B6753B"/>
    <w:rsid w:val="00B67E26"/>
    <w:rsid w:val="00B7040C"/>
    <w:rsid w:val="00B71261"/>
    <w:rsid w:val="00B72737"/>
    <w:rsid w:val="00B743E9"/>
    <w:rsid w:val="00B758D0"/>
    <w:rsid w:val="00B761A4"/>
    <w:rsid w:val="00B7675C"/>
    <w:rsid w:val="00B7777D"/>
    <w:rsid w:val="00B80F74"/>
    <w:rsid w:val="00B81C23"/>
    <w:rsid w:val="00B85CAC"/>
    <w:rsid w:val="00B86D06"/>
    <w:rsid w:val="00B870C5"/>
    <w:rsid w:val="00B87984"/>
    <w:rsid w:val="00B93C1A"/>
    <w:rsid w:val="00B952AC"/>
    <w:rsid w:val="00B96B3E"/>
    <w:rsid w:val="00BA1233"/>
    <w:rsid w:val="00BA5AE9"/>
    <w:rsid w:val="00BB2399"/>
    <w:rsid w:val="00BB38CC"/>
    <w:rsid w:val="00BB39DA"/>
    <w:rsid w:val="00BB738F"/>
    <w:rsid w:val="00BC0616"/>
    <w:rsid w:val="00BC230F"/>
    <w:rsid w:val="00BC3AB9"/>
    <w:rsid w:val="00BC52E2"/>
    <w:rsid w:val="00BC55E2"/>
    <w:rsid w:val="00BC75D6"/>
    <w:rsid w:val="00BD4781"/>
    <w:rsid w:val="00BE0389"/>
    <w:rsid w:val="00BE2888"/>
    <w:rsid w:val="00BE2A95"/>
    <w:rsid w:val="00BE6748"/>
    <w:rsid w:val="00BF12B1"/>
    <w:rsid w:val="00BF25DF"/>
    <w:rsid w:val="00BF2AC4"/>
    <w:rsid w:val="00BF39C1"/>
    <w:rsid w:val="00BF574A"/>
    <w:rsid w:val="00BF690E"/>
    <w:rsid w:val="00BF748F"/>
    <w:rsid w:val="00C006E7"/>
    <w:rsid w:val="00C03FC6"/>
    <w:rsid w:val="00C053D5"/>
    <w:rsid w:val="00C067A6"/>
    <w:rsid w:val="00C10B80"/>
    <w:rsid w:val="00C1542E"/>
    <w:rsid w:val="00C157CB"/>
    <w:rsid w:val="00C20780"/>
    <w:rsid w:val="00C20E23"/>
    <w:rsid w:val="00C215C7"/>
    <w:rsid w:val="00C23D19"/>
    <w:rsid w:val="00C2446C"/>
    <w:rsid w:val="00C261C3"/>
    <w:rsid w:val="00C3039F"/>
    <w:rsid w:val="00C3094F"/>
    <w:rsid w:val="00C3266D"/>
    <w:rsid w:val="00C331F2"/>
    <w:rsid w:val="00C33393"/>
    <w:rsid w:val="00C360FA"/>
    <w:rsid w:val="00C36539"/>
    <w:rsid w:val="00C371CA"/>
    <w:rsid w:val="00C37269"/>
    <w:rsid w:val="00C40215"/>
    <w:rsid w:val="00C40293"/>
    <w:rsid w:val="00C40AF7"/>
    <w:rsid w:val="00C413BA"/>
    <w:rsid w:val="00C45E00"/>
    <w:rsid w:val="00C46CE6"/>
    <w:rsid w:val="00C47A98"/>
    <w:rsid w:val="00C5220C"/>
    <w:rsid w:val="00C54125"/>
    <w:rsid w:val="00C556BC"/>
    <w:rsid w:val="00C5584F"/>
    <w:rsid w:val="00C55FEE"/>
    <w:rsid w:val="00C56620"/>
    <w:rsid w:val="00C56A08"/>
    <w:rsid w:val="00C56EEB"/>
    <w:rsid w:val="00C60F6B"/>
    <w:rsid w:val="00C63294"/>
    <w:rsid w:val="00C638F8"/>
    <w:rsid w:val="00C65E07"/>
    <w:rsid w:val="00C668CB"/>
    <w:rsid w:val="00C716AA"/>
    <w:rsid w:val="00C74174"/>
    <w:rsid w:val="00C764D0"/>
    <w:rsid w:val="00C76BAC"/>
    <w:rsid w:val="00C77DC6"/>
    <w:rsid w:val="00C81DA8"/>
    <w:rsid w:val="00C82BBF"/>
    <w:rsid w:val="00C83D32"/>
    <w:rsid w:val="00C83D73"/>
    <w:rsid w:val="00C900E8"/>
    <w:rsid w:val="00C91C62"/>
    <w:rsid w:val="00C926F0"/>
    <w:rsid w:val="00C948C4"/>
    <w:rsid w:val="00C96C63"/>
    <w:rsid w:val="00CA1978"/>
    <w:rsid w:val="00CA52CD"/>
    <w:rsid w:val="00CA6BD7"/>
    <w:rsid w:val="00CB1B88"/>
    <w:rsid w:val="00CB3780"/>
    <w:rsid w:val="00CB64E5"/>
    <w:rsid w:val="00CB7C9A"/>
    <w:rsid w:val="00CC218D"/>
    <w:rsid w:val="00CC3048"/>
    <w:rsid w:val="00CC377B"/>
    <w:rsid w:val="00CC3934"/>
    <w:rsid w:val="00CC3C40"/>
    <w:rsid w:val="00CC5701"/>
    <w:rsid w:val="00CC6718"/>
    <w:rsid w:val="00CD0C24"/>
    <w:rsid w:val="00CD0E33"/>
    <w:rsid w:val="00CD1549"/>
    <w:rsid w:val="00CD2115"/>
    <w:rsid w:val="00CD4361"/>
    <w:rsid w:val="00CD4691"/>
    <w:rsid w:val="00CD56C3"/>
    <w:rsid w:val="00CD5F2C"/>
    <w:rsid w:val="00CD5F32"/>
    <w:rsid w:val="00CD7E53"/>
    <w:rsid w:val="00CE1173"/>
    <w:rsid w:val="00CE4291"/>
    <w:rsid w:val="00CE44F1"/>
    <w:rsid w:val="00CE5B4D"/>
    <w:rsid w:val="00CF0C3D"/>
    <w:rsid w:val="00CF29B9"/>
    <w:rsid w:val="00CF4409"/>
    <w:rsid w:val="00CF466E"/>
    <w:rsid w:val="00CF6D59"/>
    <w:rsid w:val="00CF708E"/>
    <w:rsid w:val="00CF72B1"/>
    <w:rsid w:val="00D01BCD"/>
    <w:rsid w:val="00D0387B"/>
    <w:rsid w:val="00D0419F"/>
    <w:rsid w:val="00D056F3"/>
    <w:rsid w:val="00D107AE"/>
    <w:rsid w:val="00D10CB6"/>
    <w:rsid w:val="00D112A0"/>
    <w:rsid w:val="00D145E3"/>
    <w:rsid w:val="00D146D0"/>
    <w:rsid w:val="00D1627E"/>
    <w:rsid w:val="00D16D26"/>
    <w:rsid w:val="00D20C0B"/>
    <w:rsid w:val="00D216D7"/>
    <w:rsid w:val="00D21BCE"/>
    <w:rsid w:val="00D24EBB"/>
    <w:rsid w:val="00D2641D"/>
    <w:rsid w:val="00D305AC"/>
    <w:rsid w:val="00D32E49"/>
    <w:rsid w:val="00D332AA"/>
    <w:rsid w:val="00D366BC"/>
    <w:rsid w:val="00D370AE"/>
    <w:rsid w:val="00D37F97"/>
    <w:rsid w:val="00D41477"/>
    <w:rsid w:val="00D43A66"/>
    <w:rsid w:val="00D479EA"/>
    <w:rsid w:val="00D503F4"/>
    <w:rsid w:val="00D51224"/>
    <w:rsid w:val="00D54880"/>
    <w:rsid w:val="00D57514"/>
    <w:rsid w:val="00D630C8"/>
    <w:rsid w:val="00D6488E"/>
    <w:rsid w:val="00D67D51"/>
    <w:rsid w:val="00D70AE6"/>
    <w:rsid w:val="00D716A0"/>
    <w:rsid w:val="00D71754"/>
    <w:rsid w:val="00D732CC"/>
    <w:rsid w:val="00D75004"/>
    <w:rsid w:val="00D75DCE"/>
    <w:rsid w:val="00D77CA7"/>
    <w:rsid w:val="00D77E0E"/>
    <w:rsid w:val="00D811C9"/>
    <w:rsid w:val="00D82122"/>
    <w:rsid w:val="00D82798"/>
    <w:rsid w:val="00D84F66"/>
    <w:rsid w:val="00D8716A"/>
    <w:rsid w:val="00D9079D"/>
    <w:rsid w:val="00D908F2"/>
    <w:rsid w:val="00D9094A"/>
    <w:rsid w:val="00D94950"/>
    <w:rsid w:val="00DA18BB"/>
    <w:rsid w:val="00DA2102"/>
    <w:rsid w:val="00DA44A8"/>
    <w:rsid w:val="00DA4828"/>
    <w:rsid w:val="00DA4F3A"/>
    <w:rsid w:val="00DA56E7"/>
    <w:rsid w:val="00DA625D"/>
    <w:rsid w:val="00DA7192"/>
    <w:rsid w:val="00DA7709"/>
    <w:rsid w:val="00DB0CD9"/>
    <w:rsid w:val="00DB2132"/>
    <w:rsid w:val="00DB301E"/>
    <w:rsid w:val="00DB3078"/>
    <w:rsid w:val="00DB487F"/>
    <w:rsid w:val="00DB599C"/>
    <w:rsid w:val="00DB6660"/>
    <w:rsid w:val="00DC01DB"/>
    <w:rsid w:val="00DC097D"/>
    <w:rsid w:val="00DC0C36"/>
    <w:rsid w:val="00DC1410"/>
    <w:rsid w:val="00DC5F5C"/>
    <w:rsid w:val="00DC7907"/>
    <w:rsid w:val="00DD1642"/>
    <w:rsid w:val="00DD2DCE"/>
    <w:rsid w:val="00DD69EE"/>
    <w:rsid w:val="00DD6CE8"/>
    <w:rsid w:val="00DE06BE"/>
    <w:rsid w:val="00DE15A6"/>
    <w:rsid w:val="00DE267B"/>
    <w:rsid w:val="00DF2B88"/>
    <w:rsid w:val="00DF7DA0"/>
    <w:rsid w:val="00E005F3"/>
    <w:rsid w:val="00E0208F"/>
    <w:rsid w:val="00E03A6F"/>
    <w:rsid w:val="00E06ACC"/>
    <w:rsid w:val="00E06B95"/>
    <w:rsid w:val="00E10210"/>
    <w:rsid w:val="00E123CB"/>
    <w:rsid w:val="00E151DB"/>
    <w:rsid w:val="00E16282"/>
    <w:rsid w:val="00E165DF"/>
    <w:rsid w:val="00E16B3E"/>
    <w:rsid w:val="00E246E7"/>
    <w:rsid w:val="00E27FB6"/>
    <w:rsid w:val="00E304DC"/>
    <w:rsid w:val="00E31913"/>
    <w:rsid w:val="00E34542"/>
    <w:rsid w:val="00E34743"/>
    <w:rsid w:val="00E365F8"/>
    <w:rsid w:val="00E40501"/>
    <w:rsid w:val="00E412DE"/>
    <w:rsid w:val="00E45672"/>
    <w:rsid w:val="00E4621D"/>
    <w:rsid w:val="00E46B61"/>
    <w:rsid w:val="00E47E91"/>
    <w:rsid w:val="00E52313"/>
    <w:rsid w:val="00E52BEA"/>
    <w:rsid w:val="00E53C17"/>
    <w:rsid w:val="00E54992"/>
    <w:rsid w:val="00E56EC1"/>
    <w:rsid w:val="00E601A7"/>
    <w:rsid w:val="00E60EAA"/>
    <w:rsid w:val="00E67057"/>
    <w:rsid w:val="00E7130B"/>
    <w:rsid w:val="00E71986"/>
    <w:rsid w:val="00E71D1E"/>
    <w:rsid w:val="00E7412B"/>
    <w:rsid w:val="00E754AF"/>
    <w:rsid w:val="00E811C3"/>
    <w:rsid w:val="00E81A91"/>
    <w:rsid w:val="00E8239C"/>
    <w:rsid w:val="00E82484"/>
    <w:rsid w:val="00E833C6"/>
    <w:rsid w:val="00E85871"/>
    <w:rsid w:val="00E908F7"/>
    <w:rsid w:val="00E93CEE"/>
    <w:rsid w:val="00E946AB"/>
    <w:rsid w:val="00E95948"/>
    <w:rsid w:val="00E96463"/>
    <w:rsid w:val="00EA08CD"/>
    <w:rsid w:val="00EA1417"/>
    <w:rsid w:val="00EA1818"/>
    <w:rsid w:val="00EA2D6B"/>
    <w:rsid w:val="00EA33F9"/>
    <w:rsid w:val="00EA35ED"/>
    <w:rsid w:val="00EA3747"/>
    <w:rsid w:val="00EA3791"/>
    <w:rsid w:val="00EB0AD7"/>
    <w:rsid w:val="00EB1DFC"/>
    <w:rsid w:val="00EB34A8"/>
    <w:rsid w:val="00EB589D"/>
    <w:rsid w:val="00EC103A"/>
    <w:rsid w:val="00EC3ECC"/>
    <w:rsid w:val="00EC4241"/>
    <w:rsid w:val="00EC4FB3"/>
    <w:rsid w:val="00EC640C"/>
    <w:rsid w:val="00ED01AC"/>
    <w:rsid w:val="00ED0C17"/>
    <w:rsid w:val="00ED142E"/>
    <w:rsid w:val="00ED2986"/>
    <w:rsid w:val="00ED3895"/>
    <w:rsid w:val="00ED3F5E"/>
    <w:rsid w:val="00ED3F7A"/>
    <w:rsid w:val="00ED4CB1"/>
    <w:rsid w:val="00ED4F13"/>
    <w:rsid w:val="00ED5A4F"/>
    <w:rsid w:val="00ED5ECB"/>
    <w:rsid w:val="00EE1F4E"/>
    <w:rsid w:val="00EE32B2"/>
    <w:rsid w:val="00EE3B69"/>
    <w:rsid w:val="00EE4222"/>
    <w:rsid w:val="00EE42D9"/>
    <w:rsid w:val="00EE4A98"/>
    <w:rsid w:val="00EF05F1"/>
    <w:rsid w:val="00EF0EB9"/>
    <w:rsid w:val="00EF1D01"/>
    <w:rsid w:val="00EF67F4"/>
    <w:rsid w:val="00F00F38"/>
    <w:rsid w:val="00F0565E"/>
    <w:rsid w:val="00F0700C"/>
    <w:rsid w:val="00F12A23"/>
    <w:rsid w:val="00F1430C"/>
    <w:rsid w:val="00F14C83"/>
    <w:rsid w:val="00F1594A"/>
    <w:rsid w:val="00F16BE0"/>
    <w:rsid w:val="00F21D4E"/>
    <w:rsid w:val="00F22335"/>
    <w:rsid w:val="00F23F8E"/>
    <w:rsid w:val="00F23FA5"/>
    <w:rsid w:val="00F24AB8"/>
    <w:rsid w:val="00F25A0D"/>
    <w:rsid w:val="00F264C6"/>
    <w:rsid w:val="00F2740B"/>
    <w:rsid w:val="00F279E4"/>
    <w:rsid w:val="00F3289C"/>
    <w:rsid w:val="00F35141"/>
    <w:rsid w:val="00F412CC"/>
    <w:rsid w:val="00F430AF"/>
    <w:rsid w:val="00F46D7F"/>
    <w:rsid w:val="00F47339"/>
    <w:rsid w:val="00F4769A"/>
    <w:rsid w:val="00F47CA4"/>
    <w:rsid w:val="00F5014C"/>
    <w:rsid w:val="00F506F9"/>
    <w:rsid w:val="00F50AE1"/>
    <w:rsid w:val="00F51E3A"/>
    <w:rsid w:val="00F54CD5"/>
    <w:rsid w:val="00F567B4"/>
    <w:rsid w:val="00F64926"/>
    <w:rsid w:val="00F65C0A"/>
    <w:rsid w:val="00F6742E"/>
    <w:rsid w:val="00F71A2D"/>
    <w:rsid w:val="00F72BFB"/>
    <w:rsid w:val="00F7424D"/>
    <w:rsid w:val="00F745B6"/>
    <w:rsid w:val="00F748DF"/>
    <w:rsid w:val="00F76F46"/>
    <w:rsid w:val="00F773D7"/>
    <w:rsid w:val="00F80758"/>
    <w:rsid w:val="00F82877"/>
    <w:rsid w:val="00F84C96"/>
    <w:rsid w:val="00F86433"/>
    <w:rsid w:val="00F86B7A"/>
    <w:rsid w:val="00F86F53"/>
    <w:rsid w:val="00F90DC0"/>
    <w:rsid w:val="00F94A89"/>
    <w:rsid w:val="00F9580B"/>
    <w:rsid w:val="00F95AC2"/>
    <w:rsid w:val="00F97BBA"/>
    <w:rsid w:val="00F97DF8"/>
    <w:rsid w:val="00F97E0D"/>
    <w:rsid w:val="00FA2324"/>
    <w:rsid w:val="00FA2C13"/>
    <w:rsid w:val="00FA37FC"/>
    <w:rsid w:val="00FA48B9"/>
    <w:rsid w:val="00FA6845"/>
    <w:rsid w:val="00FA79F7"/>
    <w:rsid w:val="00FA7D69"/>
    <w:rsid w:val="00FB0899"/>
    <w:rsid w:val="00FB2937"/>
    <w:rsid w:val="00FB5304"/>
    <w:rsid w:val="00FB5BA4"/>
    <w:rsid w:val="00FB5E0F"/>
    <w:rsid w:val="00FB62DC"/>
    <w:rsid w:val="00FB64A6"/>
    <w:rsid w:val="00FB6DAD"/>
    <w:rsid w:val="00FC0651"/>
    <w:rsid w:val="00FC1CBC"/>
    <w:rsid w:val="00FC286F"/>
    <w:rsid w:val="00FC2EF0"/>
    <w:rsid w:val="00FC2FEF"/>
    <w:rsid w:val="00FC6ABA"/>
    <w:rsid w:val="00FC79DD"/>
    <w:rsid w:val="00FC7F54"/>
    <w:rsid w:val="00FD0A7B"/>
    <w:rsid w:val="00FD0BE6"/>
    <w:rsid w:val="00FD5207"/>
    <w:rsid w:val="00FD542B"/>
    <w:rsid w:val="00FD5BF3"/>
    <w:rsid w:val="00FE0775"/>
    <w:rsid w:val="00FE0E78"/>
    <w:rsid w:val="00FE136F"/>
    <w:rsid w:val="00FE302A"/>
    <w:rsid w:val="00FE3CF1"/>
    <w:rsid w:val="00FE3F74"/>
    <w:rsid w:val="00FE4A2D"/>
    <w:rsid w:val="00FE6393"/>
    <w:rsid w:val="00FE7255"/>
    <w:rsid w:val="00FF1CBC"/>
    <w:rsid w:val="00FF43A5"/>
    <w:rsid w:val="00FF5025"/>
    <w:rsid w:val="00FF5931"/>
    <w:rsid w:val="00FF5C2B"/>
    <w:rsid w:val="00FF5FC3"/>
    <w:rsid w:val="00FF7DD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ffc425"/>
    </o:shapedefaults>
    <o:shapelayout v:ext="edit">
      <o:idmap v:ext="edit" data="1"/>
    </o:shapelayout>
  </w:shapeDefaults>
  <w:decimalSymbol w:val="."/>
  <w:listSeparator w:val=","/>
  <w14:docId w14:val="045F1968"/>
  <w15:docId w15:val="{E3F06275-A669-4890-94DA-F88EF410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4F5764"/>
    <w:pPr>
      <w:spacing w:before="160" w:line="260" w:lineRule="exact"/>
    </w:pPr>
    <w:rPr>
      <w:rFonts w:ascii="Trebuchet MS" w:hAnsi="Trebuchet MS"/>
      <w:sz w:val="19"/>
      <w:lang w:val="en-AU"/>
    </w:rPr>
  </w:style>
  <w:style w:type="paragraph" w:styleId="Heading1">
    <w:name w:val="heading 1"/>
    <w:next w:val="Text"/>
    <w:link w:val="Heading1Char"/>
    <w:qFormat/>
    <w:rsid w:val="00D479EA"/>
    <w:pPr>
      <w:keepNext/>
      <w:spacing w:after="360"/>
      <w:outlineLvl w:val="0"/>
    </w:pPr>
    <w:rPr>
      <w:rFonts w:ascii="Arial" w:hAnsi="Arial" w:cs="Tahoma"/>
      <w:color w:val="000000"/>
      <w:kern w:val="28"/>
      <w:sz w:val="44"/>
      <w:szCs w:val="56"/>
      <w:lang w:val="en-AU"/>
    </w:rPr>
  </w:style>
  <w:style w:type="paragraph" w:styleId="Heading2">
    <w:name w:val="heading 2"/>
    <w:next w:val="Text"/>
    <w:link w:val="Heading2Char"/>
    <w:qFormat/>
    <w:rsid w:val="004F0B76"/>
    <w:pPr>
      <w:keepNext/>
      <w:spacing w:before="360"/>
      <w:ind w:right="-369"/>
      <w:outlineLvl w:val="1"/>
    </w:pPr>
    <w:rPr>
      <w:rFonts w:ascii="Arial" w:hAnsi="Arial" w:cs="Tahoma"/>
      <w:sz w:val="28"/>
      <w:lang w:val="en-AU"/>
    </w:rPr>
  </w:style>
  <w:style w:type="paragraph" w:styleId="Heading3">
    <w:name w:val="heading 3"/>
    <w:next w:val="Text"/>
    <w:link w:val="Heading3Char"/>
    <w:qFormat/>
    <w:rsid w:val="004F0B76"/>
    <w:pPr>
      <w:spacing w:before="280"/>
      <w:outlineLvl w:val="2"/>
    </w:pPr>
    <w:rPr>
      <w:rFonts w:ascii="Arial" w:hAnsi="Arial" w:cs="Tahoma"/>
      <w:color w:val="000000"/>
      <w:sz w:val="24"/>
      <w:lang w:val="en-AU"/>
    </w:rPr>
  </w:style>
  <w:style w:type="paragraph" w:styleId="Heading4">
    <w:name w:val="heading 4"/>
    <w:next w:val="Text"/>
    <w:link w:val="Heading4Char"/>
    <w:qFormat/>
    <w:rsid w:val="00D43A66"/>
    <w:pPr>
      <w:spacing w:before="240"/>
      <w:outlineLvl w:val="3"/>
    </w:pPr>
    <w:rPr>
      <w:rFonts w:ascii="Arial" w:hAnsi="Arial"/>
      <w:i/>
      <w:sz w:val="24"/>
      <w:lang w:val="en-AU"/>
    </w:rPr>
  </w:style>
  <w:style w:type="paragraph" w:styleId="Heading5">
    <w:name w:val="heading 5"/>
    <w:basedOn w:val="Normal"/>
    <w:next w:val="Normal"/>
    <w:qFormat/>
    <w:rsid w:val="006D546E"/>
    <w:pPr>
      <w:keepNext/>
      <w:outlineLvl w:val="4"/>
    </w:pPr>
    <w:rPr>
      <w:rFonts w:ascii="Tahoma" w:hAnsi="Tahoma"/>
      <w:b/>
    </w:rPr>
  </w:style>
  <w:style w:type="paragraph" w:styleId="Heading6">
    <w:name w:val="heading 6"/>
    <w:basedOn w:val="Normal"/>
    <w:next w:val="Normal"/>
    <w:qFormat/>
    <w:rsid w:val="006D546E"/>
    <w:pPr>
      <w:keepNext/>
      <w:ind w:left="2977"/>
      <w:outlineLvl w:val="5"/>
    </w:pPr>
    <w:rPr>
      <w:rFonts w:ascii="Tahoma" w:hAnsi="Tahoma"/>
      <w:sz w:val="20"/>
    </w:rPr>
  </w:style>
  <w:style w:type="paragraph" w:styleId="Heading7">
    <w:name w:val="heading 7"/>
    <w:basedOn w:val="Normal"/>
    <w:next w:val="Normal"/>
    <w:qFormat/>
    <w:rsid w:val="006D546E"/>
    <w:pPr>
      <w:keepNext/>
      <w:jc w:val="center"/>
      <w:outlineLvl w:val="6"/>
    </w:pPr>
    <w:rPr>
      <w:rFonts w:ascii="Tahoma" w:hAnsi="Tahoma"/>
      <w:spacing w:val="20"/>
      <w:sz w:val="20"/>
    </w:rPr>
  </w:style>
  <w:style w:type="paragraph" w:styleId="Heading8">
    <w:name w:val="heading 8"/>
    <w:basedOn w:val="Normal"/>
    <w:next w:val="Normal"/>
    <w:qFormat/>
    <w:rsid w:val="006D546E"/>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D479E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D479EA"/>
    <w:rPr>
      <w:rFonts w:ascii="Trebuchet MS" w:hAnsi="Trebuchet MS"/>
      <w:sz w:val="19"/>
      <w:lang w:val="en-AU"/>
    </w:rPr>
  </w:style>
  <w:style w:type="character" w:customStyle="1" w:styleId="Heading3Char">
    <w:name w:val="Heading 3 Char"/>
    <w:basedOn w:val="DefaultParagraphFont"/>
    <w:link w:val="Heading3"/>
    <w:rsid w:val="004F0B76"/>
    <w:rPr>
      <w:rFonts w:ascii="Arial" w:hAnsi="Arial" w:cs="Tahoma"/>
      <w:color w:val="000000"/>
      <w:sz w:val="24"/>
      <w:lang w:val="en-AU"/>
    </w:rPr>
  </w:style>
  <w:style w:type="character" w:customStyle="1" w:styleId="Heading4Char">
    <w:name w:val="Heading 4 Char"/>
    <w:basedOn w:val="DefaultParagraphFont"/>
    <w:link w:val="Heading4"/>
    <w:rsid w:val="00D43A66"/>
    <w:rPr>
      <w:rFonts w:ascii="Arial" w:hAnsi="Arial"/>
      <w:i/>
      <w:sz w:val="24"/>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rsid w:val="002A11C2"/>
    <w:pPr>
      <w:tabs>
        <w:tab w:val="right" w:pos="8505"/>
      </w:tabs>
      <w:spacing w:before="0"/>
    </w:pPr>
    <w:rPr>
      <w:rFonts w:ascii="Arial" w:hAnsi="Arial"/>
      <w:b/>
      <w:sz w:val="17"/>
      <w:szCs w:val="17"/>
    </w:rPr>
  </w:style>
  <w:style w:type="character" w:customStyle="1" w:styleId="FooterChar">
    <w:name w:val="Footer Char"/>
    <w:link w:val="Footer"/>
    <w:uiPriority w:val="99"/>
    <w:rsid w:val="002A11C2"/>
    <w:rPr>
      <w:rFonts w:ascii="Arial" w:hAnsi="Arial"/>
      <w:b/>
      <w:sz w:val="17"/>
      <w:szCs w:val="17"/>
      <w:lang w:val="en-AU"/>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D43A66"/>
    <w:pPr>
      <w:spacing w:before="360" w:after="80"/>
      <w:ind w:left="851" w:hanging="851"/>
    </w:pPr>
    <w:rPr>
      <w:rFonts w:ascii="Arial" w:hAnsi="Arial"/>
      <w:b/>
      <w:sz w:val="17"/>
      <w:lang w:val="en-AU"/>
    </w:rPr>
  </w:style>
  <w:style w:type="paragraph" w:customStyle="1" w:styleId="Tabletext">
    <w:name w:val="Table text"/>
    <w:next w:val="Text"/>
    <w:rsid w:val="00D43A66"/>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6D546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150874"/>
    <w:pPr>
      <w:tabs>
        <w:tab w:val="left" w:pos="992"/>
      </w:tabs>
      <w:spacing w:before="20" w:after="20"/>
    </w:pPr>
    <w:rPr>
      <w:rFonts w:ascii="Tahoma" w:hAnsi="Tahoma"/>
      <w:b w:val="0"/>
    </w:rPr>
  </w:style>
  <w:style w:type="paragraph" w:customStyle="1" w:styleId="Tablehead3">
    <w:name w:val="Tablehead3"/>
    <w:basedOn w:val="Tablehead2"/>
    <w:rsid w:val="00DA44A8"/>
    <w:rPr>
      <w:rFonts w:ascii="Arial" w:hAnsi="Arial"/>
      <w:i/>
    </w:rPr>
  </w:style>
  <w:style w:type="paragraph" w:styleId="TableofFigures">
    <w:name w:val="table of figures"/>
    <w:basedOn w:val="TOC1"/>
    <w:next w:val="Normal"/>
    <w:uiPriority w:val="99"/>
    <w:semiHidden/>
    <w:rsid w:val="004E7227"/>
    <w:pPr>
      <w:tabs>
        <w:tab w:val="left" w:pos="284"/>
      </w:tabs>
      <w:spacing w:before="80"/>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0">
    <w:name w:val="Dotpoint1"/>
    <w:rsid w:val="005C277E"/>
    <w:pPr>
      <w:numPr>
        <w:numId w:val="2"/>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0"/>
    <w:rsid w:val="005C277E"/>
    <w:pPr>
      <w:numPr>
        <w:numId w:val="3"/>
      </w:numPr>
      <w:tabs>
        <w:tab w:val="clear" w:pos="284"/>
        <w:tab w:val="left" w:pos="567"/>
      </w:tabs>
      <w:ind w:left="568" w:hanging="284"/>
    </w:pPr>
  </w:style>
  <w:style w:type="paragraph" w:customStyle="1" w:styleId="NumberedListContinuing">
    <w:name w:val="NumberedListContinuing"/>
    <w:basedOn w:val="Dotpoint10"/>
    <w:rsid w:val="00CE4291"/>
    <w:pPr>
      <w:numPr>
        <w:numId w:val="25"/>
      </w:numPr>
      <w:tabs>
        <w:tab w:val="clear" w:pos="284"/>
      </w:tabs>
    </w:pPr>
    <w:rPr>
      <w:lang w:eastAsia="en-AU"/>
    </w:rPr>
  </w:style>
  <w:style w:type="paragraph" w:customStyle="1" w:styleId="Source">
    <w:name w:val="Source"/>
    <w:rsid w:val="00113805"/>
    <w:pPr>
      <w:spacing w:before="40"/>
      <w:ind w:left="567" w:hanging="567"/>
    </w:pPr>
    <w:rPr>
      <w:rFonts w:ascii="Arial" w:hAnsi="Arial"/>
      <w:sz w:val="15"/>
      <w:lang w:val="en-AU"/>
    </w:rPr>
  </w:style>
  <w:style w:type="paragraph" w:styleId="FootnoteText">
    <w:name w:val="footnote text"/>
    <w:basedOn w:val="Text"/>
    <w:link w:val="FootnoteTextChar"/>
    <w:rsid w:val="00552318"/>
    <w:pPr>
      <w:tabs>
        <w:tab w:val="left" w:pos="1418"/>
      </w:tabs>
      <w:spacing w:before="360" w:line="220" w:lineRule="exact"/>
      <w:ind w:left="170" w:right="0" w:hanging="170"/>
    </w:pPr>
    <w:rPr>
      <w:sz w:val="16"/>
    </w:rPr>
  </w:style>
  <w:style w:type="character" w:customStyle="1" w:styleId="FootnoteTextChar">
    <w:name w:val="Footnote Text Char"/>
    <w:basedOn w:val="DefaultParagraphFont"/>
    <w:link w:val="FootnoteText"/>
    <w:rsid w:val="00552318"/>
    <w:rPr>
      <w:rFonts w:ascii="Trebuchet MS" w:hAnsi="Trebuchet MS"/>
      <w:sz w:val="16"/>
      <w:lang w:val="en-AU"/>
    </w:rPr>
  </w:style>
  <w:style w:type="paragraph" w:styleId="NormalWeb">
    <w:name w:val="Normal (Web)"/>
    <w:basedOn w:val="Normal"/>
    <w:uiPriority w:val="99"/>
    <w:rsid w:val="009058B5"/>
    <w:pPr>
      <w:spacing w:before="100" w:beforeAutospacing="1" w:after="240"/>
    </w:pPr>
    <w:rPr>
      <w:sz w:val="18"/>
      <w:szCs w:val="18"/>
    </w:rPr>
  </w:style>
  <w:style w:type="paragraph" w:customStyle="1" w:styleId="Titlepage">
    <w:name w:val="Title page"/>
    <w:basedOn w:val="Heading1"/>
    <w:next w:val="Titlepagesubtitle"/>
    <w:link w:val="TitlepageChar"/>
    <w:qFormat/>
    <w:rsid w:val="00B00E7A"/>
    <w:pPr>
      <w:spacing w:after="840"/>
    </w:pPr>
    <w:rPr>
      <w:rFonts w:cs="Arial"/>
      <w:b/>
      <w:color w:val="0081C6"/>
      <w:sz w:val="55"/>
      <w:szCs w:val="55"/>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6D546E"/>
    <w:pPr>
      <w:ind w:left="720"/>
      <w:contextualSpacing/>
    </w:pPr>
  </w:style>
  <w:style w:type="character" w:styleId="PlaceholderText">
    <w:name w:val="Placeholder Text"/>
    <w:basedOn w:val="DefaultParagraphFont"/>
    <w:uiPriority w:val="99"/>
    <w:semiHidden/>
    <w:rsid w:val="00C5220C"/>
    <w:rPr>
      <w:color w:val="808080"/>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Tabletitle0">
    <w:name w:val="Tabletitle"/>
    <w:next w:val="Text"/>
    <w:rsid w:val="00EB0AD7"/>
    <w:pPr>
      <w:spacing w:before="360" w:after="80"/>
      <w:ind w:left="851" w:hanging="851"/>
    </w:pPr>
    <w:rPr>
      <w:rFonts w:ascii="Tahoma" w:hAnsi="Tahoma"/>
      <w:b/>
      <w:sz w:val="17"/>
      <w:lang w:val="en-AU"/>
    </w:rPr>
  </w:style>
  <w:style w:type="paragraph" w:customStyle="1" w:styleId="PublicationTitle">
    <w:name w:val="Publication Title"/>
    <w:qFormat/>
    <w:rsid w:val="006D546E"/>
    <w:pPr>
      <w:spacing w:before="3200" w:after="840"/>
      <w:ind w:left="1701"/>
    </w:pPr>
    <w:rPr>
      <w:rFonts w:ascii="Tahoma" w:hAnsi="Tahoma" w:cs="Tahoma"/>
      <w:color w:val="000000"/>
      <w:kern w:val="28"/>
      <w:sz w:val="56"/>
      <w:szCs w:val="56"/>
      <w:lang w:val="en-AU"/>
    </w:rPr>
  </w:style>
  <w:style w:type="paragraph" w:customStyle="1" w:styleId="Authors">
    <w:name w:val="Authors"/>
    <w:qFormat/>
    <w:rsid w:val="006D546E"/>
    <w:pPr>
      <w:ind w:left="1701" w:right="-1"/>
    </w:pPr>
    <w:rPr>
      <w:rFonts w:ascii="Tahoma" w:hAnsi="Tahoma" w:cs="Tahoma"/>
      <w:sz w:val="28"/>
      <w:lang w:val="en-AU"/>
    </w:rPr>
  </w:style>
  <w:style w:type="paragraph" w:customStyle="1" w:styleId="Contents">
    <w:name w:val="Contents"/>
    <w:qFormat/>
    <w:rsid w:val="00D43A66"/>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6D546E"/>
    <w:pPr>
      <w:spacing w:before="360"/>
    </w:pPr>
    <w:rPr>
      <w:rFonts w:ascii="Tahoma" w:hAnsi="Tahoma" w:cs="Tahoma"/>
      <w:i/>
      <w:sz w:val="28"/>
      <w:lang w:val="en-AU"/>
    </w:rPr>
  </w:style>
  <w:style w:type="paragraph" w:customStyle="1" w:styleId="Abouttheresearch">
    <w:name w:val="About the research"/>
    <w:uiPriority w:val="1"/>
    <w:qFormat/>
    <w:rsid w:val="006D546E"/>
    <w:rPr>
      <w:rFonts w:ascii="Tahoma" w:hAnsi="Tahoma" w:cs="Tahoma"/>
      <w:color w:val="000000"/>
      <w:kern w:val="28"/>
      <w:sz w:val="56"/>
      <w:szCs w:val="56"/>
      <w:lang w:val="en-AU"/>
    </w:rPr>
  </w:style>
  <w:style w:type="paragraph" w:customStyle="1" w:styleId="Keymessages">
    <w:name w:val="Key messages"/>
    <w:uiPriority w:val="1"/>
    <w:qFormat/>
    <w:rsid w:val="006D546E"/>
    <w:pPr>
      <w:spacing w:before="360"/>
    </w:pPr>
    <w:rPr>
      <w:rFonts w:ascii="Tahoma" w:hAnsi="Tahoma" w:cs="Tahoma"/>
      <w:sz w:val="28"/>
      <w:lang w:val="en-AU"/>
    </w:rPr>
  </w:style>
  <w:style w:type="paragraph" w:customStyle="1" w:styleId="Organisation">
    <w:name w:val="Organisation"/>
    <w:basedOn w:val="Authors"/>
    <w:uiPriority w:val="1"/>
    <w:qFormat/>
    <w:rsid w:val="00F0700C"/>
    <w:pPr>
      <w:spacing w:before="120"/>
      <w:ind w:left="0" w:right="0"/>
    </w:pPr>
    <w:rPr>
      <w:rFonts w:ascii="Arial" w:hAnsi="Arial"/>
      <w:color w:val="595959" w:themeColor="text1" w:themeTint="A6"/>
      <w:sz w:val="27"/>
    </w:rPr>
  </w:style>
  <w:style w:type="paragraph" w:customStyle="1" w:styleId="Head1">
    <w:name w:val="Head 1"/>
    <w:basedOn w:val="Normal"/>
    <w:rsid w:val="00251024"/>
    <w:pPr>
      <w:pBdr>
        <w:bottom w:val="single" w:sz="4" w:space="1" w:color="auto"/>
      </w:pBdr>
      <w:autoSpaceDE w:val="0"/>
      <w:autoSpaceDN w:val="0"/>
      <w:spacing w:before="0" w:line="240" w:lineRule="auto"/>
      <w:jc w:val="right"/>
    </w:pPr>
    <w:rPr>
      <w:rFonts w:ascii="Arial Narrow" w:hAnsi="Arial Narrow" w:cs="AvantGarde"/>
      <w:sz w:val="56"/>
      <w:szCs w:val="56"/>
      <w:lang w:val="en-US" w:eastAsia="en-AU"/>
    </w:rPr>
  </w:style>
  <w:style w:type="paragraph" w:customStyle="1" w:styleId="Head2">
    <w:name w:val="Head 2"/>
    <w:basedOn w:val="Normal"/>
    <w:rsid w:val="00251024"/>
    <w:pPr>
      <w:spacing w:before="0" w:line="240" w:lineRule="auto"/>
    </w:pPr>
    <w:rPr>
      <w:rFonts w:ascii="Arial" w:hAnsi="Arial"/>
      <w:sz w:val="72"/>
    </w:rPr>
  </w:style>
  <w:style w:type="paragraph" w:customStyle="1" w:styleId="Head3">
    <w:name w:val="Head 3"/>
    <w:basedOn w:val="Normal"/>
    <w:rsid w:val="00251024"/>
    <w:pPr>
      <w:spacing w:before="0" w:line="240" w:lineRule="auto"/>
    </w:pPr>
    <w:rPr>
      <w:rFonts w:ascii="Arial" w:hAnsi="Arial"/>
      <w:sz w:val="22"/>
    </w:rPr>
  </w:style>
  <w:style w:type="paragraph" w:customStyle="1" w:styleId="Style1">
    <w:name w:val="Style1"/>
    <w:basedOn w:val="Normal"/>
    <w:rsid w:val="00251024"/>
    <w:pPr>
      <w:spacing w:before="0" w:line="240" w:lineRule="auto"/>
    </w:pPr>
    <w:rPr>
      <w:rFonts w:ascii="Arial" w:hAnsi="Arial"/>
      <w:sz w:val="20"/>
    </w:rPr>
  </w:style>
  <w:style w:type="paragraph" w:customStyle="1" w:styleId="Style2">
    <w:name w:val="Style2"/>
    <w:basedOn w:val="Normal"/>
    <w:rsid w:val="00251024"/>
    <w:pPr>
      <w:spacing w:before="0" w:line="240" w:lineRule="auto"/>
    </w:pPr>
    <w:rPr>
      <w:rFonts w:ascii="Arial" w:hAnsi="Arial"/>
      <w:sz w:val="18"/>
    </w:rPr>
  </w:style>
  <w:style w:type="paragraph" w:customStyle="1" w:styleId="Pop-3">
    <w:name w:val="Pop-3"/>
    <w:basedOn w:val="Normal"/>
    <w:rsid w:val="00914715"/>
    <w:pPr>
      <w:spacing w:before="0" w:after="160" w:line="240" w:lineRule="auto"/>
    </w:pPr>
    <w:rPr>
      <w:rFonts w:ascii="Arial" w:hAnsi="Arial"/>
      <w:b/>
      <w:spacing w:val="8"/>
      <w:sz w:val="24"/>
      <w:szCs w:val="24"/>
      <w:lang w:val="en-US" w:eastAsia="en-AU"/>
    </w:rPr>
  </w:style>
  <w:style w:type="paragraph" w:customStyle="1" w:styleId="Pop-4">
    <w:name w:val="Pop-4"/>
    <w:basedOn w:val="Normal"/>
    <w:rsid w:val="00914715"/>
    <w:pPr>
      <w:spacing w:before="0" w:after="120" w:line="240" w:lineRule="auto"/>
    </w:pPr>
    <w:rPr>
      <w:rFonts w:ascii="Arial" w:hAnsi="Arial" w:cs="Arial"/>
      <w:i/>
      <w:spacing w:val="8"/>
      <w:sz w:val="22"/>
      <w:szCs w:val="22"/>
      <w:lang w:val="en-US" w:eastAsia="en-AU"/>
    </w:rPr>
  </w:style>
  <w:style w:type="paragraph" w:customStyle="1" w:styleId="Pop-5">
    <w:name w:val="Pop-5"/>
    <w:basedOn w:val="Normal"/>
    <w:rsid w:val="00914715"/>
    <w:pPr>
      <w:spacing w:before="0" w:after="80" w:line="240" w:lineRule="auto"/>
    </w:pPr>
    <w:rPr>
      <w:rFonts w:ascii="Verdana" w:hAnsi="Verdana"/>
      <w:b/>
      <w:spacing w:val="8"/>
      <w:sz w:val="17"/>
      <w:szCs w:val="17"/>
      <w:lang w:val="en-US" w:eastAsia="en-AU"/>
    </w:rPr>
  </w:style>
  <w:style w:type="paragraph" w:customStyle="1" w:styleId="Heading10">
    <w:name w:val="Heading1"/>
    <w:basedOn w:val="Head1"/>
    <w:rsid w:val="00251024"/>
    <w:pPr>
      <w:spacing w:before="200" w:after="360"/>
    </w:pPr>
    <w:rPr>
      <w:rFonts w:ascii="Garamond" w:hAnsi="Garamond"/>
      <w:sz w:val="64"/>
      <w:szCs w:val="72"/>
    </w:rPr>
  </w:style>
  <w:style w:type="paragraph" w:customStyle="1" w:styleId="Heading20">
    <w:name w:val="Heading2"/>
    <w:basedOn w:val="Heading3"/>
    <w:rsid w:val="00251024"/>
    <w:pPr>
      <w:keepNext/>
      <w:spacing w:before="120" w:after="240"/>
    </w:pPr>
    <w:rPr>
      <w:rFonts w:ascii="Garamond" w:hAnsi="Garamond" w:cs="Times New Roman"/>
      <w:color w:val="auto"/>
      <w:sz w:val="32"/>
      <w:szCs w:val="32"/>
      <w:lang w:eastAsia="en-AU"/>
    </w:rPr>
  </w:style>
  <w:style w:type="paragraph" w:customStyle="1" w:styleId="Pop-bulletpt-level2">
    <w:name w:val="Pop-bulletpt-level2"/>
    <w:basedOn w:val="Normal"/>
    <w:rsid w:val="00914715"/>
    <w:pPr>
      <w:numPr>
        <w:ilvl w:val="1"/>
        <w:numId w:val="5"/>
      </w:numPr>
      <w:spacing w:before="0" w:line="240" w:lineRule="auto"/>
    </w:pPr>
    <w:rPr>
      <w:rFonts w:ascii="Verdana" w:hAnsi="Verdana"/>
      <w:sz w:val="18"/>
      <w:szCs w:val="18"/>
      <w:lang w:val="en-US" w:eastAsia="en-AU"/>
    </w:rPr>
  </w:style>
  <w:style w:type="paragraph" w:customStyle="1" w:styleId="Subhd2">
    <w:name w:val="Subhd2"/>
    <w:basedOn w:val="Normal"/>
    <w:rsid w:val="00251024"/>
    <w:pPr>
      <w:autoSpaceDE w:val="0"/>
      <w:autoSpaceDN w:val="0"/>
      <w:spacing w:before="0" w:line="240" w:lineRule="auto"/>
    </w:pPr>
    <w:rPr>
      <w:rFonts w:ascii="Arial" w:hAnsi="Arial" w:cs="AvantGarde"/>
      <w:b/>
      <w:bCs/>
      <w:noProof/>
      <w:sz w:val="25"/>
      <w:szCs w:val="25"/>
      <w:lang w:val="en-US" w:eastAsia="en-AU"/>
    </w:rPr>
  </w:style>
  <w:style w:type="paragraph" w:customStyle="1" w:styleId="Pop-H1">
    <w:name w:val="Pop-H1"/>
    <w:basedOn w:val="Normal"/>
    <w:rsid w:val="00914715"/>
    <w:pPr>
      <w:pBdr>
        <w:bottom w:val="single" w:sz="4" w:space="1" w:color="auto"/>
      </w:pBdr>
      <w:spacing w:before="0" w:after="720" w:line="240" w:lineRule="auto"/>
      <w:jc w:val="right"/>
    </w:pPr>
    <w:rPr>
      <w:rFonts w:ascii="Arial Narrow" w:hAnsi="Arial Narrow"/>
      <w:spacing w:val="24"/>
      <w:sz w:val="48"/>
      <w:szCs w:val="48"/>
      <w:lang w:eastAsia="en-AU"/>
    </w:rPr>
  </w:style>
  <w:style w:type="paragraph" w:customStyle="1" w:styleId="Pop-H2">
    <w:name w:val="Pop-H2"/>
    <w:basedOn w:val="Normal"/>
    <w:rsid w:val="00251024"/>
    <w:pPr>
      <w:spacing w:before="240" w:after="240" w:line="240" w:lineRule="auto"/>
    </w:pPr>
    <w:rPr>
      <w:rFonts w:ascii="Microsoft Sans Serif" w:hAnsi="Microsoft Sans Serif"/>
      <w:b/>
      <w:sz w:val="32"/>
      <w:szCs w:val="32"/>
      <w:lang w:eastAsia="en-AU"/>
    </w:rPr>
  </w:style>
  <w:style w:type="paragraph" w:customStyle="1" w:styleId="A-Dotpt2">
    <w:name w:val="A-Dotpt2"/>
    <w:basedOn w:val="Normal"/>
    <w:rsid w:val="00251024"/>
    <w:pPr>
      <w:numPr>
        <w:ilvl w:val="1"/>
        <w:numId w:val="6"/>
      </w:numPr>
      <w:spacing w:before="0" w:line="240" w:lineRule="auto"/>
    </w:pPr>
    <w:rPr>
      <w:rFonts w:ascii="Times New Roman" w:hAnsi="Times New Roman"/>
      <w:sz w:val="22"/>
      <w:lang w:eastAsia="en-AU"/>
    </w:rPr>
  </w:style>
  <w:style w:type="paragraph" w:styleId="CommentText">
    <w:name w:val="annotation text"/>
    <w:basedOn w:val="Normal"/>
    <w:link w:val="CommentTextChar"/>
    <w:semiHidden/>
    <w:rsid w:val="00251024"/>
    <w:pPr>
      <w:spacing w:before="0" w:line="240" w:lineRule="auto"/>
    </w:pPr>
    <w:rPr>
      <w:rFonts w:ascii="Times New Roman" w:hAnsi="Times New Roman"/>
      <w:sz w:val="20"/>
      <w:lang w:eastAsia="en-AU"/>
    </w:rPr>
  </w:style>
  <w:style w:type="character" w:customStyle="1" w:styleId="CommentTextChar">
    <w:name w:val="Comment Text Char"/>
    <w:basedOn w:val="DefaultParagraphFont"/>
    <w:link w:val="CommentText"/>
    <w:semiHidden/>
    <w:rsid w:val="00251024"/>
    <w:rPr>
      <w:lang w:val="en-AU" w:eastAsia="en-AU"/>
    </w:rPr>
  </w:style>
  <w:style w:type="paragraph" w:styleId="CommentSubject">
    <w:name w:val="annotation subject"/>
    <w:basedOn w:val="CommentText"/>
    <w:next w:val="CommentText"/>
    <w:link w:val="CommentSubjectChar"/>
    <w:semiHidden/>
    <w:rsid w:val="00251024"/>
    <w:rPr>
      <w:b/>
      <w:bCs/>
    </w:rPr>
  </w:style>
  <w:style w:type="character" w:customStyle="1" w:styleId="CommentSubjectChar">
    <w:name w:val="Comment Subject Char"/>
    <w:basedOn w:val="CommentTextChar"/>
    <w:link w:val="CommentSubject"/>
    <w:semiHidden/>
    <w:rsid w:val="00251024"/>
    <w:rPr>
      <w:b/>
      <w:bCs/>
      <w:lang w:val="en-AU" w:eastAsia="en-AU"/>
    </w:rPr>
  </w:style>
  <w:style w:type="character" w:styleId="FollowedHyperlink">
    <w:name w:val="FollowedHyperlink"/>
    <w:rsid w:val="00251024"/>
    <w:rPr>
      <w:color w:val="800080"/>
      <w:u w:val="single"/>
    </w:rPr>
  </w:style>
  <w:style w:type="character" w:styleId="Strong">
    <w:name w:val="Strong"/>
    <w:uiPriority w:val="22"/>
    <w:qFormat/>
    <w:rsid w:val="00251024"/>
    <w:rPr>
      <w:b/>
      <w:bCs/>
    </w:rPr>
  </w:style>
  <w:style w:type="paragraph" w:styleId="Title">
    <w:name w:val="Title"/>
    <w:basedOn w:val="Normal"/>
    <w:link w:val="TitleChar"/>
    <w:uiPriority w:val="10"/>
    <w:semiHidden/>
    <w:qFormat/>
    <w:rsid w:val="0025102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251024"/>
    <w:rPr>
      <w:rFonts w:asciiTheme="majorHAnsi" w:eastAsiaTheme="majorEastAsia" w:hAnsiTheme="majorHAnsi" w:cstheme="majorBidi"/>
      <w:color w:val="17365D" w:themeColor="text2" w:themeShade="BF"/>
      <w:spacing w:val="5"/>
      <w:kern w:val="28"/>
      <w:sz w:val="52"/>
      <w:szCs w:val="52"/>
      <w:lang w:val="en-AU"/>
    </w:rPr>
  </w:style>
  <w:style w:type="character" w:customStyle="1" w:styleId="TableTextChar">
    <w:name w:val="Table Text Char"/>
    <w:basedOn w:val="DefaultParagraphFont"/>
    <w:link w:val="TableText0"/>
    <w:locked/>
    <w:rsid w:val="00251024"/>
    <w:rPr>
      <w:rFonts w:ascii="Century Gothic" w:hAnsi="Century Gothic"/>
    </w:rPr>
  </w:style>
  <w:style w:type="paragraph" w:customStyle="1" w:styleId="TableText0">
    <w:name w:val="Table Text"/>
    <w:basedOn w:val="Normal"/>
    <w:link w:val="TableTextChar"/>
    <w:rsid w:val="00251024"/>
    <w:pPr>
      <w:spacing w:before="60" w:after="60" w:line="240" w:lineRule="auto"/>
    </w:pPr>
    <w:rPr>
      <w:rFonts w:ascii="Century Gothic" w:hAnsi="Century Gothic"/>
      <w:sz w:val="20"/>
      <w:lang w:val="en-US"/>
    </w:rPr>
  </w:style>
  <w:style w:type="character" w:customStyle="1" w:styleId="Optional">
    <w:name w:val="Optional"/>
    <w:basedOn w:val="DefaultParagraphFont"/>
    <w:rsid w:val="00251024"/>
    <w:rPr>
      <w:color w:val="0000FF"/>
    </w:rPr>
  </w:style>
  <w:style w:type="paragraph" w:styleId="Revision">
    <w:name w:val="Revision"/>
    <w:hidden/>
    <w:uiPriority w:val="71"/>
    <w:rsid w:val="00251024"/>
    <w:rPr>
      <w:sz w:val="22"/>
      <w:lang w:val="en-AU" w:eastAsia="en-AU"/>
    </w:rPr>
  </w:style>
  <w:style w:type="paragraph" w:customStyle="1" w:styleId="DotPoints">
    <w:name w:val="DotPoints"/>
    <w:basedOn w:val="Normal"/>
    <w:rsid w:val="00251024"/>
    <w:pPr>
      <w:numPr>
        <w:numId w:val="8"/>
      </w:numPr>
      <w:spacing w:before="0" w:line="240" w:lineRule="auto"/>
    </w:pPr>
    <w:rPr>
      <w:rFonts w:ascii="Verdana" w:hAnsi="Verdana"/>
      <w:sz w:val="22"/>
      <w:szCs w:val="24"/>
      <w:lang w:eastAsia="en-AU"/>
    </w:rPr>
  </w:style>
  <w:style w:type="paragraph" w:customStyle="1" w:styleId="Table-body">
    <w:name w:val="Table - body"/>
    <w:basedOn w:val="Normal"/>
    <w:rsid w:val="00251024"/>
    <w:pPr>
      <w:spacing w:before="60" w:after="60" w:line="240" w:lineRule="auto"/>
    </w:pPr>
    <w:rPr>
      <w:rFonts w:ascii="Arial" w:hAnsi="Arial"/>
      <w:sz w:val="24"/>
    </w:rPr>
  </w:style>
  <w:style w:type="paragraph" w:customStyle="1" w:styleId="TableFont">
    <w:name w:val="TableFont"/>
    <w:basedOn w:val="Normal"/>
    <w:link w:val="TableFontChar"/>
    <w:uiPriority w:val="99"/>
    <w:rsid w:val="00251024"/>
    <w:pPr>
      <w:spacing w:before="40" w:after="40" w:line="240" w:lineRule="auto"/>
    </w:pPr>
    <w:rPr>
      <w:rFonts w:ascii="Arial" w:hAnsi="Arial" w:cs="Arial"/>
      <w:color w:val="000000"/>
      <w:sz w:val="18"/>
      <w:lang w:val="en-GB"/>
    </w:rPr>
  </w:style>
  <w:style w:type="character" w:customStyle="1" w:styleId="TableFontChar">
    <w:name w:val="TableFont Char"/>
    <w:basedOn w:val="DefaultParagraphFont"/>
    <w:link w:val="TableFont"/>
    <w:uiPriority w:val="99"/>
    <w:rsid w:val="00251024"/>
    <w:rPr>
      <w:rFonts w:ascii="Arial" w:hAnsi="Arial" w:cs="Arial"/>
      <w:color w:val="000000"/>
      <w:sz w:val="18"/>
      <w:lang w:val="en-GB"/>
    </w:rPr>
  </w:style>
  <w:style w:type="character" w:styleId="FootnoteReference">
    <w:name w:val="footnote reference"/>
    <w:basedOn w:val="DefaultParagraphFont"/>
    <w:rsid w:val="00251024"/>
    <w:rPr>
      <w:vertAlign w:val="superscript"/>
    </w:rPr>
  </w:style>
  <w:style w:type="paragraph" w:customStyle="1" w:styleId="Normal1">
    <w:name w:val="Normal1"/>
    <w:basedOn w:val="Normal"/>
    <w:rsid w:val="00251024"/>
    <w:pPr>
      <w:spacing w:before="0" w:line="240" w:lineRule="auto"/>
    </w:pPr>
    <w:rPr>
      <w:rFonts w:ascii="SimSun" w:eastAsia="SimSun" w:hAnsi="Calibri" w:cs="SimSun"/>
      <w:sz w:val="24"/>
      <w:szCs w:val="24"/>
      <w:lang w:eastAsia="zh-CN"/>
    </w:rPr>
  </w:style>
  <w:style w:type="character" w:customStyle="1" w:styleId="normalchar1">
    <w:name w:val="normalchar1"/>
    <w:basedOn w:val="DefaultParagraphFont"/>
    <w:rsid w:val="00251024"/>
  </w:style>
  <w:style w:type="paragraph" w:customStyle="1" w:styleId="CM31">
    <w:name w:val="CM31"/>
    <w:basedOn w:val="Normal"/>
    <w:next w:val="Normal"/>
    <w:uiPriority w:val="99"/>
    <w:rsid w:val="00251024"/>
    <w:pPr>
      <w:autoSpaceDE w:val="0"/>
      <w:autoSpaceDN w:val="0"/>
      <w:adjustRightInd w:val="0"/>
      <w:spacing w:before="0" w:line="240" w:lineRule="auto"/>
    </w:pPr>
    <w:rPr>
      <w:rFonts w:ascii="AKLFD I+ Garamond" w:eastAsia="Calibri" w:hAnsi="AKLFD I+ Garamond"/>
      <w:sz w:val="24"/>
      <w:szCs w:val="24"/>
    </w:rPr>
  </w:style>
  <w:style w:type="paragraph" w:customStyle="1" w:styleId="CM39">
    <w:name w:val="CM39"/>
    <w:basedOn w:val="Normal"/>
    <w:next w:val="Normal"/>
    <w:uiPriority w:val="99"/>
    <w:rsid w:val="00251024"/>
    <w:pPr>
      <w:autoSpaceDE w:val="0"/>
      <w:autoSpaceDN w:val="0"/>
      <w:adjustRightInd w:val="0"/>
      <w:spacing w:before="0" w:line="240" w:lineRule="auto"/>
    </w:pPr>
    <w:rPr>
      <w:rFonts w:ascii="HPUOYX+GillSans-LightItalic" w:eastAsia="Calibri" w:hAnsi="HPUOYX+GillSans-LightItalic"/>
      <w:sz w:val="24"/>
      <w:szCs w:val="24"/>
    </w:rPr>
  </w:style>
  <w:style w:type="paragraph" w:styleId="PlainText">
    <w:name w:val="Plain Text"/>
    <w:basedOn w:val="Normal"/>
    <w:link w:val="PlainTextChar"/>
    <w:rsid w:val="00251024"/>
    <w:pPr>
      <w:spacing w:before="0" w:line="240" w:lineRule="auto"/>
    </w:pPr>
    <w:rPr>
      <w:rFonts w:ascii="Courier New" w:hAnsi="Courier New" w:cs="Courier New"/>
      <w:sz w:val="20"/>
    </w:rPr>
  </w:style>
  <w:style w:type="character" w:customStyle="1" w:styleId="PlainTextChar">
    <w:name w:val="Plain Text Char"/>
    <w:basedOn w:val="DefaultParagraphFont"/>
    <w:link w:val="PlainText"/>
    <w:rsid w:val="00251024"/>
    <w:rPr>
      <w:rFonts w:ascii="Courier New" w:hAnsi="Courier New" w:cs="Courier New"/>
      <w:lang w:val="en-AU"/>
    </w:rPr>
  </w:style>
  <w:style w:type="paragraph" w:styleId="ListBullet">
    <w:name w:val="List Bullet"/>
    <w:basedOn w:val="Normal"/>
    <w:unhideWhenUsed/>
    <w:rsid w:val="00251024"/>
    <w:pPr>
      <w:widowControl w:val="0"/>
      <w:spacing w:before="0" w:after="60" w:line="240" w:lineRule="auto"/>
      <w:ind w:left="284" w:hanging="284"/>
    </w:pPr>
    <w:rPr>
      <w:rFonts w:ascii="Times New Roman" w:hAnsi="Times New Roman"/>
      <w:sz w:val="24"/>
    </w:rPr>
  </w:style>
  <w:style w:type="paragraph" w:customStyle="1" w:styleId="MEBasic1">
    <w:name w:val="ME Basic 1"/>
    <w:basedOn w:val="Normal"/>
    <w:rsid w:val="00251024"/>
    <w:pPr>
      <w:numPr>
        <w:numId w:val="10"/>
      </w:numPr>
      <w:spacing w:before="0" w:after="140" w:line="280" w:lineRule="atLeast"/>
      <w:outlineLvl w:val="0"/>
    </w:pPr>
    <w:rPr>
      <w:rFonts w:ascii="Times New Roman" w:hAnsi="Times New Roman" w:cs="Angsana New"/>
      <w:sz w:val="22"/>
      <w:szCs w:val="22"/>
      <w:lang w:eastAsia="zh-CN" w:bidi="th-TH"/>
    </w:rPr>
  </w:style>
  <w:style w:type="paragraph" w:customStyle="1" w:styleId="MEBasic2">
    <w:name w:val="ME Basic 2"/>
    <w:basedOn w:val="Normal"/>
    <w:rsid w:val="00251024"/>
    <w:pPr>
      <w:numPr>
        <w:ilvl w:val="1"/>
        <w:numId w:val="10"/>
      </w:numPr>
      <w:spacing w:before="0" w:after="140" w:line="280" w:lineRule="atLeast"/>
      <w:outlineLvl w:val="1"/>
    </w:pPr>
    <w:rPr>
      <w:rFonts w:ascii="Times New Roman" w:hAnsi="Times New Roman" w:cs="Angsana New"/>
      <w:sz w:val="22"/>
      <w:szCs w:val="22"/>
      <w:lang w:eastAsia="zh-CN" w:bidi="th-TH"/>
    </w:rPr>
  </w:style>
  <w:style w:type="paragraph" w:customStyle="1" w:styleId="MEBasic3">
    <w:name w:val="ME Basic 3"/>
    <w:basedOn w:val="Normal"/>
    <w:rsid w:val="00251024"/>
    <w:pPr>
      <w:numPr>
        <w:ilvl w:val="2"/>
        <w:numId w:val="10"/>
      </w:numPr>
      <w:spacing w:before="0" w:after="140" w:line="280" w:lineRule="atLeast"/>
      <w:outlineLvl w:val="2"/>
    </w:pPr>
    <w:rPr>
      <w:rFonts w:ascii="Times New Roman" w:hAnsi="Times New Roman" w:cs="Angsana New"/>
      <w:sz w:val="22"/>
      <w:szCs w:val="22"/>
      <w:lang w:eastAsia="zh-CN" w:bidi="th-TH"/>
    </w:rPr>
  </w:style>
  <w:style w:type="paragraph" w:customStyle="1" w:styleId="MEBasic4">
    <w:name w:val="ME Basic 4"/>
    <w:basedOn w:val="Normal"/>
    <w:rsid w:val="00251024"/>
    <w:pPr>
      <w:numPr>
        <w:ilvl w:val="3"/>
        <w:numId w:val="10"/>
      </w:numPr>
      <w:spacing w:before="0" w:after="140" w:line="280" w:lineRule="atLeast"/>
      <w:outlineLvl w:val="3"/>
    </w:pPr>
    <w:rPr>
      <w:rFonts w:ascii="Times New Roman" w:hAnsi="Times New Roman" w:cs="Angsana New"/>
      <w:sz w:val="22"/>
      <w:szCs w:val="22"/>
      <w:lang w:eastAsia="zh-CN" w:bidi="th-TH"/>
    </w:rPr>
  </w:style>
  <w:style w:type="paragraph" w:customStyle="1" w:styleId="MEBasic5">
    <w:name w:val="ME Basic 5"/>
    <w:basedOn w:val="Normal"/>
    <w:rsid w:val="00251024"/>
    <w:pPr>
      <w:numPr>
        <w:ilvl w:val="4"/>
        <w:numId w:val="10"/>
      </w:numPr>
      <w:spacing w:before="0" w:after="140" w:line="280" w:lineRule="atLeast"/>
      <w:outlineLvl w:val="4"/>
    </w:pPr>
    <w:rPr>
      <w:rFonts w:ascii="Times New Roman" w:hAnsi="Times New Roman" w:cs="Angsana New"/>
      <w:sz w:val="22"/>
      <w:szCs w:val="22"/>
      <w:lang w:eastAsia="zh-CN" w:bidi="th-TH"/>
    </w:rPr>
  </w:style>
  <w:style w:type="paragraph" w:customStyle="1" w:styleId="MENoIndent6">
    <w:name w:val="ME NoIndent 6"/>
    <w:basedOn w:val="Normal"/>
    <w:rsid w:val="00251024"/>
    <w:pPr>
      <w:numPr>
        <w:ilvl w:val="1"/>
        <w:numId w:val="9"/>
      </w:numPr>
      <w:spacing w:before="0" w:after="140" w:line="280" w:lineRule="atLeast"/>
    </w:pPr>
    <w:rPr>
      <w:rFonts w:ascii="Times New Roman" w:hAnsi="Times New Roman" w:cs="Angsana New"/>
      <w:sz w:val="22"/>
      <w:szCs w:val="22"/>
      <w:lang w:eastAsia="zh-CN" w:bidi="th-TH"/>
    </w:rPr>
  </w:style>
  <w:style w:type="paragraph" w:customStyle="1" w:styleId="ItemL1">
    <w:name w:val="Item L1"/>
    <w:basedOn w:val="Normal"/>
    <w:next w:val="Normal"/>
    <w:link w:val="ItemL1CharChar"/>
    <w:rsid w:val="00251024"/>
    <w:pPr>
      <w:numPr>
        <w:numId w:val="9"/>
      </w:numPr>
      <w:spacing w:before="0" w:after="140" w:line="280" w:lineRule="atLeast"/>
      <w:outlineLvl w:val="0"/>
    </w:pPr>
    <w:rPr>
      <w:rFonts w:ascii="Arial Bold" w:hAnsi="Arial Bold" w:cs="Angsana New"/>
      <w:b/>
      <w:sz w:val="32"/>
      <w:szCs w:val="32"/>
      <w:lang w:eastAsia="zh-CN" w:bidi="th-TH"/>
    </w:rPr>
  </w:style>
  <w:style w:type="character" w:customStyle="1" w:styleId="ItemL1CharChar">
    <w:name w:val="Item L1 Char Char"/>
    <w:basedOn w:val="DefaultParagraphFont"/>
    <w:link w:val="ItemL1"/>
    <w:rsid w:val="00251024"/>
    <w:rPr>
      <w:rFonts w:ascii="Arial Bold" w:hAnsi="Arial Bold" w:cs="Angsana New"/>
      <w:b/>
      <w:sz w:val="32"/>
      <w:szCs w:val="32"/>
      <w:lang w:val="en-AU" w:eastAsia="zh-CN" w:bidi="th-TH"/>
    </w:rPr>
  </w:style>
  <w:style w:type="paragraph" w:customStyle="1" w:styleId="BulletList">
    <w:name w:val="BulletList"/>
    <w:basedOn w:val="Normal"/>
    <w:rsid w:val="00251024"/>
    <w:pPr>
      <w:numPr>
        <w:numId w:val="11"/>
      </w:numPr>
      <w:spacing w:before="0" w:line="240" w:lineRule="auto"/>
    </w:pPr>
    <w:rPr>
      <w:rFonts w:ascii="Times New Roman" w:hAnsi="Times New Roman"/>
      <w:sz w:val="24"/>
      <w:szCs w:val="24"/>
      <w:lang w:eastAsia="en-AU"/>
    </w:rPr>
  </w:style>
  <w:style w:type="paragraph" w:customStyle="1" w:styleId="BulletList1">
    <w:name w:val="Bullet List 1"/>
    <w:basedOn w:val="BulletList"/>
    <w:rsid w:val="00251024"/>
    <w:rPr>
      <w:rFonts w:ascii="Verdana" w:hAnsi="Verdana"/>
      <w:sz w:val="19"/>
      <w:szCs w:val="19"/>
    </w:rPr>
  </w:style>
  <w:style w:type="paragraph" w:customStyle="1" w:styleId="Header1">
    <w:name w:val="Header 1"/>
    <w:basedOn w:val="Normal"/>
    <w:rsid w:val="00251024"/>
    <w:pPr>
      <w:spacing w:before="40" w:after="80" w:line="240" w:lineRule="auto"/>
    </w:pPr>
    <w:rPr>
      <w:rFonts w:ascii="Arial" w:hAnsi="Arial" w:cs="Arial"/>
      <w:b/>
      <w:sz w:val="24"/>
      <w:szCs w:val="22"/>
      <w:lang w:eastAsia="en-AU"/>
    </w:rPr>
  </w:style>
  <w:style w:type="paragraph" w:customStyle="1" w:styleId="NumericalList">
    <w:name w:val="Numerical List"/>
    <w:basedOn w:val="Text"/>
    <w:rsid w:val="00251024"/>
    <w:pPr>
      <w:tabs>
        <w:tab w:val="left" w:pos="404"/>
      </w:tabs>
      <w:spacing w:before="0" w:line="240" w:lineRule="auto"/>
      <w:ind w:left="389" w:right="0" w:hanging="389"/>
    </w:pPr>
    <w:rPr>
      <w:rFonts w:ascii="Verdana" w:hAnsi="Verdana" w:cs="Arial"/>
      <w:lang w:eastAsia="en-AU"/>
    </w:rPr>
  </w:style>
  <w:style w:type="paragraph" w:customStyle="1" w:styleId="Default">
    <w:name w:val="Default"/>
    <w:rsid w:val="00251024"/>
    <w:pPr>
      <w:autoSpaceDE w:val="0"/>
      <w:autoSpaceDN w:val="0"/>
      <w:adjustRightInd w:val="0"/>
    </w:pPr>
    <w:rPr>
      <w:rFonts w:ascii="Garamond" w:eastAsia="Calibri" w:hAnsi="Garamond" w:cs="Garamond"/>
      <w:color w:val="000000"/>
      <w:sz w:val="24"/>
      <w:szCs w:val="24"/>
      <w:lang w:val="en-AU"/>
    </w:rPr>
  </w:style>
  <w:style w:type="character" w:styleId="Emphasis">
    <w:name w:val="Emphasis"/>
    <w:basedOn w:val="DefaultParagraphFont"/>
    <w:uiPriority w:val="20"/>
    <w:semiHidden/>
    <w:qFormat/>
    <w:rsid w:val="00251024"/>
    <w:rPr>
      <w:i/>
      <w:iCs/>
    </w:rPr>
  </w:style>
  <w:style w:type="paragraph" w:customStyle="1" w:styleId="Reference">
    <w:name w:val="Reference"/>
    <w:basedOn w:val="Text"/>
    <w:rsid w:val="00251024"/>
    <w:pPr>
      <w:spacing w:before="0" w:after="120" w:line="240" w:lineRule="auto"/>
      <w:ind w:right="0"/>
    </w:pPr>
    <w:rPr>
      <w:rFonts w:ascii="Verdana" w:hAnsi="Verdana"/>
      <w:spacing w:val="8"/>
      <w:sz w:val="18"/>
      <w:szCs w:val="18"/>
      <w:lang w:eastAsia="en-AU"/>
    </w:rPr>
  </w:style>
  <w:style w:type="character" w:customStyle="1" w:styleId="s">
    <w:name w:val="s"/>
    <w:basedOn w:val="DefaultParagraphFont"/>
    <w:rsid w:val="00251024"/>
  </w:style>
  <w:style w:type="paragraph" w:customStyle="1" w:styleId="Author">
    <w:name w:val="Author"/>
    <w:basedOn w:val="Heading2"/>
    <w:uiPriority w:val="1"/>
    <w:qFormat/>
    <w:rsid w:val="00316303"/>
    <w:pPr>
      <w:spacing w:before="0"/>
    </w:pPr>
    <w:rPr>
      <w:rFonts w:ascii="Arial Bold" w:hAnsi="Arial Bold"/>
      <w:b/>
      <w:color w:val="595959" w:themeColor="text1" w:themeTint="A6"/>
      <w:sz w:val="27"/>
    </w:rPr>
  </w:style>
  <w:style w:type="paragraph" w:customStyle="1" w:styleId="Titlepagesubtitle">
    <w:name w:val="Title page sub title"/>
    <w:basedOn w:val="Titlepage"/>
    <w:link w:val="TitlepagesubtitleChar"/>
    <w:uiPriority w:val="1"/>
    <w:qFormat/>
    <w:rsid w:val="00A166CA"/>
    <w:rPr>
      <w:sz w:val="44"/>
      <w:szCs w:val="44"/>
    </w:rPr>
  </w:style>
  <w:style w:type="character" w:customStyle="1" w:styleId="Heading1Char">
    <w:name w:val="Heading 1 Char"/>
    <w:basedOn w:val="DefaultParagraphFont"/>
    <w:link w:val="Heading1"/>
    <w:rsid w:val="00D479EA"/>
    <w:rPr>
      <w:rFonts w:ascii="Arial" w:hAnsi="Arial" w:cs="Tahoma"/>
      <w:color w:val="000000"/>
      <w:kern w:val="28"/>
      <w:sz w:val="44"/>
      <w:szCs w:val="56"/>
      <w:lang w:val="en-AU"/>
    </w:rPr>
  </w:style>
  <w:style w:type="character" w:customStyle="1" w:styleId="TitlepageChar">
    <w:name w:val="Title page Char"/>
    <w:basedOn w:val="Heading1Char"/>
    <w:link w:val="Titlepage"/>
    <w:rsid w:val="00B00E7A"/>
    <w:rPr>
      <w:rFonts w:ascii="Arial" w:hAnsi="Arial" w:cs="Arial"/>
      <w:b/>
      <w:color w:val="0081C6"/>
      <w:kern w:val="28"/>
      <w:sz w:val="55"/>
      <w:szCs w:val="55"/>
      <w:lang w:val="en-AU"/>
    </w:rPr>
  </w:style>
  <w:style w:type="character" w:customStyle="1" w:styleId="TitlepagesubtitleChar">
    <w:name w:val="Title page sub title Char"/>
    <w:basedOn w:val="TitlepageChar"/>
    <w:link w:val="Titlepagesubtitle"/>
    <w:uiPriority w:val="1"/>
    <w:rsid w:val="006D68B1"/>
    <w:rPr>
      <w:rFonts w:ascii="Arial" w:hAnsi="Arial" w:cs="Arial"/>
      <w:b/>
      <w:color w:val="0081C6"/>
      <w:kern w:val="28"/>
      <w:sz w:val="44"/>
      <w:szCs w:val="44"/>
      <w:lang w:val="en-AU"/>
    </w:rPr>
  </w:style>
  <w:style w:type="paragraph" w:customStyle="1" w:styleId="StyleTablehead2Centered">
    <w:name w:val="Style Tablehead2 + Centered"/>
    <w:basedOn w:val="Tablehead2"/>
    <w:rsid w:val="00DA44A8"/>
    <w:pPr>
      <w:jc w:val="center"/>
    </w:pPr>
    <w:rPr>
      <w:rFonts w:ascii="Arial" w:hAnsi="Arial"/>
    </w:rPr>
  </w:style>
  <w:style w:type="paragraph" w:customStyle="1" w:styleId="KeyPoints">
    <w:name w:val="KeyPoints"/>
    <w:basedOn w:val="Normal"/>
    <w:uiPriority w:val="1"/>
    <w:qFormat/>
    <w:rsid w:val="000950D7"/>
    <w:pPr>
      <w:numPr>
        <w:numId w:val="26"/>
      </w:numPr>
      <w:pBdr>
        <w:left w:val="single" w:sz="8" w:space="4" w:color="auto"/>
      </w:pBdr>
      <w:spacing w:before="0" w:line="300" w:lineRule="exact"/>
    </w:pPr>
    <w:rPr>
      <w:rFonts w:cs="Arial"/>
      <w:szCs w:val="17"/>
    </w:rPr>
  </w:style>
  <w:style w:type="paragraph" w:customStyle="1" w:styleId="EndNoteBibliographyTitle">
    <w:name w:val="EndNote Bibliography Title"/>
    <w:basedOn w:val="Normal"/>
    <w:link w:val="EndNoteBibliographyTitleChar"/>
    <w:rsid w:val="009D29CF"/>
    <w:pPr>
      <w:jc w:val="center"/>
    </w:pPr>
    <w:rPr>
      <w:noProof/>
      <w:sz w:val="18"/>
      <w:lang w:val="en-US"/>
    </w:rPr>
  </w:style>
  <w:style w:type="character" w:customStyle="1" w:styleId="EndNoteBibliographyTitleChar">
    <w:name w:val="EndNote Bibliography Title Char"/>
    <w:basedOn w:val="TextChar"/>
    <w:link w:val="EndNoteBibliographyTitle"/>
    <w:rsid w:val="009D29CF"/>
    <w:rPr>
      <w:rFonts w:ascii="Trebuchet MS" w:hAnsi="Trebuchet MS"/>
      <w:noProof/>
      <w:sz w:val="18"/>
      <w:lang w:val="en-AU"/>
    </w:rPr>
  </w:style>
  <w:style w:type="paragraph" w:customStyle="1" w:styleId="EndNoteBibliography">
    <w:name w:val="EndNote Bibliography"/>
    <w:basedOn w:val="Normal"/>
    <w:link w:val="EndNoteBibliographyChar"/>
    <w:rsid w:val="009D29CF"/>
    <w:pPr>
      <w:spacing w:line="240" w:lineRule="exact"/>
    </w:pPr>
    <w:rPr>
      <w:noProof/>
      <w:sz w:val="18"/>
      <w:lang w:val="en-US"/>
    </w:rPr>
  </w:style>
  <w:style w:type="character" w:customStyle="1" w:styleId="EndNoteBibliographyChar">
    <w:name w:val="EndNote Bibliography Char"/>
    <w:basedOn w:val="TextChar"/>
    <w:link w:val="EndNoteBibliography"/>
    <w:rsid w:val="009D29CF"/>
    <w:rPr>
      <w:rFonts w:ascii="Trebuchet MS" w:hAnsi="Trebuchet MS"/>
      <w:noProof/>
      <w:sz w:val="18"/>
      <w:lang w:val="en-AU"/>
    </w:rPr>
  </w:style>
  <w:style w:type="character" w:styleId="UnresolvedMention">
    <w:name w:val="Unresolved Mention"/>
    <w:basedOn w:val="DefaultParagraphFont"/>
    <w:uiPriority w:val="99"/>
    <w:semiHidden/>
    <w:unhideWhenUsed/>
    <w:rsid w:val="000B24C4"/>
    <w:rPr>
      <w:color w:val="605E5C"/>
      <w:shd w:val="clear" w:color="auto" w:fill="E1DFDD"/>
    </w:rPr>
  </w:style>
  <w:style w:type="table" w:styleId="PlainTable2">
    <w:name w:val="Plain Table 2"/>
    <w:basedOn w:val="TableNormal"/>
    <w:uiPriority w:val="42"/>
    <w:rsid w:val="00085FC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rsid w:val="008E46A2"/>
    <w:rPr>
      <w:rFonts w:ascii="Arial" w:hAnsi="Arial" w:cs="Tahoma"/>
      <w:sz w:val="28"/>
      <w:lang w:val="en-AU"/>
    </w:rPr>
  </w:style>
  <w:style w:type="character" w:customStyle="1" w:styleId="QuoteChar">
    <w:name w:val="Quote Char"/>
    <w:basedOn w:val="DefaultParagraphFont"/>
    <w:link w:val="Quote"/>
    <w:rsid w:val="008E46A2"/>
    <w:rPr>
      <w:rFonts w:ascii="Trebuchet MS" w:hAnsi="Trebuchet MS"/>
      <w:sz w:val="17"/>
      <w:lang w:val="en-AU"/>
    </w:rPr>
  </w:style>
  <w:style w:type="character" w:styleId="CommentReference">
    <w:name w:val="annotation reference"/>
    <w:basedOn w:val="DefaultParagraphFont"/>
    <w:semiHidden/>
    <w:unhideWhenUsed/>
    <w:rsid w:val="0009533D"/>
    <w:rPr>
      <w:sz w:val="16"/>
      <w:szCs w:val="16"/>
    </w:rPr>
  </w:style>
  <w:style w:type="paragraph" w:customStyle="1" w:styleId="Boxtext">
    <w:name w:val="Box text"/>
    <w:basedOn w:val="Text"/>
    <w:uiPriority w:val="1"/>
    <w:qFormat/>
    <w:rsid w:val="0087781F"/>
    <w:pPr>
      <w:pBdr>
        <w:top w:val="single" w:sz="4" w:space="1" w:color="auto"/>
        <w:left w:val="single" w:sz="4" w:space="4" w:color="auto"/>
        <w:bottom w:val="single" w:sz="4" w:space="1" w:color="auto"/>
        <w:right w:val="single" w:sz="4" w:space="4" w:color="auto"/>
      </w:pBdr>
      <w:spacing w:before="120" w:after="120" w:line="280" w:lineRule="exact"/>
      <w:ind w:right="0"/>
    </w:pPr>
    <w:rPr>
      <w:rFonts w:ascii="Arial" w:eastAsiaTheme="minorHAnsi" w:hAnsi="Arial"/>
      <w:sz w:val="18"/>
    </w:rPr>
  </w:style>
  <w:style w:type="paragraph" w:styleId="Caption">
    <w:name w:val="caption"/>
    <w:basedOn w:val="Normal"/>
    <w:next w:val="Normal"/>
    <w:uiPriority w:val="35"/>
    <w:semiHidden/>
    <w:unhideWhenUsed/>
    <w:qFormat/>
    <w:rsid w:val="00A72AE2"/>
    <w:pPr>
      <w:spacing w:before="0" w:after="200" w:line="240" w:lineRule="auto"/>
    </w:pPr>
    <w:rPr>
      <w:i/>
      <w:iCs/>
      <w:color w:val="1F497D" w:themeColor="text2"/>
      <w:sz w:val="18"/>
      <w:szCs w:val="18"/>
    </w:rPr>
  </w:style>
  <w:style w:type="paragraph" w:customStyle="1" w:styleId="Dotpoint1">
    <w:name w:val="Dotpoint 1"/>
    <w:basedOn w:val="Normal"/>
    <w:qFormat/>
    <w:rsid w:val="005C0E87"/>
    <w:pPr>
      <w:numPr>
        <w:numId w:val="47"/>
      </w:numPr>
      <w:spacing w:before="0" w:line="280" w:lineRule="exact"/>
      <w:ind w:left="284" w:hanging="284"/>
    </w:pPr>
    <w:rPr>
      <w:rFonts w:eastAsia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40350">
      <w:bodyDiv w:val="1"/>
      <w:marLeft w:val="0"/>
      <w:marRight w:val="0"/>
      <w:marTop w:val="0"/>
      <w:marBottom w:val="0"/>
      <w:divBdr>
        <w:top w:val="none" w:sz="0" w:space="0" w:color="auto"/>
        <w:left w:val="none" w:sz="0" w:space="0" w:color="auto"/>
        <w:bottom w:val="none" w:sz="0" w:space="0" w:color="auto"/>
        <w:right w:val="none" w:sz="0" w:space="0" w:color="auto"/>
      </w:divBdr>
    </w:div>
    <w:div w:id="117264286">
      <w:bodyDiv w:val="1"/>
      <w:marLeft w:val="0"/>
      <w:marRight w:val="0"/>
      <w:marTop w:val="0"/>
      <w:marBottom w:val="0"/>
      <w:divBdr>
        <w:top w:val="none" w:sz="0" w:space="0" w:color="auto"/>
        <w:left w:val="none" w:sz="0" w:space="0" w:color="auto"/>
        <w:bottom w:val="none" w:sz="0" w:space="0" w:color="auto"/>
        <w:right w:val="none" w:sz="0" w:space="0" w:color="auto"/>
      </w:divBdr>
    </w:div>
    <w:div w:id="147674160">
      <w:bodyDiv w:val="1"/>
      <w:marLeft w:val="0"/>
      <w:marRight w:val="0"/>
      <w:marTop w:val="0"/>
      <w:marBottom w:val="0"/>
      <w:divBdr>
        <w:top w:val="none" w:sz="0" w:space="0" w:color="auto"/>
        <w:left w:val="none" w:sz="0" w:space="0" w:color="auto"/>
        <w:bottom w:val="none" w:sz="0" w:space="0" w:color="auto"/>
        <w:right w:val="none" w:sz="0" w:space="0" w:color="auto"/>
      </w:divBdr>
    </w:div>
    <w:div w:id="230501190">
      <w:bodyDiv w:val="1"/>
      <w:marLeft w:val="0"/>
      <w:marRight w:val="0"/>
      <w:marTop w:val="0"/>
      <w:marBottom w:val="0"/>
      <w:divBdr>
        <w:top w:val="none" w:sz="0" w:space="0" w:color="auto"/>
        <w:left w:val="none" w:sz="0" w:space="0" w:color="auto"/>
        <w:bottom w:val="none" w:sz="0" w:space="0" w:color="auto"/>
        <w:right w:val="none" w:sz="0" w:space="0" w:color="auto"/>
      </w:divBdr>
    </w:div>
    <w:div w:id="295571771">
      <w:bodyDiv w:val="1"/>
      <w:marLeft w:val="0"/>
      <w:marRight w:val="0"/>
      <w:marTop w:val="0"/>
      <w:marBottom w:val="0"/>
      <w:divBdr>
        <w:top w:val="none" w:sz="0" w:space="0" w:color="auto"/>
        <w:left w:val="none" w:sz="0" w:space="0" w:color="auto"/>
        <w:bottom w:val="none" w:sz="0" w:space="0" w:color="auto"/>
        <w:right w:val="none" w:sz="0" w:space="0" w:color="auto"/>
      </w:divBdr>
    </w:div>
    <w:div w:id="403571349">
      <w:bodyDiv w:val="1"/>
      <w:marLeft w:val="0"/>
      <w:marRight w:val="0"/>
      <w:marTop w:val="0"/>
      <w:marBottom w:val="0"/>
      <w:divBdr>
        <w:top w:val="none" w:sz="0" w:space="0" w:color="auto"/>
        <w:left w:val="none" w:sz="0" w:space="0" w:color="auto"/>
        <w:bottom w:val="none" w:sz="0" w:space="0" w:color="auto"/>
        <w:right w:val="none" w:sz="0" w:space="0" w:color="auto"/>
      </w:divBdr>
    </w:div>
    <w:div w:id="425081522">
      <w:bodyDiv w:val="1"/>
      <w:marLeft w:val="0"/>
      <w:marRight w:val="0"/>
      <w:marTop w:val="0"/>
      <w:marBottom w:val="0"/>
      <w:divBdr>
        <w:top w:val="none" w:sz="0" w:space="0" w:color="auto"/>
        <w:left w:val="none" w:sz="0" w:space="0" w:color="auto"/>
        <w:bottom w:val="none" w:sz="0" w:space="0" w:color="auto"/>
        <w:right w:val="none" w:sz="0" w:space="0" w:color="auto"/>
      </w:divBdr>
    </w:div>
    <w:div w:id="510215869">
      <w:bodyDiv w:val="1"/>
      <w:marLeft w:val="0"/>
      <w:marRight w:val="0"/>
      <w:marTop w:val="0"/>
      <w:marBottom w:val="0"/>
      <w:divBdr>
        <w:top w:val="none" w:sz="0" w:space="0" w:color="auto"/>
        <w:left w:val="none" w:sz="0" w:space="0" w:color="auto"/>
        <w:bottom w:val="none" w:sz="0" w:space="0" w:color="auto"/>
        <w:right w:val="none" w:sz="0" w:space="0" w:color="auto"/>
      </w:divBdr>
    </w:div>
    <w:div w:id="519320515">
      <w:bodyDiv w:val="1"/>
      <w:marLeft w:val="0"/>
      <w:marRight w:val="0"/>
      <w:marTop w:val="0"/>
      <w:marBottom w:val="0"/>
      <w:divBdr>
        <w:top w:val="none" w:sz="0" w:space="0" w:color="auto"/>
        <w:left w:val="none" w:sz="0" w:space="0" w:color="auto"/>
        <w:bottom w:val="none" w:sz="0" w:space="0" w:color="auto"/>
        <w:right w:val="none" w:sz="0" w:space="0" w:color="auto"/>
      </w:divBdr>
    </w:div>
    <w:div w:id="889464981">
      <w:bodyDiv w:val="1"/>
      <w:marLeft w:val="0"/>
      <w:marRight w:val="0"/>
      <w:marTop w:val="0"/>
      <w:marBottom w:val="0"/>
      <w:divBdr>
        <w:top w:val="none" w:sz="0" w:space="0" w:color="auto"/>
        <w:left w:val="none" w:sz="0" w:space="0" w:color="auto"/>
        <w:bottom w:val="none" w:sz="0" w:space="0" w:color="auto"/>
        <w:right w:val="none" w:sz="0" w:space="0" w:color="auto"/>
      </w:divBdr>
    </w:div>
    <w:div w:id="1314141523">
      <w:bodyDiv w:val="1"/>
      <w:marLeft w:val="0"/>
      <w:marRight w:val="0"/>
      <w:marTop w:val="0"/>
      <w:marBottom w:val="0"/>
      <w:divBdr>
        <w:top w:val="none" w:sz="0" w:space="0" w:color="auto"/>
        <w:left w:val="none" w:sz="0" w:space="0" w:color="auto"/>
        <w:bottom w:val="none" w:sz="0" w:space="0" w:color="auto"/>
        <w:right w:val="none" w:sz="0" w:space="0" w:color="auto"/>
      </w:divBdr>
    </w:div>
    <w:div w:id="1387219593">
      <w:bodyDiv w:val="1"/>
      <w:marLeft w:val="0"/>
      <w:marRight w:val="0"/>
      <w:marTop w:val="0"/>
      <w:marBottom w:val="0"/>
      <w:divBdr>
        <w:top w:val="none" w:sz="0" w:space="0" w:color="auto"/>
        <w:left w:val="none" w:sz="0" w:space="0" w:color="auto"/>
        <w:bottom w:val="none" w:sz="0" w:space="0" w:color="auto"/>
        <w:right w:val="none" w:sz="0" w:space="0" w:color="auto"/>
      </w:divBdr>
    </w:div>
    <w:div w:id="1659455961">
      <w:bodyDiv w:val="1"/>
      <w:marLeft w:val="0"/>
      <w:marRight w:val="0"/>
      <w:marTop w:val="0"/>
      <w:marBottom w:val="0"/>
      <w:divBdr>
        <w:top w:val="none" w:sz="0" w:space="0" w:color="auto"/>
        <w:left w:val="none" w:sz="0" w:space="0" w:color="auto"/>
        <w:bottom w:val="none" w:sz="0" w:space="0" w:color="auto"/>
        <w:right w:val="none" w:sz="0" w:space="0" w:color="auto"/>
      </w:divBdr>
    </w:div>
    <w:div w:id="1678537127">
      <w:bodyDiv w:val="1"/>
      <w:marLeft w:val="0"/>
      <w:marRight w:val="0"/>
      <w:marTop w:val="0"/>
      <w:marBottom w:val="0"/>
      <w:divBdr>
        <w:top w:val="none" w:sz="0" w:space="0" w:color="auto"/>
        <w:left w:val="none" w:sz="0" w:space="0" w:color="auto"/>
        <w:bottom w:val="none" w:sz="0" w:space="0" w:color="auto"/>
        <w:right w:val="none" w:sz="0" w:space="0" w:color="auto"/>
      </w:divBdr>
    </w:div>
    <w:div w:id="1805196369">
      <w:bodyDiv w:val="1"/>
      <w:marLeft w:val="0"/>
      <w:marRight w:val="0"/>
      <w:marTop w:val="0"/>
      <w:marBottom w:val="0"/>
      <w:divBdr>
        <w:top w:val="none" w:sz="0" w:space="0" w:color="auto"/>
        <w:left w:val="none" w:sz="0" w:space="0" w:color="auto"/>
        <w:bottom w:val="none" w:sz="0" w:space="0" w:color="auto"/>
        <w:right w:val="none" w:sz="0" w:space="0" w:color="auto"/>
      </w:divBdr>
    </w:div>
    <w:div w:id="1837453621">
      <w:bodyDiv w:val="1"/>
      <w:marLeft w:val="0"/>
      <w:marRight w:val="0"/>
      <w:marTop w:val="0"/>
      <w:marBottom w:val="0"/>
      <w:divBdr>
        <w:top w:val="none" w:sz="0" w:space="0" w:color="auto"/>
        <w:left w:val="none" w:sz="0" w:space="0" w:color="auto"/>
        <w:bottom w:val="none" w:sz="0" w:space="0" w:color="auto"/>
        <w:right w:val="none" w:sz="0" w:space="0" w:color="auto"/>
      </w:divBdr>
    </w:div>
    <w:div w:id="2105686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say.edu.au" TargetMode="External"/><Relationship Id="rId18" Type="http://schemas.openxmlformats.org/officeDocument/2006/relationships/hyperlink" Target="https://www.lsay.edu.au" TargetMode="External"/><Relationship Id="rId26" Type="http://schemas.openxmlformats.org/officeDocument/2006/relationships/hyperlink" Target="https://www.qaa.ac.uk/docs/qaas/news-and-events/qualifications-can-cross-boundaries-guide-to-comparing-qualifications-in-the-uk-and-ireland.pdf?sfvrsn=3715c981_4" TargetMode="External"/><Relationship Id="rId39" Type="http://schemas.openxmlformats.org/officeDocument/2006/relationships/hyperlink" Target="https://www.qualificationswales.org/english/publications/040117-vq-strategy/"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s://fas.org/sgp/crs/misc/R42748.pdf" TargetMode="External"/><Relationship Id="rId42" Type="http://schemas.openxmlformats.org/officeDocument/2006/relationships/hyperlink" Target="https://www.qcto.org.za/services/qualifications" TargetMode="External"/><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hyperlink" Target="mailto:ncver@ncver.edu.au" TargetMode="External"/><Relationship Id="rId25" Type="http://schemas.openxmlformats.org/officeDocument/2006/relationships/hyperlink" Target="https://accreditation.sqa.org.uk/accreditation/accreditationfiles/Policies/200128_Zero_Uptake_Policy_V7.pdf" TargetMode="External"/><Relationship Id="rId33" Type="http://schemas.openxmlformats.org/officeDocument/2006/relationships/hyperlink" Target="https://credentialengine.org/about/" TargetMode="External"/><Relationship Id="rId38" Type="http://schemas.openxmlformats.org/officeDocument/2006/relationships/hyperlink" Target="https://cte.careertech.org/sites/default/files/CCTC_Standards_Formatted_2014.pdf" TargetMode="External"/><Relationship Id="rId46" Type="http://schemas.openxmlformats.org/officeDocument/2006/relationships/hyperlink" Target="https://unevoc.unesco.org/wtdb/worldtvetdatabase_usa_en.pdf" TargetMode="External"/><Relationship Id="rId2" Type="http://schemas.openxmlformats.org/officeDocument/2006/relationships/numbering" Target="numbering.xml"/><Relationship Id="rId16" Type="http://schemas.openxmlformats.org/officeDocument/2006/relationships/image" Target="media/image20.wmf"/><Relationship Id="rId20" Type="http://schemas.openxmlformats.org/officeDocument/2006/relationships/image" Target="media/image40.emf"/><Relationship Id="rId29" Type="http://schemas.openxmlformats.org/officeDocument/2006/relationships/hyperlink" Target="https://www.aisc.net.au/irc/industry-reference-committees" TargetMode="External"/><Relationship Id="rId41" Type="http://schemas.openxmlformats.org/officeDocument/2006/relationships/hyperlink" Target="https://www.qaa.ac.uk/docs/qaa/quality-code/qualifications-can-cross-boundaries.pdf?sfvrsn=a852f981_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www.gov.uk/government/organisations/ofqual/about%20GOV.UK" TargetMode="External"/><Relationship Id="rId32" Type="http://schemas.openxmlformats.org/officeDocument/2006/relationships/hyperlink" Target="https://www.cccco.edu/About-Us/State-of-the-System" TargetMode="External"/><Relationship Id="rId37" Type="http://schemas.openxmlformats.org/officeDocument/2006/relationships/hyperlink" Target="https://www.instituteforapprenticeships.org/about/occupational-maps/" TargetMode="External"/><Relationship Id="rId40" Type="http://schemas.openxmlformats.org/officeDocument/2006/relationships/hyperlink" Target="https://www.qualificationswales.org/english/qualifications/qualification-reform/vocational-qualification-reform/vocational-qualification-reform/" TargetMode="External"/><Relationship Id="rId45" Type="http://schemas.openxmlformats.org/officeDocument/2006/relationships/hyperlink" Target="https://www.ukstandards.org.uk/About-nos"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www.sqa.org.uk/sqa/files_ccc/GuideToSVQs.pdf" TargetMode="External"/><Relationship Id="rId28" Type="http://schemas.openxmlformats.org/officeDocument/2006/relationships/hyperlink" Target="https://docs.employment.gov.au/system/files/doc/other/tpdepp_jun_2020.pdf" TargetMode="External"/><Relationship Id="rId36" Type="http://schemas.openxmlformats.org/officeDocument/2006/relationships/hyperlink" Target="https://www.gov.uk/government/organisations/ofqual/about" TargetMode="External"/><Relationship Id="rId49" Type="http://schemas.openxmlformats.org/officeDocument/2006/relationships/footer" Target="footer2.xml"/><Relationship Id="rId10" Type="http://schemas.openxmlformats.org/officeDocument/2006/relationships/hyperlink" Target="http://www.ncver.edu.au" TargetMode="External"/><Relationship Id="rId19" Type="http://schemas.openxmlformats.org/officeDocument/2006/relationships/image" Target="media/image30.emf"/><Relationship Id="rId31" Type="http://schemas.openxmlformats.org/officeDocument/2006/relationships/hyperlink" Target="https://asccc.org/sites/default/files/CCCCO_Report_Program_Course_Approval-web-102819.pdf" TargetMode="External"/><Relationship Id="rId44" Type="http://schemas.openxmlformats.org/officeDocument/2006/relationships/hyperlink" Target="https://accreditation.sqa.org.uk/accreditation/accreditationfiles/Quals/Developing_Qualifications_for_Accreditation_2018.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ver.edu.au" TargetMode="External"/><Relationship Id="rId14" Type="http://schemas.openxmlformats.org/officeDocument/2006/relationships/image" Target="media/image3.emf"/><Relationship Id="rId22" Type="http://schemas.openxmlformats.org/officeDocument/2006/relationships/image" Target="media/image5.png"/><Relationship Id="rId27" Type="http://schemas.openxmlformats.org/officeDocument/2006/relationships/hyperlink" Target="file:///C:\Users\bridgetwibrow\Desktop\Qualification" TargetMode="External"/><Relationship Id="rId30" Type="http://schemas.openxmlformats.org/officeDocument/2006/relationships/hyperlink" Target="https://www.asqa.gov.au/resources/fact-sheets/getting-a-course-accredited" TargetMode="External"/><Relationship Id="rId35" Type="http://schemas.openxmlformats.org/officeDocument/2006/relationships/hyperlink" Target="https://eperusteet.opintopolku.fi/eperusteet-service/api/dokumentit/6371087" TargetMode="External"/><Relationship Id="rId43" Type="http://schemas.openxmlformats.org/officeDocument/2006/relationships/hyperlink" Target="https://www.qcto.org.za/application-to-develop-an-occupational-qualification?layout=table" TargetMode="External"/><Relationship Id="rId4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iadelgaudio\Desktop\GenericNCVER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B7153-1CC6-4F91-A7EB-4B36165F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GenericNCVERReportTemplate.DOTX</Template>
  <TotalTime>1</TotalTime>
  <Pages>4</Pages>
  <Words>27431</Words>
  <Characters>156360</Characters>
  <Application>Microsoft Office Word</Application>
  <DocSecurity>0</DocSecurity>
  <Lines>1303</Lines>
  <Paragraphs>366</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183425</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Del Gaudio</dc:creator>
  <cp:lastModifiedBy>Katrina Matheos</cp:lastModifiedBy>
  <cp:revision>2</cp:revision>
  <cp:lastPrinted>2021-02-23T05:44:00Z</cp:lastPrinted>
  <dcterms:created xsi:type="dcterms:W3CDTF">2021-05-03T01:44:00Z</dcterms:created>
  <dcterms:modified xsi:type="dcterms:W3CDTF">2021-05-03T01:44:00Z</dcterms:modified>
</cp:coreProperties>
</file>