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A16C" w14:textId="3A70AB08" w:rsidR="004911F4" w:rsidRDefault="00EA4703" w:rsidP="004911F4">
      <w:pPr>
        <w:pStyle w:val="Dotpoint10"/>
        <w:ind w:left="2552"/>
      </w:pPr>
      <w:r>
        <w:rPr>
          <w:noProof/>
        </w:rPr>
        <mc:AlternateContent>
          <mc:Choice Requires="wps">
            <w:drawing>
              <wp:anchor distT="0" distB="0" distL="114300" distR="114300" simplePos="0" relativeHeight="251656192" behindDoc="0" locked="0" layoutInCell="0" allowOverlap="1" wp14:anchorId="01B559D4" wp14:editId="2543DD87">
                <wp:simplePos x="0" y="0"/>
                <wp:positionH relativeFrom="column">
                  <wp:posOffset>-443230</wp:posOffset>
                </wp:positionH>
                <wp:positionV relativeFrom="paragraph">
                  <wp:posOffset>-365760</wp:posOffset>
                </wp:positionV>
                <wp:extent cx="1280160" cy="97840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784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C889A" w14:textId="77777777" w:rsidR="00F3447F" w:rsidRPr="00522E75" w:rsidRDefault="00F3447F" w:rsidP="00762C16">
                            <w:pPr>
                              <w:jc w:val="center"/>
                              <w:rPr>
                                <w:rFonts w:ascii="Tahoma" w:hAnsi="Tahoma" w:cs="Tahoma"/>
                                <w:color w:val="C0C0C0"/>
                                <w:sz w:val="120"/>
                                <w:szCs w:val="120"/>
                                <w:lang w:val="en-US"/>
                              </w:rPr>
                            </w:pPr>
                            <w:r w:rsidRPr="00522E75">
                              <w:rPr>
                                <w:rFonts w:ascii="Tahoma" w:hAnsi="Tahoma" w:cs="Tahoma"/>
                                <w:color w:val="C0C0C0"/>
                                <w:sz w:val="120"/>
                                <w:szCs w:val="120"/>
                                <w:lang w:val="en-US"/>
                              </w:rPr>
                              <w:t>SUPPORT DOCUMENT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559D4" id="_x0000_t202" coordsize="21600,21600" o:spt="202" path="m,l,21600r21600,l21600,xe">
                <v:stroke joinstyle="miter"/>
                <v:path gradientshapeok="t" o:connecttype="rect"/>
              </v:shapetype>
              <v:shape id="Text Box 2" o:spid="_x0000_s1026" type="#_x0000_t202" style="position:absolute;left:0;text-align:left;margin-left:-34.9pt;margin-top:-28.8pt;width:100.8pt;height:77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SW8wEAAM4DAAAOAAAAZHJzL2Uyb0RvYy54bWysU8Fu2zAMvQ/YPwi6L3aCrEmNOEWXIsOA&#10;bh3Q7QNkWbaFyaJGKbHz96PkNA262zAfBNGUHvkenzZ3Y2/YUaHXYEs+n+WcKSuh1rYt+c8f+w9r&#10;znwQthYGrCr5SXl+t33/bjO4Qi2gA1MrZARifTG4knchuCLLvOxUL/wMnLKUbAB7ESjENqtRDITe&#10;m2yR5zfZAFg7BKm8p78PU5JvE37TKBmemsarwEzJqbeQVkxrFddsuxFFi8J1Wp7bEP/QRS+0paIX&#10;qAcRBDug/guq1xLBQxNmEvoMmkZLlTgQm3n+hs1zJ5xKXEgc7y4y+f8HK78dn913ZGH8BCMNMJHw&#10;7hHkL88s7DphW3WPCEOnRE2F51GybHC+OF+NUvvCR5Bq+Ao1DVkcAiSgscE+qkI8GaHTAE4X0dUY&#10;mIwlF+t8fkMpSbnb1XqZr9NYMlG8XHfow2cFPYubkiNNNcGL46MPsR1RvByJ1TwYXe+1MSnAttoZ&#10;ZEdBDtinLzF4c8zYeNhCvDYhxj+JZ6Q2kQxjNVIy8q2gPhFjhMlR9AJoE9fFiqgMZKiS+98HgYoz&#10;88WScLfz5TI6MAXLj6sFBXidqa4zwsoOyKeBs2m7C5NrDw5121GxaVQW7knsRicZXhs7t06mSeqc&#10;DR5deR2nU6/PcPsHAAD//wMAUEsDBBQABgAIAAAAIQC9wq2j4QAAAAwBAAAPAAAAZHJzL2Rvd25y&#10;ZXYueG1sTI9BT8MwDIXvSPyHyEjctnQtlK00nQYSJ6RJGxVnr82assapmqwr/Hq8E9ye/Z6eP+fr&#10;yXZi1INvHSlYzCMQmipXt9QoKD/eZksQPiDV2DnSCr61h3Vxe5NjVrsL7fS4D43gEvIZKjAh9JmU&#10;vjLaop+7XhN7RzdYDDwOjawHvHC57WQcRam02BJfMNjrV6Or0/5sFYzRT1kl6OT79istTxsTv4zb&#10;T6Xu76bNM4igp/AXhis+o0PBTAd3ptqLTsEsXTF6YPH4lIK4JpIFbw4sHpZJDLLI5f8nil8AAAD/&#10;/wMAUEsBAi0AFAAGAAgAAAAhALaDOJL+AAAA4QEAABMAAAAAAAAAAAAAAAAAAAAAAFtDb250ZW50&#10;X1R5cGVzXS54bWxQSwECLQAUAAYACAAAACEAOP0h/9YAAACUAQAACwAAAAAAAAAAAAAAAAAvAQAA&#10;X3JlbHMvLnJlbHNQSwECLQAUAAYACAAAACEAYCUklvMBAADOAwAADgAAAAAAAAAAAAAAAAAuAgAA&#10;ZHJzL2Uyb0RvYy54bWxQSwECLQAUAAYACAAAACEAvcKto+EAAAAMAQAADwAAAAAAAAAAAAAAAABN&#10;BAAAZHJzL2Rvd25yZXYueG1sUEsFBgAAAAAEAAQA8wAAAFsFAAAAAA==&#10;" o:allowincell="f" stroked="f">
                <v:textbox style="layout-flow:vertical;mso-layout-flow-alt:bottom-to-top">
                  <w:txbxContent>
                    <w:p w14:paraId="6C0C889A" w14:textId="77777777" w:rsidR="00F3447F" w:rsidRPr="00522E75" w:rsidRDefault="00F3447F" w:rsidP="00762C16">
                      <w:pPr>
                        <w:jc w:val="center"/>
                        <w:rPr>
                          <w:rFonts w:ascii="Tahoma" w:hAnsi="Tahoma" w:cs="Tahoma"/>
                          <w:color w:val="C0C0C0"/>
                          <w:sz w:val="120"/>
                          <w:szCs w:val="120"/>
                          <w:lang w:val="en-US"/>
                        </w:rPr>
                      </w:pPr>
                      <w:r w:rsidRPr="00522E75">
                        <w:rPr>
                          <w:rFonts w:ascii="Tahoma" w:hAnsi="Tahoma" w:cs="Tahoma"/>
                          <w:color w:val="C0C0C0"/>
                          <w:sz w:val="120"/>
                          <w:szCs w:val="120"/>
                          <w:lang w:val="en-US"/>
                        </w:rPr>
                        <w:t>SUPPORT DOCUMENT</w:t>
                      </w:r>
                    </w:p>
                  </w:txbxContent>
                </v:textbox>
              </v:shape>
            </w:pict>
          </mc:Fallback>
        </mc:AlternateContent>
      </w:r>
      <w:r w:rsidR="00762C16">
        <w:t xml:space="preserve">    </w:t>
      </w:r>
      <w:r w:rsidR="004911F4">
        <w:br/>
      </w:r>
      <w:r w:rsidR="004911F4">
        <w:br/>
      </w:r>
      <w:r w:rsidR="004911F4">
        <w:rPr>
          <w:rFonts w:cs="Arial"/>
          <w:noProof/>
          <w:sz w:val="56"/>
          <w:szCs w:val="56"/>
        </w:rPr>
        <w:drawing>
          <wp:inline distT="0" distB="0" distL="0" distR="0" wp14:anchorId="7349193D" wp14:editId="565A1E76">
            <wp:extent cx="2407920" cy="511810"/>
            <wp:effectExtent l="0" t="0" r="0" b="2540"/>
            <wp:docPr id="41499118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91189" name="Picture 3"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511810"/>
                    </a:xfrm>
                    <a:prstGeom prst="rect">
                      <a:avLst/>
                    </a:prstGeom>
                    <a:noFill/>
                  </pic:spPr>
                </pic:pic>
              </a:graphicData>
            </a:graphic>
          </wp:inline>
        </w:drawing>
      </w:r>
    </w:p>
    <w:p w14:paraId="55D22A3B" w14:textId="10AA609D" w:rsidR="00762C16" w:rsidRDefault="00762C16" w:rsidP="00762C16">
      <w:pPr>
        <w:pStyle w:val="Dotpoint10"/>
      </w:pPr>
      <w:r>
        <w:br/>
      </w:r>
    </w:p>
    <w:p w14:paraId="7AAAEED9" w14:textId="77777777" w:rsidR="00762C16" w:rsidRDefault="00762C16" w:rsidP="00B5319B">
      <w:pPr>
        <w:pStyle w:val="Text"/>
      </w:pPr>
    </w:p>
    <w:p w14:paraId="50A7D55C" w14:textId="1EE6AD9C" w:rsidR="00762C16" w:rsidRPr="00CA5DA1" w:rsidRDefault="00EA185D" w:rsidP="00E723AE">
      <w:pPr>
        <w:pStyle w:val="Heading9"/>
        <w:ind w:left="2552" w:firstLine="0"/>
        <w:rPr>
          <w:rFonts w:cs="Arial"/>
          <w:sz w:val="56"/>
          <w:szCs w:val="56"/>
        </w:rPr>
      </w:pPr>
      <w:r>
        <w:rPr>
          <w:rFonts w:cs="Arial"/>
          <w:sz w:val="56"/>
          <w:szCs w:val="56"/>
        </w:rPr>
        <w:t>Government</w:t>
      </w:r>
      <w:r w:rsidR="004112BF">
        <w:rPr>
          <w:rFonts w:cs="Arial"/>
          <w:sz w:val="56"/>
          <w:szCs w:val="56"/>
        </w:rPr>
        <w:t xml:space="preserve"> </w:t>
      </w:r>
      <w:r>
        <w:rPr>
          <w:rFonts w:cs="Arial"/>
          <w:sz w:val="56"/>
          <w:szCs w:val="56"/>
        </w:rPr>
        <w:t>fund</w:t>
      </w:r>
      <w:r w:rsidR="004112BF">
        <w:rPr>
          <w:rFonts w:cs="Arial"/>
          <w:sz w:val="56"/>
          <w:szCs w:val="56"/>
        </w:rPr>
        <w:t>ing of VET</w:t>
      </w:r>
      <w:r w:rsidR="0054661B">
        <w:rPr>
          <w:rFonts w:cs="Arial"/>
          <w:sz w:val="56"/>
          <w:szCs w:val="56"/>
        </w:rPr>
        <w:t xml:space="preserve"> </w:t>
      </w:r>
      <w:r w:rsidR="009D423A">
        <w:rPr>
          <w:rFonts w:cs="Arial"/>
          <w:sz w:val="56"/>
          <w:szCs w:val="56"/>
        </w:rPr>
        <w:t>2024</w:t>
      </w:r>
      <w:r w:rsidR="004112BF">
        <w:rPr>
          <w:rFonts w:cs="Arial"/>
          <w:sz w:val="56"/>
          <w:szCs w:val="56"/>
        </w:rPr>
        <w:t xml:space="preserve">: </w:t>
      </w:r>
      <w:r w:rsidR="00435234">
        <w:rPr>
          <w:rFonts w:cs="Arial"/>
          <w:sz w:val="56"/>
          <w:szCs w:val="56"/>
        </w:rPr>
        <w:t>jurisdictional</w:t>
      </w:r>
      <w:r w:rsidR="00E824AA">
        <w:rPr>
          <w:rFonts w:cs="Arial"/>
          <w:sz w:val="56"/>
          <w:szCs w:val="56"/>
        </w:rPr>
        <w:t xml:space="preserve"> </w:t>
      </w:r>
      <w:r w:rsidR="00435234">
        <w:rPr>
          <w:rFonts w:cs="Arial"/>
          <w:sz w:val="56"/>
          <w:szCs w:val="56"/>
        </w:rPr>
        <w:t>accounting policies</w:t>
      </w:r>
      <w:r w:rsidR="00B554E3">
        <w:rPr>
          <w:rFonts w:cs="Arial"/>
          <w:sz w:val="56"/>
          <w:szCs w:val="56"/>
        </w:rPr>
        <w:t xml:space="preserve"> for property, plant and equipment</w:t>
      </w:r>
    </w:p>
    <w:p w14:paraId="51B10FE0" w14:textId="77777777" w:rsidR="00762C16" w:rsidRDefault="00762C16" w:rsidP="00B5319B">
      <w:pPr>
        <w:pStyle w:val="Text"/>
      </w:pPr>
    </w:p>
    <w:p w14:paraId="10BADBF8" w14:textId="77777777" w:rsidR="00762C16" w:rsidRPr="00F83719" w:rsidRDefault="00564820" w:rsidP="00D20711">
      <w:pPr>
        <w:pStyle w:val="BodyText"/>
      </w:pPr>
      <w:r w:rsidRPr="00F83719">
        <w:t>National Centre for Vocational Education Research</w:t>
      </w:r>
    </w:p>
    <w:p w14:paraId="6B957988" w14:textId="77777777" w:rsidR="00564820" w:rsidRDefault="00564820" w:rsidP="00B5319B">
      <w:pPr>
        <w:pStyle w:val="Text"/>
      </w:pPr>
    </w:p>
    <w:p w14:paraId="60643856" w14:textId="124CA0AE" w:rsidR="00EF705E" w:rsidRPr="00793D92" w:rsidRDefault="00B43196" w:rsidP="00D20711">
      <w:pPr>
        <w:pStyle w:val="BodyText"/>
      </w:pPr>
      <w:r w:rsidRPr="00793D92">
        <w:t xml:space="preserve">Revised </w:t>
      </w:r>
      <w:r w:rsidR="002023DA">
        <w:t>October</w:t>
      </w:r>
      <w:r w:rsidR="00F3447F" w:rsidRPr="00793D92">
        <w:t xml:space="preserve"> </w:t>
      </w:r>
      <w:r w:rsidR="005A4793">
        <w:t>2025</w:t>
      </w:r>
    </w:p>
    <w:p w14:paraId="7FD224AA" w14:textId="77777777" w:rsidR="005A2918" w:rsidRDefault="005A2918" w:rsidP="00B5319B">
      <w:pPr>
        <w:pStyle w:val="Text"/>
      </w:pPr>
    </w:p>
    <w:p w14:paraId="3BD57D67" w14:textId="2406DEC6" w:rsidR="00564820" w:rsidRDefault="00564820" w:rsidP="00B5319B">
      <w:pPr>
        <w:pStyle w:val="Text"/>
      </w:pPr>
    </w:p>
    <w:p w14:paraId="369D0C73" w14:textId="77777777" w:rsidR="009C1551" w:rsidRDefault="009C1551" w:rsidP="00B5319B">
      <w:pPr>
        <w:pStyle w:val="Text"/>
      </w:pPr>
    </w:p>
    <w:p w14:paraId="0838A4C6" w14:textId="77777777" w:rsidR="00564820" w:rsidRDefault="00564820" w:rsidP="00B5319B">
      <w:pPr>
        <w:pStyle w:val="Text"/>
      </w:pPr>
    </w:p>
    <w:p w14:paraId="0015F6EE" w14:textId="18B26028" w:rsidR="00564820" w:rsidRDefault="00564820" w:rsidP="00B5319B">
      <w:pPr>
        <w:pStyle w:val="Text"/>
      </w:pPr>
    </w:p>
    <w:p w14:paraId="0E1FA185" w14:textId="6E842DA0" w:rsidR="00DE776A" w:rsidRDefault="00DE776A" w:rsidP="00B5319B">
      <w:pPr>
        <w:pStyle w:val="Text"/>
      </w:pPr>
    </w:p>
    <w:p w14:paraId="5FD749CF" w14:textId="61377F9C" w:rsidR="00DE776A" w:rsidRDefault="00DE776A" w:rsidP="00B5319B">
      <w:pPr>
        <w:pStyle w:val="Text"/>
      </w:pPr>
    </w:p>
    <w:p w14:paraId="292775B7" w14:textId="69DBB27D" w:rsidR="00DE776A" w:rsidRDefault="00DE776A" w:rsidP="00B5319B">
      <w:pPr>
        <w:pStyle w:val="Text"/>
      </w:pPr>
    </w:p>
    <w:p w14:paraId="2C5B4A6A" w14:textId="77777777" w:rsidR="00DE776A" w:rsidRDefault="00DE776A" w:rsidP="00B5319B">
      <w:pPr>
        <w:pStyle w:val="Text"/>
      </w:pPr>
    </w:p>
    <w:p w14:paraId="65AEC85F" w14:textId="77777777" w:rsidR="00762C16" w:rsidRDefault="00762C16" w:rsidP="00B5319B">
      <w:pPr>
        <w:pStyle w:val="Text"/>
      </w:pPr>
    </w:p>
    <w:p w14:paraId="7D49E264" w14:textId="77777777" w:rsidR="00762C16" w:rsidRDefault="00EA4703" w:rsidP="00D20711">
      <w:pPr>
        <w:pStyle w:val="BodyText"/>
        <w:rPr>
          <w:sz w:val="22"/>
        </w:rPr>
      </w:pPr>
      <w:r>
        <w:rPr>
          <w:noProof/>
        </w:rPr>
        <mc:AlternateContent>
          <mc:Choice Requires="wps">
            <w:drawing>
              <wp:anchor distT="0" distB="0" distL="114300" distR="114300" simplePos="0" relativeHeight="251657216" behindDoc="0" locked="0" layoutInCell="1" allowOverlap="1" wp14:anchorId="379650C6" wp14:editId="1CA58669">
                <wp:simplePos x="0" y="0"/>
                <wp:positionH relativeFrom="column">
                  <wp:posOffset>1619250</wp:posOffset>
                </wp:positionH>
                <wp:positionV relativeFrom="paragraph">
                  <wp:posOffset>62230</wp:posOffset>
                </wp:positionV>
                <wp:extent cx="3686175" cy="74549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45490"/>
                        </a:xfrm>
                        <a:prstGeom prst="rect">
                          <a:avLst/>
                        </a:prstGeom>
                        <a:solidFill>
                          <a:sysClr val="windowText" lastClr="000000"/>
                        </a:solidFill>
                        <a:ln w="9525">
                          <a:solidFill>
                            <a:srgbClr val="000000"/>
                          </a:solidFill>
                          <a:miter lim="800000"/>
                          <a:headEnd/>
                          <a:tailEnd/>
                        </a:ln>
                      </wps:spPr>
                      <wps:txbx>
                        <w:txbxContent>
                          <w:p w14:paraId="5F2B3DB9" w14:textId="77777777" w:rsidR="00F3447F" w:rsidRPr="00DD415B" w:rsidRDefault="00F3447F" w:rsidP="00DD415B">
                            <w:pPr>
                              <w:spacing w:before="0" w:line="276" w:lineRule="auto"/>
                              <w:rPr>
                                <w:rFonts w:ascii="Trebuchet MS" w:hAnsi="Trebuchet MS"/>
                                <w:sz w:val="19"/>
                                <w:szCs w:val="19"/>
                              </w:rPr>
                            </w:pPr>
                            <w:r w:rsidRPr="00DD415B">
                              <w:rPr>
                                <w:rFonts w:ascii="Trebuchet MS" w:hAnsi="Trebuchet MS"/>
                                <w:sz w:val="19"/>
                                <w:szCs w:val="19"/>
                              </w:rPr>
                              <w:t xml:space="preserve">This document was produced as an added resource for the publication sourced from the </w:t>
                            </w:r>
                            <w:r w:rsidRPr="00A776EE">
                              <w:rPr>
                                <w:rFonts w:ascii="Trebuchet MS" w:hAnsi="Trebuchet MS"/>
                                <w:sz w:val="19"/>
                                <w:szCs w:val="19"/>
                              </w:rPr>
                              <w:t xml:space="preserve">National VET </w:t>
                            </w:r>
                            <w:r>
                              <w:rPr>
                                <w:rFonts w:ascii="Trebuchet MS" w:hAnsi="Trebuchet MS"/>
                                <w:sz w:val="19"/>
                                <w:szCs w:val="19"/>
                              </w:rPr>
                              <w:t>Funding</w:t>
                            </w:r>
                            <w:r w:rsidRPr="00A776EE">
                              <w:rPr>
                                <w:rFonts w:ascii="Trebuchet MS" w:hAnsi="Trebuchet MS"/>
                                <w:sz w:val="19"/>
                                <w:szCs w:val="19"/>
                              </w:rPr>
                              <w:t xml:space="preserve"> Collection.</w:t>
                            </w:r>
                            <w:r w:rsidRPr="00DD415B">
                              <w:rPr>
                                <w:rFonts w:ascii="Trebuchet MS" w:hAnsi="Trebuchet MS"/>
                                <w:sz w:val="19"/>
                                <w:szCs w:val="19"/>
                              </w:rPr>
                              <w:t xml:space="preserve"> The </w:t>
                            </w:r>
                            <w:r>
                              <w:rPr>
                                <w:rFonts w:ascii="Trebuchet MS" w:hAnsi="Trebuchet MS"/>
                                <w:sz w:val="19"/>
                                <w:szCs w:val="19"/>
                              </w:rPr>
                              <w:t>report is</w:t>
                            </w:r>
                            <w:r w:rsidRPr="00DD415B">
                              <w:rPr>
                                <w:rFonts w:ascii="Trebuchet MS" w:hAnsi="Trebuchet MS"/>
                                <w:sz w:val="19"/>
                                <w:szCs w:val="19"/>
                              </w:rPr>
                              <w:t xml:space="preserve"> available on the NCVER’s Portal: &lt;http</w:t>
                            </w:r>
                            <w:r>
                              <w:rPr>
                                <w:rFonts w:ascii="Trebuchet MS" w:hAnsi="Trebuchet MS"/>
                                <w:sz w:val="19"/>
                                <w:szCs w:val="19"/>
                              </w:rPr>
                              <w:t>s</w:t>
                            </w:r>
                            <w:r w:rsidRPr="00DD415B">
                              <w:rPr>
                                <w:rFonts w:ascii="Trebuchet MS" w:hAnsi="Trebuchet MS"/>
                                <w:sz w:val="19"/>
                                <w:szCs w:val="19"/>
                              </w:rPr>
                              <w:t>://www.ncver.edu.au&gt;.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650C6" id="_x0000_s1027" type="#_x0000_t202" style="position:absolute;left:0;text-align:left;margin-left:127.5pt;margin-top:4.9pt;width:290.25pt;height:5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AJIAIAADoEAAAOAAAAZHJzL2Uyb0RvYy54bWysU9tu2zAMfR+wfxD0vjjJcjXiFF26DAO6&#10;C9DuA2RJjoXJoiYpsbOvHyW7adZhL8P8IJCidUieQ25uukaTk3RegSnoZDSmRBoOQplDQb897t+s&#10;KPGBGcE0GFnQs/T0Zvv61aa1uZxCDVpIRxDE+Ly1Ba1DsHmWeV7LhvkRWGkwWIFrWEDXHTLhWIvo&#10;jc6m4/Eia8EJ64BL7/H2rg/SbcKvKsnDl6ryMhBdUKwtpNOls4xntt2w/OCYrRUfymD/UEXDlMGk&#10;F6g7Fhg5OvUHVKO4Aw9VGHFoMqgqxWXqAbuZjF9081AzK1MvSI63F5r8/4Pln08P9qsjoXsHHQqY&#10;mvD2Hvh3TwzsamYO8tY5aGvJBCaeRMqy1vp8eBqp9rmPIGX7CQSKzI4BElBXuSaygn0SREcBzhfS&#10;ZRcIx8u3i9VispxTwjG2nM1n66RKxvKn19b58EFCQ6JRUIeiJnR2uvchVsPyp19iMg9aib3SOjln&#10;v9OOnBjqj2MjoH3ExJRo5gMGsJr0paZePNWGtAVdz6fznpTfYN2hvOD+HaJRAadbq6agq0selkcq&#10;3xuRZi8wpXsb29Bm4DbS2RMburIjSgzER6pLEGck20E/zLh8aNTgflLS4iAX1P84Miexx48GBVtP&#10;ZrM4+cmZzZdTdNx1pLyOMMMRqqBIUW/uQtqWxKW9RWH3KnH+XMlQMg5okmJYprgB137663nlt78A&#10;AAD//wMAUEsDBBQABgAIAAAAIQCyAra33wAAAAkBAAAPAAAAZHJzL2Rvd25yZXYueG1sTI9BTsMw&#10;EEX3SNzBGiR21CEotKRxKkCCDSDa0gNMYzeJGo+j2HVSTs+wguXof/15r1hNthPRDL51pOB2loAw&#10;VDndUq1g9/VyswDhA5LGzpFRcDYeVuXlRYG5diNtTNyGWvAI+RwVNCH0uZS+aoxFP3O9Ic4ObrAY&#10;+BxqqQccedx2Mk2Se2mxJf7QYG+eG1MdtyerIO6eNnFO8fPt+4zTx5rW76/HUanrq+lxCSKYKfyV&#10;4Ref0aFkpr07kfaiU5BmGbsEBQ9swPniLstA7LmYzlOQZSH/G5Q/AAAA//8DAFBLAQItABQABgAI&#10;AAAAIQC2gziS/gAAAOEBAAATAAAAAAAAAAAAAAAAAAAAAABbQ29udGVudF9UeXBlc10ueG1sUEsB&#10;Ai0AFAAGAAgAAAAhADj9If/WAAAAlAEAAAsAAAAAAAAAAAAAAAAALwEAAF9yZWxzLy5yZWxzUEsB&#10;Ai0AFAAGAAgAAAAhAKEasAkgAgAAOgQAAA4AAAAAAAAAAAAAAAAALgIAAGRycy9lMm9Eb2MueG1s&#10;UEsBAi0AFAAGAAgAAAAhALICtrffAAAACQEAAA8AAAAAAAAAAAAAAAAAegQAAGRycy9kb3ducmV2&#10;LnhtbFBLBQYAAAAABAAEAPMAAACGBQAAAAA=&#10;" fillcolor="windowText">
                <v:textbox style="mso-fit-shape-to-text:t">
                  <w:txbxContent>
                    <w:p w14:paraId="5F2B3DB9" w14:textId="77777777" w:rsidR="00F3447F" w:rsidRPr="00DD415B" w:rsidRDefault="00F3447F" w:rsidP="00DD415B">
                      <w:pPr>
                        <w:spacing w:before="0" w:line="276" w:lineRule="auto"/>
                        <w:rPr>
                          <w:rFonts w:ascii="Trebuchet MS" w:hAnsi="Trebuchet MS"/>
                          <w:sz w:val="19"/>
                          <w:szCs w:val="19"/>
                        </w:rPr>
                      </w:pPr>
                      <w:r w:rsidRPr="00DD415B">
                        <w:rPr>
                          <w:rFonts w:ascii="Trebuchet MS" w:hAnsi="Trebuchet MS"/>
                          <w:sz w:val="19"/>
                          <w:szCs w:val="19"/>
                        </w:rPr>
                        <w:t xml:space="preserve">This document was produced as an added resource for the publication sourced from the </w:t>
                      </w:r>
                      <w:r w:rsidRPr="00A776EE">
                        <w:rPr>
                          <w:rFonts w:ascii="Trebuchet MS" w:hAnsi="Trebuchet MS"/>
                          <w:sz w:val="19"/>
                          <w:szCs w:val="19"/>
                        </w:rPr>
                        <w:t xml:space="preserve">National VET </w:t>
                      </w:r>
                      <w:r>
                        <w:rPr>
                          <w:rFonts w:ascii="Trebuchet MS" w:hAnsi="Trebuchet MS"/>
                          <w:sz w:val="19"/>
                          <w:szCs w:val="19"/>
                        </w:rPr>
                        <w:t>Funding</w:t>
                      </w:r>
                      <w:r w:rsidRPr="00A776EE">
                        <w:rPr>
                          <w:rFonts w:ascii="Trebuchet MS" w:hAnsi="Trebuchet MS"/>
                          <w:sz w:val="19"/>
                          <w:szCs w:val="19"/>
                        </w:rPr>
                        <w:t xml:space="preserve"> Collection.</w:t>
                      </w:r>
                      <w:r w:rsidRPr="00DD415B">
                        <w:rPr>
                          <w:rFonts w:ascii="Trebuchet MS" w:hAnsi="Trebuchet MS"/>
                          <w:sz w:val="19"/>
                          <w:szCs w:val="19"/>
                        </w:rPr>
                        <w:t xml:space="preserve"> The </w:t>
                      </w:r>
                      <w:r>
                        <w:rPr>
                          <w:rFonts w:ascii="Trebuchet MS" w:hAnsi="Trebuchet MS"/>
                          <w:sz w:val="19"/>
                          <w:szCs w:val="19"/>
                        </w:rPr>
                        <w:t>report is</w:t>
                      </w:r>
                      <w:r w:rsidRPr="00DD415B">
                        <w:rPr>
                          <w:rFonts w:ascii="Trebuchet MS" w:hAnsi="Trebuchet MS"/>
                          <w:sz w:val="19"/>
                          <w:szCs w:val="19"/>
                        </w:rPr>
                        <w:t xml:space="preserve"> available on the NCVER’s Portal: &lt;http</w:t>
                      </w:r>
                      <w:r>
                        <w:rPr>
                          <w:rFonts w:ascii="Trebuchet MS" w:hAnsi="Trebuchet MS"/>
                          <w:sz w:val="19"/>
                          <w:szCs w:val="19"/>
                        </w:rPr>
                        <w:t>s</w:t>
                      </w:r>
                      <w:r w:rsidRPr="00DD415B">
                        <w:rPr>
                          <w:rFonts w:ascii="Trebuchet MS" w:hAnsi="Trebuchet MS"/>
                          <w:sz w:val="19"/>
                          <w:szCs w:val="19"/>
                        </w:rPr>
                        <w:t>://www.ncver.edu.au&gt;.</w:t>
                      </w:r>
                    </w:p>
                  </w:txbxContent>
                </v:textbox>
              </v:shape>
            </w:pict>
          </mc:Fallback>
        </mc:AlternateContent>
      </w:r>
    </w:p>
    <w:p w14:paraId="167F03CD" w14:textId="77777777" w:rsidR="00610753" w:rsidRDefault="00610753" w:rsidP="00D20711">
      <w:pPr>
        <w:pStyle w:val="BodyText"/>
      </w:pPr>
    </w:p>
    <w:p w14:paraId="21C1917D" w14:textId="77777777" w:rsidR="00610753" w:rsidRDefault="00610753" w:rsidP="00D20711">
      <w:pPr>
        <w:pStyle w:val="BodyText"/>
      </w:pPr>
    </w:p>
    <w:p w14:paraId="19F71CDD" w14:textId="77777777" w:rsidR="006A6429" w:rsidRDefault="006A6429" w:rsidP="00D20711">
      <w:pPr>
        <w:pStyle w:val="BodyText"/>
      </w:pPr>
    </w:p>
    <w:p w14:paraId="4B5557E5" w14:textId="77777777" w:rsidR="00762C16" w:rsidRPr="00522E75" w:rsidRDefault="00762C16" w:rsidP="000D030A">
      <w:pPr>
        <w:pStyle w:val="BodyText"/>
        <w:ind w:left="0"/>
      </w:pPr>
      <w:r w:rsidRPr="00522E75">
        <w:br w:type="page"/>
      </w:r>
    </w:p>
    <w:p w14:paraId="2419BFD0" w14:textId="77777777" w:rsidR="00762C16" w:rsidRDefault="00762C16" w:rsidP="00762C16">
      <w:pPr>
        <w:pStyle w:val="Imprint"/>
      </w:pPr>
    </w:p>
    <w:p w14:paraId="0AE05D51" w14:textId="77777777" w:rsidR="00762C16" w:rsidRDefault="00762C16" w:rsidP="00762C16">
      <w:pPr>
        <w:pStyle w:val="Imprint"/>
      </w:pPr>
    </w:p>
    <w:p w14:paraId="5C689C3B" w14:textId="77777777" w:rsidR="00762C16" w:rsidRDefault="00762C16" w:rsidP="00762C16">
      <w:pPr>
        <w:pStyle w:val="Imprint"/>
      </w:pPr>
    </w:p>
    <w:p w14:paraId="343E58EE" w14:textId="77777777" w:rsidR="00762C16" w:rsidRDefault="00762C16" w:rsidP="00762C16">
      <w:pPr>
        <w:pStyle w:val="Imprint"/>
      </w:pPr>
    </w:p>
    <w:p w14:paraId="56E65F9A" w14:textId="77777777" w:rsidR="00762C16" w:rsidRDefault="00762C16" w:rsidP="00762C16">
      <w:pPr>
        <w:pStyle w:val="Imprint"/>
      </w:pPr>
    </w:p>
    <w:p w14:paraId="5EEE792D" w14:textId="77777777" w:rsidR="00762C16" w:rsidRDefault="00762C16" w:rsidP="00762C16">
      <w:pPr>
        <w:pStyle w:val="Imprint"/>
      </w:pPr>
    </w:p>
    <w:p w14:paraId="7DAB9234" w14:textId="77777777" w:rsidR="001267ED" w:rsidRDefault="001267ED" w:rsidP="00762C16">
      <w:pPr>
        <w:pStyle w:val="Imprint"/>
      </w:pPr>
    </w:p>
    <w:p w14:paraId="53EBAAD0" w14:textId="3189DC06" w:rsidR="009C1551" w:rsidRDefault="009C1551" w:rsidP="00762C16">
      <w:pPr>
        <w:pStyle w:val="Imprint"/>
      </w:pPr>
    </w:p>
    <w:p w14:paraId="64FF698C" w14:textId="77777777" w:rsidR="006D2F18" w:rsidRDefault="006D2F18" w:rsidP="00762C16">
      <w:pPr>
        <w:pStyle w:val="Imprint"/>
      </w:pPr>
    </w:p>
    <w:p w14:paraId="10CAAE92" w14:textId="77777777" w:rsidR="009C1551" w:rsidRDefault="009C1551" w:rsidP="00762C16">
      <w:pPr>
        <w:pStyle w:val="Imprint"/>
      </w:pPr>
    </w:p>
    <w:p w14:paraId="22124026" w14:textId="77777777" w:rsidR="00E726A1" w:rsidRDefault="00E726A1" w:rsidP="00762C16">
      <w:pPr>
        <w:pStyle w:val="Imprint"/>
      </w:pPr>
    </w:p>
    <w:p w14:paraId="2597C9FC" w14:textId="77777777" w:rsidR="00E726A1" w:rsidRDefault="00E726A1" w:rsidP="00762C16">
      <w:pPr>
        <w:pStyle w:val="Imprint"/>
      </w:pPr>
    </w:p>
    <w:p w14:paraId="4F151719" w14:textId="2F4B16A4" w:rsidR="00762C16" w:rsidRPr="00DE6ECB" w:rsidRDefault="00762C16" w:rsidP="00762C16">
      <w:pPr>
        <w:pStyle w:val="Imprint"/>
        <w:rPr>
          <w:b/>
        </w:rPr>
      </w:pPr>
      <w:r w:rsidRPr="00DE6ECB">
        <w:rPr>
          <w:b/>
        </w:rPr>
        <w:t>© Commonwealth of Australia, 20</w:t>
      </w:r>
      <w:r w:rsidR="00347FE6">
        <w:rPr>
          <w:b/>
        </w:rPr>
        <w:t>2</w:t>
      </w:r>
      <w:r w:rsidR="00AE7851">
        <w:rPr>
          <w:b/>
        </w:rPr>
        <w:t>5</w:t>
      </w:r>
    </w:p>
    <w:p w14:paraId="7723F438" w14:textId="77777777" w:rsidR="00762C16" w:rsidRPr="0097159E" w:rsidRDefault="00EA4703" w:rsidP="00762C16">
      <w:pPr>
        <w:pStyle w:val="Imprint"/>
      </w:pPr>
      <w:r w:rsidRPr="00B37552">
        <w:rPr>
          <w:noProof/>
          <w:lang w:eastAsia="en-AU"/>
        </w:rPr>
        <w:drawing>
          <wp:inline distT="0" distB="0" distL="0" distR="0" wp14:anchorId="152232C1" wp14:editId="5C01C9F6">
            <wp:extent cx="838200" cy="295275"/>
            <wp:effectExtent l="0" t="0" r="0" b="0"/>
            <wp:docPr id="1" name="Picture 3"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95CF5E4" w14:textId="77777777" w:rsidR="00762C16" w:rsidRPr="006C3B7B" w:rsidRDefault="00762C16" w:rsidP="001267ED">
      <w:pPr>
        <w:pStyle w:val="Imprint"/>
        <w:rPr>
          <w:rFonts w:ascii="Trebuchet MS" w:hAnsi="Trebuchet MS"/>
        </w:rPr>
      </w:pPr>
      <w:proofErr w:type="gramStart"/>
      <w:r w:rsidRPr="006C3B7B">
        <w:rPr>
          <w:rFonts w:ascii="Trebuchet MS" w:hAnsi="Trebuchet MS"/>
        </w:rPr>
        <w:t>With the exception of</w:t>
      </w:r>
      <w:proofErr w:type="gramEnd"/>
      <w:r w:rsidRPr="006C3B7B">
        <w:rPr>
          <w:rFonts w:ascii="Trebuchet MS" w:hAnsi="Trebuchet MS"/>
        </w:rPr>
        <w:t xml:space="preserve"> the Commonwealth Coat of Arms, the Department’s logo, any material protected by a </w:t>
      </w:r>
      <w:proofErr w:type="gramStart"/>
      <w:r w:rsidRPr="006C3B7B">
        <w:rPr>
          <w:rFonts w:ascii="Trebuchet MS" w:hAnsi="Trebuchet MS"/>
        </w:rPr>
        <w:t>trade mark</w:t>
      </w:r>
      <w:proofErr w:type="gramEnd"/>
      <w:r w:rsidRPr="006C3B7B">
        <w:rPr>
          <w:rFonts w:ascii="Trebuchet MS" w:hAnsi="Trebuchet MS"/>
        </w:rPr>
        <w:t xml:space="preserve"> and where otherwise noted all material presented in this document is provided under a Creative Commons Attribution 3.0 Australia &lt;creativecommons.org/licenses/by/3.0/au&gt; licence. </w:t>
      </w:r>
    </w:p>
    <w:p w14:paraId="3E51F4E2" w14:textId="77777777" w:rsidR="00762C16" w:rsidRPr="006C3B7B" w:rsidRDefault="00762C16" w:rsidP="001267ED">
      <w:pPr>
        <w:pStyle w:val="Imprint"/>
        <w:rPr>
          <w:rFonts w:ascii="Trebuchet MS" w:hAnsi="Trebuchet MS"/>
        </w:rPr>
      </w:pPr>
      <w:r w:rsidRPr="006C3B7B">
        <w:rPr>
          <w:rFonts w:ascii="Trebuchet MS" w:hAnsi="Trebuchet MS"/>
        </w:rPr>
        <w:t>The details of the relevant licence conditions are available on the Creative Commons website (accessible using the links provided) as is the full legal code for the CC BY 3.0 AU licence &lt;creativecommons.org/licenses/by/3.0/</w:t>
      </w:r>
      <w:proofErr w:type="spellStart"/>
      <w:r w:rsidRPr="006C3B7B">
        <w:rPr>
          <w:rFonts w:ascii="Trebuchet MS" w:hAnsi="Trebuchet MS"/>
        </w:rPr>
        <w:t>legalcode</w:t>
      </w:r>
      <w:proofErr w:type="spellEnd"/>
      <w:r w:rsidRPr="006C3B7B">
        <w:rPr>
          <w:rFonts w:ascii="Trebuchet MS" w:hAnsi="Trebuchet MS"/>
        </w:rPr>
        <w:t>&gt;.</w:t>
      </w:r>
    </w:p>
    <w:p w14:paraId="692C5FC2" w14:textId="77777777" w:rsidR="00762C16" w:rsidRPr="006C3B7B" w:rsidRDefault="00762C16" w:rsidP="001267ED">
      <w:pPr>
        <w:pStyle w:val="Imprint"/>
        <w:rPr>
          <w:rFonts w:ascii="Trebuchet MS" w:hAnsi="Trebuchet MS"/>
        </w:rPr>
      </w:pPr>
      <w:r w:rsidRPr="006C3B7B">
        <w:rPr>
          <w:rFonts w:ascii="Trebuchet MS" w:hAnsi="Trebuchet MS"/>
        </w:rPr>
        <w:t>The Creative Commons licence conditions do not apply to all logos, graphic design, artwork and photographs. Requests and enquiries concerning other reproduction and rights should be directed to the National Centre for Vocational Education Research (NCVER).</w:t>
      </w:r>
    </w:p>
    <w:p w14:paraId="666297A0" w14:textId="659185CA" w:rsidR="00762C16" w:rsidRPr="006C3B7B" w:rsidRDefault="00762C16" w:rsidP="001267ED">
      <w:pPr>
        <w:pStyle w:val="Imprint"/>
        <w:rPr>
          <w:rFonts w:ascii="Trebuchet MS" w:hAnsi="Trebuchet MS"/>
        </w:rPr>
      </w:pPr>
      <w:r w:rsidRPr="006C3B7B">
        <w:rPr>
          <w:rFonts w:ascii="Trebuchet MS" w:hAnsi="Trebuchet MS"/>
        </w:rPr>
        <w:t>This document should be attributed as NCVER 20</w:t>
      </w:r>
      <w:r w:rsidR="00347FE6" w:rsidRPr="006C3B7B">
        <w:rPr>
          <w:rFonts w:ascii="Trebuchet MS" w:hAnsi="Trebuchet MS"/>
        </w:rPr>
        <w:t>2</w:t>
      </w:r>
      <w:r w:rsidR="00AE7851">
        <w:rPr>
          <w:rFonts w:ascii="Trebuchet MS" w:hAnsi="Trebuchet MS"/>
        </w:rPr>
        <w:t>5</w:t>
      </w:r>
      <w:r w:rsidRPr="006C3B7B">
        <w:rPr>
          <w:rFonts w:ascii="Trebuchet MS" w:hAnsi="Trebuchet MS"/>
        </w:rPr>
        <w:t xml:space="preserve">, </w:t>
      </w:r>
      <w:r w:rsidR="004112BF" w:rsidRPr="006C3B7B">
        <w:rPr>
          <w:rFonts w:ascii="Trebuchet MS" w:hAnsi="Trebuchet MS"/>
          <w:i/>
        </w:rPr>
        <w:t xml:space="preserve">Government funding of VET </w:t>
      </w:r>
      <w:r w:rsidR="002F4114">
        <w:rPr>
          <w:rFonts w:ascii="Trebuchet MS" w:hAnsi="Trebuchet MS"/>
          <w:i/>
        </w:rPr>
        <w:t>2024</w:t>
      </w:r>
      <w:r w:rsidR="00DA39FA" w:rsidRPr="006C3B7B">
        <w:rPr>
          <w:rFonts w:ascii="Trebuchet MS" w:hAnsi="Trebuchet MS"/>
          <w:i/>
        </w:rPr>
        <w:t xml:space="preserve">: </w:t>
      </w:r>
      <w:r w:rsidR="008E29BF" w:rsidRPr="006C3B7B">
        <w:rPr>
          <w:rFonts w:ascii="Trebuchet MS" w:hAnsi="Trebuchet MS"/>
          <w:i/>
        </w:rPr>
        <w:t>jurisdictional</w:t>
      </w:r>
      <w:r w:rsidR="00E824AA" w:rsidRPr="006C3B7B">
        <w:rPr>
          <w:rFonts w:ascii="Trebuchet MS" w:hAnsi="Trebuchet MS"/>
          <w:i/>
        </w:rPr>
        <w:t xml:space="preserve"> </w:t>
      </w:r>
      <w:r w:rsidR="008E29BF" w:rsidRPr="006C3B7B">
        <w:rPr>
          <w:rFonts w:ascii="Trebuchet MS" w:hAnsi="Trebuchet MS"/>
          <w:i/>
        </w:rPr>
        <w:t>accounting policie</w:t>
      </w:r>
      <w:r w:rsidR="005F2D42" w:rsidRPr="006C3B7B">
        <w:rPr>
          <w:rFonts w:ascii="Trebuchet MS" w:hAnsi="Trebuchet MS"/>
          <w:i/>
        </w:rPr>
        <w:t>s</w:t>
      </w:r>
      <w:r w:rsidR="00906642">
        <w:rPr>
          <w:rFonts w:ascii="Trebuchet MS" w:hAnsi="Trebuchet MS"/>
          <w:i/>
        </w:rPr>
        <w:t xml:space="preserve"> for property, plant and equipment</w:t>
      </w:r>
      <w:r w:rsidR="004112BF" w:rsidRPr="006C3B7B">
        <w:rPr>
          <w:rFonts w:ascii="Trebuchet MS" w:hAnsi="Trebuchet MS"/>
        </w:rPr>
        <w:t>,</w:t>
      </w:r>
      <w:r w:rsidRPr="006C3B7B">
        <w:rPr>
          <w:rFonts w:ascii="Trebuchet MS" w:hAnsi="Trebuchet MS"/>
        </w:rPr>
        <w:t xml:space="preserve"> NCVER, Adelaide.</w:t>
      </w:r>
    </w:p>
    <w:p w14:paraId="54CD845A" w14:textId="77777777" w:rsidR="006D2F18" w:rsidRPr="006C3B7B" w:rsidRDefault="006D2F18" w:rsidP="006D2F18">
      <w:pPr>
        <w:pStyle w:val="Imprint"/>
        <w:rPr>
          <w:rFonts w:ascii="Trebuchet MS" w:hAnsi="Trebuchet MS"/>
        </w:rPr>
      </w:pPr>
      <w:r w:rsidRPr="006C3B7B">
        <w:rPr>
          <w:rFonts w:ascii="Trebuchet MS" w:hAnsi="Trebuchet MS"/>
        </w:rPr>
        <w:t>This work has been produced by NCVER on behalf of the Australian Government, and state and territory governments, with funding provided through the Australian Government Department of Employment and Workplace Relations.</w:t>
      </w:r>
    </w:p>
    <w:p w14:paraId="47B649A6" w14:textId="502C1F29" w:rsidR="00762C16" w:rsidRPr="006C3B7B" w:rsidRDefault="0092701C" w:rsidP="006D2F18">
      <w:pPr>
        <w:pStyle w:val="Imprint"/>
        <w:rPr>
          <w:rFonts w:ascii="Trebuchet MS" w:hAnsi="Trebuchet MS"/>
        </w:rPr>
      </w:pPr>
      <w:r w:rsidRPr="006C3B7B">
        <w:rPr>
          <w:rFonts w:ascii="Trebuchet MS" w:hAnsi="Trebuchet MS"/>
        </w:rPr>
        <w:t>The information in this document has been provided by the state and territory authorities responsible for reporting VET funding data and refers to their own accounting policies. Therefore, the information and definitions expressed in this document are those of the respective reporting authorities and do not necessarily reflect the views of the NCVER, the Australian Government or state and territory governments.</w:t>
      </w:r>
    </w:p>
    <w:p w14:paraId="37343D59" w14:textId="77777777" w:rsidR="00762C16" w:rsidRPr="006C3B7B" w:rsidRDefault="00762C16" w:rsidP="00187713">
      <w:pPr>
        <w:pStyle w:val="Imprint"/>
        <w:rPr>
          <w:rFonts w:ascii="Trebuchet MS" w:hAnsi="Trebuchet MS"/>
        </w:rPr>
      </w:pPr>
      <w:r w:rsidRPr="006C3B7B">
        <w:rPr>
          <w:rFonts w:ascii="Trebuchet MS" w:hAnsi="Trebuchet MS"/>
        </w:rPr>
        <w:t>Comments and suggestions regarding this publication are welcomed and should be forwarded to NCVER.</w:t>
      </w:r>
    </w:p>
    <w:p w14:paraId="7D02BEC4" w14:textId="77777777" w:rsidR="006C3B7B" w:rsidRPr="006C3B7B" w:rsidRDefault="006C3B7B" w:rsidP="006C3B7B">
      <w:pPr>
        <w:spacing w:before="160" w:line="260" w:lineRule="atLeast"/>
        <w:rPr>
          <w:rFonts w:ascii="Trebuchet MS" w:hAnsi="Trebuchet MS"/>
          <w:color w:val="000000"/>
          <w:sz w:val="16"/>
          <w:szCs w:val="16"/>
          <w:lang w:eastAsia="en-US"/>
        </w:rPr>
      </w:pPr>
      <w:r w:rsidRPr="006C3B7B">
        <w:rPr>
          <w:rFonts w:ascii="Trebuchet MS" w:hAnsi="Trebuchet MS"/>
          <w:color w:val="000000"/>
          <w:sz w:val="16"/>
          <w:szCs w:val="16"/>
          <w:lang w:eastAsia="en-US"/>
        </w:rPr>
        <w:t>Published by NCVER, ABN 87 007 967 311</w:t>
      </w:r>
    </w:p>
    <w:p w14:paraId="6D5D676D" w14:textId="77777777" w:rsidR="006C3B7B" w:rsidRPr="006C3B7B" w:rsidRDefault="006C3B7B" w:rsidP="006C3B7B">
      <w:pPr>
        <w:spacing w:before="160" w:line="260" w:lineRule="atLeast"/>
        <w:rPr>
          <w:rFonts w:ascii="Trebuchet MS" w:hAnsi="Trebuchet MS"/>
          <w:color w:val="000000"/>
          <w:sz w:val="16"/>
          <w:szCs w:val="16"/>
          <w:lang w:eastAsia="en-US"/>
        </w:rPr>
      </w:pPr>
      <w:r w:rsidRPr="006C3B7B">
        <w:rPr>
          <w:rFonts w:ascii="Trebuchet MS" w:hAnsi="Trebuchet MS"/>
          <w:color w:val="000000"/>
          <w:sz w:val="16"/>
          <w:szCs w:val="16"/>
          <w:lang w:eastAsia="en-US"/>
        </w:rPr>
        <w:t>Level 5, 60 Light Square, Adelaide, SA 5000</w:t>
      </w:r>
      <w:r w:rsidRPr="006C3B7B">
        <w:rPr>
          <w:rFonts w:ascii="Trebuchet MS" w:hAnsi="Trebuchet MS"/>
          <w:color w:val="000000"/>
          <w:sz w:val="16"/>
          <w:szCs w:val="16"/>
          <w:lang w:eastAsia="en-US"/>
        </w:rPr>
        <w:br/>
        <w:t>PO Box 8288 Station Arcade, Adelaide SA 5000, Australia</w:t>
      </w:r>
    </w:p>
    <w:p w14:paraId="3355B51D" w14:textId="77777777" w:rsidR="006C3B7B" w:rsidRPr="006C3B7B" w:rsidRDefault="006C3B7B" w:rsidP="006C3B7B">
      <w:pPr>
        <w:spacing w:before="160" w:line="260" w:lineRule="atLeast"/>
        <w:rPr>
          <w:rFonts w:ascii="Trebuchet MS" w:hAnsi="Trebuchet MS"/>
          <w:color w:val="000000"/>
          <w:sz w:val="16"/>
          <w:szCs w:val="16"/>
          <w:lang w:eastAsia="en-US"/>
        </w:rPr>
      </w:pPr>
      <w:r w:rsidRPr="006C3B7B">
        <w:rPr>
          <w:rFonts w:ascii="Trebuchet MS" w:hAnsi="Trebuchet MS"/>
          <w:b/>
          <w:color w:val="000000"/>
          <w:sz w:val="16"/>
          <w:szCs w:val="16"/>
          <w:lang w:eastAsia="en-US"/>
        </w:rPr>
        <w:t>Phone</w:t>
      </w:r>
      <w:r w:rsidRPr="006C3B7B">
        <w:rPr>
          <w:rFonts w:ascii="Trebuchet MS" w:hAnsi="Trebuchet MS"/>
          <w:color w:val="000000"/>
          <w:sz w:val="16"/>
          <w:szCs w:val="16"/>
          <w:lang w:eastAsia="en-US"/>
        </w:rPr>
        <w:t xml:space="preserve"> +61 8 8230 8400     </w:t>
      </w:r>
      <w:r w:rsidRPr="006C3B7B">
        <w:rPr>
          <w:rFonts w:ascii="Trebuchet MS" w:hAnsi="Trebuchet MS"/>
          <w:b/>
          <w:color w:val="000000"/>
          <w:sz w:val="16"/>
          <w:szCs w:val="16"/>
          <w:lang w:eastAsia="en-US"/>
        </w:rPr>
        <w:t>Email</w:t>
      </w:r>
      <w:r w:rsidRPr="006C3B7B">
        <w:rPr>
          <w:rFonts w:ascii="Trebuchet MS" w:hAnsi="Trebuchet MS"/>
          <w:color w:val="000000"/>
          <w:sz w:val="16"/>
          <w:szCs w:val="16"/>
          <w:lang w:eastAsia="en-US"/>
        </w:rPr>
        <w:t xml:space="preserve"> </w:t>
      </w:r>
      <w:hyperlink r:id="rId11" w:history="1">
        <w:r w:rsidRPr="006C3B7B">
          <w:rPr>
            <w:rFonts w:ascii="Trebuchet MS" w:hAnsi="Trebuchet MS"/>
            <w:sz w:val="16"/>
            <w:szCs w:val="16"/>
            <w:lang w:eastAsia="en-US"/>
          </w:rPr>
          <w:t>ncver@ncver.edu.au</w:t>
        </w:r>
      </w:hyperlink>
      <w:r w:rsidRPr="006C3B7B">
        <w:rPr>
          <w:rFonts w:ascii="Trebuchet MS" w:hAnsi="Trebuchet MS"/>
          <w:color w:val="000000"/>
          <w:sz w:val="16"/>
          <w:szCs w:val="16"/>
          <w:lang w:eastAsia="en-US"/>
        </w:rPr>
        <w:t xml:space="preserve">     </w:t>
      </w:r>
    </w:p>
    <w:p w14:paraId="4B3D47D7" w14:textId="06A509A7" w:rsidR="006C3B7B" w:rsidRPr="006C3B7B" w:rsidRDefault="006C3B7B" w:rsidP="006C3B7B">
      <w:pPr>
        <w:spacing w:before="160" w:line="260" w:lineRule="atLeast"/>
        <w:rPr>
          <w:rFonts w:ascii="Trebuchet MS" w:hAnsi="Trebuchet MS"/>
          <w:color w:val="000000"/>
          <w:sz w:val="16"/>
          <w:szCs w:val="16"/>
          <w:lang w:eastAsia="en-US"/>
        </w:rPr>
      </w:pPr>
      <w:r w:rsidRPr="006C3B7B">
        <w:rPr>
          <w:rFonts w:ascii="Trebuchet MS" w:hAnsi="Trebuchet MS"/>
          <w:b/>
          <w:color w:val="000000"/>
          <w:sz w:val="16"/>
          <w:szCs w:val="16"/>
          <w:lang w:eastAsia="en-US"/>
        </w:rPr>
        <w:t>Web</w:t>
      </w:r>
      <w:r w:rsidRPr="006C3B7B">
        <w:rPr>
          <w:rFonts w:ascii="Trebuchet MS" w:hAnsi="Trebuchet MS"/>
          <w:color w:val="000000"/>
          <w:sz w:val="16"/>
          <w:szCs w:val="16"/>
          <w:lang w:eastAsia="en-US"/>
        </w:rPr>
        <w:t xml:space="preserve"> </w:t>
      </w:r>
      <w:hyperlink r:id="rId12" w:history="1">
        <w:r w:rsidRPr="006C3B7B">
          <w:rPr>
            <w:rFonts w:ascii="Trebuchet MS" w:hAnsi="Trebuchet MS"/>
            <w:sz w:val="16"/>
            <w:szCs w:val="16"/>
            <w:lang w:eastAsia="en-US"/>
          </w:rPr>
          <w:t>https://www.ncver.edu.au</w:t>
        </w:r>
      </w:hyperlink>
    </w:p>
    <w:p w14:paraId="5DA95081" w14:textId="777D7290" w:rsidR="00A776EE" w:rsidRPr="006C3B7B" w:rsidRDefault="00A776EE" w:rsidP="00A776EE">
      <w:pPr>
        <w:pStyle w:val="Imprint"/>
        <w:tabs>
          <w:tab w:val="left" w:pos="993"/>
          <w:tab w:val="left" w:pos="3402"/>
        </w:tabs>
        <w:spacing w:before="0" w:after="40"/>
        <w:rPr>
          <w:rFonts w:ascii="Trebuchet MS" w:hAnsi="Trebuchet MS"/>
        </w:rPr>
      </w:pPr>
      <w:r w:rsidRPr="006C3B7B">
        <w:rPr>
          <w:rFonts w:ascii="Trebuchet MS" w:hAnsi="Trebuchet MS"/>
          <w:b/>
        </w:rPr>
        <w:t>Follow us:</w:t>
      </w:r>
      <w:r w:rsidRPr="006C3B7B">
        <w:rPr>
          <w:rFonts w:ascii="Trebuchet MS" w:hAnsi="Trebuchet MS"/>
        </w:rPr>
        <w:t xml:space="preserve"> </w:t>
      </w:r>
      <w:r w:rsidRPr="006C3B7B">
        <w:rPr>
          <w:rFonts w:ascii="Trebuchet MS" w:hAnsi="Trebuchet MS"/>
        </w:rPr>
        <w:tab/>
      </w:r>
    </w:p>
    <w:p w14:paraId="5CF53713" w14:textId="77777777" w:rsidR="006C3B7B" w:rsidRPr="006C3B7B" w:rsidRDefault="006C3B7B" w:rsidP="008C592A">
      <w:pPr>
        <w:pStyle w:val="NoParagraphStyle"/>
        <w:spacing w:line="276" w:lineRule="auto"/>
        <w:rPr>
          <w:rFonts w:ascii="Trebuchet MS" w:hAnsi="Trebuchet MS"/>
          <w:sz w:val="16"/>
          <w:szCs w:val="16"/>
        </w:rPr>
      </w:pPr>
      <w:r w:rsidRPr="006C3B7B">
        <w:rPr>
          <w:rFonts w:ascii="Trebuchet MS" w:hAnsi="Trebuchet MS"/>
          <w:noProof/>
          <w:sz w:val="16"/>
          <w:szCs w:val="16"/>
          <w:lang w:eastAsia="en-AU"/>
        </w:rPr>
        <w:drawing>
          <wp:inline distT="0" distB="0" distL="0" distR="0" wp14:anchorId="464EAB58" wp14:editId="531027D5">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sidRPr="006C3B7B">
        <w:rPr>
          <w:rFonts w:ascii="Trebuchet MS" w:hAnsi="Trebuchet MS"/>
          <w:sz w:val="16"/>
          <w:szCs w:val="16"/>
        </w:rPr>
        <w:t xml:space="preserve">  &lt;</w:t>
      </w:r>
      <w:hyperlink r:id="rId14" w:history="1">
        <w:r w:rsidRPr="006C3B7B">
          <w:rPr>
            <w:rStyle w:val="Hyperlink"/>
            <w:rFonts w:ascii="Trebuchet MS" w:hAnsi="Trebuchet MS"/>
            <w:sz w:val="16"/>
            <w:szCs w:val="16"/>
          </w:rPr>
          <w:t>https://x.com/ncver</w:t>
        </w:r>
      </w:hyperlink>
      <w:r w:rsidRPr="006C3B7B">
        <w:rPr>
          <w:rFonts w:ascii="Trebuchet MS" w:hAnsi="Trebuchet MS"/>
          <w:sz w:val="16"/>
          <w:szCs w:val="16"/>
        </w:rPr>
        <w:t xml:space="preserve">&gt;  </w:t>
      </w:r>
    </w:p>
    <w:p w14:paraId="3595C970" w14:textId="77777777" w:rsidR="007A65EC" w:rsidRPr="006C3B7B" w:rsidRDefault="007A65EC" w:rsidP="007A65EC">
      <w:pPr>
        <w:autoSpaceDE w:val="0"/>
        <w:autoSpaceDN w:val="0"/>
        <w:adjustRightInd w:val="0"/>
        <w:spacing w:before="0" w:after="40" w:line="288" w:lineRule="auto"/>
        <w:textAlignment w:val="center"/>
        <w:rPr>
          <w:rFonts w:ascii="Trebuchet MS" w:hAnsi="Trebuchet MS" w:cs="MinionPro-Regular"/>
          <w:color w:val="000000"/>
          <w:sz w:val="16"/>
          <w:szCs w:val="16"/>
          <w:lang w:val="en-US" w:eastAsia="en-US"/>
        </w:rPr>
      </w:pPr>
      <w:r w:rsidRPr="006C3B7B">
        <w:rPr>
          <w:rFonts w:ascii="Trebuchet MS" w:hAnsi="Trebuchet MS" w:cs="MinionPro-Regular"/>
          <w:noProof/>
          <w:color w:val="000000"/>
          <w:sz w:val="16"/>
          <w:szCs w:val="16"/>
          <w:lang w:val="en-US" w:eastAsia="en-US"/>
        </w:rPr>
        <w:drawing>
          <wp:inline distT="0" distB="0" distL="0" distR="0" wp14:anchorId="1AACBC31" wp14:editId="6FBC50D5">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3B7B">
        <w:rPr>
          <w:rFonts w:ascii="Trebuchet MS" w:hAnsi="Trebuchet MS" w:cs="MinionPro-Regular"/>
          <w:color w:val="000000"/>
          <w:sz w:val="16"/>
          <w:szCs w:val="16"/>
          <w:lang w:val="en-US" w:eastAsia="en-US"/>
        </w:rPr>
        <w:t xml:space="preserve">  &lt;</w:t>
      </w:r>
      <w:hyperlink r:id="rId16" w:history="1">
        <w:r w:rsidRPr="006C3B7B">
          <w:rPr>
            <w:rFonts w:ascii="Trebuchet MS" w:hAnsi="Trebuchet MS" w:cs="MinionPro-Regular"/>
            <w:sz w:val="16"/>
            <w:szCs w:val="16"/>
            <w:lang w:val="en-US" w:eastAsia="en-US"/>
          </w:rPr>
          <w:t>https://www.linkedin.com/company/ncver</w:t>
        </w:r>
      </w:hyperlink>
      <w:r w:rsidRPr="006C3B7B">
        <w:rPr>
          <w:rFonts w:ascii="Trebuchet MS" w:hAnsi="Trebuchet MS" w:cs="MinionPro-Regular"/>
          <w:color w:val="000000"/>
          <w:sz w:val="16"/>
          <w:szCs w:val="16"/>
          <w:lang w:val="en-US" w:eastAsia="en-US"/>
        </w:rPr>
        <w:t>&gt;</w:t>
      </w:r>
      <w:r w:rsidRPr="006C3B7B">
        <w:rPr>
          <w:rFonts w:ascii="Trebuchet MS" w:hAnsi="Trebuchet MS" w:cs="MinionPro-Regular"/>
          <w:color w:val="000000"/>
          <w:sz w:val="16"/>
          <w:szCs w:val="16"/>
          <w:lang w:val="en-US" w:eastAsia="en-US"/>
        </w:rPr>
        <w:br/>
      </w:r>
      <w:r w:rsidRPr="006C3B7B">
        <w:rPr>
          <w:rFonts w:ascii="Trebuchet MS" w:hAnsi="Trebuchet MS" w:cs="MinionPro-Regular"/>
          <w:noProof/>
          <w:color w:val="000000"/>
          <w:sz w:val="16"/>
          <w:szCs w:val="16"/>
          <w:lang w:val="en-US" w:eastAsia="en-US"/>
        </w:rPr>
        <w:drawing>
          <wp:inline distT="0" distB="0" distL="0" distR="0" wp14:anchorId="2675DB97" wp14:editId="1275EC07">
            <wp:extent cx="133200" cy="126000"/>
            <wp:effectExtent l="0" t="0" r="635" b="762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200" cy="126000"/>
                    </a:xfrm>
                    <a:prstGeom prst="rect">
                      <a:avLst/>
                    </a:prstGeom>
                    <a:noFill/>
                    <a:ln>
                      <a:noFill/>
                    </a:ln>
                  </pic:spPr>
                </pic:pic>
              </a:graphicData>
            </a:graphic>
          </wp:inline>
        </w:drawing>
      </w:r>
      <w:r w:rsidRPr="006C3B7B">
        <w:rPr>
          <w:rFonts w:ascii="Trebuchet MS" w:hAnsi="Trebuchet MS" w:cs="MinionPro-Regular"/>
          <w:color w:val="000000"/>
          <w:sz w:val="16"/>
          <w:szCs w:val="16"/>
          <w:lang w:val="en-US" w:eastAsia="en-US"/>
        </w:rPr>
        <w:t xml:space="preserve">  &lt;</w:t>
      </w:r>
      <w:r w:rsidRPr="006C3B7B">
        <w:rPr>
          <w:rFonts w:ascii="Trebuchet MS" w:hAnsi="Trebuchet MS" w:cs="MinionPro-Regular"/>
          <w:sz w:val="16"/>
          <w:szCs w:val="16"/>
          <w:lang w:val="en-US" w:eastAsia="en-US"/>
        </w:rPr>
        <w:t>https://www.facebook.com/ncver.au&gt;</w:t>
      </w:r>
    </w:p>
    <w:p w14:paraId="76BD9049" w14:textId="77777777" w:rsidR="00435234" w:rsidRPr="00B36BE7" w:rsidRDefault="00435234" w:rsidP="00A969AC">
      <w:pPr>
        <w:pStyle w:val="Heading1"/>
        <w:ind w:firstLine="0"/>
        <w:rPr>
          <w:szCs w:val="56"/>
        </w:rPr>
      </w:pPr>
      <w:bookmarkStart w:id="0" w:name="_Toc98394880"/>
      <w:bookmarkStart w:id="1" w:name="_Toc296423683"/>
      <w:bookmarkStart w:id="2" w:name="_Toc296497514"/>
      <w:bookmarkStart w:id="3" w:name="_Toc15641030"/>
      <w:bookmarkStart w:id="4" w:name="_Toc15641687"/>
      <w:r w:rsidRPr="00B36BE7">
        <w:rPr>
          <w:szCs w:val="56"/>
        </w:rPr>
        <w:lastRenderedPageBreak/>
        <w:t>Contents</w:t>
      </w:r>
      <w:bookmarkEnd w:id="0"/>
      <w:bookmarkEnd w:id="1"/>
      <w:bookmarkEnd w:id="2"/>
      <w:bookmarkEnd w:id="3"/>
      <w:bookmarkEnd w:id="4"/>
    </w:p>
    <w:p w14:paraId="6155278B" w14:textId="77777777" w:rsidR="008640AF" w:rsidRPr="00435234" w:rsidRDefault="008640AF" w:rsidP="00A969AC">
      <w:pPr>
        <w:pStyle w:val="Text"/>
        <w:ind w:left="0"/>
      </w:pPr>
    </w:p>
    <w:p w14:paraId="1ADAF669" w14:textId="78167D49" w:rsidR="008640AF" w:rsidRPr="00B36BE7" w:rsidRDefault="00435234" w:rsidP="00A969AC">
      <w:pPr>
        <w:pStyle w:val="TOC1"/>
        <w:tabs>
          <w:tab w:val="clear" w:pos="8222"/>
          <w:tab w:val="right" w:pos="10348"/>
        </w:tabs>
        <w:spacing w:line="300" w:lineRule="exact"/>
        <w:ind w:left="0"/>
        <w:rPr>
          <w:rFonts w:ascii="Trebuchet MS" w:eastAsiaTheme="minorEastAsia" w:hAnsi="Trebuchet MS" w:cs="Arial"/>
          <w:noProof/>
          <w:sz w:val="19"/>
          <w:szCs w:val="19"/>
        </w:rPr>
      </w:pPr>
      <w:r w:rsidRPr="00B36BE7">
        <w:rPr>
          <w:rFonts w:ascii="Trebuchet MS" w:hAnsi="Trebuchet MS" w:cs="Arial"/>
          <w:noProof/>
          <w:color w:val="000000"/>
          <w:sz w:val="19"/>
          <w:szCs w:val="19"/>
        </w:rPr>
        <w:fldChar w:fldCharType="begin"/>
      </w:r>
      <w:r w:rsidRPr="00B36BE7">
        <w:rPr>
          <w:rFonts w:ascii="Trebuchet MS" w:hAnsi="Trebuchet MS" w:cs="Arial"/>
          <w:sz w:val="19"/>
          <w:szCs w:val="19"/>
        </w:rPr>
        <w:instrText xml:space="preserve"> TOC \o "1-2" </w:instrText>
      </w:r>
      <w:r w:rsidRPr="00B36BE7">
        <w:rPr>
          <w:rFonts w:ascii="Trebuchet MS" w:hAnsi="Trebuchet MS" w:cs="Arial"/>
          <w:noProof/>
          <w:color w:val="000000"/>
          <w:sz w:val="19"/>
          <w:szCs w:val="19"/>
        </w:rPr>
        <w:fldChar w:fldCharType="separate"/>
      </w:r>
      <w:r w:rsidR="008640AF" w:rsidRPr="00B36BE7">
        <w:rPr>
          <w:rFonts w:ascii="Trebuchet MS" w:hAnsi="Trebuchet MS" w:cs="Arial"/>
          <w:noProof/>
          <w:color w:val="000000"/>
          <w:sz w:val="19"/>
          <w:szCs w:val="19"/>
          <w:lang w:eastAsia="en-US"/>
        </w:rPr>
        <w:t>A</w:t>
      </w:r>
      <w:r w:rsidR="00C840E5" w:rsidRPr="00B36BE7">
        <w:rPr>
          <w:rFonts w:ascii="Trebuchet MS" w:hAnsi="Trebuchet MS" w:cs="Arial"/>
          <w:noProof/>
          <w:color w:val="000000"/>
          <w:sz w:val="19"/>
          <w:szCs w:val="19"/>
          <w:lang w:eastAsia="en-US"/>
        </w:rPr>
        <w:t>sset a</w:t>
      </w:r>
      <w:r w:rsidR="008640AF" w:rsidRPr="00B36BE7">
        <w:rPr>
          <w:rFonts w:ascii="Trebuchet MS" w:hAnsi="Trebuchet MS" w:cs="Arial"/>
          <w:noProof/>
          <w:color w:val="000000"/>
          <w:sz w:val="19"/>
          <w:szCs w:val="19"/>
          <w:lang w:eastAsia="en-US"/>
        </w:rPr>
        <w:t>ccounting policies – states and territories</w:t>
      </w:r>
      <w:r w:rsidR="00275784" w:rsidRPr="00B36BE7">
        <w:rPr>
          <w:rFonts w:ascii="Trebuchet MS" w:hAnsi="Trebuchet MS" w:cs="Arial"/>
          <w:noProof/>
          <w:color w:val="000000"/>
          <w:sz w:val="19"/>
          <w:szCs w:val="19"/>
          <w:lang w:eastAsia="en-US"/>
        </w:rPr>
        <w:tab/>
      </w:r>
      <w:r w:rsidR="00574288" w:rsidRPr="00B36BE7">
        <w:rPr>
          <w:rFonts w:ascii="Trebuchet MS" w:hAnsi="Trebuchet MS" w:cs="Arial"/>
          <w:noProof/>
          <w:color w:val="000000"/>
          <w:sz w:val="19"/>
          <w:szCs w:val="19"/>
          <w:lang w:eastAsia="en-US"/>
        </w:rPr>
        <w:t xml:space="preserve">  </w:t>
      </w:r>
      <w:r w:rsidR="00574288" w:rsidRPr="00B36BE7">
        <w:rPr>
          <w:rFonts w:ascii="Trebuchet MS" w:hAnsi="Trebuchet MS" w:cs="Arial"/>
          <w:noProof/>
          <w:sz w:val="19"/>
          <w:szCs w:val="19"/>
        </w:rPr>
        <w:t xml:space="preserve">  </w:t>
      </w:r>
      <w:r w:rsidR="008640AF" w:rsidRPr="00B36BE7">
        <w:rPr>
          <w:rFonts w:ascii="Trebuchet MS" w:hAnsi="Trebuchet MS" w:cs="Arial"/>
          <w:noProof/>
          <w:sz w:val="19"/>
          <w:szCs w:val="19"/>
        </w:rPr>
        <w:fldChar w:fldCharType="begin"/>
      </w:r>
      <w:r w:rsidR="008640AF" w:rsidRPr="00B36BE7">
        <w:rPr>
          <w:rFonts w:ascii="Trebuchet MS" w:hAnsi="Trebuchet MS" w:cs="Arial"/>
          <w:noProof/>
          <w:sz w:val="19"/>
          <w:szCs w:val="19"/>
        </w:rPr>
        <w:instrText xml:space="preserve"> PAGEREF _Toc15641688 \h </w:instrText>
      </w:r>
      <w:r w:rsidR="008640AF" w:rsidRPr="00B36BE7">
        <w:rPr>
          <w:rFonts w:ascii="Trebuchet MS" w:hAnsi="Trebuchet MS" w:cs="Arial"/>
          <w:noProof/>
          <w:sz w:val="19"/>
          <w:szCs w:val="19"/>
        </w:rPr>
      </w:r>
      <w:r w:rsidR="008640AF" w:rsidRPr="00B36BE7">
        <w:rPr>
          <w:rFonts w:ascii="Trebuchet MS" w:hAnsi="Trebuchet MS" w:cs="Arial"/>
          <w:noProof/>
          <w:sz w:val="19"/>
          <w:szCs w:val="19"/>
        </w:rPr>
        <w:fldChar w:fldCharType="separate"/>
      </w:r>
      <w:r w:rsidR="00014F2A">
        <w:rPr>
          <w:rFonts w:ascii="Trebuchet MS" w:hAnsi="Trebuchet MS" w:cs="Arial"/>
          <w:noProof/>
          <w:sz w:val="19"/>
          <w:szCs w:val="19"/>
        </w:rPr>
        <w:t>4</w:t>
      </w:r>
      <w:r w:rsidR="008640AF" w:rsidRPr="00B36BE7">
        <w:rPr>
          <w:rFonts w:ascii="Trebuchet MS" w:hAnsi="Trebuchet MS" w:cs="Arial"/>
          <w:noProof/>
          <w:sz w:val="19"/>
          <w:szCs w:val="19"/>
        </w:rPr>
        <w:fldChar w:fldCharType="end"/>
      </w:r>
    </w:p>
    <w:p w14:paraId="5D2BD7BC" w14:textId="25245A22" w:rsidR="008640AF" w:rsidRPr="00B36BE7" w:rsidRDefault="008640AF" w:rsidP="00A969AC">
      <w:pPr>
        <w:pStyle w:val="TOC1"/>
        <w:tabs>
          <w:tab w:val="clear" w:pos="8222"/>
          <w:tab w:val="right" w:pos="10348"/>
        </w:tabs>
        <w:spacing w:line="300" w:lineRule="exact"/>
        <w:ind w:left="0"/>
        <w:rPr>
          <w:rFonts w:ascii="Trebuchet MS" w:eastAsiaTheme="minorEastAsia" w:hAnsi="Trebuchet MS" w:cs="Arial"/>
          <w:noProof/>
          <w:sz w:val="19"/>
          <w:szCs w:val="19"/>
        </w:rPr>
      </w:pPr>
      <w:r w:rsidRPr="00B36BE7">
        <w:rPr>
          <w:rFonts w:ascii="Trebuchet MS" w:hAnsi="Trebuchet MS" w:cs="Arial"/>
          <w:noProof/>
          <w:sz w:val="19"/>
          <w:szCs w:val="19"/>
          <w:lang w:eastAsia="en-US"/>
        </w:rPr>
        <w:t>Non-current physical asset valuations</w:t>
      </w:r>
      <w:r w:rsidR="00275784" w:rsidRPr="00B36BE7">
        <w:rPr>
          <w:rFonts w:ascii="Trebuchet MS" w:hAnsi="Trebuchet MS" w:cs="Arial"/>
          <w:noProof/>
          <w:sz w:val="19"/>
          <w:szCs w:val="19"/>
          <w:lang w:eastAsia="en-US"/>
        </w:rPr>
        <w:tab/>
      </w:r>
      <w:r w:rsidR="00574288" w:rsidRPr="00B36BE7">
        <w:rPr>
          <w:rFonts w:ascii="Trebuchet MS" w:hAnsi="Trebuchet MS" w:cs="Arial"/>
          <w:noProof/>
          <w:sz w:val="19"/>
          <w:szCs w:val="19"/>
        </w:rPr>
        <w:t xml:space="preserve">  </w:t>
      </w:r>
      <w:r w:rsidRPr="00B36BE7">
        <w:rPr>
          <w:rFonts w:ascii="Trebuchet MS" w:hAnsi="Trebuchet MS" w:cs="Arial"/>
          <w:noProof/>
          <w:sz w:val="19"/>
          <w:szCs w:val="19"/>
        </w:rPr>
        <w:fldChar w:fldCharType="begin"/>
      </w:r>
      <w:r w:rsidRPr="00B36BE7">
        <w:rPr>
          <w:rFonts w:ascii="Trebuchet MS" w:hAnsi="Trebuchet MS" w:cs="Arial"/>
          <w:noProof/>
          <w:sz w:val="19"/>
          <w:szCs w:val="19"/>
        </w:rPr>
        <w:instrText xml:space="preserve"> PAGEREF _Toc15641689 \h </w:instrText>
      </w:r>
      <w:r w:rsidRPr="00B36BE7">
        <w:rPr>
          <w:rFonts w:ascii="Trebuchet MS" w:hAnsi="Trebuchet MS" w:cs="Arial"/>
          <w:noProof/>
          <w:sz w:val="19"/>
          <w:szCs w:val="19"/>
        </w:rPr>
      </w:r>
      <w:r w:rsidRPr="00B36BE7">
        <w:rPr>
          <w:rFonts w:ascii="Trebuchet MS" w:hAnsi="Trebuchet MS" w:cs="Arial"/>
          <w:noProof/>
          <w:sz w:val="19"/>
          <w:szCs w:val="19"/>
        </w:rPr>
        <w:fldChar w:fldCharType="separate"/>
      </w:r>
      <w:r w:rsidR="00014F2A">
        <w:rPr>
          <w:rFonts w:ascii="Trebuchet MS" w:hAnsi="Trebuchet MS" w:cs="Arial"/>
          <w:noProof/>
          <w:sz w:val="19"/>
          <w:szCs w:val="19"/>
        </w:rPr>
        <w:t>4</w:t>
      </w:r>
      <w:r w:rsidRPr="00B36BE7">
        <w:rPr>
          <w:rFonts w:ascii="Trebuchet MS" w:hAnsi="Trebuchet MS" w:cs="Arial"/>
          <w:noProof/>
          <w:sz w:val="19"/>
          <w:szCs w:val="19"/>
        </w:rPr>
        <w:fldChar w:fldCharType="end"/>
      </w:r>
    </w:p>
    <w:p w14:paraId="76002CF9" w14:textId="3F53EB0D" w:rsidR="008640AF" w:rsidRPr="00B36BE7" w:rsidRDefault="008640AF" w:rsidP="004D2A1D">
      <w:pPr>
        <w:pStyle w:val="TOC2"/>
        <w:tabs>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New South Wales</w:t>
      </w:r>
      <w:r w:rsidRPr="00B36BE7">
        <w:rPr>
          <w:rFonts w:ascii="Trebuchet MS" w:hAnsi="Trebuchet MS" w:cs="Arial"/>
          <w:noProof/>
          <w:sz w:val="18"/>
          <w:szCs w:val="18"/>
        </w:rPr>
        <w:tab/>
      </w:r>
      <w:r w:rsidR="00574288"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_Toc15641690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4</w:t>
      </w:r>
      <w:r w:rsidRPr="00B36BE7">
        <w:rPr>
          <w:rFonts w:ascii="Trebuchet MS" w:hAnsi="Trebuchet MS" w:cs="Arial"/>
          <w:noProof/>
          <w:sz w:val="18"/>
          <w:szCs w:val="18"/>
        </w:rPr>
        <w:fldChar w:fldCharType="end"/>
      </w:r>
    </w:p>
    <w:p w14:paraId="7FCA38F3" w14:textId="25B9B324" w:rsidR="008640AF" w:rsidRPr="00B36BE7" w:rsidRDefault="008640AF" w:rsidP="004D2A1D">
      <w:pPr>
        <w:pStyle w:val="TOC2"/>
        <w:tabs>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Victoria</w:t>
      </w:r>
      <w:r w:rsidR="00275784" w:rsidRPr="00B36BE7">
        <w:rPr>
          <w:rFonts w:ascii="Trebuchet MS" w:hAnsi="Trebuchet MS" w:cs="Arial"/>
          <w:noProof/>
          <w:sz w:val="18"/>
          <w:szCs w:val="18"/>
        </w:rPr>
        <w:tab/>
      </w:r>
      <w:r w:rsidR="00574288"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_Toc15641691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4</w:t>
      </w:r>
      <w:r w:rsidRPr="00B36BE7">
        <w:rPr>
          <w:rFonts w:ascii="Trebuchet MS" w:hAnsi="Trebuchet MS" w:cs="Arial"/>
          <w:noProof/>
          <w:sz w:val="18"/>
          <w:szCs w:val="18"/>
        </w:rPr>
        <w:fldChar w:fldCharType="end"/>
      </w:r>
    </w:p>
    <w:p w14:paraId="0BF7C315" w14:textId="662AD164" w:rsidR="008640AF" w:rsidRPr="00B36BE7" w:rsidRDefault="008640AF" w:rsidP="004D2A1D">
      <w:pPr>
        <w:pStyle w:val="TOC2"/>
        <w:tabs>
          <w:tab w:val="clear" w:pos="709"/>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Queensland</w:t>
      </w:r>
      <w:r w:rsidRPr="00B36BE7">
        <w:rPr>
          <w:rFonts w:ascii="Trebuchet MS" w:hAnsi="Trebuchet MS" w:cs="Arial"/>
          <w:noProof/>
          <w:sz w:val="18"/>
          <w:szCs w:val="18"/>
        </w:rPr>
        <w:tab/>
      </w:r>
      <w:r w:rsidR="00574288"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_Toc15641692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6</w:t>
      </w:r>
      <w:r w:rsidRPr="00B36BE7">
        <w:rPr>
          <w:rFonts w:ascii="Trebuchet MS" w:hAnsi="Trebuchet MS" w:cs="Arial"/>
          <w:noProof/>
          <w:sz w:val="18"/>
          <w:szCs w:val="18"/>
        </w:rPr>
        <w:fldChar w:fldCharType="end"/>
      </w:r>
    </w:p>
    <w:p w14:paraId="3B03B965" w14:textId="5E6B1A68" w:rsidR="008640AF" w:rsidRPr="00B36BE7" w:rsidRDefault="008640AF" w:rsidP="004D2A1D">
      <w:pPr>
        <w:pStyle w:val="TOC2"/>
        <w:tabs>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Western Australia</w:t>
      </w:r>
      <w:r w:rsidRPr="00B36BE7">
        <w:rPr>
          <w:rFonts w:ascii="Trebuchet MS" w:hAnsi="Trebuchet MS" w:cs="Arial"/>
          <w:noProof/>
          <w:sz w:val="18"/>
          <w:szCs w:val="18"/>
        </w:rPr>
        <w:tab/>
      </w:r>
      <w:r w:rsidR="00574288"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_Toc15641693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6</w:t>
      </w:r>
      <w:r w:rsidRPr="00B36BE7">
        <w:rPr>
          <w:rFonts w:ascii="Trebuchet MS" w:hAnsi="Trebuchet MS" w:cs="Arial"/>
          <w:noProof/>
          <w:sz w:val="18"/>
          <w:szCs w:val="18"/>
        </w:rPr>
        <w:fldChar w:fldCharType="end"/>
      </w:r>
    </w:p>
    <w:p w14:paraId="18EC3D72" w14:textId="46C9679B" w:rsidR="008640AF" w:rsidRPr="00B36BE7" w:rsidRDefault="008640AF" w:rsidP="004D2A1D">
      <w:pPr>
        <w:pStyle w:val="TOC2"/>
        <w:tabs>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South Australia</w:t>
      </w:r>
      <w:r w:rsidRPr="00B36BE7">
        <w:rPr>
          <w:rFonts w:ascii="Trebuchet MS" w:hAnsi="Trebuchet MS" w:cs="Arial"/>
          <w:noProof/>
          <w:sz w:val="18"/>
          <w:szCs w:val="18"/>
        </w:rPr>
        <w:tab/>
      </w:r>
      <w:r w:rsidR="00574288"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_Toc15641694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7</w:t>
      </w:r>
      <w:r w:rsidRPr="00B36BE7">
        <w:rPr>
          <w:rFonts w:ascii="Trebuchet MS" w:hAnsi="Trebuchet MS" w:cs="Arial"/>
          <w:noProof/>
          <w:sz w:val="18"/>
          <w:szCs w:val="18"/>
        </w:rPr>
        <w:fldChar w:fldCharType="end"/>
      </w:r>
    </w:p>
    <w:p w14:paraId="39FE0B84" w14:textId="71F65398" w:rsidR="008640AF" w:rsidRPr="00B36BE7" w:rsidRDefault="008640AF" w:rsidP="004D2A1D">
      <w:pPr>
        <w:pStyle w:val="TOC2"/>
        <w:tabs>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Tasmania</w:t>
      </w:r>
      <w:r w:rsidRPr="00B36BE7">
        <w:rPr>
          <w:rFonts w:ascii="Trebuchet MS" w:hAnsi="Trebuchet MS" w:cs="Arial"/>
          <w:noProof/>
          <w:sz w:val="18"/>
          <w:szCs w:val="18"/>
        </w:rPr>
        <w:tab/>
      </w:r>
      <w:r w:rsidR="00574288"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_Toc15641695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7</w:t>
      </w:r>
      <w:r w:rsidRPr="00B36BE7">
        <w:rPr>
          <w:rFonts w:ascii="Trebuchet MS" w:hAnsi="Trebuchet MS" w:cs="Arial"/>
          <w:noProof/>
          <w:sz w:val="18"/>
          <w:szCs w:val="18"/>
        </w:rPr>
        <w:fldChar w:fldCharType="end"/>
      </w:r>
    </w:p>
    <w:p w14:paraId="620C9D45" w14:textId="05552506" w:rsidR="008640AF" w:rsidRPr="00B36BE7" w:rsidRDefault="008640AF" w:rsidP="004D2A1D">
      <w:pPr>
        <w:pStyle w:val="TOC2"/>
        <w:tabs>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Northern Territory</w:t>
      </w:r>
      <w:r w:rsidRPr="00B36BE7">
        <w:rPr>
          <w:rFonts w:ascii="Trebuchet MS" w:hAnsi="Trebuchet MS" w:cs="Arial"/>
          <w:noProof/>
          <w:sz w:val="18"/>
          <w:szCs w:val="18"/>
        </w:rPr>
        <w:tab/>
      </w:r>
      <w:r w:rsidR="00574288"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_Toc15641696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8</w:t>
      </w:r>
      <w:r w:rsidRPr="00B36BE7">
        <w:rPr>
          <w:rFonts w:ascii="Trebuchet MS" w:hAnsi="Trebuchet MS" w:cs="Arial"/>
          <w:noProof/>
          <w:sz w:val="18"/>
          <w:szCs w:val="18"/>
        </w:rPr>
        <w:fldChar w:fldCharType="end"/>
      </w:r>
    </w:p>
    <w:p w14:paraId="18FA4380" w14:textId="1D56256B" w:rsidR="008640AF" w:rsidRPr="00B36BE7" w:rsidRDefault="008640AF" w:rsidP="004D2A1D">
      <w:pPr>
        <w:pStyle w:val="TOC2"/>
        <w:tabs>
          <w:tab w:val="clear" w:pos="8222"/>
          <w:tab w:val="right" w:pos="10348"/>
        </w:tabs>
        <w:spacing w:line="300" w:lineRule="exact"/>
        <w:ind w:left="284"/>
        <w:rPr>
          <w:rFonts w:ascii="Trebuchet MS" w:eastAsiaTheme="minorEastAsia" w:hAnsi="Trebuchet MS" w:cs="Arial"/>
          <w:noProof/>
          <w:sz w:val="18"/>
          <w:szCs w:val="18"/>
        </w:rPr>
      </w:pPr>
      <w:r w:rsidRPr="00B36BE7">
        <w:rPr>
          <w:rFonts w:ascii="Trebuchet MS" w:hAnsi="Trebuchet MS" w:cs="Arial"/>
          <w:noProof/>
          <w:sz w:val="18"/>
          <w:szCs w:val="18"/>
          <w:lang w:eastAsia="en-US"/>
        </w:rPr>
        <w:t>Australian Capital Territory</w:t>
      </w:r>
      <w:r w:rsidRPr="00B36BE7">
        <w:rPr>
          <w:rFonts w:ascii="Trebuchet MS" w:hAnsi="Trebuchet MS" w:cs="Arial"/>
          <w:noProof/>
          <w:sz w:val="18"/>
          <w:szCs w:val="18"/>
        </w:rPr>
        <w:tab/>
      </w:r>
      <w:r w:rsidR="00D01219" w:rsidRPr="00B36BE7">
        <w:rPr>
          <w:rFonts w:ascii="Trebuchet MS" w:hAnsi="Trebuchet MS" w:cs="Arial"/>
          <w:noProof/>
          <w:sz w:val="18"/>
          <w:szCs w:val="18"/>
        </w:rPr>
        <w:t xml:space="preserve">  </w:t>
      </w:r>
      <w:r w:rsidRPr="00B36BE7">
        <w:rPr>
          <w:rFonts w:ascii="Trebuchet MS" w:hAnsi="Trebuchet MS" w:cs="Arial"/>
          <w:noProof/>
          <w:sz w:val="18"/>
          <w:szCs w:val="18"/>
        </w:rPr>
        <w:fldChar w:fldCharType="begin"/>
      </w:r>
      <w:r w:rsidRPr="00B36BE7">
        <w:rPr>
          <w:rFonts w:ascii="Trebuchet MS" w:hAnsi="Trebuchet MS" w:cs="Arial"/>
          <w:noProof/>
          <w:sz w:val="18"/>
          <w:szCs w:val="18"/>
        </w:rPr>
        <w:instrText xml:space="preserve"> PAGEREF _Toc15641697 \h </w:instrText>
      </w:r>
      <w:r w:rsidRPr="00B36BE7">
        <w:rPr>
          <w:rFonts w:ascii="Trebuchet MS" w:hAnsi="Trebuchet MS" w:cs="Arial"/>
          <w:noProof/>
          <w:sz w:val="18"/>
          <w:szCs w:val="18"/>
        </w:rPr>
      </w:r>
      <w:r w:rsidRPr="00B36BE7">
        <w:rPr>
          <w:rFonts w:ascii="Trebuchet MS" w:hAnsi="Trebuchet MS" w:cs="Arial"/>
          <w:noProof/>
          <w:sz w:val="18"/>
          <w:szCs w:val="18"/>
        </w:rPr>
        <w:fldChar w:fldCharType="separate"/>
      </w:r>
      <w:r w:rsidR="00014F2A">
        <w:rPr>
          <w:rFonts w:ascii="Trebuchet MS" w:hAnsi="Trebuchet MS" w:cs="Arial"/>
          <w:noProof/>
          <w:sz w:val="18"/>
          <w:szCs w:val="18"/>
        </w:rPr>
        <w:t>8</w:t>
      </w:r>
      <w:r w:rsidRPr="00B36BE7">
        <w:rPr>
          <w:rFonts w:ascii="Trebuchet MS" w:hAnsi="Trebuchet MS" w:cs="Arial"/>
          <w:noProof/>
          <w:sz w:val="18"/>
          <w:szCs w:val="18"/>
        </w:rPr>
        <w:fldChar w:fldCharType="end"/>
      </w:r>
    </w:p>
    <w:p w14:paraId="53FC3A66" w14:textId="7740CBA9" w:rsidR="008640AF" w:rsidRPr="00B36BE7" w:rsidRDefault="008640AF" w:rsidP="00A969AC">
      <w:pPr>
        <w:pStyle w:val="TOC1"/>
        <w:tabs>
          <w:tab w:val="clear" w:pos="8222"/>
          <w:tab w:val="right" w:pos="10348"/>
        </w:tabs>
        <w:spacing w:line="300" w:lineRule="exact"/>
        <w:ind w:left="0"/>
        <w:rPr>
          <w:rFonts w:ascii="Trebuchet MS" w:hAnsi="Trebuchet MS" w:cs="Arial"/>
          <w:noProof/>
          <w:sz w:val="19"/>
          <w:szCs w:val="19"/>
          <w:lang w:eastAsia="en-US"/>
        </w:rPr>
      </w:pPr>
      <w:r w:rsidRPr="00B36BE7">
        <w:rPr>
          <w:rFonts w:ascii="Trebuchet MS" w:hAnsi="Trebuchet MS" w:cs="Arial"/>
          <w:noProof/>
          <w:sz w:val="19"/>
          <w:szCs w:val="19"/>
          <w:lang w:eastAsia="en-US"/>
        </w:rPr>
        <w:t>Current depreciation methods for non-current physical assets</w:t>
      </w:r>
      <w:r w:rsidR="00275784" w:rsidRPr="00B36BE7">
        <w:rPr>
          <w:rFonts w:ascii="Trebuchet MS" w:hAnsi="Trebuchet MS" w:cs="Arial"/>
          <w:noProof/>
          <w:sz w:val="19"/>
          <w:szCs w:val="19"/>
          <w:lang w:eastAsia="en-US"/>
        </w:rPr>
        <w:tab/>
      </w:r>
      <w:r w:rsidR="003A146D" w:rsidRPr="00B36BE7">
        <w:rPr>
          <w:rFonts w:ascii="Trebuchet MS" w:hAnsi="Trebuchet MS" w:cs="Arial"/>
          <w:noProof/>
          <w:sz w:val="19"/>
          <w:szCs w:val="19"/>
          <w:lang w:eastAsia="en-US"/>
        </w:rPr>
        <w:t xml:space="preserve">  </w:t>
      </w:r>
      <w:r w:rsidRPr="00B36BE7">
        <w:rPr>
          <w:rFonts w:ascii="Trebuchet MS" w:hAnsi="Trebuchet MS" w:cs="Arial"/>
          <w:noProof/>
          <w:sz w:val="19"/>
          <w:szCs w:val="19"/>
          <w:lang w:eastAsia="en-US"/>
        </w:rPr>
        <w:fldChar w:fldCharType="begin"/>
      </w:r>
      <w:r w:rsidRPr="00B36BE7">
        <w:rPr>
          <w:rFonts w:ascii="Trebuchet MS" w:hAnsi="Trebuchet MS" w:cs="Arial"/>
          <w:noProof/>
          <w:sz w:val="19"/>
          <w:szCs w:val="19"/>
          <w:lang w:eastAsia="en-US"/>
        </w:rPr>
        <w:instrText xml:space="preserve"> PAGEREF _Toc15641698 \h </w:instrText>
      </w:r>
      <w:r w:rsidRPr="00B36BE7">
        <w:rPr>
          <w:rFonts w:ascii="Trebuchet MS" w:hAnsi="Trebuchet MS" w:cs="Arial"/>
          <w:noProof/>
          <w:sz w:val="19"/>
          <w:szCs w:val="19"/>
          <w:lang w:eastAsia="en-US"/>
        </w:rPr>
      </w:r>
      <w:r w:rsidRPr="00B36BE7">
        <w:rPr>
          <w:rFonts w:ascii="Trebuchet MS" w:hAnsi="Trebuchet MS" w:cs="Arial"/>
          <w:noProof/>
          <w:sz w:val="19"/>
          <w:szCs w:val="19"/>
          <w:lang w:eastAsia="en-US"/>
        </w:rPr>
        <w:fldChar w:fldCharType="separate"/>
      </w:r>
      <w:r w:rsidR="00014F2A">
        <w:rPr>
          <w:rFonts w:ascii="Trebuchet MS" w:hAnsi="Trebuchet MS" w:cs="Arial"/>
          <w:noProof/>
          <w:sz w:val="19"/>
          <w:szCs w:val="19"/>
          <w:lang w:eastAsia="en-US"/>
        </w:rPr>
        <w:t>9</w:t>
      </w:r>
      <w:r w:rsidRPr="00B36BE7">
        <w:rPr>
          <w:rFonts w:ascii="Trebuchet MS" w:hAnsi="Trebuchet MS" w:cs="Arial"/>
          <w:noProof/>
          <w:sz w:val="19"/>
          <w:szCs w:val="19"/>
          <w:lang w:eastAsia="en-US"/>
        </w:rPr>
        <w:fldChar w:fldCharType="end"/>
      </w:r>
    </w:p>
    <w:p w14:paraId="0E593E0A" w14:textId="16A457F3"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New South Wales</w:t>
      </w:r>
      <w:r w:rsidRPr="00B36BE7">
        <w:rPr>
          <w:rFonts w:ascii="Trebuchet MS" w:hAnsi="Trebuchet MS" w:cs="Arial"/>
          <w:noProof/>
          <w:sz w:val="18"/>
          <w:szCs w:val="18"/>
          <w:lang w:eastAsia="en-US"/>
        </w:rPr>
        <w:tab/>
      </w:r>
      <w:r w:rsidR="003A146D" w:rsidRPr="00B36BE7">
        <w:rPr>
          <w:rFonts w:ascii="Trebuchet MS" w:hAnsi="Trebuchet MS" w:cs="Arial"/>
          <w:noProof/>
          <w:sz w:val="18"/>
          <w:szCs w:val="18"/>
          <w:lang w:eastAsia="en-US"/>
        </w:rPr>
        <w:t xml:space="preserve">  </w:t>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_Toc15641699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9</w:t>
      </w:r>
      <w:r w:rsidRPr="00B36BE7">
        <w:rPr>
          <w:rFonts w:ascii="Trebuchet MS" w:hAnsi="Trebuchet MS" w:cs="Arial"/>
          <w:noProof/>
          <w:sz w:val="18"/>
          <w:szCs w:val="18"/>
          <w:lang w:eastAsia="en-US"/>
        </w:rPr>
        <w:fldChar w:fldCharType="end"/>
      </w:r>
    </w:p>
    <w:p w14:paraId="10ADB717" w14:textId="49B53FBE"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Victoria</w:t>
      </w:r>
      <w:r w:rsidR="009B27E0" w:rsidRPr="00B36BE7">
        <w:rPr>
          <w:rFonts w:ascii="Trebuchet MS" w:hAnsi="Trebuchet MS" w:cs="Arial"/>
          <w:noProof/>
          <w:sz w:val="18"/>
          <w:szCs w:val="18"/>
          <w:lang w:eastAsia="en-US"/>
        </w:rPr>
        <w:tab/>
      </w:r>
      <w:r w:rsidR="003A146D" w:rsidRPr="00B36BE7">
        <w:rPr>
          <w:rFonts w:ascii="Trebuchet MS" w:hAnsi="Trebuchet MS" w:cs="Arial"/>
          <w:noProof/>
          <w:sz w:val="18"/>
          <w:szCs w:val="18"/>
          <w:lang w:eastAsia="en-US"/>
        </w:rPr>
        <w:t xml:space="preserve"> </w:t>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_Toc15641700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9</w:t>
      </w:r>
      <w:r w:rsidRPr="00B36BE7">
        <w:rPr>
          <w:rFonts w:ascii="Trebuchet MS" w:hAnsi="Trebuchet MS" w:cs="Arial"/>
          <w:noProof/>
          <w:sz w:val="18"/>
          <w:szCs w:val="18"/>
          <w:lang w:eastAsia="en-US"/>
        </w:rPr>
        <w:fldChar w:fldCharType="end"/>
      </w:r>
    </w:p>
    <w:p w14:paraId="73559C55" w14:textId="4CAC7FC2"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Queensland</w:t>
      </w:r>
      <w:r w:rsidRPr="00B36BE7">
        <w:rPr>
          <w:rFonts w:ascii="Trebuchet MS" w:hAnsi="Trebuchet MS" w:cs="Arial"/>
          <w:noProof/>
          <w:sz w:val="18"/>
          <w:szCs w:val="18"/>
          <w:lang w:eastAsia="en-US"/>
        </w:rPr>
        <w:tab/>
      </w:r>
      <w:r w:rsidR="003A146D" w:rsidRPr="00B36BE7">
        <w:rPr>
          <w:rFonts w:ascii="Trebuchet MS" w:hAnsi="Trebuchet MS" w:cs="Arial"/>
          <w:noProof/>
          <w:sz w:val="18"/>
          <w:szCs w:val="18"/>
          <w:lang w:eastAsia="en-US"/>
        </w:rPr>
        <w:t xml:space="preserve">  </w:t>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_Toc15641701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9</w:t>
      </w:r>
      <w:r w:rsidRPr="00B36BE7">
        <w:rPr>
          <w:rFonts w:ascii="Trebuchet MS" w:hAnsi="Trebuchet MS" w:cs="Arial"/>
          <w:noProof/>
          <w:sz w:val="18"/>
          <w:szCs w:val="18"/>
          <w:lang w:eastAsia="en-US"/>
        </w:rPr>
        <w:fldChar w:fldCharType="end"/>
      </w:r>
    </w:p>
    <w:p w14:paraId="365B64D0" w14:textId="7ED69BE2"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Western Australia</w:t>
      </w:r>
      <w:r w:rsidR="00574288" w:rsidRPr="00B36BE7">
        <w:rPr>
          <w:rFonts w:ascii="Trebuchet MS" w:hAnsi="Trebuchet MS" w:cs="Arial"/>
          <w:noProof/>
          <w:sz w:val="18"/>
          <w:szCs w:val="18"/>
          <w:lang w:eastAsia="en-US"/>
        </w:rPr>
        <w:tab/>
      </w:r>
      <w:r w:rsidR="003A146D" w:rsidRPr="00B36BE7">
        <w:rPr>
          <w:rFonts w:ascii="Trebuchet MS" w:hAnsi="Trebuchet MS" w:cs="Arial"/>
          <w:noProof/>
          <w:sz w:val="18"/>
          <w:szCs w:val="18"/>
          <w:lang w:eastAsia="en-US"/>
        </w:rPr>
        <w:t xml:space="preserve">  </w:t>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_Toc15641702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9</w:t>
      </w:r>
      <w:r w:rsidRPr="00B36BE7">
        <w:rPr>
          <w:rFonts w:ascii="Trebuchet MS" w:hAnsi="Trebuchet MS" w:cs="Arial"/>
          <w:noProof/>
          <w:sz w:val="18"/>
          <w:szCs w:val="18"/>
          <w:lang w:eastAsia="en-US"/>
        </w:rPr>
        <w:fldChar w:fldCharType="end"/>
      </w:r>
    </w:p>
    <w:p w14:paraId="6B3743D2" w14:textId="18B1E129"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South Australia</w:t>
      </w:r>
      <w:r w:rsidRPr="00B36BE7">
        <w:rPr>
          <w:rFonts w:ascii="Trebuchet MS" w:hAnsi="Trebuchet MS" w:cs="Arial"/>
          <w:noProof/>
          <w:sz w:val="18"/>
          <w:szCs w:val="18"/>
          <w:lang w:eastAsia="en-US"/>
        </w:rPr>
        <w:tab/>
      </w:r>
      <w:r w:rsidR="003A146D" w:rsidRPr="00B36BE7">
        <w:rPr>
          <w:rFonts w:ascii="Trebuchet MS" w:hAnsi="Trebuchet MS" w:cs="Arial"/>
          <w:noProof/>
          <w:sz w:val="18"/>
          <w:szCs w:val="18"/>
          <w:lang w:eastAsia="en-US"/>
        </w:rPr>
        <w:t xml:space="preserve">  </w:t>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_Toc15641703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10</w:t>
      </w:r>
      <w:r w:rsidRPr="00B36BE7">
        <w:rPr>
          <w:rFonts w:ascii="Trebuchet MS" w:hAnsi="Trebuchet MS" w:cs="Arial"/>
          <w:noProof/>
          <w:sz w:val="18"/>
          <w:szCs w:val="18"/>
          <w:lang w:eastAsia="en-US"/>
        </w:rPr>
        <w:fldChar w:fldCharType="end"/>
      </w:r>
    </w:p>
    <w:p w14:paraId="4231BB56" w14:textId="56AFA24E"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Tasmania</w:t>
      </w:r>
      <w:r w:rsidR="00574288"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_Toc15641704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10</w:t>
      </w:r>
      <w:r w:rsidRPr="00B36BE7">
        <w:rPr>
          <w:rFonts w:ascii="Trebuchet MS" w:hAnsi="Trebuchet MS" w:cs="Arial"/>
          <w:noProof/>
          <w:sz w:val="18"/>
          <w:szCs w:val="18"/>
          <w:lang w:eastAsia="en-US"/>
        </w:rPr>
        <w:fldChar w:fldCharType="end"/>
      </w:r>
    </w:p>
    <w:p w14:paraId="08ECA963" w14:textId="3415F4B0"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Northern Territory</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_Toc15641705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10</w:t>
      </w:r>
      <w:r w:rsidRPr="00B36BE7">
        <w:rPr>
          <w:rFonts w:ascii="Trebuchet MS" w:hAnsi="Trebuchet MS" w:cs="Arial"/>
          <w:noProof/>
          <w:sz w:val="18"/>
          <w:szCs w:val="18"/>
          <w:lang w:eastAsia="en-US"/>
        </w:rPr>
        <w:fldChar w:fldCharType="end"/>
      </w:r>
    </w:p>
    <w:p w14:paraId="7A2AF7F4" w14:textId="6F5E02B0"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Australian Capital Territory</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_Toc15641706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11</w:t>
      </w:r>
      <w:r w:rsidRPr="00B36BE7">
        <w:rPr>
          <w:rFonts w:ascii="Trebuchet MS" w:hAnsi="Trebuchet MS" w:cs="Arial"/>
          <w:noProof/>
          <w:sz w:val="18"/>
          <w:szCs w:val="18"/>
          <w:lang w:eastAsia="en-US"/>
        </w:rPr>
        <w:fldChar w:fldCharType="end"/>
      </w:r>
    </w:p>
    <w:p w14:paraId="5D77464C" w14:textId="271D6680" w:rsidR="008640AF" w:rsidRPr="00B36BE7" w:rsidRDefault="008640AF" w:rsidP="00A969AC">
      <w:pPr>
        <w:pStyle w:val="TOC1"/>
        <w:tabs>
          <w:tab w:val="clear" w:pos="8222"/>
          <w:tab w:val="right" w:pos="10348"/>
        </w:tabs>
        <w:spacing w:line="300" w:lineRule="exact"/>
        <w:ind w:left="0"/>
        <w:rPr>
          <w:rFonts w:ascii="Trebuchet MS" w:hAnsi="Trebuchet MS" w:cs="Arial"/>
          <w:noProof/>
          <w:sz w:val="19"/>
          <w:szCs w:val="19"/>
          <w:lang w:eastAsia="en-US"/>
        </w:rPr>
      </w:pPr>
      <w:r w:rsidRPr="00B36BE7">
        <w:rPr>
          <w:rFonts w:ascii="Trebuchet MS" w:hAnsi="Trebuchet MS" w:cs="Arial"/>
          <w:noProof/>
          <w:sz w:val="19"/>
          <w:szCs w:val="19"/>
          <w:lang w:eastAsia="en-US"/>
        </w:rPr>
        <w:t>Current capitalisation threshold for plant and equipment</w:t>
      </w:r>
      <w:r w:rsidRPr="00B36BE7">
        <w:rPr>
          <w:rFonts w:ascii="Trebuchet MS" w:hAnsi="Trebuchet MS" w:cs="Arial"/>
          <w:noProof/>
          <w:sz w:val="19"/>
          <w:szCs w:val="19"/>
          <w:lang w:eastAsia="en-US"/>
        </w:rPr>
        <w:tab/>
      </w:r>
      <w:r w:rsidRPr="00B36BE7">
        <w:rPr>
          <w:rFonts w:ascii="Trebuchet MS" w:hAnsi="Trebuchet MS" w:cs="Arial"/>
          <w:noProof/>
          <w:sz w:val="19"/>
          <w:szCs w:val="19"/>
          <w:lang w:eastAsia="en-US"/>
        </w:rPr>
        <w:fldChar w:fldCharType="begin"/>
      </w:r>
      <w:r w:rsidRPr="00B36BE7">
        <w:rPr>
          <w:rFonts w:ascii="Trebuchet MS" w:hAnsi="Trebuchet MS" w:cs="Arial"/>
          <w:noProof/>
          <w:sz w:val="19"/>
          <w:szCs w:val="19"/>
          <w:lang w:eastAsia="en-US"/>
        </w:rPr>
        <w:instrText xml:space="preserve"> PAGEREF _Toc15641707 \h </w:instrText>
      </w:r>
      <w:r w:rsidRPr="00B36BE7">
        <w:rPr>
          <w:rFonts w:ascii="Trebuchet MS" w:hAnsi="Trebuchet MS" w:cs="Arial"/>
          <w:noProof/>
          <w:sz w:val="19"/>
          <w:szCs w:val="19"/>
          <w:lang w:eastAsia="en-US"/>
        </w:rPr>
      </w:r>
      <w:r w:rsidRPr="00B36BE7">
        <w:rPr>
          <w:rFonts w:ascii="Trebuchet MS" w:hAnsi="Trebuchet MS" w:cs="Arial"/>
          <w:noProof/>
          <w:sz w:val="19"/>
          <w:szCs w:val="19"/>
          <w:lang w:eastAsia="en-US"/>
        </w:rPr>
        <w:fldChar w:fldCharType="separate"/>
      </w:r>
      <w:r w:rsidR="00014F2A">
        <w:rPr>
          <w:rFonts w:ascii="Trebuchet MS" w:hAnsi="Trebuchet MS" w:cs="Arial"/>
          <w:noProof/>
          <w:sz w:val="19"/>
          <w:szCs w:val="19"/>
          <w:lang w:eastAsia="en-US"/>
        </w:rPr>
        <w:t>11</w:t>
      </w:r>
      <w:r w:rsidRPr="00B36BE7">
        <w:rPr>
          <w:rFonts w:ascii="Trebuchet MS" w:hAnsi="Trebuchet MS" w:cs="Arial"/>
          <w:noProof/>
          <w:sz w:val="19"/>
          <w:szCs w:val="19"/>
          <w:lang w:eastAsia="en-US"/>
        </w:rPr>
        <w:fldChar w:fldCharType="end"/>
      </w:r>
    </w:p>
    <w:p w14:paraId="43D0B8C9" w14:textId="36EBEBD8"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New South Wales</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_Toc15641708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11</w:t>
      </w:r>
      <w:r w:rsidRPr="00B36BE7">
        <w:rPr>
          <w:rFonts w:ascii="Trebuchet MS" w:hAnsi="Trebuchet MS" w:cs="Arial"/>
          <w:noProof/>
          <w:sz w:val="18"/>
          <w:szCs w:val="18"/>
          <w:lang w:eastAsia="en-US"/>
        </w:rPr>
        <w:fldChar w:fldCharType="end"/>
      </w:r>
    </w:p>
    <w:p w14:paraId="394DD56E" w14:textId="51822404"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Victoria</w:t>
      </w:r>
      <w:r w:rsidR="00574288"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_Toc15641709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11</w:t>
      </w:r>
      <w:r w:rsidRPr="00B36BE7">
        <w:rPr>
          <w:rFonts w:ascii="Trebuchet MS" w:hAnsi="Trebuchet MS" w:cs="Arial"/>
          <w:noProof/>
          <w:sz w:val="18"/>
          <w:szCs w:val="18"/>
          <w:lang w:eastAsia="en-US"/>
        </w:rPr>
        <w:fldChar w:fldCharType="end"/>
      </w:r>
    </w:p>
    <w:p w14:paraId="7A01B1B4" w14:textId="60D45721"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Queensland</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_Toc15641710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11</w:t>
      </w:r>
      <w:r w:rsidRPr="00B36BE7">
        <w:rPr>
          <w:rFonts w:ascii="Trebuchet MS" w:hAnsi="Trebuchet MS" w:cs="Arial"/>
          <w:noProof/>
          <w:sz w:val="18"/>
          <w:szCs w:val="18"/>
          <w:lang w:eastAsia="en-US"/>
        </w:rPr>
        <w:fldChar w:fldCharType="end"/>
      </w:r>
    </w:p>
    <w:p w14:paraId="2E0B30F1" w14:textId="493FBE9C"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Western Australia</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_Toc15641711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11</w:t>
      </w:r>
      <w:r w:rsidRPr="00B36BE7">
        <w:rPr>
          <w:rFonts w:ascii="Trebuchet MS" w:hAnsi="Trebuchet MS" w:cs="Arial"/>
          <w:noProof/>
          <w:sz w:val="18"/>
          <w:szCs w:val="18"/>
          <w:lang w:eastAsia="en-US"/>
        </w:rPr>
        <w:fldChar w:fldCharType="end"/>
      </w:r>
    </w:p>
    <w:p w14:paraId="7E614C6A" w14:textId="2BDE9746"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South Australia</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_Toc15641712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12</w:t>
      </w:r>
      <w:r w:rsidRPr="00B36BE7">
        <w:rPr>
          <w:rFonts w:ascii="Trebuchet MS" w:hAnsi="Trebuchet MS" w:cs="Arial"/>
          <w:noProof/>
          <w:sz w:val="18"/>
          <w:szCs w:val="18"/>
          <w:lang w:eastAsia="en-US"/>
        </w:rPr>
        <w:fldChar w:fldCharType="end"/>
      </w:r>
    </w:p>
    <w:p w14:paraId="75BD678E" w14:textId="55D01FDF"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Tasmania</w:t>
      </w:r>
      <w:r w:rsidR="00574288"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_Toc15641713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12</w:t>
      </w:r>
      <w:r w:rsidRPr="00B36BE7">
        <w:rPr>
          <w:rFonts w:ascii="Trebuchet MS" w:hAnsi="Trebuchet MS" w:cs="Arial"/>
          <w:noProof/>
          <w:sz w:val="18"/>
          <w:szCs w:val="18"/>
          <w:lang w:eastAsia="en-US"/>
        </w:rPr>
        <w:fldChar w:fldCharType="end"/>
      </w:r>
    </w:p>
    <w:p w14:paraId="7E3AA5E6" w14:textId="041FC830"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Northern Territory</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_Toc15641714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12</w:t>
      </w:r>
      <w:r w:rsidRPr="00B36BE7">
        <w:rPr>
          <w:rFonts w:ascii="Trebuchet MS" w:hAnsi="Trebuchet MS" w:cs="Arial"/>
          <w:noProof/>
          <w:sz w:val="18"/>
          <w:szCs w:val="18"/>
          <w:lang w:eastAsia="en-US"/>
        </w:rPr>
        <w:fldChar w:fldCharType="end"/>
      </w:r>
    </w:p>
    <w:p w14:paraId="2AFB5760" w14:textId="4EF7F489" w:rsidR="008640AF" w:rsidRPr="00B36BE7" w:rsidRDefault="008640AF" w:rsidP="004D2A1D">
      <w:pPr>
        <w:pStyle w:val="TOC2"/>
        <w:tabs>
          <w:tab w:val="clear" w:pos="8222"/>
          <w:tab w:val="right" w:pos="10348"/>
        </w:tabs>
        <w:spacing w:line="300" w:lineRule="exact"/>
        <w:ind w:left="284"/>
        <w:rPr>
          <w:rFonts w:ascii="Trebuchet MS" w:hAnsi="Trebuchet MS" w:cs="Arial"/>
          <w:noProof/>
          <w:sz w:val="18"/>
          <w:szCs w:val="18"/>
          <w:lang w:eastAsia="en-US"/>
        </w:rPr>
      </w:pPr>
      <w:r w:rsidRPr="00B36BE7">
        <w:rPr>
          <w:rFonts w:ascii="Trebuchet MS" w:hAnsi="Trebuchet MS" w:cs="Arial"/>
          <w:noProof/>
          <w:sz w:val="18"/>
          <w:szCs w:val="18"/>
          <w:lang w:eastAsia="en-US"/>
        </w:rPr>
        <w:t>Australian Capital Territory</w:t>
      </w:r>
      <w:r w:rsidRPr="00B36BE7">
        <w:rPr>
          <w:rFonts w:ascii="Trebuchet MS" w:hAnsi="Trebuchet MS" w:cs="Arial"/>
          <w:noProof/>
          <w:sz w:val="18"/>
          <w:szCs w:val="18"/>
          <w:lang w:eastAsia="en-US"/>
        </w:rPr>
        <w:tab/>
      </w:r>
      <w:r w:rsidRPr="00B36BE7">
        <w:rPr>
          <w:rFonts w:ascii="Trebuchet MS" w:hAnsi="Trebuchet MS" w:cs="Arial"/>
          <w:noProof/>
          <w:sz w:val="18"/>
          <w:szCs w:val="18"/>
          <w:lang w:eastAsia="en-US"/>
        </w:rPr>
        <w:fldChar w:fldCharType="begin"/>
      </w:r>
      <w:r w:rsidRPr="00B36BE7">
        <w:rPr>
          <w:rFonts w:ascii="Trebuchet MS" w:hAnsi="Trebuchet MS" w:cs="Arial"/>
          <w:noProof/>
          <w:sz w:val="18"/>
          <w:szCs w:val="18"/>
          <w:lang w:eastAsia="en-US"/>
        </w:rPr>
        <w:instrText xml:space="preserve"> PAGEREF _Toc15641715 \h </w:instrText>
      </w:r>
      <w:r w:rsidRPr="00B36BE7">
        <w:rPr>
          <w:rFonts w:ascii="Trebuchet MS" w:hAnsi="Trebuchet MS" w:cs="Arial"/>
          <w:noProof/>
          <w:sz w:val="18"/>
          <w:szCs w:val="18"/>
          <w:lang w:eastAsia="en-US"/>
        </w:rPr>
      </w:r>
      <w:r w:rsidRPr="00B36BE7">
        <w:rPr>
          <w:rFonts w:ascii="Trebuchet MS" w:hAnsi="Trebuchet MS" w:cs="Arial"/>
          <w:noProof/>
          <w:sz w:val="18"/>
          <w:szCs w:val="18"/>
          <w:lang w:eastAsia="en-US"/>
        </w:rPr>
        <w:fldChar w:fldCharType="separate"/>
      </w:r>
      <w:r w:rsidR="00014F2A">
        <w:rPr>
          <w:rFonts w:ascii="Trebuchet MS" w:hAnsi="Trebuchet MS" w:cs="Arial"/>
          <w:noProof/>
          <w:sz w:val="18"/>
          <w:szCs w:val="18"/>
          <w:lang w:eastAsia="en-US"/>
        </w:rPr>
        <w:t>12</w:t>
      </w:r>
      <w:r w:rsidRPr="00B36BE7">
        <w:rPr>
          <w:rFonts w:ascii="Trebuchet MS" w:hAnsi="Trebuchet MS" w:cs="Arial"/>
          <w:noProof/>
          <w:sz w:val="18"/>
          <w:szCs w:val="18"/>
          <w:lang w:eastAsia="en-US"/>
        </w:rPr>
        <w:fldChar w:fldCharType="end"/>
      </w:r>
    </w:p>
    <w:p w14:paraId="0753CA3B" w14:textId="77777777" w:rsidR="00884EA5" w:rsidRDefault="00435234" w:rsidP="00A969AC">
      <w:pPr>
        <w:pStyle w:val="Heading1"/>
        <w:ind w:firstLine="0"/>
      </w:pPr>
      <w:r w:rsidRPr="00B36BE7">
        <w:rPr>
          <w:rFonts w:ascii="Trebuchet MS" w:hAnsi="Trebuchet MS"/>
          <w:sz w:val="19"/>
          <w:szCs w:val="19"/>
        </w:rPr>
        <w:fldChar w:fldCharType="end"/>
      </w:r>
      <w:bookmarkStart w:id="5" w:name="_Toc15641688"/>
      <w:bookmarkStart w:id="6" w:name="_Hlk15637227"/>
    </w:p>
    <w:p w14:paraId="3481F06F" w14:textId="77777777" w:rsidR="00884EA5" w:rsidRDefault="00884EA5" w:rsidP="00B5319B">
      <w:pPr>
        <w:pStyle w:val="Text"/>
        <w:rPr>
          <w:rFonts w:ascii="Arial" w:hAnsi="Arial"/>
          <w:kern w:val="28"/>
        </w:rPr>
      </w:pPr>
      <w:r>
        <w:br w:type="page"/>
      </w:r>
    </w:p>
    <w:p w14:paraId="77F1923C" w14:textId="77777777" w:rsidR="00435234" w:rsidRPr="00435234" w:rsidRDefault="00435234" w:rsidP="00A969AC">
      <w:pPr>
        <w:pStyle w:val="Heading1"/>
        <w:ind w:firstLine="0"/>
      </w:pPr>
      <w:r w:rsidRPr="00435234">
        <w:lastRenderedPageBreak/>
        <w:t>A</w:t>
      </w:r>
      <w:r w:rsidR="000A7E78">
        <w:t>sset a</w:t>
      </w:r>
      <w:r w:rsidRPr="00435234">
        <w:t>ccounting policies – states and territories</w:t>
      </w:r>
      <w:bookmarkEnd w:id="5"/>
    </w:p>
    <w:p w14:paraId="098405AE" w14:textId="77777777" w:rsidR="00435234" w:rsidRPr="00D95386" w:rsidRDefault="00435234" w:rsidP="00A969AC">
      <w:pPr>
        <w:pStyle w:val="Heading2"/>
        <w:ind w:firstLine="0"/>
      </w:pPr>
      <w:bookmarkStart w:id="7" w:name="_Toc51468437"/>
      <w:bookmarkStart w:id="8" w:name="_Toc188077642"/>
      <w:r w:rsidRPr="00D95386">
        <w:t>Accrual accounting</w:t>
      </w:r>
      <w:bookmarkEnd w:id="7"/>
    </w:p>
    <w:p w14:paraId="2B79CE5B" w14:textId="7F27CCF6" w:rsidR="00580BAF" w:rsidRPr="00580BAF" w:rsidRDefault="002C6D14" w:rsidP="00580BAF">
      <w:pPr>
        <w:pStyle w:val="Text"/>
        <w:ind w:left="0" w:right="0"/>
      </w:pPr>
      <w:r>
        <w:t xml:space="preserve">Data </w:t>
      </w:r>
      <w:r w:rsidR="00435234" w:rsidRPr="00435234">
        <w:t>are prepared on an accrual basis in accordance with the requirements of Australian equivalents to International Financial Reporting Standards, current Australian Accounting Standards Board (AASB) interpretations, relevant state and territory audit acts, public finance standards and financial reporting directions of states and territories. Current Exposure Drafts released by the AASB also provide a useful reference to future directions.</w:t>
      </w:r>
      <w:bookmarkStart w:id="9" w:name="_Toc51468438"/>
      <w:bookmarkStart w:id="10" w:name="_Toc15641689"/>
    </w:p>
    <w:p w14:paraId="65E00243" w14:textId="75ADE6BD" w:rsidR="00435234" w:rsidRPr="00BC6A65" w:rsidRDefault="00435234" w:rsidP="00A969AC">
      <w:pPr>
        <w:pStyle w:val="Heading1"/>
        <w:ind w:firstLine="0"/>
      </w:pPr>
      <w:r w:rsidRPr="00BC6A65">
        <w:t>Non-current physical asset valuations</w:t>
      </w:r>
      <w:bookmarkEnd w:id="9"/>
      <w:bookmarkEnd w:id="10"/>
    </w:p>
    <w:p w14:paraId="5DC3AD50" w14:textId="77777777" w:rsidR="00435234" w:rsidRPr="00BC551D" w:rsidRDefault="00435234" w:rsidP="00A969AC">
      <w:pPr>
        <w:pStyle w:val="Heading2"/>
        <w:ind w:firstLine="0"/>
      </w:pPr>
      <w:bookmarkStart w:id="11" w:name="_Toc15641690"/>
      <w:bookmarkStart w:id="12" w:name="_Hlk15639829"/>
      <w:r w:rsidRPr="00F07F48">
        <w:t>New South Wales</w:t>
      </w:r>
      <w:bookmarkEnd w:id="11"/>
    </w:p>
    <w:p w14:paraId="5ECED3A3" w14:textId="77777777" w:rsidR="00182F8D" w:rsidRPr="00435234" w:rsidRDefault="00182F8D" w:rsidP="00182F8D">
      <w:pPr>
        <w:pStyle w:val="Text"/>
        <w:ind w:left="0" w:right="0"/>
      </w:pPr>
      <w:bookmarkStart w:id="13" w:name="_Toc15641691"/>
      <w:bookmarkStart w:id="14" w:name="_Hlk15641261"/>
      <w:bookmarkEnd w:id="12"/>
      <w:r w:rsidRPr="00435234">
        <w:t xml:space="preserve">Physical non-current assets are valued in accordance with NSW Treasury ‘Valuation of Physical </w:t>
      </w:r>
      <w:r w:rsidRPr="00435234">
        <w:br/>
        <w:t xml:space="preserve">Non-Current Assets at Fair Value’ Policy and Guidelines Paper (TPP </w:t>
      </w:r>
      <w:r>
        <w:t>21</w:t>
      </w:r>
      <w:r w:rsidRPr="00435234">
        <w:t>-0</w:t>
      </w:r>
      <w:r>
        <w:t>9</w:t>
      </w:r>
      <w:r w:rsidRPr="00435234">
        <w:t xml:space="preserve">). This policy adopts fair value in accordance with AASB 13 </w:t>
      </w:r>
      <w:r w:rsidRPr="00435234">
        <w:rPr>
          <w:i/>
        </w:rPr>
        <w:t>Fair Value Measurement</w:t>
      </w:r>
      <w:r>
        <w:t xml:space="preserve"> and</w:t>
      </w:r>
      <w:r w:rsidRPr="00435234">
        <w:t xml:space="preserve"> AASB 116 </w:t>
      </w:r>
      <w:r w:rsidRPr="00435234">
        <w:rPr>
          <w:i/>
        </w:rPr>
        <w:t>Property, Plant and Equipment</w:t>
      </w:r>
      <w:r>
        <w:rPr>
          <w:i/>
        </w:rPr>
        <w:t>.</w:t>
      </w:r>
      <w:r w:rsidRPr="00435234">
        <w:t xml:space="preserve">  </w:t>
      </w:r>
    </w:p>
    <w:p w14:paraId="3F99FA7E" w14:textId="77777777" w:rsidR="00182F8D" w:rsidRPr="00435234" w:rsidRDefault="00182F8D" w:rsidP="00182F8D">
      <w:pPr>
        <w:pStyle w:val="Text"/>
        <w:ind w:left="0" w:right="0"/>
        <w:jc w:val="both"/>
      </w:pPr>
      <w:r w:rsidRPr="00435234">
        <w:t xml:space="preserve">Property, plant and equipment is measured at the highest and best use by market participants that is physically possible, legally permissible and financially feasible. The highest and best use must be available at a period that is not remote and </w:t>
      </w:r>
      <w:proofErr w:type="gramStart"/>
      <w:r w:rsidRPr="00435234">
        <w:t>takes into account</w:t>
      </w:r>
      <w:proofErr w:type="gramEnd"/>
      <w:r w:rsidRPr="00435234">
        <w:t xml:space="preserve"> the characteristics of the asset being measured, including any socio-political restrictions imposed by government</w:t>
      </w:r>
      <w:r>
        <w:t xml:space="preserve"> such as zoning and heritage restrictions</w:t>
      </w:r>
      <w:r w:rsidRPr="00435234">
        <w:t xml:space="preserve">. In most cases, after </w:t>
      </w:r>
      <w:proofErr w:type="gramStart"/>
      <w:r w:rsidRPr="00435234">
        <w:t>taking into account</w:t>
      </w:r>
      <w:proofErr w:type="gramEnd"/>
      <w:r w:rsidRPr="00435234">
        <w:t xml:space="preserve"> these considerations, the highest and best use is the existing use. In limited circumstances, the highest and best use may be a feasible alternative use, where there are no restrictions on use or where there is feasible higher restricted alternative use.</w:t>
      </w:r>
    </w:p>
    <w:p w14:paraId="112B8B4B" w14:textId="77777777" w:rsidR="00182F8D" w:rsidRPr="00435234" w:rsidRDefault="00182F8D" w:rsidP="00182F8D">
      <w:pPr>
        <w:pStyle w:val="Text"/>
        <w:ind w:left="0" w:right="0"/>
      </w:pPr>
      <w:r w:rsidRPr="00435234">
        <w:t xml:space="preserve">Fair value of property, plant and equipment is based on a market </w:t>
      </w:r>
      <w:r>
        <w:t>participant’s</w:t>
      </w:r>
      <w:r w:rsidRPr="00435234">
        <w:t xml:space="preserve"> perspective, using valuation techniques (market approach, cost approach, income approach) that maximise relevant observable inputs and minimise unobservable inputs.</w:t>
      </w:r>
    </w:p>
    <w:p w14:paraId="4E8B75B7" w14:textId="77777777" w:rsidR="00182F8D" w:rsidRPr="00182F8D" w:rsidRDefault="00182F8D" w:rsidP="00182F8D">
      <w:pPr>
        <w:pStyle w:val="Text"/>
        <w:ind w:left="0" w:right="0"/>
      </w:pPr>
      <w:r w:rsidRPr="00182F8D">
        <w:t xml:space="preserve">Revaluations are made with sufficient regularity to ensure that the carrying amount of each asset does not differ materially from its fair value at the reporting date. The Commission conducts a comprehensive revaluation at least every three years for land and buildings, where the market approach is the most appropriate valuation technique. The Commission conducts a comprehensive revaluation at least every five years for other classes, including buildings and infrastructure assets. The Commission’s revaluation cycle is designed to maximise professional valuers' site visits, whereby land is comprehensively revalued on each occasion of building a comprehensive revaluation. </w:t>
      </w:r>
    </w:p>
    <w:p w14:paraId="572FD388" w14:textId="77777777" w:rsidR="00182F8D" w:rsidRPr="00182F8D" w:rsidRDefault="00182F8D" w:rsidP="00182F8D">
      <w:pPr>
        <w:pStyle w:val="Text"/>
        <w:ind w:left="0" w:right="0"/>
      </w:pPr>
      <w:r w:rsidRPr="00182F8D">
        <w:t xml:space="preserve">The last comprehensive revaluation for land and buildings was completed on 30 June 2023 and was based on an independent assessment performed by valuation experts, </w:t>
      </w:r>
      <w:proofErr w:type="spellStart"/>
      <w:r w:rsidRPr="00182F8D">
        <w:t>Acumentis</w:t>
      </w:r>
      <w:proofErr w:type="spellEnd"/>
      <w:r w:rsidRPr="00182F8D">
        <w:t xml:space="preserve"> Property Valuers (</w:t>
      </w:r>
      <w:proofErr w:type="spellStart"/>
      <w:r w:rsidRPr="00182F8D">
        <w:t>Acumentis</w:t>
      </w:r>
      <w:proofErr w:type="spellEnd"/>
      <w:r w:rsidRPr="00182F8D">
        <w:t xml:space="preserve">). Interim revaluations are conducted between comprehensive revaluations, where </w:t>
      </w:r>
      <w:r w:rsidRPr="00182F8D">
        <w:lastRenderedPageBreak/>
        <w:t xml:space="preserve">cumulative changes to indicators suggest fair value may differ materially from carrying value. In the current year, an interim desktop valuation was completed by </w:t>
      </w:r>
      <w:proofErr w:type="spellStart"/>
      <w:r w:rsidRPr="00182F8D">
        <w:t>Acumentis</w:t>
      </w:r>
      <w:proofErr w:type="spellEnd"/>
      <w:r w:rsidRPr="00182F8D">
        <w:t xml:space="preserve"> for land and buildings to determine indexation values for the year ended 30 June 2024. Management has recognised the fair value uplift for land and buildings for the year ended 30 June 2024. </w:t>
      </w:r>
    </w:p>
    <w:p w14:paraId="60D2F161" w14:textId="77777777" w:rsidR="00182F8D" w:rsidRDefault="00182F8D" w:rsidP="00182F8D">
      <w:pPr>
        <w:pStyle w:val="Text"/>
        <w:ind w:left="0" w:right="0"/>
      </w:pPr>
      <w:r w:rsidRPr="00182F8D">
        <w:t xml:space="preserve">The Commission holds some land and operates campuses in flood and bushfire-prone areas. </w:t>
      </w:r>
      <w:proofErr w:type="spellStart"/>
      <w:r w:rsidRPr="00182F8D">
        <w:t>Acumentis</w:t>
      </w:r>
      <w:proofErr w:type="spellEnd"/>
      <w:r w:rsidRPr="00182F8D">
        <w:t xml:space="preserve"> have considered the impact of flood and bushfire status while assessing the fair value of these assets.</w:t>
      </w:r>
      <w:r w:rsidRPr="002017BA">
        <w:t xml:space="preserve"> </w:t>
      </w:r>
    </w:p>
    <w:p w14:paraId="17830270" w14:textId="77777777" w:rsidR="00182F8D" w:rsidRPr="00435234" w:rsidRDefault="00182F8D" w:rsidP="00182F8D">
      <w:pPr>
        <w:pStyle w:val="Text"/>
        <w:ind w:left="0" w:right="0"/>
      </w:pPr>
      <w:r w:rsidRPr="00435234">
        <w:t>Non-specialised assets with short useful lives are measured at depreciated historical cost, as an approximation for fair value. The state has assessed that any difference between fair value and depreciated historical cost is unlikely to be material.</w:t>
      </w:r>
    </w:p>
    <w:p w14:paraId="18014141" w14:textId="77777777" w:rsidR="00182F8D" w:rsidRDefault="00182F8D" w:rsidP="00182F8D">
      <w:pPr>
        <w:pStyle w:val="Text"/>
        <w:ind w:left="0" w:right="0"/>
      </w:pPr>
      <w:r w:rsidRPr="00435234">
        <w:t xml:space="preserve">For other assets valued using other valuation techniques, any balances of accumulated depreciation at the revaluation date in respect of those assets are credited to the asset accounts to which they relate.  </w:t>
      </w:r>
      <w:r>
        <w:t>The revaluation increments or decrements then adjust the net asset accounts</w:t>
      </w:r>
      <w:r w:rsidRPr="00435234">
        <w:t xml:space="preserve">. </w:t>
      </w:r>
    </w:p>
    <w:p w14:paraId="033127CB" w14:textId="77777777" w:rsidR="00182F8D" w:rsidRPr="00F026A7" w:rsidRDefault="00182F8D" w:rsidP="00182F8D">
      <w:pPr>
        <w:pStyle w:val="Text"/>
        <w:ind w:left="0" w:right="0"/>
      </w:pPr>
      <w:r w:rsidRPr="00A42274">
        <w:t>As a not-for-profit entity, revaluation increments and decrements are only offset within a class of non-current assets. The state has two classes related to the asset revaluation reserves being land and buildings.</w:t>
      </w:r>
    </w:p>
    <w:p w14:paraId="0FD04DAC" w14:textId="77777777" w:rsidR="00182F8D" w:rsidRPr="00A42274" w:rsidRDefault="00182F8D" w:rsidP="00182F8D">
      <w:pPr>
        <w:pStyle w:val="Text"/>
        <w:ind w:left="0" w:right="0"/>
      </w:pPr>
      <w:r w:rsidRPr="00A42274">
        <w:t>When revalu</w:t>
      </w:r>
      <w:r>
        <w:t>ing</w:t>
      </w:r>
      <w:r w:rsidRPr="00A42274">
        <w:t xml:space="preserve"> non-current assets using the cost approach, the gross amount and the related accumulated depreciation are separately restated. Where the income approach or market approach is used, accumulated depreciation is eliminated against the gross carrying amount of the asset and the net amount </w:t>
      </w:r>
      <w:r>
        <w:t xml:space="preserve">is </w:t>
      </w:r>
      <w:r w:rsidRPr="00A42274">
        <w:t>restated to the revalued amount of the asset.</w:t>
      </w:r>
    </w:p>
    <w:p w14:paraId="4540786F" w14:textId="77777777" w:rsidR="00182F8D" w:rsidRPr="00A42274" w:rsidRDefault="00182F8D" w:rsidP="00182F8D">
      <w:pPr>
        <w:pStyle w:val="Text"/>
        <w:ind w:left="0" w:right="0"/>
      </w:pPr>
      <w:r w:rsidRPr="00A42274">
        <w:t xml:space="preserve">Revaluation increments are recognised in other comprehensive income and credited to the asset revaluation surplus. However, to the extent that an increment reverses a revaluation decrement in respect of that class of asset previously recognised as an expense in the net result, the increment is recognised immediately as revenue in the net result. </w:t>
      </w:r>
    </w:p>
    <w:p w14:paraId="5559069A" w14:textId="77777777" w:rsidR="00182F8D" w:rsidRPr="00A42274" w:rsidRDefault="00182F8D" w:rsidP="00182F8D">
      <w:pPr>
        <w:pStyle w:val="Text"/>
        <w:ind w:left="0" w:right="0"/>
      </w:pPr>
      <w:r>
        <w:t>Revaluation decrements are recognised immediately as a loss in the net result, except to the extent that they offset an existing revaluation surplus on the same class of assets, in which case, the decrement is debited directly to the revaluation surplus.</w:t>
      </w:r>
    </w:p>
    <w:p w14:paraId="535F1856" w14:textId="77777777" w:rsidR="00182F8D" w:rsidRPr="00435234" w:rsidRDefault="00182F8D" w:rsidP="00182F8D">
      <w:pPr>
        <w:pStyle w:val="Text"/>
        <w:ind w:left="0" w:right="0"/>
      </w:pPr>
      <w:r w:rsidRPr="00A42274">
        <w:t>Where an asset that has previously been revalued is disposed of, any balance remaining in the asset revaluation surplus in respect of that asset is transferred to accumulated funds.</w:t>
      </w:r>
    </w:p>
    <w:p w14:paraId="023585A5" w14:textId="77777777" w:rsidR="00182F8D" w:rsidRPr="00435234" w:rsidRDefault="00182F8D" w:rsidP="00182F8D">
      <w:pPr>
        <w:pStyle w:val="Text"/>
        <w:ind w:left="0" w:right="0"/>
      </w:pPr>
      <w:r w:rsidRPr="00435234">
        <w:t>The residual values, useful lives and methods of depreciation of property, plant and equipment are reviewed at each financial year</w:t>
      </w:r>
      <w:r>
        <w:t>-</w:t>
      </w:r>
      <w:r w:rsidRPr="00435234">
        <w:t>end.</w:t>
      </w:r>
    </w:p>
    <w:p w14:paraId="28A91E16" w14:textId="77777777" w:rsidR="00D95386" w:rsidRPr="00BC6A65" w:rsidRDefault="00D95386" w:rsidP="000D4737">
      <w:pPr>
        <w:pStyle w:val="Heading2"/>
        <w:spacing w:before="360"/>
        <w:ind w:firstLine="0"/>
      </w:pPr>
      <w:r w:rsidRPr="00A72E84">
        <w:t>Victoria</w:t>
      </w:r>
      <w:bookmarkEnd w:id="13"/>
    </w:p>
    <w:bookmarkEnd w:id="14"/>
    <w:p w14:paraId="7AF3F38D" w14:textId="77777777" w:rsidR="00435234" w:rsidRPr="00126B55" w:rsidRDefault="00435234" w:rsidP="00A969AC">
      <w:pPr>
        <w:pStyle w:val="Text"/>
        <w:ind w:left="0" w:right="0"/>
      </w:pPr>
      <w:r w:rsidRPr="00126B55">
        <w:t>All non-financial physical assets are measured initially at cost and subsequently revalued at fair value less accumulated depreciation and impairment.</w:t>
      </w:r>
    </w:p>
    <w:p w14:paraId="7BD365F3" w14:textId="77777777" w:rsidR="00435234" w:rsidRPr="00126B55" w:rsidRDefault="00435234" w:rsidP="00A969AC">
      <w:pPr>
        <w:pStyle w:val="Text"/>
        <w:ind w:left="0" w:right="0"/>
      </w:pPr>
      <w:r w:rsidRPr="00126B55">
        <w:t>Non-current physical assets measured at fair value are revalued in accordance with Financial Reporting Directions issued by the Minister for Finance. A full revaluation normally occurs every five years, based upon the asset’s government purpose classification, but may occur more frequently if fair value assessments indicate material changes in values. Independent valuers are generally used to conduct these scheduled revaluations. Revaluation increases or decreases arise from differences between an asset’s carrying value and fair value.</w:t>
      </w:r>
    </w:p>
    <w:p w14:paraId="77FB13AF" w14:textId="2AC433F2" w:rsidR="00435234" w:rsidRPr="00435234" w:rsidRDefault="00435234" w:rsidP="00A969AC">
      <w:pPr>
        <w:pStyle w:val="Text"/>
        <w:ind w:left="0" w:right="0"/>
      </w:pPr>
      <w:r w:rsidRPr="00126B55">
        <w:t>All non-financial assets are subject to impairment test</w:t>
      </w:r>
      <w:r w:rsidR="00F433E9" w:rsidRPr="00126B55">
        <w:t>s</w:t>
      </w:r>
      <w:r w:rsidRPr="00126B55">
        <w:t xml:space="preserve"> on an annual basis.</w:t>
      </w:r>
      <w:r w:rsidRPr="00435234">
        <w:t xml:space="preserve">  </w:t>
      </w:r>
    </w:p>
    <w:p w14:paraId="762F1CE1" w14:textId="77777777" w:rsidR="00D95386" w:rsidRPr="00BC6A65" w:rsidRDefault="00D95386" w:rsidP="00A969AC">
      <w:pPr>
        <w:pStyle w:val="Heading2"/>
        <w:ind w:firstLine="0"/>
      </w:pPr>
      <w:bookmarkStart w:id="15" w:name="_Toc15641692"/>
      <w:r w:rsidRPr="00BC6A65">
        <w:lastRenderedPageBreak/>
        <w:t>Queensland</w:t>
      </w:r>
      <w:bookmarkEnd w:id="15"/>
    </w:p>
    <w:p w14:paraId="1A9DF992" w14:textId="77777777" w:rsidR="00FE04C6" w:rsidRPr="00435234" w:rsidRDefault="00FE04C6" w:rsidP="00FE04C6">
      <w:pPr>
        <w:pStyle w:val="Text"/>
        <w:ind w:left="0" w:right="0"/>
      </w:pPr>
      <w:r w:rsidRPr="00435234">
        <w:t xml:space="preserve">Land, buildings (including land improvements such as sports facilities), and buildings under a </w:t>
      </w:r>
      <w:r>
        <w:t>financing arrangement</w:t>
      </w:r>
      <w:r w:rsidRPr="00435234">
        <w:t xml:space="preserve"> are measured at fair value as required by Queensland Treasury’s </w:t>
      </w:r>
      <w:r w:rsidRPr="00435234">
        <w:rPr>
          <w:i/>
        </w:rPr>
        <w:t>Non-Current Asset Policies for the Queensland Public Sector.</w:t>
      </w:r>
    </w:p>
    <w:p w14:paraId="397C2517" w14:textId="77777777" w:rsidR="00FE04C6" w:rsidRPr="00435234" w:rsidRDefault="00FE04C6" w:rsidP="00FE04C6">
      <w:pPr>
        <w:pStyle w:val="Text"/>
        <w:ind w:left="0" w:right="0"/>
      </w:pPr>
      <w:r w:rsidRPr="00435234">
        <w:t xml:space="preserve">Where intangible assets have an active market, they are measured at fair value; </w:t>
      </w:r>
      <w:proofErr w:type="gramStart"/>
      <w:r w:rsidRPr="00435234">
        <w:t>otherwise</w:t>
      </w:r>
      <w:proofErr w:type="gramEnd"/>
      <w:r w:rsidRPr="00435234">
        <w:t xml:space="preserve"> they are measured at cost.</w:t>
      </w:r>
    </w:p>
    <w:p w14:paraId="6AA7AF08" w14:textId="77777777" w:rsidR="00FE04C6" w:rsidRPr="00435234" w:rsidRDefault="00FE04C6" w:rsidP="00FE04C6">
      <w:pPr>
        <w:pStyle w:val="Heading3"/>
        <w:ind w:left="0" w:right="0"/>
      </w:pPr>
      <w:r w:rsidRPr="00435234">
        <w:t xml:space="preserve">Revaluation </w:t>
      </w:r>
      <w:r w:rsidRPr="00B5319B">
        <w:t>of</w:t>
      </w:r>
      <w:r w:rsidRPr="00435234">
        <w:t xml:space="preserve"> non-current assets</w:t>
      </w:r>
    </w:p>
    <w:p w14:paraId="3DF2B147" w14:textId="77777777" w:rsidR="00FE04C6" w:rsidRDefault="00FE04C6" w:rsidP="00FE04C6">
      <w:pPr>
        <w:pStyle w:val="Text"/>
        <w:ind w:left="0" w:right="0"/>
      </w:pPr>
      <w:r w:rsidRPr="00435234">
        <w:t>Land</w:t>
      </w:r>
      <w:r>
        <w:t xml:space="preserve"> and</w:t>
      </w:r>
      <w:r w:rsidRPr="00435234">
        <w:t xml:space="preserve"> buildings (including land improvements such as sports facilities)</w:t>
      </w:r>
      <w:r>
        <w:t xml:space="preserve"> </w:t>
      </w:r>
      <w:r w:rsidRPr="00435234">
        <w:t xml:space="preserve">are revalued by management each year to ensure that they are reported at fair value. Management valuations incorporate the results from the independent revaluation program and the indexation of the assets not subject to independent revaluation each year. This ensures that all assets are simultaneously </w:t>
      </w:r>
      <w:proofErr w:type="gramStart"/>
      <w:r w:rsidRPr="00435234">
        <w:t>valued, and</w:t>
      </w:r>
      <w:proofErr w:type="gramEnd"/>
      <w:r w:rsidRPr="00435234">
        <w:t xml:space="preserve"> materially reflect their fair value at balance date.</w:t>
      </w:r>
    </w:p>
    <w:p w14:paraId="2287D5CC" w14:textId="77777777" w:rsidR="00FE04C6" w:rsidRPr="00EB6A75" w:rsidRDefault="00FE04C6" w:rsidP="00FE04C6">
      <w:pPr>
        <w:pStyle w:val="Text"/>
        <w:ind w:left="0" w:right="0"/>
      </w:pPr>
      <w:r w:rsidRPr="00EB6A75">
        <w:t>Any revaluation increment is credited to the asset revaluation surplus, except to the extent that it reverses a revaluation decrement of the same asset class previously recognised as an expense, in which case the increase is recognised as income in the statement of comprehensive income.</w:t>
      </w:r>
    </w:p>
    <w:p w14:paraId="51BACCC9" w14:textId="1CF50010" w:rsidR="00FE04C6" w:rsidRDefault="00FE04C6" w:rsidP="00A969AC">
      <w:pPr>
        <w:pStyle w:val="Text"/>
        <w:ind w:left="0" w:right="0"/>
      </w:pPr>
      <w:r w:rsidRPr="00EB6A75">
        <w:t>Any revaluation decrement is recognised in the statement of Comprehensive Income as an expense, except to the extent that it offsets a previous revaluation increment for the same asset class, in which case the decrease is debited directly to the revaluation surplus to the extent of the credit balance existing in the revaluation surplus for that asset class.</w:t>
      </w:r>
    </w:p>
    <w:p w14:paraId="56CB0951" w14:textId="77777777" w:rsidR="00D95386" w:rsidRPr="00BC6A65" w:rsidRDefault="00D95386" w:rsidP="00A969AC">
      <w:pPr>
        <w:pStyle w:val="Heading2"/>
        <w:ind w:firstLine="0"/>
      </w:pPr>
      <w:bookmarkStart w:id="16" w:name="_Toc15641693"/>
      <w:bookmarkStart w:id="17" w:name="_Hlk15641427"/>
      <w:r w:rsidRPr="00BC6A65">
        <w:t>Western Australia</w:t>
      </w:r>
      <w:bookmarkEnd w:id="16"/>
    </w:p>
    <w:bookmarkEnd w:id="17"/>
    <w:p w14:paraId="46314796" w14:textId="77777777" w:rsidR="00435234" w:rsidRPr="00435234" w:rsidRDefault="00435234" w:rsidP="00A969AC">
      <w:pPr>
        <w:pStyle w:val="Text"/>
        <w:ind w:left="0" w:right="0"/>
      </w:pPr>
      <w:r w:rsidRPr="00435234">
        <w:t>Property, plant and equipment are initially recognised at cost.</w:t>
      </w:r>
    </w:p>
    <w:p w14:paraId="6B941331" w14:textId="21A79297" w:rsidR="00435234" w:rsidRPr="00435234" w:rsidRDefault="00435234" w:rsidP="00A969AC">
      <w:pPr>
        <w:pStyle w:val="Text"/>
        <w:ind w:left="0" w:right="0"/>
      </w:pPr>
      <w:proofErr w:type="gramStart"/>
      <w:r w:rsidRPr="00435234">
        <w:t>Subsequent to</w:t>
      </w:r>
      <w:proofErr w:type="gramEnd"/>
      <w:r w:rsidRPr="00435234">
        <w:t xml:space="preserve"> initial recognition </w:t>
      </w:r>
      <w:r w:rsidR="00843D7E">
        <w:t>of</w:t>
      </w:r>
      <w:r w:rsidRPr="00435234">
        <w:t xml:space="preserve"> an asset, the revaluation model is used for the measurement of land and buildings and historical cost for all other property, plant and equipment. Land and buildings are carried at fair value less accumulated depreciation (buildings only) and accumulated impairment losses. Artworks are carried at fair value.</w:t>
      </w:r>
    </w:p>
    <w:p w14:paraId="2AB12681" w14:textId="77777777" w:rsidR="00435234" w:rsidRPr="00435234" w:rsidRDefault="00435234" w:rsidP="00A969AC">
      <w:pPr>
        <w:pStyle w:val="Text"/>
        <w:ind w:left="0" w:right="0"/>
      </w:pPr>
      <w:r w:rsidRPr="00435234">
        <w:t>All other items of property, plant and equipment are stated at historical cost less accumulated depreciation and accumulated impairment losses.</w:t>
      </w:r>
    </w:p>
    <w:p w14:paraId="691EE553" w14:textId="77777777" w:rsidR="00435234" w:rsidRPr="00435234" w:rsidRDefault="00435234" w:rsidP="00A969AC">
      <w:pPr>
        <w:pStyle w:val="Text"/>
        <w:ind w:left="0" w:right="0"/>
      </w:pPr>
      <w:r w:rsidRPr="00435234">
        <w:t xml:space="preserve">Where market-based evidence is available, the fair value of land and buildings is determined </w:t>
      </w:r>
      <w:proofErr w:type="gramStart"/>
      <w:r w:rsidRPr="00435234">
        <w:t>on the basis of</w:t>
      </w:r>
      <w:proofErr w:type="gramEnd"/>
      <w:r w:rsidRPr="00435234">
        <w:t xml:space="preserve"> current market buying values determined by reference to recent market transactions. When buildings are revalued by reference to recent market transactions, the accumulated depreciation is eliminated against the gross carrying amount of the asset and the net amount restated to the revalued amount.</w:t>
      </w:r>
    </w:p>
    <w:p w14:paraId="61507F69" w14:textId="77777777" w:rsidR="00435234" w:rsidRPr="00435234" w:rsidRDefault="00435234" w:rsidP="00A969AC">
      <w:pPr>
        <w:pStyle w:val="Text"/>
        <w:ind w:left="0" w:right="0"/>
      </w:pPr>
      <w:r w:rsidRPr="00435234">
        <w:t xml:space="preserve">In the absence of market-based evidence, fair value of land and buildings is determined </w:t>
      </w:r>
      <w:proofErr w:type="gramStart"/>
      <w:r w:rsidRPr="00435234">
        <w:t>on the basis of</w:t>
      </w:r>
      <w:proofErr w:type="gramEnd"/>
      <w:r w:rsidRPr="00435234">
        <w:t xml:space="preserve"> existing use. This normally applies where buildings are specialised or where land use is restricted. Fair value for existing use buildings is determined by reference to the cost of replacing the remaining future economic benefits embodied in the asset, that is, the </w:t>
      </w:r>
      <w:r w:rsidR="008E29BF">
        <w:t>current</w:t>
      </w:r>
      <w:r w:rsidRPr="00435234">
        <w:t xml:space="preserve"> replacement cost. Where the fair value of buildings is determined on the </w:t>
      </w:r>
      <w:r w:rsidR="008E29BF">
        <w:t>current</w:t>
      </w:r>
      <w:r w:rsidRPr="00435234">
        <w:t xml:space="preserve"> replacement cost basis, the gross carrying amount </w:t>
      </w:r>
      <w:r w:rsidR="008E29BF">
        <w:t>is adjusted in a manner that is consistent with the revaluation of the carrying amount of the asset and the accumulated depreciation is adjusted to equal the difference between the gross carrying amount and the carrying amount of the asset</w:t>
      </w:r>
      <w:r w:rsidRPr="00435234">
        <w:t xml:space="preserve">. Fair value for restricted use of land </w:t>
      </w:r>
      <w:r w:rsidRPr="00435234">
        <w:lastRenderedPageBreak/>
        <w:t>is determined by comparison with market evidence for land with similar approximate utility (high restricted use land) or market value of comparable unrestricted land (low restricted use land).</w:t>
      </w:r>
    </w:p>
    <w:p w14:paraId="6834CC50" w14:textId="51CD40EC" w:rsidR="00435234" w:rsidRPr="00435234" w:rsidRDefault="00435234" w:rsidP="00A969AC">
      <w:pPr>
        <w:pStyle w:val="Text"/>
        <w:ind w:left="0" w:right="0"/>
      </w:pPr>
      <w:r w:rsidRPr="00435234">
        <w:t xml:space="preserve">Land and buildings are independently valued annually by the Western Australian Land Information Authority (Valuation </w:t>
      </w:r>
      <w:r w:rsidR="00843D7E">
        <w:t>and Property Analytics</w:t>
      </w:r>
      <w:r w:rsidRPr="00435234">
        <w:t>) and recognised annually to ensure that the carrying amount does not differ materially from the asset’s fair value at the end of the reporting period.</w:t>
      </w:r>
    </w:p>
    <w:p w14:paraId="4C8F0BDA" w14:textId="77777777" w:rsidR="00435234" w:rsidRPr="00435234" w:rsidRDefault="00435234" w:rsidP="00A969AC">
      <w:pPr>
        <w:pStyle w:val="Text"/>
        <w:ind w:left="0" w:right="0"/>
      </w:pPr>
      <w:r w:rsidRPr="00435234">
        <w:t xml:space="preserve">The most significant assumptions </w:t>
      </w:r>
      <w:r w:rsidR="008E29BF">
        <w:t xml:space="preserve">and judgements </w:t>
      </w:r>
      <w:r w:rsidRPr="00435234">
        <w:t xml:space="preserve">in estimating fair value are made in assessing whether to apply the existing use basis to assets and in determining estimated </w:t>
      </w:r>
      <w:r w:rsidR="008E29BF">
        <w:t>economic</w:t>
      </w:r>
      <w:r w:rsidRPr="00435234">
        <w:t xml:space="preserve"> life. Professional judgment by the valuer is required where the evidence does not provide a clear distinction between market type assets and existing use assets.</w:t>
      </w:r>
    </w:p>
    <w:p w14:paraId="26C68E87" w14:textId="77777777" w:rsidR="00D95386" w:rsidRPr="00BC6A65" w:rsidRDefault="00D95386" w:rsidP="00A969AC">
      <w:pPr>
        <w:pStyle w:val="Heading2"/>
        <w:ind w:firstLine="0"/>
      </w:pPr>
      <w:bookmarkStart w:id="18" w:name="_Toc15641694"/>
      <w:r w:rsidRPr="006751E5">
        <w:t>South Australia</w:t>
      </w:r>
      <w:bookmarkEnd w:id="18"/>
    </w:p>
    <w:p w14:paraId="092A900B" w14:textId="77777777" w:rsidR="007C3EF3" w:rsidRDefault="007C3EF3" w:rsidP="007C3EF3">
      <w:pPr>
        <w:pStyle w:val="Text"/>
        <w:ind w:left="0" w:right="0"/>
      </w:pPr>
      <w:bookmarkStart w:id="19" w:name="_Toc15641695"/>
      <w:bookmarkStart w:id="20" w:name="_Hlk15641559"/>
      <w:r>
        <w:t>Non-current assets are initially recorded at cost plus any incidental costs involved with the acquisition. Non-current assets (excluding land) are subsequently measured at fair value less accumulated depreciation which gives rise to a new fair value. Where assets are acquired for no consideration, or minimal value, they are recorded at their fair value in the statement of financial position. However, if the assets are acquired at no or nominal value as part of a restructure of administrative arrangements then the assets are recognised at book value, that is, the amount recorded by the transferor public authority immediately prior to the restructure.</w:t>
      </w:r>
    </w:p>
    <w:p w14:paraId="40E4B769" w14:textId="77777777" w:rsidR="007C3EF3" w:rsidRDefault="007C3EF3" w:rsidP="007C3EF3">
      <w:pPr>
        <w:pStyle w:val="Text"/>
        <w:ind w:left="0" w:right="0"/>
      </w:pPr>
      <w:r>
        <w:t>All non-current assets are valued at fair value and revaluation of non-current assets or group of assets is only performed when its fair value at the time of acquisition is greater than $1 million and estimated useful life is greater than three years.</w:t>
      </w:r>
    </w:p>
    <w:p w14:paraId="215D0094" w14:textId="77777777" w:rsidR="007C3EF3" w:rsidRDefault="007C3EF3" w:rsidP="007C3EF3">
      <w:pPr>
        <w:pStyle w:val="Text"/>
        <w:ind w:left="0" w:right="0"/>
      </w:pPr>
      <w:r>
        <w:t xml:space="preserve">Every six years, the Department </w:t>
      </w:r>
      <w:proofErr w:type="spellStart"/>
      <w:r>
        <w:t>revalues</w:t>
      </w:r>
      <w:proofErr w:type="spellEnd"/>
      <w:r>
        <w:t xml:space="preserve"> its land and buildings and libraries. However, if at any time management considers that the carrying amount of an asset materially differs from its fair value, then the asset will be revalued regardless of when the last valuation took place. Non-current assets that are acquired between revaluations are held at cost until the next valuation, where they are revalued to fair value.</w:t>
      </w:r>
    </w:p>
    <w:p w14:paraId="07EBE18B" w14:textId="77777777" w:rsidR="007C3EF3" w:rsidRDefault="007C3EF3" w:rsidP="007C3EF3">
      <w:pPr>
        <w:pStyle w:val="Text"/>
        <w:ind w:left="0" w:right="0"/>
      </w:pPr>
      <w:r>
        <w:t xml:space="preserve">The most recent valuations have been conducted as </w:t>
      </w:r>
      <w:proofErr w:type="gramStart"/>
      <w:r>
        <w:t>at</w:t>
      </w:r>
      <w:proofErr w:type="gramEnd"/>
      <w:r>
        <w:t xml:space="preserve"> 30 June 2024. </w:t>
      </w:r>
    </w:p>
    <w:p w14:paraId="2B25643D" w14:textId="77777777" w:rsidR="00D95386" w:rsidRPr="00BC6A65" w:rsidRDefault="00D95386" w:rsidP="00A969AC">
      <w:pPr>
        <w:pStyle w:val="Heading2"/>
        <w:ind w:firstLine="0"/>
      </w:pPr>
      <w:r w:rsidRPr="00A72E84">
        <w:t>Tasmania</w:t>
      </w:r>
      <w:bookmarkEnd w:id="19"/>
    </w:p>
    <w:bookmarkEnd w:id="20"/>
    <w:p w14:paraId="548352BF" w14:textId="77777777" w:rsidR="00A72E84" w:rsidRPr="00182F8D" w:rsidRDefault="00A72E84" w:rsidP="00A969AC">
      <w:pPr>
        <w:pStyle w:val="Text"/>
        <w:ind w:left="0" w:right="0"/>
      </w:pPr>
      <w:r w:rsidRPr="00182F8D">
        <w:t>Land, buildings, heritage assets and other long-lived assets are recorded at fair value less accumulated depreciation, whilst all other non-current physical assets are recorded at historic cost less accumulated depreciation and accumulated impairment losses. All assets within a class of assets are measured on the same basis.</w:t>
      </w:r>
    </w:p>
    <w:p w14:paraId="4D0A5A61" w14:textId="77777777" w:rsidR="00A72E84" w:rsidRDefault="00A72E84" w:rsidP="00A969AC">
      <w:pPr>
        <w:pStyle w:val="Text"/>
        <w:ind w:left="0" w:right="0"/>
      </w:pPr>
      <w:r w:rsidRPr="00182F8D">
        <w:t xml:space="preserve">Three methods of valuation were adopted when valuing the land and building assets being depreciated replacement cost, a comparable sales approach and an income approach.  Specialised building assets such as </w:t>
      </w:r>
      <w:proofErr w:type="spellStart"/>
      <w:r w:rsidRPr="00182F8D">
        <w:t>TasTAFE</w:t>
      </w:r>
      <w:proofErr w:type="spellEnd"/>
      <w:r w:rsidRPr="00182F8D">
        <w:t xml:space="preserve"> buildings are valued using a depreciated replacement cost method because there are no comparable sale transactions. The majority of </w:t>
      </w:r>
      <w:proofErr w:type="spellStart"/>
      <w:r w:rsidRPr="00182F8D">
        <w:t>TasTAFE</w:t>
      </w:r>
      <w:proofErr w:type="spellEnd"/>
      <w:r w:rsidRPr="00182F8D">
        <w:t xml:space="preserve"> building assets are valued using depreciated replacement cost. The comparable sales approach was used to value market type assets such as vacant land. This approach considers market sales evidence that is comparable to the subject asset. The income approach was adopted for market type assets such as office buildings. This approach considers the rental earning capacity of the building to calculate the valuation.</w:t>
      </w:r>
    </w:p>
    <w:p w14:paraId="2F417AFB" w14:textId="76844538" w:rsidR="00552688" w:rsidRPr="00552688" w:rsidRDefault="00D95386" w:rsidP="00A969AC">
      <w:pPr>
        <w:pStyle w:val="Heading2"/>
        <w:ind w:firstLine="0"/>
      </w:pPr>
      <w:bookmarkStart w:id="21" w:name="_Toc15641696"/>
      <w:bookmarkStart w:id="22" w:name="_Hlk15641611"/>
      <w:r w:rsidRPr="00B21B33">
        <w:lastRenderedPageBreak/>
        <w:t>Northern Territory</w:t>
      </w:r>
      <w:bookmarkEnd w:id="21"/>
      <w:bookmarkEnd w:id="22"/>
    </w:p>
    <w:p w14:paraId="5B089C7B" w14:textId="77777777" w:rsidR="00552688" w:rsidRPr="00906642" w:rsidRDefault="00552688" w:rsidP="00A969AC">
      <w:pPr>
        <w:pStyle w:val="Text"/>
        <w:ind w:left="0" w:right="0"/>
      </w:pPr>
      <w:r w:rsidRPr="00906642">
        <w:t xml:space="preserve">Department of Industry, Tourism and Trade, Department of Education, Department of the Attorney General and Justice: </w:t>
      </w:r>
      <w:proofErr w:type="gramStart"/>
      <w:r w:rsidRPr="00906642">
        <w:t>Subsequent to</w:t>
      </w:r>
      <w:proofErr w:type="gramEnd"/>
      <w:r w:rsidRPr="00906642">
        <w:t xml:space="preserve"> initial recognition, land and buildings are revalued with sufficient regularity to ensure that the carrying amount of these assets does not differ materially from their fair value. Plant and equipment are stated at historical cost less depreciation, which is deemed to equate to fair value.</w:t>
      </w:r>
    </w:p>
    <w:p w14:paraId="35C3A16E" w14:textId="77777777" w:rsidR="00A97D13" w:rsidRPr="00906642" w:rsidRDefault="00552688" w:rsidP="00A969AC">
      <w:pPr>
        <w:pStyle w:val="Text"/>
        <w:ind w:left="0" w:right="0"/>
        <w:rPr>
          <w:i/>
        </w:rPr>
      </w:pPr>
      <w:r w:rsidRPr="00906642">
        <w:rPr>
          <w:i/>
        </w:rPr>
        <w:t>Charles Darwin University</w:t>
      </w:r>
      <w:r w:rsidRPr="00906642">
        <w:t>: Land and buildings are valued at fair value.</w:t>
      </w:r>
    </w:p>
    <w:p w14:paraId="6F4BB696" w14:textId="06B3AB69" w:rsidR="00552688" w:rsidRDefault="00552688" w:rsidP="00A969AC">
      <w:pPr>
        <w:pStyle w:val="Text"/>
        <w:ind w:left="0" w:right="0"/>
      </w:pPr>
      <w:r w:rsidRPr="00906642">
        <w:rPr>
          <w:i/>
        </w:rPr>
        <w:t>Batchelor Institute of Indigenous Tertiary Education</w:t>
      </w:r>
      <w:r w:rsidRPr="00906642">
        <w:t xml:space="preserve">: Land and buildings are valued at fair value. Batchelor </w:t>
      </w:r>
      <w:proofErr w:type="spellStart"/>
      <w:r w:rsidRPr="00906642">
        <w:t>revalues</w:t>
      </w:r>
      <w:proofErr w:type="spellEnd"/>
      <w:r w:rsidRPr="00906642">
        <w:t xml:space="preserve"> property, plant and equipment and Library items every five years by an external independent valuer.  In addition to the external valuation every five years, the artwork collections are subject to periodic review by electronic means.</w:t>
      </w:r>
    </w:p>
    <w:p w14:paraId="3DA0A8A3" w14:textId="77777777" w:rsidR="00D95386" w:rsidRPr="00B21B33" w:rsidRDefault="00D95386" w:rsidP="00A969AC">
      <w:pPr>
        <w:pStyle w:val="Heading2"/>
        <w:ind w:firstLine="0"/>
      </w:pPr>
      <w:bookmarkStart w:id="23" w:name="_Toc15641697"/>
      <w:bookmarkStart w:id="24" w:name="_Hlk15640110"/>
      <w:r w:rsidRPr="00F07F48">
        <w:t>Australian Capital Territory</w:t>
      </w:r>
      <w:bookmarkEnd w:id="23"/>
    </w:p>
    <w:bookmarkEnd w:id="24"/>
    <w:p w14:paraId="57725067" w14:textId="77777777" w:rsidR="00435234" w:rsidRPr="00435234" w:rsidRDefault="00435234" w:rsidP="00A969AC">
      <w:pPr>
        <w:pStyle w:val="Text"/>
        <w:ind w:left="0" w:right="0"/>
      </w:pPr>
      <w:r w:rsidRPr="00435234">
        <w:t>The Canberra Institute of Technology conducted an asset revaluation in 2014 for its land, buildings and building improvements, plant and equipment, heritage assets and artworks.</w:t>
      </w:r>
    </w:p>
    <w:p w14:paraId="57835B6E" w14:textId="77777777" w:rsidR="00435234" w:rsidRPr="00435234" w:rsidRDefault="00435234" w:rsidP="00A969AC">
      <w:pPr>
        <w:pStyle w:val="Text"/>
        <w:ind w:left="0" w:right="0"/>
      </w:pPr>
      <w:r w:rsidRPr="00435234">
        <w:t>Fair value for land and non-specialised buildings is measured using the market approach valuation technique. This approach uses prices and other relevant information generated by market transactions involving identical or similar assets.</w:t>
      </w:r>
    </w:p>
    <w:p w14:paraId="655766E5" w14:textId="77777777" w:rsidR="00435234" w:rsidRPr="00435234" w:rsidRDefault="00435234" w:rsidP="00A969AC">
      <w:pPr>
        <w:pStyle w:val="Text"/>
        <w:ind w:left="0" w:right="0"/>
      </w:pPr>
      <w:r w:rsidRPr="00435234">
        <w:t xml:space="preserve">Leasehold improvements </w:t>
      </w:r>
      <w:r w:rsidR="00C53AE5">
        <w:t xml:space="preserve">and plant and equipment </w:t>
      </w:r>
      <w:r w:rsidRPr="00435234">
        <w:t xml:space="preserve">are measured at cost. </w:t>
      </w:r>
    </w:p>
    <w:p w14:paraId="65135A85" w14:textId="77777777" w:rsidR="00435234" w:rsidRPr="00435234" w:rsidRDefault="00435234" w:rsidP="00A969AC">
      <w:pPr>
        <w:pStyle w:val="Text"/>
        <w:ind w:left="0" w:right="0"/>
      </w:pPr>
      <w:r w:rsidRPr="00435234">
        <w:t>Heritage assets artworks comprise works produced by students and held for permanent exhibition, for which fair value is determined using a market price where there is a market for the same or a similar item.</w:t>
      </w:r>
    </w:p>
    <w:p w14:paraId="32849FC5" w14:textId="300B3E2C" w:rsidR="00435234" w:rsidRPr="00435234" w:rsidRDefault="00435234" w:rsidP="00A969AC">
      <w:pPr>
        <w:pStyle w:val="Text"/>
        <w:ind w:left="0" w:right="0"/>
      </w:pPr>
      <w:r w:rsidRPr="00435234">
        <w:t xml:space="preserve">Land, buildings, plant and equipment, and heritage assets are revalued every three years. </w:t>
      </w:r>
      <w:r w:rsidR="009F18D1" w:rsidRPr="009F18D1">
        <w:t xml:space="preserve">Land and building assets were revalued </w:t>
      </w:r>
      <w:r w:rsidR="009F18D1">
        <w:t xml:space="preserve">in </w:t>
      </w:r>
      <w:r w:rsidR="009F18D1" w:rsidRPr="009F18D1">
        <w:t xml:space="preserve">2022. </w:t>
      </w:r>
      <w:r w:rsidR="009F18D1">
        <w:t>I</w:t>
      </w:r>
      <w:r w:rsidRPr="00435234">
        <w:t>f at any time management considers that the carrying amount of an asset materially differs from its fair value, then the asset will be revalued regardless of when the last valuation took place. Any accumulated depreciation relating to buildings, plant and equipment and heritage assets, at the date of revaluation, is written-back against the gross carrying amount of the asset, and the net amount is restated to the revalued amount of the asset.</w:t>
      </w:r>
    </w:p>
    <w:p w14:paraId="33F1F0F3" w14:textId="77777777" w:rsidR="000D4737" w:rsidRDefault="000D4737">
      <w:pPr>
        <w:spacing w:before="0"/>
        <w:rPr>
          <w:rFonts w:ascii="Arial" w:hAnsi="Arial"/>
          <w:kern w:val="28"/>
          <w:sz w:val="56"/>
          <w:szCs w:val="36"/>
          <w:lang w:eastAsia="en-US"/>
        </w:rPr>
      </w:pPr>
      <w:bookmarkStart w:id="25" w:name="_Toc51468439"/>
      <w:bookmarkStart w:id="26" w:name="_Toc15641698"/>
      <w:r>
        <w:br w:type="page"/>
      </w:r>
    </w:p>
    <w:p w14:paraId="24F22149" w14:textId="09FFC33F" w:rsidR="00435234" w:rsidRPr="00BC6A65" w:rsidRDefault="00435234" w:rsidP="00A969AC">
      <w:pPr>
        <w:pStyle w:val="Heading1"/>
        <w:ind w:firstLine="0"/>
      </w:pPr>
      <w:r w:rsidRPr="00BC6A65">
        <w:lastRenderedPageBreak/>
        <w:t>Current depreciation methods for non-current physical assets</w:t>
      </w:r>
      <w:bookmarkEnd w:id="25"/>
      <w:bookmarkEnd w:id="26"/>
    </w:p>
    <w:p w14:paraId="77F3A364" w14:textId="77777777" w:rsidR="00BC551D" w:rsidRPr="00BC551D" w:rsidRDefault="00BC551D" w:rsidP="00FD0BD3">
      <w:pPr>
        <w:pStyle w:val="Heading2"/>
        <w:spacing w:before="360"/>
        <w:ind w:firstLine="0"/>
      </w:pPr>
      <w:bookmarkStart w:id="27" w:name="_Toc15641699"/>
      <w:r w:rsidRPr="00F07F48">
        <w:t>New South Wales</w:t>
      </w:r>
      <w:bookmarkEnd w:id="27"/>
    </w:p>
    <w:p w14:paraId="58D0242B" w14:textId="77777777" w:rsidR="003B1179" w:rsidRPr="00435234" w:rsidRDefault="003B1179" w:rsidP="009C1551">
      <w:pPr>
        <w:pStyle w:val="Text"/>
        <w:ind w:left="0" w:right="-2"/>
      </w:pPr>
      <w:bookmarkStart w:id="28" w:name="_Toc15641700"/>
      <w:r>
        <w:t>D</w:t>
      </w:r>
      <w:r w:rsidRPr="00435234">
        <w:t xml:space="preserve">epreciation is provided for on a straight-line basis </w:t>
      </w:r>
      <w:proofErr w:type="gramStart"/>
      <w:r w:rsidRPr="00435234">
        <w:t>so as to</w:t>
      </w:r>
      <w:proofErr w:type="gramEnd"/>
      <w:r w:rsidRPr="00435234">
        <w:t xml:space="preserve"> write off the depreciable amount of each asset as it is consumed over its useful life by the state.</w:t>
      </w:r>
      <w:r w:rsidRPr="00E535F8">
        <w:t xml:space="preserve"> </w:t>
      </w:r>
      <w:r w:rsidRPr="00435234">
        <w:t>Land is not a depreciable asset.</w:t>
      </w:r>
    </w:p>
    <w:p w14:paraId="440874BD" w14:textId="77777777" w:rsidR="003B1179" w:rsidRPr="00435234" w:rsidRDefault="003B1179" w:rsidP="00A969AC">
      <w:pPr>
        <w:pStyle w:val="Text"/>
        <w:ind w:left="0"/>
      </w:pPr>
      <w:r w:rsidRPr="00435234">
        <w:t>All material identifiable components of assets are depreciated separately over their useful lives.</w:t>
      </w:r>
    </w:p>
    <w:tbl>
      <w:tblPr>
        <w:tblW w:w="5000" w:type="pct"/>
        <w:tblLook w:val="0000" w:firstRow="0" w:lastRow="0" w:firstColumn="0" w:lastColumn="0" w:noHBand="0" w:noVBand="0"/>
      </w:tblPr>
      <w:tblGrid>
        <w:gridCol w:w="3739"/>
        <w:gridCol w:w="5331"/>
      </w:tblGrid>
      <w:tr w:rsidR="003B1179" w:rsidRPr="00435234" w14:paraId="1DC1A4D5" w14:textId="77777777" w:rsidTr="004B6E3D">
        <w:trPr>
          <w:trHeight w:val="292"/>
        </w:trPr>
        <w:tc>
          <w:tcPr>
            <w:tcW w:w="2061" w:type="pct"/>
            <w:tcBorders>
              <w:top w:val="single" w:sz="4" w:space="0" w:color="auto"/>
              <w:bottom w:val="single" w:sz="4" w:space="0" w:color="auto"/>
            </w:tcBorders>
          </w:tcPr>
          <w:p w14:paraId="4C091778" w14:textId="77777777" w:rsidR="003B1179" w:rsidRPr="00435234" w:rsidRDefault="003B1179" w:rsidP="00A969AC">
            <w:pPr>
              <w:pStyle w:val="Tablehead1"/>
            </w:pPr>
            <w:r w:rsidRPr="00435234">
              <w:t>Asset</w:t>
            </w:r>
          </w:p>
        </w:tc>
        <w:tc>
          <w:tcPr>
            <w:tcW w:w="2939" w:type="pct"/>
            <w:tcBorders>
              <w:top w:val="single" w:sz="4" w:space="0" w:color="auto"/>
              <w:bottom w:val="single" w:sz="4" w:space="0" w:color="auto"/>
            </w:tcBorders>
          </w:tcPr>
          <w:p w14:paraId="13D6427E" w14:textId="1C944839" w:rsidR="003B1179" w:rsidRPr="00435234" w:rsidRDefault="003B1179" w:rsidP="00A969AC">
            <w:pPr>
              <w:pStyle w:val="Tablehead1"/>
            </w:pPr>
            <w:r w:rsidRPr="00435234">
              <w:t>Useful life range</w:t>
            </w:r>
          </w:p>
        </w:tc>
      </w:tr>
      <w:tr w:rsidR="003B1179" w:rsidRPr="00435234" w14:paraId="6A79423F" w14:textId="77777777" w:rsidTr="004B6E3D">
        <w:trPr>
          <w:trHeight w:val="292"/>
        </w:trPr>
        <w:tc>
          <w:tcPr>
            <w:tcW w:w="2061" w:type="pct"/>
            <w:tcBorders>
              <w:top w:val="single" w:sz="4" w:space="0" w:color="auto"/>
            </w:tcBorders>
          </w:tcPr>
          <w:p w14:paraId="28DD36AD" w14:textId="77777777" w:rsidR="003B1179" w:rsidRPr="00435234" w:rsidRDefault="003B1179" w:rsidP="00D912CB">
            <w:pPr>
              <w:pStyle w:val="Tabletext"/>
            </w:pPr>
            <w:r w:rsidRPr="00435234">
              <w:t xml:space="preserve">Buildings </w:t>
            </w:r>
          </w:p>
        </w:tc>
        <w:tc>
          <w:tcPr>
            <w:tcW w:w="2939" w:type="pct"/>
            <w:tcBorders>
              <w:top w:val="single" w:sz="4" w:space="0" w:color="auto"/>
            </w:tcBorders>
          </w:tcPr>
          <w:p w14:paraId="498766A2" w14:textId="311F76A7" w:rsidR="003B1179" w:rsidRPr="00435234" w:rsidRDefault="003B1179" w:rsidP="00D912CB">
            <w:pPr>
              <w:pStyle w:val="Tabletext"/>
            </w:pPr>
            <w:r>
              <w:t>1</w:t>
            </w:r>
            <w:r w:rsidR="00182F8D">
              <w:t>2</w:t>
            </w:r>
            <w:r w:rsidRPr="00435234">
              <w:t xml:space="preserve"> </w:t>
            </w:r>
            <w:r w:rsidR="00B5319B">
              <w:t>-</w:t>
            </w:r>
            <w:r w:rsidRPr="00435234">
              <w:t xml:space="preserve"> </w:t>
            </w:r>
            <w:r w:rsidR="00182F8D">
              <w:t>70</w:t>
            </w:r>
            <w:r w:rsidRPr="00435234">
              <w:t xml:space="preserve"> years</w:t>
            </w:r>
          </w:p>
        </w:tc>
      </w:tr>
      <w:tr w:rsidR="003B1179" w:rsidRPr="00435234" w14:paraId="3BB631FB" w14:textId="77777777" w:rsidTr="004B6E3D">
        <w:trPr>
          <w:trHeight w:val="292"/>
        </w:trPr>
        <w:tc>
          <w:tcPr>
            <w:tcW w:w="2061" w:type="pct"/>
          </w:tcPr>
          <w:p w14:paraId="48EF4C38" w14:textId="4F1BC1DA" w:rsidR="003B1179" w:rsidRPr="00435234" w:rsidRDefault="003B1179" w:rsidP="00D912CB">
            <w:pPr>
              <w:pStyle w:val="Tabletext"/>
            </w:pPr>
            <w:r w:rsidRPr="00435234">
              <w:t>Leasehold Improvements</w:t>
            </w:r>
          </w:p>
        </w:tc>
        <w:tc>
          <w:tcPr>
            <w:tcW w:w="2939" w:type="pct"/>
          </w:tcPr>
          <w:p w14:paraId="1F4BD850" w14:textId="77777777" w:rsidR="003B1179" w:rsidRPr="00435234" w:rsidRDefault="003B1179" w:rsidP="00D912CB">
            <w:pPr>
              <w:pStyle w:val="Tabletext"/>
            </w:pPr>
            <w:r w:rsidRPr="00435234">
              <w:t>Term of the lease</w:t>
            </w:r>
          </w:p>
        </w:tc>
      </w:tr>
      <w:tr w:rsidR="003B1179" w:rsidRPr="00435234" w14:paraId="51B54FD8" w14:textId="77777777" w:rsidTr="004B6E3D">
        <w:trPr>
          <w:trHeight w:val="292"/>
        </w:trPr>
        <w:tc>
          <w:tcPr>
            <w:tcW w:w="2061" w:type="pct"/>
          </w:tcPr>
          <w:p w14:paraId="57A83782" w14:textId="564F3CEC" w:rsidR="003B1179" w:rsidRPr="00435234" w:rsidRDefault="003B1179" w:rsidP="00D912CB">
            <w:pPr>
              <w:pStyle w:val="Tabletext"/>
            </w:pPr>
            <w:r w:rsidRPr="00435234">
              <w:t>Heritage Buildings</w:t>
            </w:r>
          </w:p>
        </w:tc>
        <w:tc>
          <w:tcPr>
            <w:tcW w:w="2939" w:type="pct"/>
          </w:tcPr>
          <w:p w14:paraId="6B666172" w14:textId="01236456" w:rsidR="003B1179" w:rsidRPr="00435234" w:rsidRDefault="003B1179" w:rsidP="00D912CB">
            <w:pPr>
              <w:pStyle w:val="Tabletext"/>
            </w:pPr>
            <w:r>
              <w:t xml:space="preserve">20 </w:t>
            </w:r>
            <w:r w:rsidR="00B5319B">
              <w:t>-</w:t>
            </w:r>
            <w:r>
              <w:t xml:space="preserve"> 200 years</w:t>
            </w:r>
          </w:p>
        </w:tc>
      </w:tr>
      <w:tr w:rsidR="003B1179" w:rsidRPr="00435234" w14:paraId="7A0284F6" w14:textId="77777777" w:rsidTr="004B6E3D">
        <w:trPr>
          <w:trHeight w:val="292"/>
        </w:trPr>
        <w:tc>
          <w:tcPr>
            <w:tcW w:w="2061" w:type="pct"/>
            <w:tcBorders>
              <w:bottom w:val="single" w:sz="4" w:space="0" w:color="auto"/>
            </w:tcBorders>
          </w:tcPr>
          <w:p w14:paraId="33C4EE02" w14:textId="2D35DA59" w:rsidR="003B1179" w:rsidRPr="00435234" w:rsidRDefault="003B1179" w:rsidP="00D912CB">
            <w:pPr>
              <w:pStyle w:val="Tabletext"/>
            </w:pPr>
            <w:r w:rsidRPr="00435234">
              <w:t>Plant and Equipment</w:t>
            </w:r>
          </w:p>
        </w:tc>
        <w:tc>
          <w:tcPr>
            <w:tcW w:w="2939" w:type="pct"/>
            <w:tcBorders>
              <w:bottom w:val="single" w:sz="4" w:space="0" w:color="auto"/>
            </w:tcBorders>
          </w:tcPr>
          <w:p w14:paraId="24EB82B8" w14:textId="45CCD97C" w:rsidR="003B1179" w:rsidRPr="00435234" w:rsidRDefault="003B1179" w:rsidP="00D912CB">
            <w:pPr>
              <w:pStyle w:val="Tabletext"/>
            </w:pPr>
            <w:r w:rsidRPr="00435234">
              <w:t xml:space="preserve">3 </w:t>
            </w:r>
            <w:r w:rsidR="00B5319B">
              <w:t>-</w:t>
            </w:r>
            <w:r w:rsidRPr="00435234">
              <w:t xml:space="preserve"> 43 years</w:t>
            </w:r>
          </w:p>
        </w:tc>
      </w:tr>
    </w:tbl>
    <w:p w14:paraId="4DB3D371" w14:textId="77777777" w:rsidR="00BC6A65" w:rsidRPr="00BC6A65" w:rsidRDefault="00BC6A65" w:rsidP="00FD0BD3">
      <w:pPr>
        <w:pStyle w:val="Heading2"/>
        <w:spacing w:before="360"/>
        <w:ind w:firstLine="0"/>
      </w:pPr>
      <w:r w:rsidRPr="00A72E84">
        <w:t>Victoria</w:t>
      </w:r>
      <w:bookmarkEnd w:id="28"/>
    </w:p>
    <w:p w14:paraId="06C37C7B" w14:textId="77777777" w:rsidR="00435234" w:rsidRPr="00435234" w:rsidRDefault="00435234" w:rsidP="009C1551">
      <w:pPr>
        <w:pStyle w:val="Text"/>
        <w:ind w:left="0" w:right="-2"/>
      </w:pPr>
      <w:r w:rsidRPr="00126B55">
        <w:t>Depreciation is provided on property, plant and equipment, including buildings but excluding land. Depreciation is calculated on a straight-line basis to write off the cost or revalued amount for each fixed asset, less its estimated residual value, over its expected useful life. The expected useful life of each asset is reviewed on an annual basis.</w:t>
      </w:r>
    </w:p>
    <w:p w14:paraId="148B39C7" w14:textId="77777777" w:rsidR="00BC6A65" w:rsidRPr="00BC6A65" w:rsidRDefault="00BC6A65" w:rsidP="00FD0BD3">
      <w:pPr>
        <w:pStyle w:val="Heading2"/>
        <w:spacing w:before="360"/>
        <w:ind w:firstLine="0"/>
      </w:pPr>
      <w:bookmarkStart w:id="29" w:name="_Toc15641701"/>
      <w:r w:rsidRPr="00BC6A65">
        <w:t>Queensland</w:t>
      </w:r>
      <w:bookmarkEnd w:id="29"/>
    </w:p>
    <w:p w14:paraId="09187787" w14:textId="382DA6CC" w:rsidR="00FE04C6" w:rsidRPr="00435234" w:rsidRDefault="00FE04C6" w:rsidP="009C1551">
      <w:pPr>
        <w:pStyle w:val="Text"/>
        <w:ind w:left="0" w:right="0"/>
      </w:pPr>
      <w:r w:rsidRPr="00435234">
        <w:t xml:space="preserve">Property, plant and equipment are depreciated on a straight-line basis </w:t>
      </w:r>
      <w:proofErr w:type="gramStart"/>
      <w:r w:rsidRPr="00435234">
        <w:t>so as to</w:t>
      </w:r>
      <w:proofErr w:type="gramEnd"/>
      <w:r w:rsidRPr="00435234">
        <w:t xml:space="preserve"> allocate the net cost or revalued amount of each asset, less its estimated residual value, progressively over its estimated useful life.</w:t>
      </w:r>
    </w:p>
    <w:p w14:paraId="3A692D1E" w14:textId="77777777" w:rsidR="00BC6A65" w:rsidRPr="00BC6A65" w:rsidRDefault="00BC6A65" w:rsidP="00FD0BD3">
      <w:pPr>
        <w:pStyle w:val="Heading2"/>
        <w:spacing w:before="360"/>
        <w:ind w:firstLine="0"/>
      </w:pPr>
      <w:bookmarkStart w:id="30" w:name="_Toc15641702"/>
      <w:r w:rsidRPr="00BC6A65">
        <w:t>Western Australia</w:t>
      </w:r>
      <w:bookmarkEnd w:id="30"/>
    </w:p>
    <w:p w14:paraId="6FF4B9D4" w14:textId="77777777" w:rsidR="00435234" w:rsidRPr="00435234" w:rsidRDefault="00435234" w:rsidP="009C1551">
      <w:pPr>
        <w:pStyle w:val="Text"/>
        <w:ind w:left="0" w:right="0"/>
      </w:pPr>
      <w:r w:rsidRPr="00435234">
        <w:t xml:space="preserve">Depreciation and amortisation </w:t>
      </w:r>
      <w:proofErr w:type="gramStart"/>
      <w:r w:rsidRPr="00435234">
        <w:t>is</w:t>
      </w:r>
      <w:proofErr w:type="gramEnd"/>
      <w:r w:rsidRPr="00435234">
        <w:t xml:space="preserve"> calculated using the straight-line method, using rates which are reviewed annually. Estimated useful lives for each class of depreciable asset are as follows:</w:t>
      </w:r>
    </w:p>
    <w:tbl>
      <w:tblPr>
        <w:tblW w:w="5000" w:type="pct"/>
        <w:tblLook w:val="0000" w:firstRow="0" w:lastRow="0" w:firstColumn="0" w:lastColumn="0" w:noHBand="0" w:noVBand="0"/>
      </w:tblPr>
      <w:tblGrid>
        <w:gridCol w:w="4297"/>
        <w:gridCol w:w="4773"/>
      </w:tblGrid>
      <w:tr w:rsidR="00435234" w:rsidRPr="00435234" w14:paraId="6FCEF1EE" w14:textId="77777777" w:rsidTr="004B6E3D">
        <w:tc>
          <w:tcPr>
            <w:tcW w:w="2369" w:type="pct"/>
            <w:tcBorders>
              <w:top w:val="single" w:sz="4" w:space="0" w:color="auto"/>
              <w:bottom w:val="single" w:sz="4" w:space="0" w:color="auto"/>
            </w:tcBorders>
          </w:tcPr>
          <w:p w14:paraId="1A89E35E" w14:textId="77777777" w:rsidR="00435234" w:rsidRPr="00432D03" w:rsidRDefault="00435234" w:rsidP="009C1551">
            <w:pPr>
              <w:pStyle w:val="Tablehead1"/>
              <w:rPr>
                <w:lang w:val="en-US"/>
              </w:rPr>
            </w:pPr>
            <w:r w:rsidRPr="00432D03">
              <w:rPr>
                <w:lang w:val="en-US"/>
              </w:rPr>
              <w:t>Asset</w:t>
            </w:r>
          </w:p>
        </w:tc>
        <w:tc>
          <w:tcPr>
            <w:tcW w:w="2631" w:type="pct"/>
            <w:tcBorders>
              <w:top w:val="single" w:sz="4" w:space="0" w:color="auto"/>
              <w:bottom w:val="single" w:sz="4" w:space="0" w:color="auto"/>
            </w:tcBorders>
          </w:tcPr>
          <w:p w14:paraId="36E44F9C" w14:textId="06065FED" w:rsidR="00435234" w:rsidRPr="00432D03" w:rsidRDefault="00435234" w:rsidP="009C1551">
            <w:pPr>
              <w:pStyle w:val="Tablehead1"/>
              <w:rPr>
                <w:lang w:val="en-US"/>
              </w:rPr>
            </w:pPr>
            <w:r w:rsidRPr="00432D03">
              <w:rPr>
                <w:lang w:val="en-US"/>
              </w:rPr>
              <w:t>Useful life</w:t>
            </w:r>
          </w:p>
        </w:tc>
      </w:tr>
      <w:tr w:rsidR="00435234" w:rsidRPr="00435234" w14:paraId="58589311" w14:textId="77777777" w:rsidTr="004B6E3D">
        <w:tblPrEx>
          <w:tblBorders>
            <w:top w:val="single" w:sz="8" w:space="0" w:color="auto"/>
          </w:tblBorders>
        </w:tblPrEx>
        <w:trPr>
          <w:trHeight w:val="284"/>
        </w:trPr>
        <w:tc>
          <w:tcPr>
            <w:tcW w:w="2369" w:type="pct"/>
            <w:tcBorders>
              <w:top w:val="single" w:sz="4" w:space="0" w:color="auto"/>
            </w:tcBorders>
          </w:tcPr>
          <w:p w14:paraId="712424A1" w14:textId="77777777" w:rsidR="00435234" w:rsidRPr="00432D03" w:rsidRDefault="00435234" w:rsidP="00D912CB">
            <w:pPr>
              <w:pStyle w:val="Tabletext"/>
              <w:rPr>
                <w:rFonts w:eastAsia="Cambria"/>
              </w:rPr>
            </w:pPr>
            <w:r w:rsidRPr="00432D03">
              <w:rPr>
                <w:rFonts w:eastAsia="Cambria"/>
              </w:rPr>
              <w:t>Buildings</w:t>
            </w:r>
          </w:p>
        </w:tc>
        <w:tc>
          <w:tcPr>
            <w:tcW w:w="2631" w:type="pct"/>
            <w:tcBorders>
              <w:top w:val="single" w:sz="4" w:space="0" w:color="auto"/>
            </w:tcBorders>
          </w:tcPr>
          <w:p w14:paraId="129E275B" w14:textId="77777777" w:rsidR="00435234" w:rsidRPr="00432D03" w:rsidRDefault="00435234" w:rsidP="00D912CB">
            <w:pPr>
              <w:pStyle w:val="Tabletext"/>
              <w:rPr>
                <w:rFonts w:eastAsia="Cambria"/>
              </w:rPr>
            </w:pPr>
            <w:r w:rsidRPr="00432D03">
              <w:rPr>
                <w:rFonts w:eastAsia="Cambria"/>
              </w:rPr>
              <w:t>40 years</w:t>
            </w:r>
          </w:p>
        </w:tc>
      </w:tr>
      <w:tr w:rsidR="00435234" w:rsidRPr="00435234" w14:paraId="68C71AB9" w14:textId="77777777" w:rsidTr="004B6E3D">
        <w:trPr>
          <w:trHeight w:val="284"/>
        </w:trPr>
        <w:tc>
          <w:tcPr>
            <w:tcW w:w="2369" w:type="pct"/>
          </w:tcPr>
          <w:p w14:paraId="590ED82E" w14:textId="08522061" w:rsidR="00435234" w:rsidRPr="00432D03" w:rsidRDefault="00435234" w:rsidP="00D912CB">
            <w:pPr>
              <w:pStyle w:val="Tabletext"/>
              <w:rPr>
                <w:rFonts w:eastAsia="Cambria"/>
              </w:rPr>
            </w:pPr>
            <w:r w:rsidRPr="00432D03">
              <w:rPr>
                <w:rFonts w:eastAsia="Cambria"/>
              </w:rPr>
              <w:t xml:space="preserve">Plant and </w:t>
            </w:r>
            <w:r w:rsidR="008E29BF" w:rsidRPr="00432D03">
              <w:rPr>
                <w:rFonts w:eastAsia="Cambria"/>
              </w:rPr>
              <w:t>Machinery</w:t>
            </w:r>
          </w:p>
        </w:tc>
        <w:tc>
          <w:tcPr>
            <w:tcW w:w="2631" w:type="pct"/>
          </w:tcPr>
          <w:p w14:paraId="298830DB" w14:textId="5EC04443" w:rsidR="00435234" w:rsidRPr="00432D03" w:rsidRDefault="00435234" w:rsidP="00D912CB">
            <w:pPr>
              <w:pStyle w:val="Tabletext"/>
              <w:rPr>
                <w:rFonts w:eastAsia="Cambria"/>
              </w:rPr>
            </w:pPr>
            <w:r w:rsidRPr="00432D03">
              <w:rPr>
                <w:rFonts w:eastAsia="Cambria"/>
              </w:rPr>
              <w:t xml:space="preserve">5 </w:t>
            </w:r>
            <w:r w:rsidR="00B5319B" w:rsidRPr="00432D03">
              <w:rPr>
                <w:rFonts w:eastAsia="Cambria"/>
              </w:rPr>
              <w:t>-</w:t>
            </w:r>
            <w:r w:rsidRPr="00432D03">
              <w:rPr>
                <w:rFonts w:eastAsia="Cambria"/>
              </w:rPr>
              <w:t xml:space="preserve"> </w:t>
            </w:r>
            <w:r w:rsidR="008E29BF" w:rsidRPr="00432D03">
              <w:rPr>
                <w:rFonts w:eastAsia="Cambria"/>
              </w:rPr>
              <w:t>12</w:t>
            </w:r>
            <w:r w:rsidR="00B5319B" w:rsidRPr="00432D03">
              <w:rPr>
                <w:rFonts w:eastAsia="Cambria"/>
              </w:rPr>
              <w:t xml:space="preserve"> </w:t>
            </w:r>
            <w:r w:rsidRPr="00432D03">
              <w:rPr>
                <w:rFonts w:eastAsia="Cambria"/>
              </w:rPr>
              <w:t>years</w:t>
            </w:r>
          </w:p>
        </w:tc>
      </w:tr>
      <w:tr w:rsidR="00435234" w:rsidRPr="00435234" w14:paraId="2EDBA2C5" w14:textId="77777777" w:rsidTr="004B6E3D">
        <w:trPr>
          <w:trHeight w:val="284"/>
        </w:trPr>
        <w:tc>
          <w:tcPr>
            <w:tcW w:w="2369" w:type="pct"/>
          </w:tcPr>
          <w:p w14:paraId="39590AE4" w14:textId="0B4F104A" w:rsidR="00435234" w:rsidRPr="00432D03" w:rsidRDefault="00435234" w:rsidP="00D912CB">
            <w:pPr>
              <w:pStyle w:val="Tabletext"/>
              <w:rPr>
                <w:rFonts w:eastAsia="Cambria"/>
              </w:rPr>
            </w:pPr>
            <w:r w:rsidRPr="00432D03">
              <w:rPr>
                <w:rFonts w:eastAsia="Cambria"/>
              </w:rPr>
              <w:t>Office Equipment</w:t>
            </w:r>
          </w:p>
        </w:tc>
        <w:tc>
          <w:tcPr>
            <w:tcW w:w="2631" w:type="pct"/>
          </w:tcPr>
          <w:p w14:paraId="2803A4F2" w14:textId="79552C8F" w:rsidR="00435234" w:rsidRPr="00432D03" w:rsidRDefault="00A220B3" w:rsidP="00D912CB">
            <w:pPr>
              <w:pStyle w:val="Tabletext"/>
              <w:rPr>
                <w:rFonts w:eastAsia="Cambria"/>
              </w:rPr>
            </w:pPr>
            <w:r>
              <w:rPr>
                <w:rFonts w:eastAsia="Cambria"/>
              </w:rPr>
              <w:t>5</w:t>
            </w:r>
            <w:r w:rsidR="00435234" w:rsidRPr="00432D03">
              <w:rPr>
                <w:rFonts w:eastAsia="Cambria"/>
              </w:rPr>
              <w:t xml:space="preserve"> </w:t>
            </w:r>
            <w:r w:rsidR="00B5319B" w:rsidRPr="00432D03">
              <w:rPr>
                <w:rFonts w:eastAsia="Cambria"/>
              </w:rPr>
              <w:t>-</w:t>
            </w:r>
            <w:r w:rsidR="00435234" w:rsidRPr="00432D03">
              <w:rPr>
                <w:rFonts w:eastAsia="Cambria"/>
              </w:rPr>
              <w:t xml:space="preserve"> 1</w:t>
            </w:r>
            <w:r w:rsidR="008E29BF" w:rsidRPr="00432D03">
              <w:rPr>
                <w:rFonts w:eastAsia="Cambria"/>
              </w:rPr>
              <w:t>5</w:t>
            </w:r>
            <w:r w:rsidR="00435234" w:rsidRPr="00432D03">
              <w:rPr>
                <w:rFonts w:eastAsia="Cambria"/>
              </w:rPr>
              <w:t xml:space="preserve"> years</w:t>
            </w:r>
          </w:p>
        </w:tc>
      </w:tr>
      <w:tr w:rsidR="00435234" w:rsidRPr="00435234" w14:paraId="3CC31534" w14:textId="77777777" w:rsidTr="004B6E3D">
        <w:trPr>
          <w:trHeight w:val="284"/>
        </w:trPr>
        <w:tc>
          <w:tcPr>
            <w:tcW w:w="2369" w:type="pct"/>
          </w:tcPr>
          <w:p w14:paraId="492CD277" w14:textId="77777777" w:rsidR="00435234" w:rsidRPr="00432D03" w:rsidRDefault="00435234" w:rsidP="00D912CB">
            <w:pPr>
              <w:pStyle w:val="Tabletext"/>
              <w:rPr>
                <w:rFonts w:eastAsia="Cambria"/>
              </w:rPr>
            </w:pPr>
            <w:r w:rsidRPr="00432D03">
              <w:rPr>
                <w:rFonts w:eastAsia="Cambria"/>
              </w:rPr>
              <w:t>Computer equipment</w:t>
            </w:r>
          </w:p>
        </w:tc>
        <w:tc>
          <w:tcPr>
            <w:tcW w:w="2631" w:type="pct"/>
          </w:tcPr>
          <w:p w14:paraId="5792FB64" w14:textId="6B5D4EC5" w:rsidR="00435234" w:rsidRPr="00432D03" w:rsidRDefault="00435234" w:rsidP="00D912CB">
            <w:pPr>
              <w:pStyle w:val="Tabletext"/>
              <w:rPr>
                <w:rFonts w:eastAsia="Cambria"/>
              </w:rPr>
            </w:pPr>
            <w:r w:rsidRPr="00432D03">
              <w:rPr>
                <w:rFonts w:eastAsia="Cambria"/>
              </w:rPr>
              <w:t xml:space="preserve">3 </w:t>
            </w:r>
            <w:r w:rsidR="00B5319B" w:rsidRPr="00432D03">
              <w:rPr>
                <w:rFonts w:eastAsia="Cambria"/>
              </w:rPr>
              <w:t>-</w:t>
            </w:r>
            <w:r w:rsidRPr="00432D03">
              <w:rPr>
                <w:rFonts w:eastAsia="Cambria"/>
              </w:rPr>
              <w:t xml:space="preserve"> 5 years</w:t>
            </w:r>
          </w:p>
        </w:tc>
      </w:tr>
      <w:tr w:rsidR="00435234" w:rsidRPr="00435234" w14:paraId="6A41F8D4" w14:textId="77777777" w:rsidTr="004B6E3D">
        <w:trPr>
          <w:trHeight w:val="284"/>
        </w:trPr>
        <w:tc>
          <w:tcPr>
            <w:tcW w:w="2369" w:type="pct"/>
          </w:tcPr>
          <w:p w14:paraId="2311389F" w14:textId="6B74F3B5" w:rsidR="00435234" w:rsidRPr="00432D03" w:rsidRDefault="00435234" w:rsidP="00D912CB">
            <w:pPr>
              <w:pStyle w:val="Tabletext"/>
              <w:rPr>
                <w:rFonts w:eastAsia="Cambria"/>
              </w:rPr>
            </w:pPr>
            <w:r w:rsidRPr="00432D03">
              <w:rPr>
                <w:rFonts w:eastAsia="Cambria"/>
              </w:rPr>
              <w:t>Furniture &amp; Fittings</w:t>
            </w:r>
          </w:p>
        </w:tc>
        <w:tc>
          <w:tcPr>
            <w:tcW w:w="2631" w:type="pct"/>
          </w:tcPr>
          <w:p w14:paraId="66B5DF3C" w14:textId="77777777" w:rsidR="00435234" w:rsidRPr="00432D03" w:rsidRDefault="00435234" w:rsidP="00D912CB">
            <w:pPr>
              <w:pStyle w:val="Tabletext"/>
              <w:rPr>
                <w:rFonts w:eastAsia="Cambria"/>
              </w:rPr>
            </w:pPr>
            <w:r w:rsidRPr="00432D03">
              <w:rPr>
                <w:rFonts w:eastAsia="Cambria"/>
              </w:rPr>
              <w:t>10 years</w:t>
            </w:r>
          </w:p>
        </w:tc>
      </w:tr>
      <w:tr w:rsidR="00435234" w:rsidRPr="00435234" w14:paraId="65C11A7F" w14:textId="77777777" w:rsidTr="004B6E3D">
        <w:trPr>
          <w:trHeight w:val="284"/>
        </w:trPr>
        <w:tc>
          <w:tcPr>
            <w:tcW w:w="2369" w:type="pct"/>
          </w:tcPr>
          <w:p w14:paraId="7FF3DCC4" w14:textId="704DDA1C" w:rsidR="00435234" w:rsidRPr="00432D03" w:rsidRDefault="00435234" w:rsidP="00D912CB">
            <w:pPr>
              <w:pStyle w:val="Tabletext"/>
              <w:rPr>
                <w:rFonts w:eastAsia="Cambria"/>
              </w:rPr>
            </w:pPr>
            <w:r w:rsidRPr="00432D03">
              <w:rPr>
                <w:rFonts w:eastAsia="Cambria"/>
              </w:rPr>
              <w:t>Motor Vehicles</w:t>
            </w:r>
          </w:p>
        </w:tc>
        <w:tc>
          <w:tcPr>
            <w:tcW w:w="2631" w:type="pct"/>
          </w:tcPr>
          <w:p w14:paraId="49693FCB" w14:textId="77777777" w:rsidR="00435234" w:rsidRPr="00432D03" w:rsidRDefault="00435234" w:rsidP="00D912CB">
            <w:pPr>
              <w:pStyle w:val="Tabletext"/>
              <w:rPr>
                <w:rFonts w:eastAsia="Cambria"/>
              </w:rPr>
            </w:pPr>
            <w:r w:rsidRPr="00432D03">
              <w:rPr>
                <w:rFonts w:eastAsia="Cambria"/>
              </w:rPr>
              <w:t>5 years</w:t>
            </w:r>
          </w:p>
        </w:tc>
      </w:tr>
      <w:tr w:rsidR="00435234" w:rsidRPr="00435234" w14:paraId="475AC201" w14:textId="77777777" w:rsidTr="004B6E3D">
        <w:tblPrEx>
          <w:tblBorders>
            <w:bottom w:val="single" w:sz="8" w:space="0" w:color="auto"/>
          </w:tblBorders>
        </w:tblPrEx>
        <w:trPr>
          <w:trHeight w:val="284"/>
        </w:trPr>
        <w:tc>
          <w:tcPr>
            <w:tcW w:w="2369" w:type="pct"/>
            <w:tcBorders>
              <w:bottom w:val="single" w:sz="4" w:space="0" w:color="auto"/>
            </w:tcBorders>
          </w:tcPr>
          <w:p w14:paraId="79FCA1C9" w14:textId="77777777" w:rsidR="00435234" w:rsidRPr="00432D03" w:rsidRDefault="00435234" w:rsidP="00D912CB">
            <w:pPr>
              <w:pStyle w:val="Tabletext"/>
              <w:rPr>
                <w:rFonts w:eastAsia="Cambria"/>
              </w:rPr>
            </w:pPr>
            <w:r w:rsidRPr="00432D03">
              <w:rPr>
                <w:rFonts w:eastAsia="Cambria"/>
              </w:rPr>
              <w:t>Land is not depreciated.</w:t>
            </w:r>
          </w:p>
        </w:tc>
        <w:tc>
          <w:tcPr>
            <w:tcW w:w="2631" w:type="pct"/>
            <w:tcBorders>
              <w:bottom w:val="single" w:sz="4" w:space="0" w:color="auto"/>
            </w:tcBorders>
          </w:tcPr>
          <w:p w14:paraId="6BD78D75" w14:textId="77777777" w:rsidR="00435234" w:rsidRPr="00432D03" w:rsidRDefault="00435234" w:rsidP="00D912CB">
            <w:pPr>
              <w:pStyle w:val="Tabletext"/>
              <w:rPr>
                <w:rFonts w:eastAsia="Cambria"/>
              </w:rPr>
            </w:pPr>
          </w:p>
        </w:tc>
      </w:tr>
    </w:tbl>
    <w:p w14:paraId="7FD18DFB" w14:textId="77777777" w:rsidR="00435234" w:rsidRPr="00435234" w:rsidRDefault="00435234" w:rsidP="009C1551">
      <w:pPr>
        <w:pStyle w:val="Text"/>
        <w:ind w:left="0" w:right="0"/>
      </w:pPr>
      <w:r w:rsidRPr="00435234">
        <w:t>The expected useful lives for each class of intangible assets are as follows:</w:t>
      </w:r>
    </w:p>
    <w:tbl>
      <w:tblPr>
        <w:tblW w:w="5000" w:type="pct"/>
        <w:tblLook w:val="0000" w:firstRow="0" w:lastRow="0" w:firstColumn="0" w:lastColumn="0" w:noHBand="0" w:noVBand="0"/>
      </w:tblPr>
      <w:tblGrid>
        <w:gridCol w:w="4370"/>
        <w:gridCol w:w="4700"/>
      </w:tblGrid>
      <w:tr w:rsidR="00435234" w:rsidRPr="00435234" w14:paraId="0C51B3E4" w14:textId="77777777" w:rsidTr="004B6E3D">
        <w:tc>
          <w:tcPr>
            <w:tcW w:w="2409" w:type="pct"/>
            <w:tcBorders>
              <w:top w:val="single" w:sz="4" w:space="0" w:color="auto"/>
              <w:bottom w:val="single" w:sz="4" w:space="0" w:color="auto"/>
            </w:tcBorders>
          </w:tcPr>
          <w:p w14:paraId="2540CC6C" w14:textId="77777777" w:rsidR="00435234" w:rsidRPr="00432D03" w:rsidRDefault="00435234" w:rsidP="009C1551">
            <w:pPr>
              <w:pStyle w:val="Tablehead1"/>
              <w:rPr>
                <w:lang w:val="en-US"/>
              </w:rPr>
            </w:pPr>
            <w:r w:rsidRPr="00432D03">
              <w:rPr>
                <w:lang w:val="en-US"/>
              </w:rPr>
              <w:t>Asset</w:t>
            </w:r>
          </w:p>
        </w:tc>
        <w:tc>
          <w:tcPr>
            <w:tcW w:w="2591" w:type="pct"/>
            <w:tcBorders>
              <w:top w:val="single" w:sz="4" w:space="0" w:color="auto"/>
              <w:bottom w:val="single" w:sz="4" w:space="0" w:color="auto"/>
            </w:tcBorders>
          </w:tcPr>
          <w:p w14:paraId="41EF16FD" w14:textId="3A93EABF" w:rsidR="00435234" w:rsidRPr="00432D03" w:rsidRDefault="00435234" w:rsidP="009C1551">
            <w:pPr>
              <w:pStyle w:val="Tablehead1"/>
              <w:rPr>
                <w:lang w:val="en-US"/>
              </w:rPr>
            </w:pPr>
            <w:r w:rsidRPr="00432D03">
              <w:rPr>
                <w:lang w:val="en-US"/>
              </w:rPr>
              <w:t>Useful life (years)</w:t>
            </w:r>
          </w:p>
        </w:tc>
      </w:tr>
      <w:tr w:rsidR="00435234" w:rsidRPr="00435234" w14:paraId="423E0ED7" w14:textId="77777777" w:rsidTr="004B6E3D">
        <w:tblPrEx>
          <w:tblBorders>
            <w:top w:val="single" w:sz="8" w:space="0" w:color="auto"/>
          </w:tblBorders>
        </w:tblPrEx>
        <w:trPr>
          <w:trHeight w:val="284"/>
        </w:trPr>
        <w:tc>
          <w:tcPr>
            <w:tcW w:w="2409" w:type="pct"/>
            <w:tcBorders>
              <w:top w:val="single" w:sz="4" w:space="0" w:color="auto"/>
              <w:bottom w:val="nil"/>
            </w:tcBorders>
          </w:tcPr>
          <w:p w14:paraId="356EEC59" w14:textId="77777777" w:rsidR="00435234" w:rsidRPr="00432D03" w:rsidRDefault="00435234" w:rsidP="00D912CB">
            <w:pPr>
              <w:pStyle w:val="Tabletext"/>
              <w:rPr>
                <w:rFonts w:eastAsia="Cambria"/>
              </w:rPr>
            </w:pPr>
            <w:r w:rsidRPr="00432D03">
              <w:rPr>
                <w:rFonts w:eastAsia="Cambria"/>
              </w:rPr>
              <w:t>Computer software*</w:t>
            </w:r>
          </w:p>
        </w:tc>
        <w:tc>
          <w:tcPr>
            <w:tcW w:w="2591" w:type="pct"/>
            <w:tcBorders>
              <w:top w:val="single" w:sz="4" w:space="0" w:color="auto"/>
              <w:bottom w:val="nil"/>
            </w:tcBorders>
          </w:tcPr>
          <w:p w14:paraId="7B6DE6D9" w14:textId="77777777" w:rsidR="00435234" w:rsidRPr="00432D03" w:rsidRDefault="00435234" w:rsidP="00D912CB">
            <w:pPr>
              <w:pStyle w:val="Tabletext"/>
              <w:rPr>
                <w:rFonts w:eastAsia="Cambria"/>
              </w:rPr>
            </w:pPr>
            <w:r w:rsidRPr="00432D03">
              <w:rPr>
                <w:rFonts w:eastAsia="Cambria"/>
              </w:rPr>
              <w:t>3 – 5 years</w:t>
            </w:r>
          </w:p>
        </w:tc>
      </w:tr>
      <w:tr w:rsidR="00435234" w:rsidRPr="00435234" w14:paraId="7242814F" w14:textId="77777777" w:rsidTr="004B6E3D">
        <w:trPr>
          <w:trHeight w:val="284"/>
        </w:trPr>
        <w:tc>
          <w:tcPr>
            <w:tcW w:w="2409" w:type="pct"/>
            <w:tcBorders>
              <w:bottom w:val="single" w:sz="4" w:space="0" w:color="auto"/>
            </w:tcBorders>
          </w:tcPr>
          <w:p w14:paraId="61CC1942" w14:textId="77777777" w:rsidR="00435234" w:rsidRPr="00432D03" w:rsidRDefault="00435234" w:rsidP="00D912CB">
            <w:pPr>
              <w:pStyle w:val="Tabletext"/>
              <w:rPr>
                <w:rFonts w:eastAsia="Cambria"/>
              </w:rPr>
            </w:pPr>
            <w:r w:rsidRPr="00432D03">
              <w:rPr>
                <w:rFonts w:eastAsia="Cambria"/>
              </w:rPr>
              <w:t>Internally developed software</w:t>
            </w:r>
          </w:p>
        </w:tc>
        <w:tc>
          <w:tcPr>
            <w:tcW w:w="2591" w:type="pct"/>
            <w:tcBorders>
              <w:bottom w:val="single" w:sz="4" w:space="0" w:color="auto"/>
            </w:tcBorders>
          </w:tcPr>
          <w:p w14:paraId="6DF1D9EE" w14:textId="77777777" w:rsidR="00435234" w:rsidRPr="00432D03" w:rsidRDefault="00435234" w:rsidP="00D912CB">
            <w:pPr>
              <w:pStyle w:val="Tabletext"/>
              <w:rPr>
                <w:rFonts w:eastAsia="Cambria"/>
              </w:rPr>
            </w:pPr>
            <w:r w:rsidRPr="00432D03">
              <w:rPr>
                <w:rFonts w:eastAsia="Cambria"/>
              </w:rPr>
              <w:t xml:space="preserve">3 – </w:t>
            </w:r>
            <w:r w:rsidR="008E29BF" w:rsidRPr="00432D03">
              <w:rPr>
                <w:rFonts w:eastAsia="Cambria"/>
              </w:rPr>
              <w:t>10</w:t>
            </w:r>
            <w:r w:rsidRPr="00432D03">
              <w:rPr>
                <w:rFonts w:eastAsia="Cambria"/>
              </w:rPr>
              <w:t xml:space="preserve"> years</w:t>
            </w:r>
          </w:p>
        </w:tc>
      </w:tr>
    </w:tbl>
    <w:p w14:paraId="7C67ABA8" w14:textId="77777777" w:rsidR="00435234" w:rsidRPr="00435234" w:rsidRDefault="00435234" w:rsidP="009C1551">
      <w:pPr>
        <w:pStyle w:val="Source"/>
        <w:ind w:left="0"/>
      </w:pPr>
      <w:r w:rsidRPr="00435234">
        <w:t>*Software that is not integral to the operation of any related hardware.</w:t>
      </w:r>
    </w:p>
    <w:p w14:paraId="303144E4" w14:textId="77777777" w:rsidR="00BC6A65" w:rsidRPr="00BC6A65" w:rsidRDefault="00BC6A65" w:rsidP="009C1551">
      <w:pPr>
        <w:pStyle w:val="Heading2"/>
        <w:ind w:firstLine="0"/>
      </w:pPr>
      <w:bookmarkStart w:id="31" w:name="_Toc15641703"/>
      <w:r w:rsidRPr="006751E5">
        <w:lastRenderedPageBreak/>
        <w:t>South Australia</w:t>
      </w:r>
      <w:bookmarkEnd w:id="31"/>
    </w:p>
    <w:p w14:paraId="4D9ACB0C" w14:textId="77777777" w:rsidR="007C3EF3" w:rsidRDefault="007C3EF3" w:rsidP="007C3EF3">
      <w:pPr>
        <w:pStyle w:val="Text"/>
        <w:ind w:left="0" w:right="0"/>
      </w:pPr>
      <w:r>
        <w:t>Non-current assets, having a limited useful life, are systematically depreciated/amortised over their useful lives in a manner that reflects the consumption of their service potential. Amortisation is used in relation to intangible assets such as software, while depreciation is applied to tangible assets such as property, library collections and plant and equipment.</w:t>
      </w:r>
    </w:p>
    <w:p w14:paraId="466C674C" w14:textId="77777777" w:rsidR="007C3EF3" w:rsidRDefault="007C3EF3" w:rsidP="007C3EF3">
      <w:pPr>
        <w:pStyle w:val="Text"/>
        <w:ind w:left="0" w:right="0"/>
      </w:pPr>
      <w:r>
        <w:t>Assets’ residual values, useful lives and amortisation methods are reviewed and adjusted if appropriate, on an annual basis.</w:t>
      </w:r>
    </w:p>
    <w:p w14:paraId="47C3A394" w14:textId="77777777" w:rsidR="007C3EF3" w:rsidRDefault="007C3EF3" w:rsidP="007C3EF3">
      <w:pPr>
        <w:pStyle w:val="Text"/>
        <w:ind w:left="0" w:right="0"/>
      </w:pPr>
      <w:r>
        <w:t xml:space="preserve">Changes in the expected useful life or the expected pattern of consumption of future economic benefits embodied in the asset are accounted for prospectively by changing the </w:t>
      </w:r>
      <w:proofErr w:type="gramStart"/>
      <w:r>
        <w:t>time period</w:t>
      </w:r>
      <w:proofErr w:type="gramEnd"/>
      <w:r>
        <w:t xml:space="preserve"> or method, as appropriate, which is a change in accounting estimate.</w:t>
      </w:r>
    </w:p>
    <w:p w14:paraId="0EBCD347" w14:textId="6C380F57" w:rsidR="007C3EF3" w:rsidRDefault="007C3EF3" w:rsidP="007C3EF3">
      <w:pPr>
        <w:pStyle w:val="Text"/>
        <w:ind w:left="0" w:right="0"/>
      </w:pPr>
      <w:r>
        <w:t>Land and works of art are not depreciated.</w:t>
      </w:r>
    </w:p>
    <w:p w14:paraId="7D0200AA" w14:textId="77777777" w:rsidR="007C3EF3" w:rsidRDefault="007C3EF3" w:rsidP="007C3EF3">
      <w:pPr>
        <w:pStyle w:val="Text"/>
        <w:ind w:left="0" w:right="0"/>
      </w:pPr>
      <w:r w:rsidRPr="00435234">
        <w:t>Depreciation/amortisation is calculated on a straight-line basis over the estimated useful life of the following classes of assets as follows:</w:t>
      </w:r>
    </w:p>
    <w:tbl>
      <w:tblPr>
        <w:tblW w:w="5000" w:type="pct"/>
        <w:tblLook w:val="04A0" w:firstRow="1" w:lastRow="0" w:firstColumn="1" w:lastColumn="0" w:noHBand="0" w:noVBand="1"/>
      </w:tblPr>
      <w:tblGrid>
        <w:gridCol w:w="4537"/>
        <w:gridCol w:w="4533"/>
      </w:tblGrid>
      <w:tr w:rsidR="007C3EF3" w:rsidRPr="00FD0BD3" w14:paraId="0E4BE12E" w14:textId="77777777" w:rsidTr="00FD0BD3">
        <w:tc>
          <w:tcPr>
            <w:tcW w:w="2501" w:type="pct"/>
            <w:tcBorders>
              <w:top w:val="single" w:sz="4" w:space="0" w:color="auto"/>
              <w:left w:val="nil"/>
              <w:bottom w:val="single" w:sz="4" w:space="0" w:color="auto"/>
              <w:right w:val="nil"/>
            </w:tcBorders>
            <w:hideMark/>
          </w:tcPr>
          <w:p w14:paraId="50E06A99" w14:textId="77777777" w:rsidR="007C3EF3" w:rsidRPr="00FD0BD3" w:rsidRDefault="007C3EF3" w:rsidP="009F2705">
            <w:pPr>
              <w:pStyle w:val="Tablehead1"/>
              <w:rPr>
                <w:rFonts w:ascii="Trebuchet MS" w:hAnsi="Trebuchet MS"/>
                <w:szCs w:val="17"/>
                <w:lang w:val="en-US"/>
              </w:rPr>
            </w:pPr>
            <w:r w:rsidRPr="00FD0BD3">
              <w:rPr>
                <w:rFonts w:ascii="Trebuchet MS" w:hAnsi="Trebuchet MS"/>
                <w:szCs w:val="17"/>
                <w:lang w:val="en-US"/>
              </w:rPr>
              <w:t>Asset</w:t>
            </w:r>
          </w:p>
        </w:tc>
        <w:tc>
          <w:tcPr>
            <w:tcW w:w="2499" w:type="pct"/>
            <w:tcBorders>
              <w:top w:val="single" w:sz="4" w:space="0" w:color="auto"/>
              <w:left w:val="nil"/>
              <w:bottom w:val="single" w:sz="4" w:space="0" w:color="auto"/>
              <w:right w:val="nil"/>
            </w:tcBorders>
            <w:hideMark/>
          </w:tcPr>
          <w:p w14:paraId="4C665EB3" w14:textId="77777777" w:rsidR="007C3EF3" w:rsidRPr="00FD0BD3" w:rsidRDefault="007C3EF3" w:rsidP="009F2705">
            <w:pPr>
              <w:pStyle w:val="Tablehead1"/>
              <w:rPr>
                <w:rFonts w:ascii="Trebuchet MS" w:hAnsi="Trebuchet MS"/>
                <w:szCs w:val="17"/>
                <w:lang w:val="en-US"/>
              </w:rPr>
            </w:pPr>
            <w:r w:rsidRPr="00FD0BD3">
              <w:rPr>
                <w:rFonts w:ascii="Trebuchet MS" w:hAnsi="Trebuchet MS"/>
                <w:szCs w:val="17"/>
                <w:lang w:val="en-US"/>
              </w:rPr>
              <w:t>Useful life (years)</w:t>
            </w:r>
          </w:p>
        </w:tc>
      </w:tr>
      <w:tr w:rsidR="007C3EF3" w:rsidRPr="00A220B3" w14:paraId="054FA0AB" w14:textId="77777777" w:rsidTr="00FD0BD3">
        <w:tc>
          <w:tcPr>
            <w:tcW w:w="2501" w:type="pct"/>
            <w:tcBorders>
              <w:top w:val="single" w:sz="4" w:space="0" w:color="auto"/>
              <w:left w:val="nil"/>
              <w:right w:val="nil"/>
            </w:tcBorders>
            <w:hideMark/>
          </w:tcPr>
          <w:p w14:paraId="100A679F" w14:textId="77777777" w:rsidR="007C3EF3" w:rsidRPr="00D52417" w:rsidRDefault="007C3EF3" w:rsidP="009F2705">
            <w:pPr>
              <w:pStyle w:val="Tabletext"/>
              <w:rPr>
                <w:rFonts w:eastAsia="Cambria"/>
              </w:rPr>
            </w:pPr>
            <w:r w:rsidRPr="00D52417">
              <w:rPr>
                <w:rFonts w:eastAsia="Cambria"/>
              </w:rPr>
              <w:t xml:space="preserve">Buildings and improvements </w:t>
            </w:r>
          </w:p>
        </w:tc>
        <w:tc>
          <w:tcPr>
            <w:tcW w:w="2499" w:type="pct"/>
            <w:tcBorders>
              <w:top w:val="single" w:sz="4" w:space="0" w:color="auto"/>
              <w:left w:val="nil"/>
              <w:right w:val="nil"/>
            </w:tcBorders>
            <w:hideMark/>
          </w:tcPr>
          <w:p w14:paraId="7A36044B" w14:textId="77777777" w:rsidR="007C3EF3" w:rsidRPr="00D52417" w:rsidRDefault="007C3EF3" w:rsidP="009F2705">
            <w:pPr>
              <w:pStyle w:val="Tabletext"/>
              <w:rPr>
                <w:rFonts w:eastAsia="Cambria"/>
              </w:rPr>
            </w:pPr>
            <w:r>
              <w:rPr>
                <w:rFonts w:eastAsia="Cambria"/>
              </w:rPr>
              <w:t>10-45</w:t>
            </w:r>
          </w:p>
        </w:tc>
      </w:tr>
      <w:tr w:rsidR="007C3EF3" w:rsidRPr="00A220B3" w14:paraId="64A6C751" w14:textId="77777777" w:rsidTr="00FD0BD3">
        <w:tc>
          <w:tcPr>
            <w:tcW w:w="2501" w:type="pct"/>
            <w:tcBorders>
              <w:left w:val="nil"/>
              <w:right w:val="nil"/>
            </w:tcBorders>
            <w:hideMark/>
          </w:tcPr>
          <w:p w14:paraId="5AD3777E" w14:textId="77777777" w:rsidR="007C3EF3" w:rsidRPr="00D52417" w:rsidRDefault="007C3EF3" w:rsidP="009F2705">
            <w:pPr>
              <w:pStyle w:val="Tabletext"/>
              <w:rPr>
                <w:rFonts w:eastAsia="Cambria"/>
              </w:rPr>
            </w:pPr>
            <w:r>
              <w:rPr>
                <w:rFonts w:eastAsia="Cambria"/>
              </w:rPr>
              <w:t>Plant and Equipment</w:t>
            </w:r>
            <w:r w:rsidRPr="00D52417">
              <w:rPr>
                <w:rFonts w:eastAsia="Cambria"/>
              </w:rPr>
              <w:t xml:space="preserve"> </w:t>
            </w:r>
          </w:p>
        </w:tc>
        <w:tc>
          <w:tcPr>
            <w:tcW w:w="2499" w:type="pct"/>
            <w:tcBorders>
              <w:left w:val="nil"/>
              <w:right w:val="nil"/>
            </w:tcBorders>
            <w:hideMark/>
          </w:tcPr>
          <w:p w14:paraId="7D9BFF87" w14:textId="77777777" w:rsidR="007C3EF3" w:rsidRPr="00D52417" w:rsidRDefault="007C3EF3" w:rsidP="009F2705">
            <w:pPr>
              <w:pStyle w:val="Tabletext"/>
              <w:rPr>
                <w:rFonts w:eastAsia="Cambria"/>
              </w:rPr>
            </w:pPr>
            <w:r>
              <w:rPr>
                <w:rFonts w:eastAsia="Cambria"/>
              </w:rPr>
              <w:t>1-40</w:t>
            </w:r>
          </w:p>
        </w:tc>
      </w:tr>
      <w:tr w:rsidR="007C3EF3" w:rsidRPr="00A220B3" w14:paraId="4A0C56AD" w14:textId="77777777" w:rsidTr="00FD0BD3">
        <w:tc>
          <w:tcPr>
            <w:tcW w:w="2501" w:type="pct"/>
            <w:tcBorders>
              <w:left w:val="nil"/>
              <w:right w:val="nil"/>
            </w:tcBorders>
            <w:hideMark/>
          </w:tcPr>
          <w:p w14:paraId="6D395034" w14:textId="77777777" w:rsidR="007C3EF3" w:rsidRPr="00D52417" w:rsidRDefault="007C3EF3" w:rsidP="009F2705">
            <w:pPr>
              <w:pStyle w:val="Tabletext"/>
              <w:rPr>
                <w:rFonts w:eastAsia="Cambria"/>
              </w:rPr>
            </w:pPr>
            <w:r w:rsidRPr="00D52417">
              <w:rPr>
                <w:rFonts w:eastAsia="Cambria"/>
              </w:rPr>
              <w:t xml:space="preserve">Right of use assets </w:t>
            </w:r>
          </w:p>
        </w:tc>
        <w:tc>
          <w:tcPr>
            <w:tcW w:w="2499" w:type="pct"/>
            <w:tcBorders>
              <w:left w:val="nil"/>
              <w:right w:val="nil"/>
            </w:tcBorders>
            <w:hideMark/>
          </w:tcPr>
          <w:p w14:paraId="4AC6DCAB" w14:textId="77777777" w:rsidR="007C3EF3" w:rsidRPr="00D52417" w:rsidRDefault="007C3EF3" w:rsidP="009F2705">
            <w:pPr>
              <w:pStyle w:val="Tabletext"/>
              <w:rPr>
                <w:rFonts w:eastAsia="Cambria"/>
              </w:rPr>
            </w:pPr>
            <w:r>
              <w:rPr>
                <w:rFonts w:eastAsia="Cambria"/>
              </w:rPr>
              <w:t>Lease Term</w:t>
            </w:r>
          </w:p>
        </w:tc>
      </w:tr>
      <w:tr w:rsidR="007C3EF3" w:rsidRPr="00A220B3" w14:paraId="6905800A" w14:textId="77777777" w:rsidTr="00FD0BD3">
        <w:tc>
          <w:tcPr>
            <w:tcW w:w="2501" w:type="pct"/>
            <w:tcBorders>
              <w:left w:val="nil"/>
              <w:right w:val="nil"/>
            </w:tcBorders>
            <w:hideMark/>
          </w:tcPr>
          <w:p w14:paraId="5665FA6C" w14:textId="77777777" w:rsidR="007C3EF3" w:rsidRPr="00D52417" w:rsidRDefault="007C3EF3" w:rsidP="009F2705">
            <w:pPr>
              <w:pStyle w:val="Tabletext"/>
              <w:rPr>
                <w:rFonts w:eastAsia="Cambria"/>
              </w:rPr>
            </w:pPr>
            <w:r w:rsidRPr="00D52417">
              <w:rPr>
                <w:rFonts w:eastAsia="Cambria"/>
              </w:rPr>
              <w:t xml:space="preserve">Intangible assets </w:t>
            </w:r>
          </w:p>
        </w:tc>
        <w:tc>
          <w:tcPr>
            <w:tcW w:w="2499" w:type="pct"/>
            <w:tcBorders>
              <w:left w:val="nil"/>
              <w:right w:val="nil"/>
            </w:tcBorders>
            <w:hideMark/>
          </w:tcPr>
          <w:p w14:paraId="2144D754" w14:textId="77777777" w:rsidR="007C3EF3" w:rsidRPr="00D52417" w:rsidRDefault="007C3EF3" w:rsidP="009F2705">
            <w:pPr>
              <w:pStyle w:val="Tabletext"/>
              <w:rPr>
                <w:rFonts w:eastAsia="Cambria"/>
              </w:rPr>
            </w:pPr>
            <w:r w:rsidRPr="00D52417">
              <w:rPr>
                <w:rFonts w:eastAsia="Cambria"/>
              </w:rPr>
              <w:t xml:space="preserve">5 – </w:t>
            </w:r>
            <w:r>
              <w:rPr>
                <w:rFonts w:eastAsia="Cambria"/>
              </w:rPr>
              <w:t>10</w:t>
            </w:r>
          </w:p>
        </w:tc>
      </w:tr>
      <w:tr w:rsidR="007C3EF3" w:rsidRPr="00A220B3" w14:paraId="6625BDC2" w14:textId="77777777" w:rsidTr="00FD0BD3">
        <w:trPr>
          <w:trHeight w:val="284"/>
        </w:trPr>
        <w:tc>
          <w:tcPr>
            <w:tcW w:w="2501" w:type="pct"/>
            <w:tcBorders>
              <w:bottom w:val="single" w:sz="4" w:space="0" w:color="auto"/>
            </w:tcBorders>
            <w:hideMark/>
          </w:tcPr>
          <w:p w14:paraId="130DE743" w14:textId="77777777" w:rsidR="007C3EF3" w:rsidRPr="00D52417" w:rsidRDefault="007C3EF3" w:rsidP="009F2705">
            <w:pPr>
              <w:pStyle w:val="Tabletext"/>
              <w:rPr>
                <w:rFonts w:eastAsia="Cambria"/>
              </w:rPr>
            </w:pPr>
            <w:r w:rsidRPr="00D52417">
              <w:rPr>
                <w:rFonts w:eastAsia="Cambria"/>
              </w:rPr>
              <w:t>Library collection (TAFE)</w:t>
            </w:r>
          </w:p>
        </w:tc>
        <w:tc>
          <w:tcPr>
            <w:tcW w:w="2499" w:type="pct"/>
            <w:tcBorders>
              <w:bottom w:val="single" w:sz="4" w:space="0" w:color="auto"/>
            </w:tcBorders>
            <w:hideMark/>
          </w:tcPr>
          <w:p w14:paraId="176DB0D6" w14:textId="77777777" w:rsidR="007C3EF3" w:rsidRPr="00D52417" w:rsidRDefault="007C3EF3" w:rsidP="009F2705">
            <w:pPr>
              <w:pStyle w:val="Tabletext"/>
              <w:rPr>
                <w:rFonts w:eastAsia="Cambria"/>
              </w:rPr>
            </w:pPr>
            <w:r w:rsidRPr="00D52417">
              <w:rPr>
                <w:rFonts w:eastAsia="Cambria"/>
              </w:rPr>
              <w:t xml:space="preserve">3 – 15 </w:t>
            </w:r>
          </w:p>
        </w:tc>
      </w:tr>
    </w:tbl>
    <w:p w14:paraId="7386979A" w14:textId="1DAC26E6" w:rsidR="00B21B33" w:rsidRPr="00BC6A65" w:rsidRDefault="00B21B33" w:rsidP="009C1551">
      <w:pPr>
        <w:pStyle w:val="Heading2"/>
        <w:ind w:firstLine="0"/>
      </w:pPr>
      <w:bookmarkStart w:id="32" w:name="_Toc15641704"/>
      <w:r w:rsidRPr="00A72E84">
        <w:t>Tasmania</w:t>
      </w:r>
      <w:bookmarkEnd w:id="32"/>
    </w:p>
    <w:p w14:paraId="0D72F286" w14:textId="45B749AF" w:rsidR="00A72E84" w:rsidRDefault="00A72E84" w:rsidP="009C1551">
      <w:pPr>
        <w:pStyle w:val="Text"/>
        <w:ind w:left="0" w:right="0"/>
      </w:pPr>
      <w:r w:rsidRPr="00A72E84">
        <w:t xml:space="preserve">All applicable </w:t>
      </w:r>
      <w:proofErr w:type="gramStart"/>
      <w:r w:rsidRPr="00A72E84">
        <w:t>Non-financial</w:t>
      </w:r>
      <w:proofErr w:type="gramEnd"/>
      <w:r w:rsidRPr="00A72E84">
        <w:t xml:space="preserve"> assets having a limited useful life are systematically depreciated over their useful lives in a manner which reflects the consumption of their service potential.  Land, being an asset with an unlimited useful life, is not depreciated.  Heritage assets are also not depreciated as their value does not diminish.</w:t>
      </w:r>
    </w:p>
    <w:p w14:paraId="0DCEB0A9" w14:textId="77777777" w:rsidR="00435234" w:rsidRPr="00435234" w:rsidRDefault="00435234" w:rsidP="009C1551">
      <w:pPr>
        <w:pStyle w:val="Text"/>
        <w:ind w:left="0" w:right="0"/>
      </w:pPr>
      <w:r w:rsidRPr="00435234">
        <w:t xml:space="preserve">Key estimate and judgement </w:t>
      </w:r>
    </w:p>
    <w:p w14:paraId="4D5BFCCA" w14:textId="77777777" w:rsidR="00435234" w:rsidRPr="00435234" w:rsidRDefault="00435234" w:rsidP="009C1551">
      <w:pPr>
        <w:pStyle w:val="Text"/>
        <w:ind w:left="0" w:right="0"/>
      </w:pPr>
      <w:r w:rsidRPr="00435234">
        <w:t>Depreciation is provided for on a straight</w:t>
      </w:r>
      <w:r w:rsidR="00D95386">
        <w:t>-</w:t>
      </w:r>
      <w:r w:rsidRPr="00435234">
        <w:t xml:space="preserve">line using rates which are reviewed annually. Major depreciation </w:t>
      </w:r>
      <w:r w:rsidR="00A72E84" w:rsidRPr="00A72E84">
        <w:t>asset categories and their useful lives are</w:t>
      </w:r>
      <w:r w:rsidRPr="00435234">
        <w:t xml:space="preserve">: </w:t>
      </w:r>
    </w:p>
    <w:tbl>
      <w:tblPr>
        <w:tblW w:w="5000" w:type="pct"/>
        <w:tblLook w:val="0000" w:firstRow="0" w:lastRow="0" w:firstColumn="0" w:lastColumn="0" w:noHBand="0" w:noVBand="0"/>
      </w:tblPr>
      <w:tblGrid>
        <w:gridCol w:w="4700"/>
        <w:gridCol w:w="4370"/>
      </w:tblGrid>
      <w:tr w:rsidR="00435234" w:rsidRPr="00B5319B" w14:paraId="243105FA" w14:textId="77777777" w:rsidTr="004B6E3D">
        <w:tc>
          <w:tcPr>
            <w:tcW w:w="2591" w:type="pct"/>
            <w:tcBorders>
              <w:top w:val="single" w:sz="4" w:space="0" w:color="auto"/>
              <w:bottom w:val="single" w:sz="4" w:space="0" w:color="auto"/>
            </w:tcBorders>
          </w:tcPr>
          <w:p w14:paraId="5CFDB077" w14:textId="77777777" w:rsidR="00435234" w:rsidRPr="00432D03" w:rsidRDefault="00435234" w:rsidP="009C1551">
            <w:pPr>
              <w:pStyle w:val="Tablehead1"/>
              <w:rPr>
                <w:lang w:val="en-US"/>
              </w:rPr>
            </w:pPr>
            <w:r w:rsidRPr="00432D03">
              <w:rPr>
                <w:lang w:val="en-US"/>
              </w:rPr>
              <w:t>Asset</w:t>
            </w:r>
          </w:p>
        </w:tc>
        <w:tc>
          <w:tcPr>
            <w:tcW w:w="2409" w:type="pct"/>
            <w:tcBorders>
              <w:top w:val="single" w:sz="4" w:space="0" w:color="auto"/>
              <w:bottom w:val="single" w:sz="4" w:space="0" w:color="auto"/>
            </w:tcBorders>
          </w:tcPr>
          <w:p w14:paraId="0B67B254" w14:textId="68F5B242" w:rsidR="00435234" w:rsidRPr="00432D03" w:rsidRDefault="00435234" w:rsidP="009C1551">
            <w:pPr>
              <w:pStyle w:val="Tablehead1"/>
              <w:rPr>
                <w:lang w:val="en-US"/>
              </w:rPr>
            </w:pPr>
            <w:r w:rsidRPr="00432D03">
              <w:rPr>
                <w:lang w:val="en-US"/>
              </w:rPr>
              <w:t>Useful life (years)</w:t>
            </w:r>
          </w:p>
        </w:tc>
      </w:tr>
      <w:tr w:rsidR="00435234" w:rsidRPr="00AD513A" w14:paraId="63A5A039" w14:textId="77777777" w:rsidTr="004B6E3D">
        <w:tblPrEx>
          <w:tblBorders>
            <w:top w:val="single" w:sz="8" w:space="0" w:color="auto"/>
          </w:tblBorders>
        </w:tblPrEx>
        <w:trPr>
          <w:trHeight w:val="284"/>
        </w:trPr>
        <w:tc>
          <w:tcPr>
            <w:tcW w:w="2591" w:type="pct"/>
            <w:tcBorders>
              <w:top w:val="single" w:sz="4" w:space="0" w:color="auto"/>
              <w:bottom w:val="nil"/>
            </w:tcBorders>
            <w:vAlign w:val="center"/>
          </w:tcPr>
          <w:p w14:paraId="07BF09E9" w14:textId="77777777" w:rsidR="00435234" w:rsidRPr="00AD513A" w:rsidRDefault="00435234" w:rsidP="009C1551">
            <w:pPr>
              <w:pStyle w:val="Tablehead2"/>
              <w:rPr>
                <w:rFonts w:ascii="Trebuchet MS" w:eastAsia="Cambria" w:hAnsi="Trebuchet MS"/>
                <w:sz w:val="16"/>
                <w:szCs w:val="16"/>
              </w:rPr>
            </w:pPr>
            <w:r w:rsidRPr="00AD513A">
              <w:rPr>
                <w:rFonts w:ascii="Trebuchet MS" w:eastAsia="Cambria" w:hAnsi="Trebuchet MS"/>
                <w:sz w:val="16"/>
                <w:szCs w:val="16"/>
              </w:rPr>
              <w:t>Plant and equipment</w:t>
            </w:r>
          </w:p>
        </w:tc>
        <w:tc>
          <w:tcPr>
            <w:tcW w:w="2409" w:type="pct"/>
            <w:tcBorders>
              <w:top w:val="single" w:sz="4" w:space="0" w:color="auto"/>
              <w:bottom w:val="nil"/>
            </w:tcBorders>
            <w:vAlign w:val="center"/>
          </w:tcPr>
          <w:p w14:paraId="46EBEB10" w14:textId="77777777" w:rsidR="00435234" w:rsidRPr="00AD513A" w:rsidRDefault="00435234" w:rsidP="009C1551">
            <w:pPr>
              <w:pStyle w:val="Tablehead2"/>
              <w:rPr>
                <w:rFonts w:ascii="Trebuchet MS" w:eastAsia="Cambria" w:hAnsi="Trebuchet MS"/>
                <w:sz w:val="16"/>
                <w:szCs w:val="16"/>
              </w:rPr>
            </w:pPr>
            <w:r w:rsidRPr="00AD513A">
              <w:rPr>
                <w:rFonts w:ascii="Trebuchet MS" w:eastAsia="Cambria" w:hAnsi="Trebuchet MS"/>
                <w:sz w:val="16"/>
                <w:szCs w:val="16"/>
              </w:rPr>
              <w:t>3 – 20 years</w:t>
            </w:r>
          </w:p>
        </w:tc>
      </w:tr>
      <w:tr w:rsidR="00435234" w:rsidRPr="00AD513A" w14:paraId="09436120" w14:textId="77777777" w:rsidTr="004B6E3D">
        <w:trPr>
          <w:trHeight w:val="284"/>
        </w:trPr>
        <w:tc>
          <w:tcPr>
            <w:tcW w:w="2591" w:type="pct"/>
            <w:tcBorders>
              <w:bottom w:val="single" w:sz="4" w:space="0" w:color="auto"/>
            </w:tcBorders>
            <w:vAlign w:val="center"/>
          </w:tcPr>
          <w:p w14:paraId="64009B9F" w14:textId="77777777" w:rsidR="00435234" w:rsidRPr="00AD513A" w:rsidRDefault="00435234" w:rsidP="009C1551">
            <w:pPr>
              <w:pStyle w:val="Tablehead2"/>
              <w:rPr>
                <w:rFonts w:ascii="Trebuchet MS" w:eastAsia="Cambria" w:hAnsi="Trebuchet MS"/>
                <w:sz w:val="16"/>
                <w:szCs w:val="16"/>
              </w:rPr>
            </w:pPr>
            <w:r w:rsidRPr="00AD513A">
              <w:rPr>
                <w:rFonts w:ascii="Trebuchet MS" w:eastAsia="Cambria" w:hAnsi="Trebuchet MS"/>
                <w:sz w:val="16"/>
                <w:szCs w:val="16"/>
              </w:rPr>
              <w:t>Buildings</w:t>
            </w:r>
          </w:p>
        </w:tc>
        <w:tc>
          <w:tcPr>
            <w:tcW w:w="2409" w:type="pct"/>
            <w:tcBorders>
              <w:bottom w:val="single" w:sz="4" w:space="0" w:color="auto"/>
            </w:tcBorders>
            <w:vAlign w:val="center"/>
          </w:tcPr>
          <w:p w14:paraId="065F18B4" w14:textId="77777777" w:rsidR="00435234" w:rsidRPr="00AD513A" w:rsidRDefault="00A72E84" w:rsidP="009C1551">
            <w:pPr>
              <w:pStyle w:val="Tablehead2"/>
              <w:rPr>
                <w:rFonts w:ascii="Trebuchet MS" w:eastAsia="Cambria" w:hAnsi="Trebuchet MS"/>
                <w:sz w:val="16"/>
                <w:szCs w:val="16"/>
              </w:rPr>
            </w:pPr>
            <w:r w:rsidRPr="00AD513A">
              <w:rPr>
                <w:rFonts w:ascii="Trebuchet MS" w:eastAsia="Cambria" w:hAnsi="Trebuchet MS"/>
                <w:sz w:val="16"/>
                <w:szCs w:val="16"/>
              </w:rPr>
              <w:t>4</w:t>
            </w:r>
            <w:r w:rsidR="00435234" w:rsidRPr="00AD513A">
              <w:rPr>
                <w:rFonts w:ascii="Trebuchet MS" w:eastAsia="Cambria" w:hAnsi="Trebuchet MS"/>
                <w:sz w:val="16"/>
                <w:szCs w:val="16"/>
              </w:rPr>
              <w:t>0 – 60 years</w:t>
            </w:r>
          </w:p>
        </w:tc>
      </w:tr>
    </w:tbl>
    <w:p w14:paraId="6B17F6A5" w14:textId="77777777" w:rsidR="00435234" w:rsidRDefault="00435234" w:rsidP="009C1551">
      <w:pPr>
        <w:pStyle w:val="Text"/>
        <w:ind w:left="0" w:right="0"/>
      </w:pPr>
      <w:r w:rsidRPr="00435234">
        <w:t xml:space="preserve">All intangible assets having a limited useful life are systematically amortised over their useful lives reflecting the pattern in which the asset’s future economic benefits are expected to be consumed by </w:t>
      </w:r>
      <w:proofErr w:type="spellStart"/>
      <w:r w:rsidR="00A72E84">
        <w:t>TasTAFE</w:t>
      </w:r>
      <w:proofErr w:type="spellEnd"/>
      <w:r w:rsidRPr="00435234">
        <w:t xml:space="preserve">.  </w:t>
      </w:r>
      <w:r w:rsidR="00A72E84">
        <w:t>Major amortisation rates are:</w:t>
      </w:r>
    </w:p>
    <w:tbl>
      <w:tblPr>
        <w:tblW w:w="5000" w:type="pct"/>
        <w:tblLook w:val="0000" w:firstRow="0" w:lastRow="0" w:firstColumn="0" w:lastColumn="0" w:noHBand="0" w:noVBand="0"/>
      </w:tblPr>
      <w:tblGrid>
        <w:gridCol w:w="4693"/>
        <w:gridCol w:w="4377"/>
      </w:tblGrid>
      <w:tr w:rsidR="00A72E84" w:rsidRPr="00435234" w14:paraId="260796F8" w14:textId="77777777" w:rsidTr="004B6E3D">
        <w:tc>
          <w:tcPr>
            <w:tcW w:w="2587" w:type="pct"/>
            <w:tcBorders>
              <w:top w:val="single" w:sz="4" w:space="0" w:color="auto"/>
              <w:bottom w:val="single" w:sz="4" w:space="0" w:color="auto"/>
            </w:tcBorders>
          </w:tcPr>
          <w:p w14:paraId="115DF9E0" w14:textId="77777777" w:rsidR="00A72E84" w:rsidRPr="00432D03" w:rsidRDefault="00A72E84" w:rsidP="009C1551">
            <w:pPr>
              <w:pStyle w:val="Tablehead1"/>
              <w:rPr>
                <w:lang w:val="en-US"/>
              </w:rPr>
            </w:pPr>
            <w:r w:rsidRPr="00432D03">
              <w:rPr>
                <w:lang w:val="en-US"/>
              </w:rPr>
              <w:t>Asset</w:t>
            </w:r>
          </w:p>
        </w:tc>
        <w:tc>
          <w:tcPr>
            <w:tcW w:w="2413" w:type="pct"/>
            <w:tcBorders>
              <w:top w:val="single" w:sz="4" w:space="0" w:color="auto"/>
              <w:bottom w:val="single" w:sz="4" w:space="0" w:color="auto"/>
            </w:tcBorders>
          </w:tcPr>
          <w:p w14:paraId="5D47C96F" w14:textId="7036B2EB" w:rsidR="00A72E84" w:rsidRPr="00432D03" w:rsidRDefault="00A72E84" w:rsidP="009C1551">
            <w:pPr>
              <w:pStyle w:val="Tablehead1"/>
              <w:rPr>
                <w:lang w:val="en-US"/>
              </w:rPr>
            </w:pPr>
            <w:r w:rsidRPr="00432D03">
              <w:rPr>
                <w:lang w:val="en-US"/>
              </w:rPr>
              <w:t>Useful life (years)</w:t>
            </w:r>
          </w:p>
        </w:tc>
      </w:tr>
      <w:tr w:rsidR="00A72E84" w:rsidRPr="00AD513A" w14:paraId="1E98BC6E" w14:textId="77777777" w:rsidTr="004B6E3D">
        <w:trPr>
          <w:trHeight w:val="284"/>
        </w:trPr>
        <w:tc>
          <w:tcPr>
            <w:tcW w:w="2587" w:type="pct"/>
            <w:tcBorders>
              <w:bottom w:val="single" w:sz="4" w:space="0" w:color="auto"/>
            </w:tcBorders>
            <w:vAlign w:val="center"/>
          </w:tcPr>
          <w:p w14:paraId="0C37744D" w14:textId="77777777" w:rsidR="00A72E84" w:rsidRPr="00AD513A" w:rsidRDefault="00A72E84" w:rsidP="009C1551">
            <w:pPr>
              <w:pStyle w:val="Tablehead2"/>
              <w:rPr>
                <w:rFonts w:ascii="Trebuchet MS" w:eastAsia="Cambria" w:hAnsi="Trebuchet MS"/>
                <w:sz w:val="16"/>
                <w:szCs w:val="16"/>
              </w:rPr>
            </w:pPr>
            <w:r w:rsidRPr="00AD513A">
              <w:rPr>
                <w:rFonts w:ascii="Trebuchet MS" w:eastAsia="Cambria" w:hAnsi="Trebuchet MS"/>
                <w:sz w:val="16"/>
                <w:szCs w:val="16"/>
              </w:rPr>
              <w:t>Software</w:t>
            </w:r>
          </w:p>
        </w:tc>
        <w:tc>
          <w:tcPr>
            <w:tcW w:w="2413" w:type="pct"/>
            <w:tcBorders>
              <w:bottom w:val="single" w:sz="4" w:space="0" w:color="auto"/>
            </w:tcBorders>
            <w:vAlign w:val="center"/>
          </w:tcPr>
          <w:p w14:paraId="46755709" w14:textId="77777777" w:rsidR="00A72E84" w:rsidRPr="00AD513A" w:rsidRDefault="00A72E84" w:rsidP="009C1551">
            <w:pPr>
              <w:pStyle w:val="Tablehead2"/>
              <w:rPr>
                <w:rFonts w:ascii="Trebuchet MS" w:eastAsia="Cambria" w:hAnsi="Trebuchet MS"/>
                <w:sz w:val="16"/>
                <w:szCs w:val="16"/>
              </w:rPr>
            </w:pPr>
            <w:r w:rsidRPr="00AD513A">
              <w:rPr>
                <w:rFonts w:ascii="Trebuchet MS" w:eastAsia="Cambria" w:hAnsi="Trebuchet MS"/>
                <w:sz w:val="16"/>
                <w:szCs w:val="16"/>
              </w:rPr>
              <w:t>5 years</w:t>
            </w:r>
          </w:p>
        </w:tc>
      </w:tr>
    </w:tbl>
    <w:p w14:paraId="6481785D" w14:textId="77777777" w:rsidR="00B21B33" w:rsidRPr="00B21B33" w:rsidRDefault="00B21B33" w:rsidP="009C1551">
      <w:pPr>
        <w:pStyle w:val="Heading2"/>
        <w:ind w:firstLine="0"/>
      </w:pPr>
      <w:bookmarkStart w:id="33" w:name="_Toc15641705"/>
      <w:r w:rsidRPr="00B21B33">
        <w:t>Northern Territory</w:t>
      </w:r>
      <w:bookmarkEnd w:id="33"/>
    </w:p>
    <w:p w14:paraId="55F36EA9" w14:textId="5F3BC292" w:rsidR="00435234" w:rsidRPr="00435234" w:rsidRDefault="00CB6784" w:rsidP="009C1551">
      <w:pPr>
        <w:pStyle w:val="Text"/>
        <w:ind w:left="0" w:right="0"/>
      </w:pPr>
      <w:r w:rsidRPr="00906642">
        <w:t>Property, plant and equipment are depreciated on a straight-line basis over their estimated useful lives. Land is not a depreciable asset.</w:t>
      </w:r>
    </w:p>
    <w:p w14:paraId="76E9324B" w14:textId="77777777" w:rsidR="00B21B33" w:rsidRPr="00B21B33" w:rsidRDefault="00B21B33" w:rsidP="009C1551">
      <w:pPr>
        <w:pStyle w:val="Heading2"/>
        <w:ind w:firstLine="0"/>
      </w:pPr>
      <w:bookmarkStart w:id="34" w:name="_Toc15641706"/>
      <w:r w:rsidRPr="00F07F48">
        <w:lastRenderedPageBreak/>
        <w:t>Australian Capital Territory</w:t>
      </w:r>
      <w:bookmarkEnd w:id="34"/>
    </w:p>
    <w:p w14:paraId="6B3B4C79" w14:textId="77777777" w:rsidR="00435234" w:rsidRPr="00435234" w:rsidRDefault="00435234" w:rsidP="009C1551">
      <w:pPr>
        <w:pStyle w:val="Text"/>
        <w:ind w:left="0" w:right="0"/>
      </w:pPr>
      <w:r w:rsidRPr="00435234">
        <w:t xml:space="preserve">Amortisation is used in relation to intangible assets, while depreciation is applied to physical assets such as buildings, </w:t>
      </w:r>
      <w:r w:rsidR="00C53AE5">
        <w:t>infrastructure assets</w:t>
      </w:r>
      <w:r w:rsidRPr="00435234">
        <w:t>, and plant and equipment.</w:t>
      </w:r>
    </w:p>
    <w:p w14:paraId="5CF1A714" w14:textId="77777777" w:rsidR="00435234" w:rsidRDefault="00435234" w:rsidP="009C1551">
      <w:pPr>
        <w:pStyle w:val="Text"/>
        <w:ind w:left="0" w:right="0"/>
      </w:pPr>
      <w:r w:rsidRPr="00435234">
        <w:t xml:space="preserve">Land </w:t>
      </w:r>
      <w:r w:rsidR="00C53AE5">
        <w:t>has</w:t>
      </w:r>
      <w:r w:rsidRPr="00435234">
        <w:t xml:space="preserve"> an unlimited useful life and </w:t>
      </w:r>
      <w:r w:rsidR="00C53AE5">
        <w:t>is</w:t>
      </w:r>
      <w:r w:rsidRPr="00435234">
        <w:t xml:space="preserve"> therefore not depreciated.</w:t>
      </w:r>
    </w:p>
    <w:p w14:paraId="3DA3A479" w14:textId="77777777" w:rsidR="00C53AE5" w:rsidRPr="00435234" w:rsidRDefault="00C53AE5" w:rsidP="009C1551">
      <w:pPr>
        <w:pStyle w:val="Text"/>
        <w:ind w:left="0" w:right="0"/>
      </w:pPr>
      <w:r>
        <w:t>Heritage assets are not depreciated.</w:t>
      </w:r>
    </w:p>
    <w:p w14:paraId="49E9999D" w14:textId="77777777" w:rsidR="00435234" w:rsidRPr="00435234" w:rsidRDefault="00435234" w:rsidP="009C1551">
      <w:pPr>
        <w:pStyle w:val="Text"/>
        <w:ind w:left="0" w:right="0"/>
      </w:pPr>
      <w:r w:rsidRPr="00435234">
        <w:t>Leasehold improvements are depreciated over the estimated useful life of each asset, or the unexpired period of the relevant lease, whichever is shorter. Buildings and plant and equipment is depreciated over the estimated useful life of each asset.</w:t>
      </w:r>
    </w:p>
    <w:p w14:paraId="21B6E5D7" w14:textId="77777777" w:rsidR="00435234" w:rsidRPr="00435234" w:rsidRDefault="00435234" w:rsidP="009C1551">
      <w:pPr>
        <w:pStyle w:val="Text"/>
        <w:ind w:left="0" w:right="0"/>
      </w:pPr>
      <w:r w:rsidRPr="00435234">
        <w:t xml:space="preserve">All depreciation is calculated after first deducting any residual values which remain for each asset. </w:t>
      </w:r>
    </w:p>
    <w:p w14:paraId="009C3FBA" w14:textId="730133DF" w:rsidR="00435234" w:rsidRPr="00435234" w:rsidRDefault="00435234" w:rsidP="009C1551">
      <w:pPr>
        <w:pStyle w:val="Text"/>
        <w:ind w:left="0" w:right="0"/>
      </w:pPr>
      <w:r w:rsidRPr="00435234">
        <w:t>Depreciation/amortisation for non-current assets is determined as follows:</w:t>
      </w:r>
    </w:p>
    <w:tbl>
      <w:tblPr>
        <w:tblW w:w="5000" w:type="pct"/>
        <w:tblLook w:val="0000" w:firstRow="0" w:lastRow="0" w:firstColumn="0" w:lastColumn="0" w:noHBand="0" w:noVBand="0"/>
      </w:tblPr>
      <w:tblGrid>
        <w:gridCol w:w="3284"/>
        <w:gridCol w:w="3753"/>
        <w:gridCol w:w="2033"/>
      </w:tblGrid>
      <w:tr w:rsidR="00435234" w:rsidRPr="00435234" w14:paraId="6ACB3594" w14:textId="77777777" w:rsidTr="004B6E3D">
        <w:tc>
          <w:tcPr>
            <w:tcW w:w="1810" w:type="pct"/>
            <w:tcBorders>
              <w:top w:val="single" w:sz="4" w:space="0" w:color="auto"/>
              <w:bottom w:val="single" w:sz="4" w:space="0" w:color="auto"/>
            </w:tcBorders>
          </w:tcPr>
          <w:p w14:paraId="05457527" w14:textId="77777777" w:rsidR="00435234" w:rsidRPr="00432D03" w:rsidRDefault="00435234" w:rsidP="009C1551">
            <w:pPr>
              <w:pStyle w:val="Tablehead1"/>
              <w:rPr>
                <w:b w:val="0"/>
                <w:lang w:val="en-US"/>
              </w:rPr>
            </w:pPr>
            <w:r w:rsidRPr="00432D03">
              <w:rPr>
                <w:lang w:val="en-US"/>
              </w:rPr>
              <w:t>Class of asset</w:t>
            </w:r>
          </w:p>
        </w:tc>
        <w:tc>
          <w:tcPr>
            <w:tcW w:w="2069" w:type="pct"/>
            <w:tcBorders>
              <w:top w:val="single" w:sz="4" w:space="0" w:color="auto"/>
              <w:bottom w:val="single" w:sz="4" w:space="0" w:color="auto"/>
            </w:tcBorders>
          </w:tcPr>
          <w:p w14:paraId="54ABFD95" w14:textId="4D16E21B" w:rsidR="00435234" w:rsidRPr="00432D03" w:rsidRDefault="00435234" w:rsidP="009C1551">
            <w:pPr>
              <w:pStyle w:val="Tablehead1"/>
              <w:rPr>
                <w:b w:val="0"/>
                <w:lang w:val="en-US"/>
              </w:rPr>
            </w:pPr>
            <w:r w:rsidRPr="00432D03">
              <w:rPr>
                <w:lang w:val="en-US"/>
              </w:rPr>
              <w:t>Depreciation/</w:t>
            </w:r>
            <w:proofErr w:type="spellStart"/>
            <w:r w:rsidRPr="00432D03">
              <w:rPr>
                <w:lang w:val="en-US"/>
              </w:rPr>
              <w:t>Amortisation</w:t>
            </w:r>
            <w:proofErr w:type="spellEnd"/>
            <w:r w:rsidRPr="00432D03">
              <w:rPr>
                <w:lang w:val="en-US"/>
              </w:rPr>
              <w:t xml:space="preserve"> Method</w:t>
            </w:r>
          </w:p>
        </w:tc>
        <w:tc>
          <w:tcPr>
            <w:tcW w:w="1121" w:type="pct"/>
            <w:tcBorders>
              <w:top w:val="single" w:sz="4" w:space="0" w:color="auto"/>
              <w:bottom w:val="single" w:sz="4" w:space="0" w:color="auto"/>
            </w:tcBorders>
          </w:tcPr>
          <w:p w14:paraId="652C2D1A" w14:textId="7CB0AE1E" w:rsidR="00435234" w:rsidRPr="00432D03" w:rsidRDefault="00435234" w:rsidP="009C1551">
            <w:pPr>
              <w:pStyle w:val="Tablehead1"/>
              <w:rPr>
                <w:b w:val="0"/>
                <w:lang w:val="en-US"/>
              </w:rPr>
            </w:pPr>
            <w:r w:rsidRPr="00432D03">
              <w:rPr>
                <w:lang w:val="en-US"/>
              </w:rPr>
              <w:t>Useful Life</w:t>
            </w:r>
          </w:p>
        </w:tc>
      </w:tr>
      <w:tr w:rsidR="00435234" w:rsidRPr="00435234" w14:paraId="1A77DC77" w14:textId="77777777" w:rsidTr="004B6E3D">
        <w:tblPrEx>
          <w:tblBorders>
            <w:top w:val="single" w:sz="8" w:space="0" w:color="auto"/>
          </w:tblBorders>
        </w:tblPrEx>
        <w:trPr>
          <w:trHeight w:val="284"/>
        </w:trPr>
        <w:tc>
          <w:tcPr>
            <w:tcW w:w="1810" w:type="pct"/>
            <w:tcBorders>
              <w:top w:val="single" w:sz="4" w:space="0" w:color="auto"/>
            </w:tcBorders>
            <w:vAlign w:val="center"/>
          </w:tcPr>
          <w:p w14:paraId="10D367A1" w14:textId="77777777" w:rsidR="00435234" w:rsidRPr="00432D03" w:rsidRDefault="00435234" w:rsidP="00D912CB">
            <w:pPr>
              <w:pStyle w:val="Tabletext"/>
              <w:rPr>
                <w:rFonts w:eastAsia="Cambria"/>
              </w:rPr>
            </w:pPr>
            <w:r w:rsidRPr="00432D03">
              <w:rPr>
                <w:rFonts w:eastAsia="Cambria"/>
              </w:rPr>
              <w:t>Buildings</w:t>
            </w:r>
          </w:p>
        </w:tc>
        <w:tc>
          <w:tcPr>
            <w:tcW w:w="2069" w:type="pct"/>
            <w:tcBorders>
              <w:top w:val="single" w:sz="4" w:space="0" w:color="auto"/>
            </w:tcBorders>
            <w:vAlign w:val="center"/>
          </w:tcPr>
          <w:p w14:paraId="193B3E84" w14:textId="34269BAB" w:rsidR="00435234" w:rsidRPr="00432D03" w:rsidRDefault="00435234" w:rsidP="00D912CB">
            <w:pPr>
              <w:pStyle w:val="Tabletext"/>
              <w:rPr>
                <w:rFonts w:eastAsia="Cambria"/>
              </w:rPr>
            </w:pPr>
            <w:r w:rsidRPr="00432D03">
              <w:rPr>
                <w:rFonts w:eastAsia="Cambria"/>
              </w:rPr>
              <w:t>Straight Line</w:t>
            </w:r>
          </w:p>
        </w:tc>
        <w:tc>
          <w:tcPr>
            <w:tcW w:w="1121" w:type="pct"/>
            <w:tcBorders>
              <w:top w:val="single" w:sz="4" w:space="0" w:color="auto"/>
            </w:tcBorders>
            <w:vAlign w:val="center"/>
          </w:tcPr>
          <w:p w14:paraId="10DA1C2E" w14:textId="56BBB38A" w:rsidR="00435234" w:rsidRPr="00432D03" w:rsidRDefault="00435234" w:rsidP="00D912CB">
            <w:pPr>
              <w:pStyle w:val="Tabletext"/>
              <w:rPr>
                <w:rFonts w:eastAsia="Cambria"/>
              </w:rPr>
            </w:pPr>
            <w:r w:rsidRPr="00432D03">
              <w:rPr>
                <w:rFonts w:eastAsia="Cambria"/>
              </w:rPr>
              <w:t>5 -</w:t>
            </w:r>
            <w:r w:rsidR="00B5319B" w:rsidRPr="00432D03">
              <w:rPr>
                <w:rFonts w:eastAsia="Cambria"/>
              </w:rPr>
              <w:t xml:space="preserve"> </w:t>
            </w:r>
            <w:r w:rsidRPr="00432D03">
              <w:rPr>
                <w:rFonts w:eastAsia="Cambria"/>
              </w:rPr>
              <w:t>100 years</w:t>
            </w:r>
          </w:p>
        </w:tc>
      </w:tr>
      <w:tr w:rsidR="00435234" w:rsidRPr="00435234" w14:paraId="6D9B7471" w14:textId="77777777" w:rsidTr="004B6E3D">
        <w:trPr>
          <w:trHeight w:val="284"/>
        </w:trPr>
        <w:tc>
          <w:tcPr>
            <w:tcW w:w="1810" w:type="pct"/>
            <w:vAlign w:val="center"/>
          </w:tcPr>
          <w:p w14:paraId="03518D36" w14:textId="77777777" w:rsidR="00435234" w:rsidRPr="00432D03" w:rsidRDefault="00435234" w:rsidP="00D912CB">
            <w:pPr>
              <w:pStyle w:val="Tabletext"/>
              <w:rPr>
                <w:rFonts w:eastAsia="Cambria"/>
              </w:rPr>
            </w:pPr>
            <w:r w:rsidRPr="00432D03">
              <w:rPr>
                <w:rFonts w:eastAsia="Cambria"/>
              </w:rPr>
              <w:t>Leasehold</w:t>
            </w:r>
            <w:r w:rsidR="00C17B27" w:rsidRPr="00432D03">
              <w:rPr>
                <w:rFonts w:eastAsia="Cambria"/>
              </w:rPr>
              <w:t xml:space="preserve"> </w:t>
            </w:r>
            <w:r w:rsidRPr="00432D03">
              <w:rPr>
                <w:rFonts w:eastAsia="Cambria"/>
              </w:rPr>
              <w:t>Improvements</w:t>
            </w:r>
          </w:p>
        </w:tc>
        <w:tc>
          <w:tcPr>
            <w:tcW w:w="2069" w:type="pct"/>
            <w:vAlign w:val="center"/>
          </w:tcPr>
          <w:p w14:paraId="6AA30B22" w14:textId="4439CA0D" w:rsidR="00435234" w:rsidRPr="00432D03" w:rsidRDefault="00435234" w:rsidP="00D912CB">
            <w:pPr>
              <w:pStyle w:val="Tabletext"/>
              <w:rPr>
                <w:rFonts w:eastAsia="Cambria"/>
              </w:rPr>
            </w:pPr>
            <w:r w:rsidRPr="00432D03">
              <w:rPr>
                <w:rFonts w:eastAsia="Cambria"/>
              </w:rPr>
              <w:t>Straight Line</w:t>
            </w:r>
          </w:p>
        </w:tc>
        <w:tc>
          <w:tcPr>
            <w:tcW w:w="1121" w:type="pct"/>
            <w:vAlign w:val="center"/>
          </w:tcPr>
          <w:p w14:paraId="0BEF123D" w14:textId="77777777" w:rsidR="00435234" w:rsidRPr="00432D03" w:rsidRDefault="00435234" w:rsidP="00D912CB">
            <w:pPr>
              <w:pStyle w:val="Tabletext"/>
              <w:rPr>
                <w:rFonts w:eastAsia="Cambria"/>
              </w:rPr>
            </w:pPr>
            <w:r w:rsidRPr="00432D03">
              <w:rPr>
                <w:rFonts w:eastAsia="Cambria"/>
              </w:rPr>
              <w:t>2 – 10 years</w:t>
            </w:r>
          </w:p>
        </w:tc>
      </w:tr>
      <w:tr w:rsidR="00435234" w:rsidRPr="00435234" w14:paraId="5C540D26" w14:textId="77777777" w:rsidTr="004B6E3D">
        <w:trPr>
          <w:trHeight w:val="284"/>
        </w:trPr>
        <w:tc>
          <w:tcPr>
            <w:tcW w:w="1810" w:type="pct"/>
            <w:vAlign w:val="center"/>
          </w:tcPr>
          <w:p w14:paraId="7FCEFB6C" w14:textId="034A75F8" w:rsidR="00435234" w:rsidRPr="00432D03" w:rsidRDefault="00435234" w:rsidP="00D912CB">
            <w:pPr>
              <w:pStyle w:val="Tabletext"/>
              <w:rPr>
                <w:rFonts w:eastAsia="Cambria"/>
              </w:rPr>
            </w:pPr>
            <w:r w:rsidRPr="00432D03">
              <w:rPr>
                <w:rFonts w:eastAsia="Cambria"/>
              </w:rPr>
              <w:t>Plant and Equipment</w:t>
            </w:r>
          </w:p>
        </w:tc>
        <w:tc>
          <w:tcPr>
            <w:tcW w:w="2069" w:type="pct"/>
            <w:vAlign w:val="center"/>
          </w:tcPr>
          <w:p w14:paraId="42905F7C" w14:textId="06BF1D60" w:rsidR="00435234" w:rsidRPr="00432D03" w:rsidRDefault="00435234" w:rsidP="00D912CB">
            <w:pPr>
              <w:pStyle w:val="Tabletext"/>
              <w:rPr>
                <w:rFonts w:eastAsia="Cambria"/>
              </w:rPr>
            </w:pPr>
            <w:r w:rsidRPr="00432D03">
              <w:rPr>
                <w:rFonts w:eastAsia="Cambria"/>
              </w:rPr>
              <w:t>Straight Line</w:t>
            </w:r>
          </w:p>
        </w:tc>
        <w:tc>
          <w:tcPr>
            <w:tcW w:w="1121" w:type="pct"/>
            <w:vAlign w:val="center"/>
          </w:tcPr>
          <w:p w14:paraId="37ABFEA0" w14:textId="77777777" w:rsidR="00435234" w:rsidRPr="00432D03" w:rsidRDefault="00435234" w:rsidP="00D912CB">
            <w:pPr>
              <w:pStyle w:val="Tabletext"/>
              <w:rPr>
                <w:rFonts w:eastAsia="Cambria"/>
              </w:rPr>
            </w:pPr>
            <w:r w:rsidRPr="00432D03">
              <w:rPr>
                <w:rFonts w:eastAsia="Cambria"/>
              </w:rPr>
              <w:t>2 – 20 years</w:t>
            </w:r>
          </w:p>
        </w:tc>
      </w:tr>
      <w:tr w:rsidR="00435234" w:rsidRPr="00435234" w14:paraId="4C600654" w14:textId="77777777" w:rsidTr="004B6E3D">
        <w:tblPrEx>
          <w:tblBorders>
            <w:bottom w:val="single" w:sz="8" w:space="0" w:color="auto"/>
          </w:tblBorders>
        </w:tblPrEx>
        <w:trPr>
          <w:trHeight w:val="284"/>
        </w:trPr>
        <w:tc>
          <w:tcPr>
            <w:tcW w:w="1810" w:type="pct"/>
            <w:tcBorders>
              <w:bottom w:val="single" w:sz="4" w:space="0" w:color="auto"/>
            </w:tcBorders>
            <w:vAlign w:val="center"/>
          </w:tcPr>
          <w:p w14:paraId="1F896085" w14:textId="06901D90" w:rsidR="00435234" w:rsidRPr="00432D03" w:rsidRDefault="00435234" w:rsidP="00D912CB">
            <w:pPr>
              <w:pStyle w:val="Tabletext"/>
              <w:rPr>
                <w:rFonts w:eastAsia="Cambria"/>
              </w:rPr>
            </w:pPr>
            <w:r w:rsidRPr="00432D03">
              <w:rPr>
                <w:rFonts w:eastAsia="Cambria"/>
              </w:rPr>
              <w:t>Externally Acquired Software</w:t>
            </w:r>
          </w:p>
        </w:tc>
        <w:tc>
          <w:tcPr>
            <w:tcW w:w="2069" w:type="pct"/>
            <w:tcBorders>
              <w:bottom w:val="single" w:sz="4" w:space="0" w:color="auto"/>
            </w:tcBorders>
            <w:vAlign w:val="center"/>
          </w:tcPr>
          <w:p w14:paraId="74488F80" w14:textId="7FAA7A9F" w:rsidR="00435234" w:rsidRPr="00432D03" w:rsidRDefault="00435234" w:rsidP="00D912CB">
            <w:pPr>
              <w:pStyle w:val="Tabletext"/>
              <w:rPr>
                <w:rFonts w:eastAsia="Cambria"/>
              </w:rPr>
            </w:pPr>
            <w:r w:rsidRPr="00432D03">
              <w:rPr>
                <w:rFonts w:eastAsia="Cambria"/>
              </w:rPr>
              <w:t>Straight Line</w:t>
            </w:r>
          </w:p>
        </w:tc>
        <w:tc>
          <w:tcPr>
            <w:tcW w:w="1121" w:type="pct"/>
            <w:tcBorders>
              <w:bottom w:val="single" w:sz="4" w:space="0" w:color="auto"/>
            </w:tcBorders>
            <w:vAlign w:val="center"/>
          </w:tcPr>
          <w:p w14:paraId="1EB622C1" w14:textId="77777777" w:rsidR="00435234" w:rsidRPr="00432D03" w:rsidRDefault="00435234" w:rsidP="00D912CB">
            <w:pPr>
              <w:pStyle w:val="Tabletext"/>
              <w:rPr>
                <w:rFonts w:eastAsia="Cambria"/>
              </w:rPr>
            </w:pPr>
            <w:r w:rsidRPr="00432D03">
              <w:rPr>
                <w:rFonts w:eastAsia="Cambria"/>
              </w:rPr>
              <w:t>2 – 5 years</w:t>
            </w:r>
          </w:p>
        </w:tc>
      </w:tr>
    </w:tbl>
    <w:p w14:paraId="0DDF50D9" w14:textId="674ADF99" w:rsidR="00435234" w:rsidRPr="00BC6A65" w:rsidRDefault="00435234" w:rsidP="00A969AC">
      <w:pPr>
        <w:pStyle w:val="Heading1"/>
        <w:ind w:firstLine="0"/>
      </w:pPr>
      <w:bookmarkStart w:id="35" w:name="_Toc51468441"/>
      <w:bookmarkStart w:id="36" w:name="_Toc15641707"/>
      <w:r w:rsidRPr="00BC6A65">
        <w:t xml:space="preserve">Current </w:t>
      </w:r>
      <w:r w:rsidRPr="00D20711">
        <w:t>capitalisation</w:t>
      </w:r>
      <w:r w:rsidRPr="00BC6A65">
        <w:t xml:space="preserve"> threshold </w:t>
      </w:r>
      <w:r w:rsidR="00A97D13">
        <w:br/>
      </w:r>
      <w:r w:rsidRPr="00BC6A65">
        <w:t>for plant and equipment</w:t>
      </w:r>
      <w:bookmarkEnd w:id="35"/>
      <w:bookmarkEnd w:id="36"/>
    </w:p>
    <w:p w14:paraId="4B2D5605" w14:textId="77777777" w:rsidR="00BC551D" w:rsidRPr="00BC551D" w:rsidRDefault="00BC551D" w:rsidP="009C1551">
      <w:pPr>
        <w:pStyle w:val="Heading2"/>
        <w:ind w:firstLine="0"/>
      </w:pPr>
      <w:bookmarkStart w:id="37" w:name="_Toc15641708"/>
      <w:r w:rsidRPr="00F07F48">
        <w:t>New South Wales</w:t>
      </w:r>
      <w:bookmarkEnd w:id="37"/>
    </w:p>
    <w:p w14:paraId="2549D8B5" w14:textId="4A2F10E9" w:rsidR="003B1179" w:rsidRPr="00435234" w:rsidRDefault="003B1179" w:rsidP="009C1551">
      <w:pPr>
        <w:pStyle w:val="Text"/>
        <w:ind w:left="0" w:right="0"/>
      </w:pPr>
      <w:bookmarkStart w:id="38" w:name="_Toc15641709"/>
      <w:r w:rsidRPr="00435234">
        <w:t>Property, plant and equipment costing $10 000 and above individually (or forming part of a network costing more than $10 000) are capitalised. The threshold for intangibles is $50 000. Capitalisation thresholds remain unchanged from prior year.</w:t>
      </w:r>
    </w:p>
    <w:p w14:paraId="1D0B57E5" w14:textId="77777777" w:rsidR="00BC6A65" w:rsidRPr="00BC6A65" w:rsidRDefault="00BC6A65" w:rsidP="009C1551">
      <w:pPr>
        <w:pStyle w:val="Heading2"/>
        <w:ind w:firstLine="0"/>
      </w:pPr>
      <w:r w:rsidRPr="00A72E84">
        <w:t>Victoria</w:t>
      </w:r>
      <w:bookmarkEnd w:id="38"/>
    </w:p>
    <w:p w14:paraId="5737B240" w14:textId="77777777" w:rsidR="00435234" w:rsidRPr="00126B55" w:rsidRDefault="00435234" w:rsidP="009C1551">
      <w:pPr>
        <w:pStyle w:val="Text"/>
        <w:ind w:left="0" w:right="0"/>
      </w:pPr>
      <w:r w:rsidRPr="00126B55">
        <w:t xml:space="preserve">TAFE institutes (except for Holmesglen TAFE institute) have a capitalisation threshold of $5000 except for land and cultural assets (libraries); all other public VET plant and equipment items with a cost </w:t>
      </w:r>
      <w:proofErr w:type="gramStart"/>
      <w:r w:rsidRPr="00126B55">
        <w:t>in excess of</w:t>
      </w:r>
      <w:proofErr w:type="gramEnd"/>
      <w:r w:rsidRPr="00126B55">
        <w:t xml:space="preserve"> $5000 are capitalised as non-current assets. All land and library acquisitions are </w:t>
      </w:r>
      <w:proofErr w:type="gramStart"/>
      <w:r w:rsidRPr="00126B55">
        <w:t>capitalised</w:t>
      </w:r>
      <w:proofErr w:type="gramEnd"/>
      <w:r w:rsidRPr="00126B55">
        <w:t xml:space="preserve"> and no thresholds apply.</w:t>
      </w:r>
    </w:p>
    <w:p w14:paraId="0EBE14B9" w14:textId="77777777" w:rsidR="00435234" w:rsidRPr="00435234" w:rsidRDefault="00435234" w:rsidP="009C1551">
      <w:pPr>
        <w:pStyle w:val="Text"/>
        <w:ind w:left="0" w:right="0"/>
      </w:pPr>
      <w:r w:rsidRPr="00126B55">
        <w:t>Holmesglen TAFE institute has increased the capitalisation threshold from $5000 to $10 000 effective from 9 December 2013. The assets that have been affected by this change comprise mainly computer related equipment and engineering plant and equipment used for teaching purposes.</w:t>
      </w:r>
    </w:p>
    <w:p w14:paraId="2D2DBE05" w14:textId="77777777" w:rsidR="00BC6A65" w:rsidRPr="00BC6A65" w:rsidRDefault="00BC6A65" w:rsidP="009C1551">
      <w:pPr>
        <w:pStyle w:val="Heading2"/>
        <w:ind w:firstLine="0"/>
      </w:pPr>
      <w:bookmarkStart w:id="39" w:name="_Toc15641710"/>
      <w:r w:rsidRPr="00BC6A65">
        <w:t>Queensland</w:t>
      </w:r>
      <w:bookmarkEnd w:id="39"/>
    </w:p>
    <w:p w14:paraId="52F0C798" w14:textId="77777777" w:rsidR="00FE04C6" w:rsidRPr="00BC0F41" w:rsidRDefault="00FE04C6" w:rsidP="00FE04C6">
      <w:pPr>
        <w:pStyle w:val="Text"/>
        <w:ind w:left="0" w:right="0"/>
      </w:pPr>
      <w:bookmarkStart w:id="40" w:name="_Toc15641711"/>
      <w:r w:rsidRPr="00435234">
        <w:t xml:space="preserve">In accordance with the </w:t>
      </w:r>
      <w:r w:rsidRPr="00435234">
        <w:rPr>
          <w:i/>
        </w:rPr>
        <w:t>Non-Current Asset Policies for the Queensland Public Sector</w:t>
      </w:r>
      <w:r w:rsidRPr="00435234">
        <w:t>, the recognition threshold for plant and equipment (including computer equipment and leasehold equipment) is $5000.</w:t>
      </w:r>
    </w:p>
    <w:p w14:paraId="09672B1D" w14:textId="77777777" w:rsidR="00BC6A65" w:rsidRPr="00BC6A65" w:rsidRDefault="00BC6A65" w:rsidP="009C1551">
      <w:pPr>
        <w:pStyle w:val="Heading2"/>
        <w:ind w:firstLine="0"/>
      </w:pPr>
      <w:r w:rsidRPr="00BC6A65">
        <w:lastRenderedPageBreak/>
        <w:t>Western Australia</w:t>
      </w:r>
      <w:bookmarkEnd w:id="40"/>
    </w:p>
    <w:p w14:paraId="55EDB666" w14:textId="30451DC6" w:rsidR="00435234" w:rsidRPr="00435234" w:rsidRDefault="00435234" w:rsidP="009C1551">
      <w:pPr>
        <w:pStyle w:val="Text"/>
        <w:ind w:left="0" w:right="0"/>
      </w:pPr>
      <w:r w:rsidRPr="00435234">
        <w:t>The capitalisation threshold for property, plant and equipment is $5</w:t>
      </w:r>
      <w:r w:rsidR="00843D7E">
        <w:t xml:space="preserve"> </w:t>
      </w:r>
      <w:r w:rsidRPr="00435234">
        <w:t xml:space="preserve">000. </w:t>
      </w:r>
    </w:p>
    <w:p w14:paraId="1B7B501B" w14:textId="166A46D0" w:rsidR="00435234" w:rsidRPr="00435234" w:rsidRDefault="00435234" w:rsidP="009C1551">
      <w:pPr>
        <w:pStyle w:val="Text"/>
        <w:ind w:left="0" w:right="0"/>
      </w:pPr>
      <w:r w:rsidRPr="00435234">
        <w:t>Thresholds for the capitalisation of intangible assets are as follows</w:t>
      </w:r>
      <w:r w:rsidR="00862CAD">
        <w:t>:</w:t>
      </w:r>
    </w:p>
    <w:p w14:paraId="64BCE89C" w14:textId="66940D31" w:rsidR="00435234" w:rsidRPr="00435234" w:rsidRDefault="00435234" w:rsidP="009C1551">
      <w:pPr>
        <w:pStyle w:val="Text"/>
        <w:ind w:left="0" w:right="0"/>
      </w:pPr>
      <w:r w:rsidRPr="00435234">
        <w:t>Computer software and licences — $5</w:t>
      </w:r>
      <w:r w:rsidR="00843D7E">
        <w:t xml:space="preserve"> </w:t>
      </w:r>
      <w:r w:rsidRPr="00435234">
        <w:t>000</w:t>
      </w:r>
      <w:r w:rsidRPr="00435234">
        <w:tab/>
      </w:r>
    </w:p>
    <w:p w14:paraId="3E34897B" w14:textId="77777777" w:rsidR="00435234" w:rsidRPr="00435234" w:rsidRDefault="00435234" w:rsidP="009C1551">
      <w:pPr>
        <w:pStyle w:val="Text"/>
        <w:ind w:left="0" w:right="0"/>
      </w:pPr>
      <w:r w:rsidRPr="00435234">
        <w:t>Internally generated intangible assets — $1 000 000</w:t>
      </w:r>
    </w:p>
    <w:p w14:paraId="008B013D" w14:textId="2D14BAF9" w:rsidR="00BC6A65" w:rsidRPr="00BC6A65" w:rsidRDefault="00BC6A65" w:rsidP="009C1551">
      <w:pPr>
        <w:pStyle w:val="Heading2"/>
        <w:ind w:firstLine="0"/>
      </w:pPr>
      <w:bookmarkStart w:id="41" w:name="_Toc15641712"/>
      <w:r w:rsidRPr="006751E5">
        <w:t>South Australia</w:t>
      </w:r>
      <w:bookmarkEnd w:id="41"/>
    </w:p>
    <w:p w14:paraId="058AD168" w14:textId="77777777" w:rsidR="007C3EF3" w:rsidRDefault="007C3EF3" w:rsidP="007C3EF3">
      <w:pPr>
        <w:pStyle w:val="Text"/>
        <w:ind w:left="0" w:right="0"/>
      </w:pPr>
      <w:bookmarkStart w:id="42" w:name="_Toc15641713"/>
      <w:r>
        <w:t xml:space="preserve">The capitalisation threshold for property, plant and equipment and intangibles is $10 000. </w:t>
      </w:r>
    </w:p>
    <w:p w14:paraId="39903FC6" w14:textId="77777777" w:rsidR="007C3EF3" w:rsidRDefault="007C3EF3" w:rsidP="007C3EF3">
      <w:pPr>
        <w:pStyle w:val="Text"/>
        <w:ind w:left="0" w:right="0"/>
      </w:pPr>
      <w:r>
        <w:t xml:space="preserve">Items under $10 000 are recorded in the statement of comprehensive income as an expense in the accounting period in which they are acquired. </w:t>
      </w:r>
    </w:p>
    <w:p w14:paraId="6DEB6339" w14:textId="77777777" w:rsidR="007C3EF3" w:rsidRDefault="007C3EF3" w:rsidP="007C3EF3">
      <w:pPr>
        <w:pStyle w:val="Text"/>
        <w:ind w:left="0" w:right="0"/>
      </w:pPr>
      <w:r>
        <w:t xml:space="preserve">All research and development costs that do not meet the capitalisation criteria outlined in AASB 138 </w:t>
      </w:r>
      <w:r>
        <w:rPr>
          <w:i/>
        </w:rPr>
        <w:t>Intangible Assets</w:t>
      </w:r>
      <w:r>
        <w:t xml:space="preserve"> are expensed. </w:t>
      </w:r>
    </w:p>
    <w:p w14:paraId="4ABED69C" w14:textId="77777777" w:rsidR="00B21B33" w:rsidRPr="00BC6A65" w:rsidRDefault="00B21B33" w:rsidP="009C1551">
      <w:pPr>
        <w:pStyle w:val="Heading2"/>
        <w:ind w:firstLine="0"/>
      </w:pPr>
      <w:r w:rsidRPr="00A72E84">
        <w:t>Tasmania</w:t>
      </w:r>
      <w:bookmarkEnd w:id="42"/>
    </w:p>
    <w:p w14:paraId="163C0254" w14:textId="77777777" w:rsidR="00435234" w:rsidRPr="00435234" w:rsidRDefault="00435234" w:rsidP="009C1551">
      <w:pPr>
        <w:pStyle w:val="Text"/>
        <w:ind w:left="0" w:right="0"/>
      </w:pPr>
      <w:r w:rsidRPr="00435234">
        <w:t xml:space="preserve">The capitalisation threshold for property, plant and equipment and intangibles is $10 000. Capital works and </w:t>
      </w:r>
      <w:r w:rsidRPr="00B5319B">
        <w:t>intangibles</w:t>
      </w:r>
      <w:r w:rsidRPr="00435234">
        <w:t xml:space="preserve"> are capitalised at $150 000.</w:t>
      </w:r>
    </w:p>
    <w:p w14:paraId="17321A53" w14:textId="77777777" w:rsidR="00B21B33" w:rsidRPr="00B21B33" w:rsidRDefault="00B21B33" w:rsidP="009C1551">
      <w:pPr>
        <w:pStyle w:val="Heading2"/>
        <w:ind w:firstLine="0"/>
      </w:pPr>
      <w:bookmarkStart w:id="43" w:name="_Toc15641714"/>
      <w:r w:rsidRPr="00B21B33">
        <w:t>Northern Territory</w:t>
      </w:r>
      <w:bookmarkEnd w:id="43"/>
    </w:p>
    <w:p w14:paraId="06E8022D" w14:textId="77777777" w:rsidR="005027C5" w:rsidRPr="00906642" w:rsidRDefault="005027C5" w:rsidP="009C1551">
      <w:pPr>
        <w:pStyle w:val="Text"/>
        <w:ind w:left="0" w:right="0"/>
      </w:pPr>
      <w:r w:rsidRPr="00906642">
        <w:t>Department of Industry, Tourism and Trade, Department of Education, Department of the Attorney General and Justice, and Charles Darwin University: The capitalisation threshold for property, plant and equipment is $10 000.</w:t>
      </w:r>
    </w:p>
    <w:p w14:paraId="1E196644" w14:textId="12A4340F" w:rsidR="005027C5" w:rsidRPr="00435234" w:rsidRDefault="005027C5" w:rsidP="009C1551">
      <w:pPr>
        <w:pStyle w:val="Text"/>
        <w:ind w:left="0" w:right="0"/>
      </w:pPr>
      <w:r w:rsidRPr="00906642">
        <w:rPr>
          <w:i/>
        </w:rPr>
        <w:t>Batchelor Institute of Indigenous Tertiary Education</w:t>
      </w:r>
      <w:r w:rsidRPr="00906642">
        <w:t>: The capitalisation threshold for property, plant and equipment is $5000.</w:t>
      </w:r>
    </w:p>
    <w:p w14:paraId="66751C0F" w14:textId="77777777" w:rsidR="00B21B33" w:rsidRPr="00B21B33" w:rsidRDefault="00B21B33" w:rsidP="009C1551">
      <w:pPr>
        <w:pStyle w:val="Heading2"/>
        <w:ind w:firstLine="0"/>
      </w:pPr>
      <w:bookmarkStart w:id="44" w:name="_Toc15641715"/>
      <w:r w:rsidRPr="00F07F48">
        <w:t>Australian Capital Territory</w:t>
      </w:r>
      <w:bookmarkEnd w:id="44"/>
    </w:p>
    <w:bookmarkEnd w:id="6"/>
    <w:bookmarkEnd w:id="8"/>
    <w:p w14:paraId="442605B2" w14:textId="47A30E32" w:rsidR="00282CAD" w:rsidRDefault="00C53AE5" w:rsidP="009C1551">
      <w:pPr>
        <w:pStyle w:val="Text"/>
        <w:ind w:left="0" w:right="0"/>
      </w:pPr>
      <w:r w:rsidRPr="00FF3B08">
        <w:t>Property, plant and equipment with a value above $</w:t>
      </w:r>
      <w:r w:rsidR="002D290D">
        <w:t>5</w:t>
      </w:r>
      <w:r w:rsidRPr="00FF3B08">
        <w:t>,000</w:t>
      </w:r>
      <w:r>
        <w:t xml:space="preserve"> (GST exclusive) is capitalised</w:t>
      </w:r>
      <w:r w:rsidR="002D290D">
        <w:t>.</w:t>
      </w:r>
    </w:p>
    <w:sectPr w:rsidR="00282CAD" w:rsidSect="00A969AC">
      <w:footerReference w:type="even" r:id="rId18"/>
      <w:footerReference w:type="default" r:id="rId19"/>
      <w:pgSz w:w="11906" w:h="16838"/>
      <w:pgMar w:top="1276" w:right="1418" w:bottom="992" w:left="1418" w:header="720"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5977" w14:textId="77777777" w:rsidR="005F66D1" w:rsidRDefault="005F66D1" w:rsidP="00844920">
      <w:pPr>
        <w:spacing w:before="0"/>
      </w:pPr>
      <w:r>
        <w:separator/>
      </w:r>
    </w:p>
  </w:endnote>
  <w:endnote w:type="continuationSeparator" w:id="0">
    <w:p w14:paraId="7EAEA9A7" w14:textId="77777777" w:rsidR="005F66D1" w:rsidRDefault="005F66D1" w:rsidP="008449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ambria"/>
    <w:charset w:val="00"/>
    <w:family w:val="roman"/>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D681" w14:textId="7ADA82B7" w:rsidR="00F3447F" w:rsidRPr="009C1551" w:rsidRDefault="009C1551" w:rsidP="009C1551">
    <w:pPr>
      <w:pStyle w:val="Footer"/>
      <w:tabs>
        <w:tab w:val="clear" w:pos="4153"/>
        <w:tab w:val="clear" w:pos="8306"/>
        <w:tab w:val="right" w:pos="9072"/>
        <w:tab w:val="right" w:pos="14175"/>
      </w:tabs>
      <w:ind w:right="-2"/>
    </w:pPr>
    <w:r w:rsidRPr="00AD513A">
      <w:rPr>
        <w:b/>
      </w:rPr>
      <w:t xml:space="preserve">Government funding of VET </w:t>
    </w:r>
    <w:r w:rsidR="002F4114">
      <w:rPr>
        <w:b/>
      </w:rPr>
      <w:t>2024</w:t>
    </w:r>
    <w:r w:rsidRPr="00AD513A">
      <w:rPr>
        <w:b/>
      </w:rPr>
      <w:t>: jurisdictional accounting policies</w:t>
    </w:r>
    <w:r w:rsidR="00B554E3">
      <w:rPr>
        <w:b/>
      </w:rPr>
      <w:t xml:space="preserve"> for property, plant and equipment</w:t>
    </w:r>
    <w:r>
      <w:rPr>
        <w:b/>
      </w:rPr>
      <w:tab/>
      <w:t xml:space="preserve"> </w:t>
    </w:r>
    <w:r w:rsidRPr="00F83719">
      <w:rPr>
        <w:b/>
      </w:rPr>
      <w:fldChar w:fldCharType="begin"/>
    </w:r>
    <w:r w:rsidRPr="00F83719">
      <w:rPr>
        <w:b/>
      </w:rPr>
      <w:instrText xml:space="preserve"> PAGE   \* MERGEFORMAT </w:instrText>
    </w:r>
    <w:r w:rsidRPr="00F83719">
      <w:rPr>
        <w:b/>
      </w:rPr>
      <w:fldChar w:fldCharType="separate"/>
    </w:r>
    <w:r>
      <w:rPr>
        <w:b/>
      </w:rPr>
      <w:t>9</w:t>
    </w:r>
    <w:r w:rsidRPr="00F83719">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93AA" w14:textId="6D20F9E3" w:rsidR="00F3447F" w:rsidRPr="00950569" w:rsidRDefault="00502D99" w:rsidP="009C1551">
    <w:pPr>
      <w:pStyle w:val="Footer"/>
      <w:tabs>
        <w:tab w:val="clear" w:pos="4153"/>
        <w:tab w:val="clear" w:pos="8306"/>
        <w:tab w:val="right" w:pos="9072"/>
        <w:tab w:val="right" w:pos="14175"/>
      </w:tabs>
      <w:ind w:right="-2"/>
    </w:pPr>
    <w:r w:rsidRPr="00AD513A">
      <w:rPr>
        <w:b/>
      </w:rPr>
      <w:t xml:space="preserve">Government funding of VET </w:t>
    </w:r>
    <w:r w:rsidR="002F4114">
      <w:rPr>
        <w:b/>
      </w:rPr>
      <w:t>2024</w:t>
    </w:r>
    <w:r w:rsidRPr="00AD513A">
      <w:rPr>
        <w:b/>
      </w:rPr>
      <w:t>: jurisdictional accounting policies</w:t>
    </w:r>
    <w:r>
      <w:rPr>
        <w:b/>
      </w:rPr>
      <w:t xml:space="preserve"> for property, plant and equipment</w:t>
    </w:r>
    <w:r w:rsidR="009C1551">
      <w:rPr>
        <w:b/>
      </w:rPr>
      <w:tab/>
      <w:t xml:space="preserve"> </w:t>
    </w:r>
    <w:r w:rsidR="00F3447F" w:rsidRPr="00F83719">
      <w:rPr>
        <w:b/>
      </w:rPr>
      <w:fldChar w:fldCharType="begin"/>
    </w:r>
    <w:r w:rsidR="00F3447F" w:rsidRPr="00F83719">
      <w:rPr>
        <w:b/>
      </w:rPr>
      <w:instrText xml:space="preserve"> PAGE   \* MERGEFORMAT </w:instrText>
    </w:r>
    <w:r w:rsidR="00F3447F" w:rsidRPr="00F83719">
      <w:rPr>
        <w:b/>
      </w:rPr>
      <w:fldChar w:fldCharType="separate"/>
    </w:r>
    <w:r w:rsidR="00F3447F">
      <w:rPr>
        <w:b/>
        <w:noProof/>
      </w:rPr>
      <w:t>19</w:t>
    </w:r>
    <w:r w:rsidR="00F3447F" w:rsidRPr="00F83719">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B6C5" w14:textId="77777777" w:rsidR="005F66D1" w:rsidRDefault="005F66D1" w:rsidP="00844920">
      <w:pPr>
        <w:spacing w:before="0"/>
      </w:pPr>
      <w:r>
        <w:separator/>
      </w:r>
    </w:p>
  </w:footnote>
  <w:footnote w:type="continuationSeparator" w:id="0">
    <w:p w14:paraId="263C86C6" w14:textId="77777777" w:rsidR="005F66D1" w:rsidRDefault="005F66D1" w:rsidP="0084492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D4C1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08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28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7E93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1207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E0B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201E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9E87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AF1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0897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FF05DF"/>
    <w:multiLevelType w:val="singleLevel"/>
    <w:tmpl w:val="0C090005"/>
    <w:lvl w:ilvl="0">
      <w:start w:val="1"/>
      <w:numFmt w:val="bullet"/>
      <w:lvlText w:val=""/>
      <w:lvlJc w:val="left"/>
      <w:pPr>
        <w:ind w:left="720" w:hanging="360"/>
      </w:pPr>
      <w:rPr>
        <w:rFonts w:ascii="Wingdings" w:hAnsi="Wingdings" w:hint="default"/>
      </w:rPr>
    </w:lvl>
  </w:abstractNum>
  <w:abstractNum w:abstractNumId="12" w15:restartNumberingAfterBreak="0">
    <w:nsid w:val="09647662"/>
    <w:multiLevelType w:val="hybridMultilevel"/>
    <w:tmpl w:val="7ACA2B2C"/>
    <w:lvl w:ilvl="0" w:tplc="8ED63B44">
      <w:start w:val="1"/>
      <w:numFmt w:val="bullet"/>
      <w:pStyle w:val="Dotpoin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4D63E9"/>
    <w:multiLevelType w:val="hybridMultilevel"/>
    <w:tmpl w:val="73785CC8"/>
    <w:lvl w:ilvl="0" w:tplc="C2A6D2B8">
      <w:start w:val="1"/>
      <w:numFmt w:val="bullet"/>
      <w:pStyle w:val="ODD2ndindentbullet"/>
      <w:lvlText w:val="□"/>
      <w:lvlJc w:val="left"/>
      <w:pPr>
        <w:tabs>
          <w:tab w:val="num" w:pos="57"/>
        </w:tabs>
        <w:ind w:left="454" w:hanging="227"/>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4A2C71"/>
    <w:multiLevelType w:val="singleLevel"/>
    <w:tmpl w:val="5A282C10"/>
    <w:lvl w:ilvl="0">
      <w:start w:val="1"/>
      <w:numFmt w:val="bullet"/>
      <w:pStyle w:val="Dotpoint20"/>
      <w:lvlText w:val=""/>
      <w:lvlJc w:val="left"/>
      <w:pPr>
        <w:tabs>
          <w:tab w:val="num" w:pos="0"/>
        </w:tabs>
        <w:ind w:left="360" w:hanging="360"/>
      </w:pPr>
      <w:rPr>
        <w:rFonts w:ascii="Wingdings" w:hAnsi="Wingdings" w:hint="default"/>
      </w:rPr>
    </w:lvl>
  </w:abstractNum>
  <w:abstractNum w:abstractNumId="15" w15:restartNumberingAfterBreak="0">
    <w:nsid w:val="22AD7980"/>
    <w:multiLevelType w:val="hybridMultilevel"/>
    <w:tmpl w:val="DA3E3656"/>
    <w:lvl w:ilvl="0" w:tplc="DF2E93B2">
      <w:start w:val="1"/>
      <w:numFmt w:val="bullet"/>
      <w:pStyle w:val="ODDindentbullet"/>
      <w:lvlText w:val="□"/>
      <w:lvlJc w:val="left"/>
      <w:pPr>
        <w:tabs>
          <w:tab w:val="num" w:pos="284"/>
        </w:tabs>
        <w:ind w:left="284" w:hanging="171"/>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F334A8"/>
    <w:multiLevelType w:val="hybridMultilevel"/>
    <w:tmpl w:val="94726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1558E"/>
    <w:multiLevelType w:val="hybridMultilevel"/>
    <w:tmpl w:val="C8B2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DE1894"/>
    <w:multiLevelType w:val="hybridMultilevel"/>
    <w:tmpl w:val="D390EE0A"/>
    <w:lvl w:ilvl="0" w:tplc="7AE2D012">
      <w:start w:val="1"/>
      <w:numFmt w:val="bullet"/>
      <w:pStyle w:val="Dotpoint1"/>
      <w:lvlText w:val=""/>
      <w:lvlJc w:val="left"/>
      <w:pPr>
        <w:ind w:left="1004" w:hanging="360"/>
      </w:pPr>
      <w:rPr>
        <w:rFonts w:ascii="Wingdings" w:hAnsi="Wingdings"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10A02C5"/>
    <w:multiLevelType w:val="hybridMultilevel"/>
    <w:tmpl w:val="B84CC4F0"/>
    <w:lvl w:ilvl="0" w:tplc="A0D0ED8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7502844"/>
    <w:multiLevelType w:val="hybridMultilevel"/>
    <w:tmpl w:val="E53A7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754A6D"/>
    <w:multiLevelType w:val="multilevel"/>
    <w:tmpl w:val="97842BDE"/>
    <w:lvl w:ilvl="0">
      <w:start w:val="1"/>
      <w:numFmt w:val="bullet"/>
      <w:pStyle w:val="ODDtabledotpoint"/>
      <w:lvlText w:val="□"/>
      <w:lvlJc w:val="left"/>
      <w:pPr>
        <w:tabs>
          <w:tab w:val="num" w:pos="170"/>
        </w:tabs>
        <w:ind w:left="113" w:hanging="113"/>
      </w:pPr>
      <w:rPr>
        <w:rFonts w:ascii="Times New Roman" w:hAnsi="Times New Roman" w:cs="Times New Roman" w:hint="default"/>
      </w:rPr>
    </w:lvl>
    <w:lvl w:ilvl="1">
      <w:start w:val="1"/>
      <w:numFmt w:val="bullet"/>
      <w:lvlRestart w:val="0"/>
      <w:pStyle w:val="AERHeading1"/>
      <w:lvlText w:val=""/>
      <w:lvlJc w:val="left"/>
      <w:pPr>
        <w:tabs>
          <w:tab w:val="num" w:pos="1440"/>
        </w:tabs>
        <w:ind w:left="792" w:hanging="432"/>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bullet"/>
      <w:lvlText w:val="­"/>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845707191">
    <w:abstractNumId w:val="9"/>
  </w:num>
  <w:num w:numId="2" w16cid:durableId="428235019">
    <w:abstractNumId w:val="7"/>
  </w:num>
  <w:num w:numId="3" w16cid:durableId="1070540376">
    <w:abstractNumId w:val="6"/>
  </w:num>
  <w:num w:numId="4" w16cid:durableId="498621851">
    <w:abstractNumId w:val="5"/>
  </w:num>
  <w:num w:numId="5" w16cid:durableId="351304971">
    <w:abstractNumId w:val="4"/>
  </w:num>
  <w:num w:numId="6" w16cid:durableId="1658150302">
    <w:abstractNumId w:val="8"/>
  </w:num>
  <w:num w:numId="7" w16cid:durableId="935670514">
    <w:abstractNumId w:val="3"/>
  </w:num>
  <w:num w:numId="8" w16cid:durableId="1884052263">
    <w:abstractNumId w:val="2"/>
  </w:num>
  <w:num w:numId="9" w16cid:durableId="183859230">
    <w:abstractNumId w:val="1"/>
  </w:num>
  <w:num w:numId="10" w16cid:durableId="2003894893">
    <w:abstractNumId w:val="0"/>
  </w:num>
  <w:num w:numId="11" w16cid:durableId="607783192">
    <w:abstractNumId w:val="11"/>
  </w:num>
  <w:num w:numId="12" w16cid:durableId="1195195454">
    <w:abstractNumId w:val="14"/>
  </w:num>
  <w:num w:numId="13" w16cid:durableId="1985697762">
    <w:abstractNumId w:val="10"/>
  </w:num>
  <w:num w:numId="14" w16cid:durableId="2135521658">
    <w:abstractNumId w:val="22"/>
  </w:num>
  <w:num w:numId="15" w16cid:durableId="428433803">
    <w:abstractNumId w:val="15"/>
  </w:num>
  <w:num w:numId="16" w16cid:durableId="1168326775">
    <w:abstractNumId w:val="13"/>
  </w:num>
  <w:num w:numId="17" w16cid:durableId="1253320304">
    <w:abstractNumId w:val="19"/>
  </w:num>
  <w:num w:numId="18" w16cid:durableId="586229139">
    <w:abstractNumId w:val="12"/>
  </w:num>
  <w:num w:numId="19" w16cid:durableId="763375961">
    <w:abstractNumId w:val="19"/>
  </w:num>
  <w:num w:numId="20" w16cid:durableId="208422978">
    <w:abstractNumId w:val="12"/>
  </w:num>
  <w:num w:numId="21" w16cid:durableId="1086029243">
    <w:abstractNumId w:val="18"/>
  </w:num>
  <w:num w:numId="22" w16cid:durableId="207377771">
    <w:abstractNumId w:val="20"/>
  </w:num>
  <w:num w:numId="23" w16cid:durableId="1252397048">
    <w:abstractNumId w:val="17"/>
  </w:num>
  <w:num w:numId="24" w16cid:durableId="424808361">
    <w:abstractNumId w:val="21"/>
  </w:num>
  <w:num w:numId="25" w16cid:durableId="35592890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MDMxMzO2NDExsTRQ0lEKTi0uzszPAykwrwUAApykOCwAAAA="/>
  </w:docVars>
  <w:rsids>
    <w:rsidRoot w:val="00762C16"/>
    <w:rsid w:val="00011488"/>
    <w:rsid w:val="00013FF7"/>
    <w:rsid w:val="00014F2A"/>
    <w:rsid w:val="00016A47"/>
    <w:rsid w:val="000176D4"/>
    <w:rsid w:val="000305C9"/>
    <w:rsid w:val="00034BD0"/>
    <w:rsid w:val="0004176F"/>
    <w:rsid w:val="00045383"/>
    <w:rsid w:val="000523B9"/>
    <w:rsid w:val="00056591"/>
    <w:rsid w:val="00082714"/>
    <w:rsid w:val="00087CFC"/>
    <w:rsid w:val="00093D19"/>
    <w:rsid w:val="00096F82"/>
    <w:rsid w:val="000A7E78"/>
    <w:rsid w:val="000B0A4E"/>
    <w:rsid w:val="000B368D"/>
    <w:rsid w:val="000B4758"/>
    <w:rsid w:val="000C07FF"/>
    <w:rsid w:val="000D0145"/>
    <w:rsid w:val="000D030A"/>
    <w:rsid w:val="000D4737"/>
    <w:rsid w:val="000D4AFF"/>
    <w:rsid w:val="000D6C2D"/>
    <w:rsid w:val="000D6D7F"/>
    <w:rsid w:val="000E1A9A"/>
    <w:rsid w:val="00102D55"/>
    <w:rsid w:val="001067E5"/>
    <w:rsid w:val="001132EF"/>
    <w:rsid w:val="001157F7"/>
    <w:rsid w:val="00120AF1"/>
    <w:rsid w:val="001257B2"/>
    <w:rsid w:val="001267ED"/>
    <w:rsid w:val="00126B55"/>
    <w:rsid w:val="00127C01"/>
    <w:rsid w:val="001346B6"/>
    <w:rsid w:val="00137389"/>
    <w:rsid w:val="0015613E"/>
    <w:rsid w:val="00161266"/>
    <w:rsid w:val="00182F8D"/>
    <w:rsid w:val="00184671"/>
    <w:rsid w:val="00187713"/>
    <w:rsid w:val="0019348D"/>
    <w:rsid w:val="001A18C4"/>
    <w:rsid w:val="001A21A4"/>
    <w:rsid w:val="001A318B"/>
    <w:rsid w:val="001A6750"/>
    <w:rsid w:val="001A789D"/>
    <w:rsid w:val="001C3327"/>
    <w:rsid w:val="001C5168"/>
    <w:rsid w:val="001D0DCB"/>
    <w:rsid w:val="001D1CA9"/>
    <w:rsid w:val="001D5B91"/>
    <w:rsid w:val="001D7E39"/>
    <w:rsid w:val="001F2441"/>
    <w:rsid w:val="001F6AF8"/>
    <w:rsid w:val="001F71EF"/>
    <w:rsid w:val="002023DA"/>
    <w:rsid w:val="00202B5E"/>
    <w:rsid w:val="00207CBB"/>
    <w:rsid w:val="00210377"/>
    <w:rsid w:val="00210F45"/>
    <w:rsid w:val="002125C9"/>
    <w:rsid w:val="00221236"/>
    <w:rsid w:val="0022260F"/>
    <w:rsid w:val="002343E0"/>
    <w:rsid w:val="00241085"/>
    <w:rsid w:val="002434B9"/>
    <w:rsid w:val="00245131"/>
    <w:rsid w:val="002474E3"/>
    <w:rsid w:val="00253EC4"/>
    <w:rsid w:val="00254D59"/>
    <w:rsid w:val="00272465"/>
    <w:rsid w:val="00275784"/>
    <w:rsid w:val="00282CAD"/>
    <w:rsid w:val="00292891"/>
    <w:rsid w:val="00296DDD"/>
    <w:rsid w:val="002A0718"/>
    <w:rsid w:val="002B6E79"/>
    <w:rsid w:val="002C0C92"/>
    <w:rsid w:val="002C6D14"/>
    <w:rsid w:val="002D290D"/>
    <w:rsid w:val="002D5A91"/>
    <w:rsid w:val="002D5B08"/>
    <w:rsid w:val="002E2DDF"/>
    <w:rsid w:val="002E4209"/>
    <w:rsid w:val="002E6B9B"/>
    <w:rsid w:val="002F2978"/>
    <w:rsid w:val="002F4114"/>
    <w:rsid w:val="003006F6"/>
    <w:rsid w:val="00303C61"/>
    <w:rsid w:val="00304FC2"/>
    <w:rsid w:val="00305317"/>
    <w:rsid w:val="003240F6"/>
    <w:rsid w:val="00332F4D"/>
    <w:rsid w:val="003333E1"/>
    <w:rsid w:val="00344268"/>
    <w:rsid w:val="00345D43"/>
    <w:rsid w:val="00347FE6"/>
    <w:rsid w:val="00356A56"/>
    <w:rsid w:val="00357AC7"/>
    <w:rsid w:val="003646BA"/>
    <w:rsid w:val="003650B3"/>
    <w:rsid w:val="003740EE"/>
    <w:rsid w:val="0037754E"/>
    <w:rsid w:val="00382542"/>
    <w:rsid w:val="003858F1"/>
    <w:rsid w:val="00392143"/>
    <w:rsid w:val="003A0CBE"/>
    <w:rsid w:val="003A146D"/>
    <w:rsid w:val="003A3CD9"/>
    <w:rsid w:val="003A7E53"/>
    <w:rsid w:val="003B1179"/>
    <w:rsid w:val="003C35CA"/>
    <w:rsid w:val="003D26C4"/>
    <w:rsid w:val="003E33A6"/>
    <w:rsid w:val="003F5300"/>
    <w:rsid w:val="003F5905"/>
    <w:rsid w:val="003F5B41"/>
    <w:rsid w:val="00404E0D"/>
    <w:rsid w:val="00406378"/>
    <w:rsid w:val="004112BF"/>
    <w:rsid w:val="00431E90"/>
    <w:rsid w:val="00432D03"/>
    <w:rsid w:val="00435234"/>
    <w:rsid w:val="00440CB4"/>
    <w:rsid w:val="00461498"/>
    <w:rsid w:val="00461F09"/>
    <w:rsid w:val="00467C54"/>
    <w:rsid w:val="004879B1"/>
    <w:rsid w:val="004911F4"/>
    <w:rsid w:val="004970CF"/>
    <w:rsid w:val="004B6D5E"/>
    <w:rsid w:val="004B6E3D"/>
    <w:rsid w:val="004C201F"/>
    <w:rsid w:val="004C3574"/>
    <w:rsid w:val="004D122B"/>
    <w:rsid w:val="004D2A1D"/>
    <w:rsid w:val="004D3148"/>
    <w:rsid w:val="004E66B4"/>
    <w:rsid w:val="005027C5"/>
    <w:rsid w:val="00502D99"/>
    <w:rsid w:val="0050373D"/>
    <w:rsid w:val="00504751"/>
    <w:rsid w:val="00511BD2"/>
    <w:rsid w:val="00517E23"/>
    <w:rsid w:val="005222BD"/>
    <w:rsid w:val="00522E75"/>
    <w:rsid w:val="00525E29"/>
    <w:rsid w:val="005337F6"/>
    <w:rsid w:val="00535833"/>
    <w:rsid w:val="00535B51"/>
    <w:rsid w:val="0054523E"/>
    <w:rsid w:val="0054661B"/>
    <w:rsid w:val="00547116"/>
    <w:rsid w:val="00550D62"/>
    <w:rsid w:val="00552688"/>
    <w:rsid w:val="00564820"/>
    <w:rsid w:val="005706E8"/>
    <w:rsid w:val="00574288"/>
    <w:rsid w:val="00580BAF"/>
    <w:rsid w:val="00584880"/>
    <w:rsid w:val="005874A6"/>
    <w:rsid w:val="00596062"/>
    <w:rsid w:val="005A19B8"/>
    <w:rsid w:val="005A2918"/>
    <w:rsid w:val="005A294D"/>
    <w:rsid w:val="005A4793"/>
    <w:rsid w:val="005A490C"/>
    <w:rsid w:val="005B5CFF"/>
    <w:rsid w:val="005C115B"/>
    <w:rsid w:val="005C4464"/>
    <w:rsid w:val="005D607B"/>
    <w:rsid w:val="005D71D2"/>
    <w:rsid w:val="005E7596"/>
    <w:rsid w:val="005F0A96"/>
    <w:rsid w:val="005F2D42"/>
    <w:rsid w:val="005F66D1"/>
    <w:rsid w:val="005F70AE"/>
    <w:rsid w:val="00602B7B"/>
    <w:rsid w:val="00610753"/>
    <w:rsid w:val="0061746F"/>
    <w:rsid w:val="006176BA"/>
    <w:rsid w:val="00626339"/>
    <w:rsid w:val="00630F39"/>
    <w:rsid w:val="00630F4F"/>
    <w:rsid w:val="0063103A"/>
    <w:rsid w:val="00647BF8"/>
    <w:rsid w:val="00650C3C"/>
    <w:rsid w:val="006614CD"/>
    <w:rsid w:val="0066630F"/>
    <w:rsid w:val="006751E5"/>
    <w:rsid w:val="00677605"/>
    <w:rsid w:val="006A1E41"/>
    <w:rsid w:val="006A6272"/>
    <w:rsid w:val="006A6429"/>
    <w:rsid w:val="006B103A"/>
    <w:rsid w:val="006B1581"/>
    <w:rsid w:val="006B5747"/>
    <w:rsid w:val="006B6833"/>
    <w:rsid w:val="006C0745"/>
    <w:rsid w:val="006C3B7B"/>
    <w:rsid w:val="006C53A5"/>
    <w:rsid w:val="006D042E"/>
    <w:rsid w:val="006D108C"/>
    <w:rsid w:val="006D2F18"/>
    <w:rsid w:val="006E000E"/>
    <w:rsid w:val="006E0779"/>
    <w:rsid w:val="006E07F4"/>
    <w:rsid w:val="006E6A1C"/>
    <w:rsid w:val="006F07C3"/>
    <w:rsid w:val="00701042"/>
    <w:rsid w:val="007013C0"/>
    <w:rsid w:val="00706094"/>
    <w:rsid w:val="007110B5"/>
    <w:rsid w:val="007130B1"/>
    <w:rsid w:val="0071603E"/>
    <w:rsid w:val="00736237"/>
    <w:rsid w:val="007410A9"/>
    <w:rsid w:val="007420A5"/>
    <w:rsid w:val="007555E2"/>
    <w:rsid w:val="007574BC"/>
    <w:rsid w:val="00761292"/>
    <w:rsid w:val="00761B13"/>
    <w:rsid w:val="0076258D"/>
    <w:rsid w:val="00762C16"/>
    <w:rsid w:val="0076467C"/>
    <w:rsid w:val="0076477A"/>
    <w:rsid w:val="0078001B"/>
    <w:rsid w:val="00780F03"/>
    <w:rsid w:val="007862F3"/>
    <w:rsid w:val="00792A8D"/>
    <w:rsid w:val="00793D92"/>
    <w:rsid w:val="007A2473"/>
    <w:rsid w:val="007A42F4"/>
    <w:rsid w:val="007A65EC"/>
    <w:rsid w:val="007A66BD"/>
    <w:rsid w:val="007B0EE5"/>
    <w:rsid w:val="007B68EB"/>
    <w:rsid w:val="007C3EF3"/>
    <w:rsid w:val="007C41D3"/>
    <w:rsid w:val="007C592A"/>
    <w:rsid w:val="007C5E4F"/>
    <w:rsid w:val="007D36E3"/>
    <w:rsid w:val="007D6AFD"/>
    <w:rsid w:val="007D6C7A"/>
    <w:rsid w:val="007E72C2"/>
    <w:rsid w:val="007F0C88"/>
    <w:rsid w:val="007F3651"/>
    <w:rsid w:val="0080216A"/>
    <w:rsid w:val="00802A1F"/>
    <w:rsid w:val="00810751"/>
    <w:rsid w:val="00814BAF"/>
    <w:rsid w:val="00843D7E"/>
    <w:rsid w:val="00844920"/>
    <w:rsid w:val="0084777A"/>
    <w:rsid w:val="0085392D"/>
    <w:rsid w:val="008540B9"/>
    <w:rsid w:val="00856658"/>
    <w:rsid w:val="00856A6E"/>
    <w:rsid w:val="00862CAD"/>
    <w:rsid w:val="008640AF"/>
    <w:rsid w:val="008707CC"/>
    <w:rsid w:val="0087317F"/>
    <w:rsid w:val="00880656"/>
    <w:rsid w:val="00884EA5"/>
    <w:rsid w:val="0089122D"/>
    <w:rsid w:val="0089285C"/>
    <w:rsid w:val="0089646D"/>
    <w:rsid w:val="008A14EA"/>
    <w:rsid w:val="008A7EF5"/>
    <w:rsid w:val="008C592A"/>
    <w:rsid w:val="008C6234"/>
    <w:rsid w:val="008D2A7F"/>
    <w:rsid w:val="008E1184"/>
    <w:rsid w:val="008E29BF"/>
    <w:rsid w:val="008F7A07"/>
    <w:rsid w:val="00906642"/>
    <w:rsid w:val="0091193D"/>
    <w:rsid w:val="009151E8"/>
    <w:rsid w:val="00917457"/>
    <w:rsid w:val="00917D84"/>
    <w:rsid w:val="00921FD7"/>
    <w:rsid w:val="0092701C"/>
    <w:rsid w:val="00945D48"/>
    <w:rsid w:val="00950569"/>
    <w:rsid w:val="0095201A"/>
    <w:rsid w:val="00955517"/>
    <w:rsid w:val="00962566"/>
    <w:rsid w:val="009838F8"/>
    <w:rsid w:val="00991E68"/>
    <w:rsid w:val="009B27E0"/>
    <w:rsid w:val="009C1551"/>
    <w:rsid w:val="009C547B"/>
    <w:rsid w:val="009D176B"/>
    <w:rsid w:val="009D423A"/>
    <w:rsid w:val="009D4A02"/>
    <w:rsid w:val="009E66BA"/>
    <w:rsid w:val="009F18D1"/>
    <w:rsid w:val="009F7DC4"/>
    <w:rsid w:val="00A02034"/>
    <w:rsid w:val="00A0760E"/>
    <w:rsid w:val="00A12EC2"/>
    <w:rsid w:val="00A220B3"/>
    <w:rsid w:val="00A22F77"/>
    <w:rsid w:val="00A2686C"/>
    <w:rsid w:val="00A339F2"/>
    <w:rsid w:val="00A35F39"/>
    <w:rsid w:val="00A40B1B"/>
    <w:rsid w:val="00A413F4"/>
    <w:rsid w:val="00A478F8"/>
    <w:rsid w:val="00A56712"/>
    <w:rsid w:val="00A61D4D"/>
    <w:rsid w:val="00A72E84"/>
    <w:rsid w:val="00A74ADE"/>
    <w:rsid w:val="00A75391"/>
    <w:rsid w:val="00A772DB"/>
    <w:rsid w:val="00A776EE"/>
    <w:rsid w:val="00A82BFD"/>
    <w:rsid w:val="00A969AC"/>
    <w:rsid w:val="00A97D13"/>
    <w:rsid w:val="00AA12C1"/>
    <w:rsid w:val="00AA2779"/>
    <w:rsid w:val="00AB2537"/>
    <w:rsid w:val="00AB550E"/>
    <w:rsid w:val="00AD19A7"/>
    <w:rsid w:val="00AD513A"/>
    <w:rsid w:val="00AD61E3"/>
    <w:rsid w:val="00AE7851"/>
    <w:rsid w:val="00AF3609"/>
    <w:rsid w:val="00AF3AEE"/>
    <w:rsid w:val="00AF6B2E"/>
    <w:rsid w:val="00B01F2F"/>
    <w:rsid w:val="00B11A39"/>
    <w:rsid w:val="00B21B33"/>
    <w:rsid w:val="00B30B69"/>
    <w:rsid w:val="00B36BE7"/>
    <w:rsid w:val="00B43196"/>
    <w:rsid w:val="00B43C2E"/>
    <w:rsid w:val="00B47E62"/>
    <w:rsid w:val="00B5319B"/>
    <w:rsid w:val="00B53E49"/>
    <w:rsid w:val="00B55109"/>
    <w:rsid w:val="00B5522A"/>
    <w:rsid w:val="00B554E3"/>
    <w:rsid w:val="00B567E8"/>
    <w:rsid w:val="00B579ED"/>
    <w:rsid w:val="00B622F2"/>
    <w:rsid w:val="00B7495D"/>
    <w:rsid w:val="00B868EA"/>
    <w:rsid w:val="00B95AF5"/>
    <w:rsid w:val="00BA21F6"/>
    <w:rsid w:val="00BA55F4"/>
    <w:rsid w:val="00BC0F41"/>
    <w:rsid w:val="00BC24D3"/>
    <w:rsid w:val="00BC551D"/>
    <w:rsid w:val="00BC6A65"/>
    <w:rsid w:val="00BD0DDA"/>
    <w:rsid w:val="00BD19E2"/>
    <w:rsid w:val="00BD3F9F"/>
    <w:rsid w:val="00BF45F9"/>
    <w:rsid w:val="00C03E08"/>
    <w:rsid w:val="00C102D5"/>
    <w:rsid w:val="00C119AB"/>
    <w:rsid w:val="00C17B27"/>
    <w:rsid w:val="00C21A85"/>
    <w:rsid w:val="00C24078"/>
    <w:rsid w:val="00C31F3C"/>
    <w:rsid w:val="00C333EE"/>
    <w:rsid w:val="00C41A87"/>
    <w:rsid w:val="00C53AE5"/>
    <w:rsid w:val="00C55C71"/>
    <w:rsid w:val="00C57A81"/>
    <w:rsid w:val="00C62A44"/>
    <w:rsid w:val="00C70898"/>
    <w:rsid w:val="00C709C7"/>
    <w:rsid w:val="00C7509D"/>
    <w:rsid w:val="00C777EE"/>
    <w:rsid w:val="00C83065"/>
    <w:rsid w:val="00C840E5"/>
    <w:rsid w:val="00C86542"/>
    <w:rsid w:val="00C901C6"/>
    <w:rsid w:val="00CA1D82"/>
    <w:rsid w:val="00CA5A81"/>
    <w:rsid w:val="00CA5DA1"/>
    <w:rsid w:val="00CB03A1"/>
    <w:rsid w:val="00CB03BE"/>
    <w:rsid w:val="00CB0DFD"/>
    <w:rsid w:val="00CB10A0"/>
    <w:rsid w:val="00CB1AA5"/>
    <w:rsid w:val="00CB6784"/>
    <w:rsid w:val="00CB6B93"/>
    <w:rsid w:val="00CC29E7"/>
    <w:rsid w:val="00CD5E31"/>
    <w:rsid w:val="00CD5E90"/>
    <w:rsid w:val="00CD6215"/>
    <w:rsid w:val="00CD6C6C"/>
    <w:rsid w:val="00CE2456"/>
    <w:rsid w:val="00CF377B"/>
    <w:rsid w:val="00CF414D"/>
    <w:rsid w:val="00CF7A65"/>
    <w:rsid w:val="00D01219"/>
    <w:rsid w:val="00D155EE"/>
    <w:rsid w:val="00D15FAB"/>
    <w:rsid w:val="00D203A7"/>
    <w:rsid w:val="00D20711"/>
    <w:rsid w:val="00D23380"/>
    <w:rsid w:val="00D24FE5"/>
    <w:rsid w:val="00D25499"/>
    <w:rsid w:val="00D27AE2"/>
    <w:rsid w:val="00D3527F"/>
    <w:rsid w:val="00D363FA"/>
    <w:rsid w:val="00D432E9"/>
    <w:rsid w:val="00D46990"/>
    <w:rsid w:val="00D5013D"/>
    <w:rsid w:val="00D51363"/>
    <w:rsid w:val="00D52417"/>
    <w:rsid w:val="00D53D41"/>
    <w:rsid w:val="00D56156"/>
    <w:rsid w:val="00D610F1"/>
    <w:rsid w:val="00D613B9"/>
    <w:rsid w:val="00D71303"/>
    <w:rsid w:val="00D76210"/>
    <w:rsid w:val="00D818C4"/>
    <w:rsid w:val="00D912CB"/>
    <w:rsid w:val="00D9481F"/>
    <w:rsid w:val="00D95386"/>
    <w:rsid w:val="00DA1678"/>
    <w:rsid w:val="00DA39FA"/>
    <w:rsid w:val="00DD415B"/>
    <w:rsid w:val="00DD648C"/>
    <w:rsid w:val="00DD7E18"/>
    <w:rsid w:val="00DE0076"/>
    <w:rsid w:val="00DE0A26"/>
    <w:rsid w:val="00DE3ECA"/>
    <w:rsid w:val="00DE776A"/>
    <w:rsid w:val="00DF15A0"/>
    <w:rsid w:val="00DF4CD9"/>
    <w:rsid w:val="00DF70AD"/>
    <w:rsid w:val="00E03E57"/>
    <w:rsid w:val="00E1297E"/>
    <w:rsid w:val="00E3714C"/>
    <w:rsid w:val="00E432AD"/>
    <w:rsid w:val="00E4520E"/>
    <w:rsid w:val="00E524DA"/>
    <w:rsid w:val="00E52890"/>
    <w:rsid w:val="00E55F10"/>
    <w:rsid w:val="00E62321"/>
    <w:rsid w:val="00E63593"/>
    <w:rsid w:val="00E723AE"/>
    <w:rsid w:val="00E726A1"/>
    <w:rsid w:val="00E824AA"/>
    <w:rsid w:val="00E97ED8"/>
    <w:rsid w:val="00EA185D"/>
    <w:rsid w:val="00EA4703"/>
    <w:rsid w:val="00EA6771"/>
    <w:rsid w:val="00EB10EF"/>
    <w:rsid w:val="00EB2A18"/>
    <w:rsid w:val="00EB3F68"/>
    <w:rsid w:val="00EB7465"/>
    <w:rsid w:val="00EC15D9"/>
    <w:rsid w:val="00EC25E9"/>
    <w:rsid w:val="00ED4957"/>
    <w:rsid w:val="00EF6536"/>
    <w:rsid w:val="00EF705E"/>
    <w:rsid w:val="00F07F48"/>
    <w:rsid w:val="00F11970"/>
    <w:rsid w:val="00F22D5A"/>
    <w:rsid w:val="00F2369A"/>
    <w:rsid w:val="00F3447F"/>
    <w:rsid w:val="00F42DD3"/>
    <w:rsid w:val="00F433E9"/>
    <w:rsid w:val="00F7661A"/>
    <w:rsid w:val="00F77762"/>
    <w:rsid w:val="00F83719"/>
    <w:rsid w:val="00F87E19"/>
    <w:rsid w:val="00FA03E4"/>
    <w:rsid w:val="00FB5F17"/>
    <w:rsid w:val="00FB64D4"/>
    <w:rsid w:val="00FB657F"/>
    <w:rsid w:val="00FD0BD3"/>
    <w:rsid w:val="00FD4C06"/>
    <w:rsid w:val="00FE04C6"/>
    <w:rsid w:val="00FE163E"/>
    <w:rsid w:val="00FE7600"/>
    <w:rsid w:val="00FF24F9"/>
    <w:rsid w:val="00FF268C"/>
    <w:rsid w:val="00FF5107"/>
    <w:rsid w:val="00FF7F04"/>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FE1E"/>
  <w15:docId w15:val="{98F6F390-B9AD-4363-87C8-850FB68A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C16"/>
    <w:pPr>
      <w:spacing w:before="200"/>
    </w:pPr>
    <w:rPr>
      <w:rFonts w:ascii="Times New Roman" w:eastAsia="Times New Roman" w:hAnsi="Times New Roman"/>
      <w:sz w:val="24"/>
    </w:rPr>
  </w:style>
  <w:style w:type="paragraph" w:styleId="Heading1">
    <w:name w:val="heading 1"/>
    <w:next w:val="Text"/>
    <w:link w:val="Heading1Char"/>
    <w:qFormat/>
    <w:rsid w:val="00A97D13"/>
    <w:pPr>
      <w:widowControl w:val="0"/>
      <w:spacing w:before="440" w:after="60"/>
      <w:ind w:firstLine="1276"/>
      <w:outlineLvl w:val="0"/>
    </w:pPr>
    <w:rPr>
      <w:rFonts w:ascii="Arial" w:eastAsia="Times New Roman" w:hAnsi="Arial"/>
      <w:kern w:val="28"/>
      <w:sz w:val="56"/>
      <w:szCs w:val="36"/>
      <w:lang w:eastAsia="en-US"/>
    </w:rPr>
  </w:style>
  <w:style w:type="paragraph" w:styleId="Heading2">
    <w:name w:val="heading 2"/>
    <w:next w:val="Text"/>
    <w:link w:val="Heading2Char"/>
    <w:qFormat/>
    <w:rsid w:val="00B5319B"/>
    <w:pPr>
      <w:keepNext/>
      <w:spacing w:before="440"/>
      <w:ind w:firstLine="1276"/>
      <w:outlineLvl w:val="1"/>
    </w:pPr>
    <w:rPr>
      <w:rFonts w:ascii="Arial" w:eastAsia="Times New Roman" w:hAnsi="Arial" w:cs="Arial"/>
      <w:sz w:val="28"/>
      <w:szCs w:val="28"/>
      <w:lang w:eastAsia="en-US"/>
    </w:rPr>
  </w:style>
  <w:style w:type="paragraph" w:styleId="Heading3">
    <w:name w:val="heading 3"/>
    <w:basedOn w:val="Normal"/>
    <w:next w:val="Text"/>
    <w:link w:val="Heading3Char"/>
    <w:qFormat/>
    <w:rsid w:val="00B5319B"/>
    <w:pPr>
      <w:spacing w:before="120" w:after="160" w:line="300" w:lineRule="exact"/>
      <w:ind w:left="1276" w:right="933"/>
      <w:outlineLvl w:val="2"/>
    </w:pPr>
    <w:rPr>
      <w:rFonts w:ascii="Trebuchet MS" w:eastAsia="Cambria" w:hAnsi="Trebuchet MS"/>
      <w:b/>
      <w:sz w:val="20"/>
      <w:szCs w:val="18"/>
      <w:lang w:eastAsia="en-US"/>
    </w:rPr>
  </w:style>
  <w:style w:type="paragraph" w:styleId="Heading4">
    <w:name w:val="heading 4"/>
    <w:next w:val="Text"/>
    <w:link w:val="Heading4Char"/>
    <w:qFormat/>
    <w:rsid w:val="00762C16"/>
    <w:pPr>
      <w:keepNext/>
      <w:spacing w:before="260"/>
      <w:outlineLvl w:val="3"/>
    </w:pPr>
    <w:rPr>
      <w:rFonts w:ascii="Garamond" w:eastAsia="Times New Roman" w:hAnsi="Garamond"/>
      <w:i/>
      <w:sz w:val="24"/>
    </w:rPr>
  </w:style>
  <w:style w:type="paragraph" w:styleId="Heading5">
    <w:name w:val="heading 5"/>
    <w:basedOn w:val="Normal"/>
    <w:next w:val="Normal"/>
    <w:link w:val="Heading5Char"/>
    <w:qFormat/>
    <w:rsid w:val="00762C16"/>
    <w:pPr>
      <w:keepNext/>
      <w:outlineLvl w:val="4"/>
    </w:pPr>
    <w:rPr>
      <w:rFonts w:ascii="Garamond" w:hAnsi="Garamond"/>
      <w:b/>
    </w:rPr>
  </w:style>
  <w:style w:type="paragraph" w:styleId="Heading6">
    <w:name w:val="heading 6"/>
    <w:basedOn w:val="Normal"/>
    <w:next w:val="Normal"/>
    <w:link w:val="Heading6Char"/>
    <w:qFormat/>
    <w:rsid w:val="00762C16"/>
    <w:pPr>
      <w:keepNext/>
      <w:ind w:left="2977"/>
      <w:outlineLvl w:val="5"/>
    </w:pPr>
    <w:rPr>
      <w:rFonts w:ascii="Garamond" w:hAnsi="Garamond"/>
      <w:sz w:val="36"/>
    </w:rPr>
  </w:style>
  <w:style w:type="paragraph" w:styleId="Heading7">
    <w:name w:val="heading 7"/>
    <w:basedOn w:val="Normal"/>
    <w:next w:val="Normal"/>
    <w:link w:val="Heading7Char"/>
    <w:qFormat/>
    <w:rsid w:val="00762C16"/>
    <w:pPr>
      <w:keepNext/>
      <w:jc w:val="center"/>
      <w:outlineLvl w:val="6"/>
    </w:pPr>
    <w:rPr>
      <w:rFonts w:ascii="Garamond" w:hAnsi="Garamond"/>
      <w:b/>
      <w:spacing w:val="20"/>
      <w:sz w:val="36"/>
    </w:rPr>
  </w:style>
  <w:style w:type="paragraph" w:styleId="Heading8">
    <w:name w:val="heading 8"/>
    <w:basedOn w:val="Normal"/>
    <w:next w:val="Normal"/>
    <w:link w:val="Heading8Char"/>
    <w:qFormat/>
    <w:rsid w:val="00762C16"/>
    <w:pPr>
      <w:keepNext/>
      <w:jc w:val="center"/>
      <w:outlineLvl w:val="7"/>
    </w:pPr>
    <w:rPr>
      <w:rFonts w:ascii="Garamond" w:hAnsi="Garamond"/>
      <w:b/>
      <w:color w:val="C0C0C0"/>
      <w:spacing w:val="60"/>
      <w:sz w:val="56"/>
    </w:rPr>
  </w:style>
  <w:style w:type="paragraph" w:styleId="Heading9">
    <w:name w:val="heading 9"/>
    <w:basedOn w:val="Normal"/>
    <w:next w:val="Normal"/>
    <w:link w:val="Heading9Char"/>
    <w:qFormat/>
    <w:rsid w:val="00CA5DA1"/>
    <w:pPr>
      <w:keepNext/>
      <w:spacing w:before="0"/>
      <w:ind w:firstLine="2977"/>
      <w:outlineLvl w:val="8"/>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7D13"/>
    <w:rPr>
      <w:rFonts w:ascii="Arial" w:eastAsia="Times New Roman" w:hAnsi="Arial"/>
      <w:kern w:val="28"/>
      <w:sz w:val="56"/>
      <w:szCs w:val="36"/>
      <w:lang w:eastAsia="en-US"/>
    </w:rPr>
  </w:style>
  <w:style w:type="character" w:customStyle="1" w:styleId="Heading2Char">
    <w:name w:val="Heading 2 Char"/>
    <w:link w:val="Heading2"/>
    <w:rsid w:val="00B5319B"/>
    <w:rPr>
      <w:rFonts w:ascii="Arial" w:eastAsia="Times New Roman" w:hAnsi="Arial" w:cs="Arial"/>
      <w:sz w:val="28"/>
      <w:szCs w:val="28"/>
      <w:lang w:eastAsia="en-US"/>
    </w:rPr>
  </w:style>
  <w:style w:type="character" w:customStyle="1" w:styleId="Heading3Char">
    <w:name w:val="Heading 3 Char"/>
    <w:link w:val="Heading3"/>
    <w:rsid w:val="00B5319B"/>
    <w:rPr>
      <w:rFonts w:ascii="Trebuchet MS" w:eastAsia="Cambria" w:hAnsi="Trebuchet MS"/>
      <w:b/>
      <w:szCs w:val="18"/>
      <w:lang w:eastAsia="en-US"/>
    </w:rPr>
  </w:style>
  <w:style w:type="character" w:customStyle="1" w:styleId="Heading4Char">
    <w:name w:val="Heading 4 Char"/>
    <w:link w:val="Heading4"/>
    <w:rsid w:val="00762C16"/>
    <w:rPr>
      <w:rFonts w:ascii="Garamond" w:eastAsia="Times New Roman" w:hAnsi="Garamond" w:cs="Times New Roman"/>
      <w:i/>
      <w:sz w:val="24"/>
      <w:szCs w:val="20"/>
      <w:lang w:eastAsia="en-AU"/>
    </w:rPr>
  </w:style>
  <w:style w:type="character" w:customStyle="1" w:styleId="Heading5Char">
    <w:name w:val="Heading 5 Char"/>
    <w:link w:val="Heading5"/>
    <w:rsid w:val="00762C16"/>
    <w:rPr>
      <w:rFonts w:ascii="Garamond" w:eastAsia="Times New Roman" w:hAnsi="Garamond" w:cs="Times New Roman"/>
      <w:b/>
      <w:sz w:val="24"/>
      <w:szCs w:val="20"/>
      <w:lang w:eastAsia="en-AU"/>
    </w:rPr>
  </w:style>
  <w:style w:type="character" w:customStyle="1" w:styleId="Heading6Char">
    <w:name w:val="Heading 6 Char"/>
    <w:link w:val="Heading6"/>
    <w:rsid w:val="00762C16"/>
    <w:rPr>
      <w:rFonts w:ascii="Garamond" w:eastAsia="Times New Roman" w:hAnsi="Garamond" w:cs="Times New Roman"/>
      <w:sz w:val="36"/>
      <w:szCs w:val="20"/>
      <w:lang w:eastAsia="en-AU"/>
    </w:rPr>
  </w:style>
  <w:style w:type="character" w:customStyle="1" w:styleId="Heading7Char">
    <w:name w:val="Heading 7 Char"/>
    <w:link w:val="Heading7"/>
    <w:rsid w:val="00762C16"/>
    <w:rPr>
      <w:rFonts w:ascii="Garamond" w:eastAsia="Times New Roman" w:hAnsi="Garamond" w:cs="Times New Roman"/>
      <w:b/>
      <w:spacing w:val="20"/>
      <w:sz w:val="36"/>
      <w:szCs w:val="20"/>
      <w:lang w:eastAsia="en-AU"/>
    </w:rPr>
  </w:style>
  <w:style w:type="character" w:customStyle="1" w:styleId="Heading8Char">
    <w:name w:val="Heading 8 Char"/>
    <w:link w:val="Heading8"/>
    <w:rsid w:val="00762C16"/>
    <w:rPr>
      <w:rFonts w:ascii="Garamond" w:eastAsia="Times New Roman" w:hAnsi="Garamond" w:cs="Times New Roman"/>
      <w:b/>
      <w:color w:val="C0C0C0"/>
      <w:spacing w:val="60"/>
      <w:sz w:val="56"/>
      <w:szCs w:val="20"/>
      <w:lang w:eastAsia="en-AU"/>
    </w:rPr>
  </w:style>
  <w:style w:type="character" w:customStyle="1" w:styleId="Heading9Char">
    <w:name w:val="Heading 9 Char"/>
    <w:link w:val="Heading9"/>
    <w:rsid w:val="00CA5DA1"/>
    <w:rPr>
      <w:rFonts w:ascii="Arial" w:eastAsia="Times New Roman" w:hAnsi="Arial" w:cs="Times New Roman"/>
      <w:sz w:val="36"/>
      <w:szCs w:val="20"/>
      <w:lang w:eastAsia="en-AU"/>
    </w:rPr>
  </w:style>
  <w:style w:type="paragraph" w:customStyle="1" w:styleId="Text">
    <w:name w:val="Text"/>
    <w:basedOn w:val="Normal"/>
    <w:link w:val="TextChar1"/>
    <w:qFormat/>
    <w:rsid w:val="00B5319B"/>
    <w:pPr>
      <w:spacing w:before="120" w:after="160" w:line="300" w:lineRule="exact"/>
      <w:ind w:left="1276" w:right="933"/>
    </w:pPr>
    <w:rPr>
      <w:rFonts w:ascii="Trebuchet MS" w:eastAsia="Cambria" w:hAnsi="Trebuchet MS"/>
      <w:sz w:val="20"/>
      <w:szCs w:val="18"/>
      <w:lang w:eastAsia="en-US"/>
    </w:rPr>
  </w:style>
  <w:style w:type="character" w:styleId="PageNumber">
    <w:name w:val="page number"/>
    <w:rsid w:val="00762C16"/>
    <w:rPr>
      <w:rFonts w:ascii="Garamond" w:hAnsi="Garamond"/>
      <w:sz w:val="18"/>
    </w:rPr>
  </w:style>
  <w:style w:type="paragraph" w:styleId="Footer">
    <w:name w:val="footer"/>
    <w:basedOn w:val="Normal"/>
    <w:link w:val="FooterChar"/>
    <w:rsid w:val="00CA5DA1"/>
    <w:pPr>
      <w:tabs>
        <w:tab w:val="center" w:pos="4153"/>
        <w:tab w:val="right" w:pos="8306"/>
      </w:tabs>
      <w:spacing w:before="0"/>
    </w:pPr>
    <w:rPr>
      <w:rFonts w:ascii="Arial" w:hAnsi="Arial"/>
      <w:sz w:val="18"/>
    </w:rPr>
  </w:style>
  <w:style w:type="character" w:customStyle="1" w:styleId="FooterChar">
    <w:name w:val="Footer Char"/>
    <w:link w:val="Footer"/>
    <w:rsid w:val="00CA5DA1"/>
    <w:rPr>
      <w:rFonts w:ascii="Arial" w:eastAsia="Times New Roman" w:hAnsi="Arial" w:cs="Times New Roman"/>
      <w:sz w:val="18"/>
      <w:szCs w:val="20"/>
      <w:lang w:eastAsia="en-AU"/>
    </w:rPr>
  </w:style>
  <w:style w:type="paragraph" w:styleId="TOC1">
    <w:name w:val="toc 1"/>
    <w:uiPriority w:val="39"/>
    <w:qFormat/>
    <w:rsid w:val="00762C16"/>
    <w:pPr>
      <w:tabs>
        <w:tab w:val="left" w:pos="221"/>
        <w:tab w:val="right" w:pos="8222"/>
      </w:tabs>
      <w:spacing w:before="80"/>
      <w:ind w:left="2268"/>
    </w:pPr>
    <w:rPr>
      <w:rFonts w:ascii="Garamond" w:eastAsia="Times New Roman" w:hAnsi="Garamond"/>
      <w:sz w:val="22"/>
    </w:rPr>
  </w:style>
  <w:style w:type="paragraph" w:styleId="TOC2">
    <w:name w:val="toc 2"/>
    <w:basedOn w:val="Normal"/>
    <w:next w:val="Normal"/>
    <w:uiPriority w:val="39"/>
    <w:qFormat/>
    <w:rsid w:val="00762C16"/>
    <w:pPr>
      <w:tabs>
        <w:tab w:val="left" w:pos="709"/>
        <w:tab w:val="right" w:pos="8222"/>
      </w:tabs>
      <w:spacing w:before="20" w:after="20"/>
      <w:ind w:left="2552"/>
    </w:pPr>
    <w:rPr>
      <w:rFonts w:ascii="Garamond" w:hAnsi="Garamond"/>
      <w:sz w:val="20"/>
    </w:rPr>
  </w:style>
  <w:style w:type="paragraph" w:styleId="TOC3">
    <w:name w:val="toc 3"/>
    <w:basedOn w:val="Normal"/>
    <w:next w:val="Normal"/>
    <w:autoRedefine/>
    <w:uiPriority w:val="39"/>
    <w:qFormat/>
    <w:rsid w:val="00762C16"/>
    <w:pPr>
      <w:ind w:left="440"/>
    </w:pPr>
  </w:style>
  <w:style w:type="paragraph" w:customStyle="1" w:styleId="tabletitle">
    <w:name w:val="tabletitle"/>
    <w:next w:val="Text"/>
    <w:rsid w:val="00762C16"/>
    <w:pPr>
      <w:tabs>
        <w:tab w:val="left" w:pos="992"/>
      </w:tabs>
      <w:spacing w:before="360" w:after="80"/>
    </w:pPr>
    <w:rPr>
      <w:rFonts w:ascii="Arial" w:eastAsia="Times New Roman" w:hAnsi="Arial"/>
      <w:b/>
      <w:sz w:val="17"/>
    </w:rPr>
  </w:style>
  <w:style w:type="paragraph" w:customStyle="1" w:styleId="Tabletext">
    <w:name w:val="Table text"/>
    <w:autoRedefine/>
    <w:qFormat/>
    <w:rsid w:val="00D912CB"/>
    <w:pPr>
      <w:spacing w:before="60"/>
    </w:pPr>
    <w:rPr>
      <w:rFonts w:ascii="Trebuchet MS" w:eastAsia="Times New Roman" w:hAnsi="Trebuchet MS" w:cs="Arial"/>
      <w:sz w:val="16"/>
      <w:szCs w:val="16"/>
      <w:lang w:eastAsia="en-US"/>
    </w:rPr>
  </w:style>
  <w:style w:type="paragraph" w:styleId="TOC4">
    <w:name w:val="toc 4"/>
    <w:basedOn w:val="Normal"/>
    <w:next w:val="Normal"/>
    <w:autoRedefine/>
    <w:rsid w:val="00762C16"/>
    <w:pPr>
      <w:ind w:left="660"/>
    </w:pPr>
  </w:style>
  <w:style w:type="paragraph" w:styleId="TOC5">
    <w:name w:val="toc 5"/>
    <w:basedOn w:val="Normal"/>
    <w:next w:val="Normal"/>
    <w:autoRedefine/>
    <w:semiHidden/>
    <w:rsid w:val="00762C16"/>
    <w:pPr>
      <w:ind w:left="880"/>
    </w:pPr>
  </w:style>
  <w:style w:type="paragraph" w:styleId="TOC6">
    <w:name w:val="toc 6"/>
    <w:basedOn w:val="Normal"/>
    <w:next w:val="Normal"/>
    <w:autoRedefine/>
    <w:rsid w:val="00762C16"/>
    <w:pPr>
      <w:ind w:left="1100"/>
    </w:pPr>
  </w:style>
  <w:style w:type="paragraph" w:styleId="TOC7">
    <w:name w:val="toc 7"/>
    <w:basedOn w:val="Normal"/>
    <w:next w:val="Normal"/>
    <w:autoRedefine/>
    <w:rsid w:val="00762C16"/>
    <w:pPr>
      <w:ind w:left="1320"/>
    </w:pPr>
  </w:style>
  <w:style w:type="paragraph" w:styleId="TOC8">
    <w:name w:val="toc 8"/>
    <w:basedOn w:val="Normal"/>
    <w:next w:val="Normal"/>
    <w:autoRedefine/>
    <w:rsid w:val="00762C16"/>
    <w:pPr>
      <w:ind w:left="1540"/>
    </w:pPr>
  </w:style>
  <w:style w:type="paragraph" w:styleId="TOC9">
    <w:name w:val="toc 9"/>
    <w:basedOn w:val="Normal"/>
    <w:next w:val="Normal"/>
    <w:autoRedefine/>
    <w:rsid w:val="00762C16"/>
    <w:pPr>
      <w:ind w:left="1760"/>
    </w:pPr>
  </w:style>
  <w:style w:type="paragraph" w:customStyle="1" w:styleId="Tablehead1">
    <w:name w:val="Tablehead1"/>
    <w:rsid w:val="00762C16"/>
    <w:pPr>
      <w:spacing w:before="80" w:after="80"/>
    </w:pPr>
    <w:rPr>
      <w:rFonts w:ascii="Arial" w:eastAsia="Times New Roman" w:hAnsi="Arial"/>
      <w:b/>
      <w:sz w:val="17"/>
    </w:rPr>
  </w:style>
  <w:style w:type="paragraph" w:styleId="Quote">
    <w:name w:val="Quote"/>
    <w:basedOn w:val="Text"/>
    <w:link w:val="QuoteChar"/>
    <w:qFormat/>
    <w:rsid w:val="00762C16"/>
    <w:pPr>
      <w:spacing w:before="80"/>
      <w:ind w:left="567" w:right="646"/>
    </w:pPr>
  </w:style>
  <w:style w:type="character" w:customStyle="1" w:styleId="QuoteChar">
    <w:name w:val="Quote Char"/>
    <w:link w:val="Quote"/>
    <w:rsid w:val="00762C16"/>
    <w:rPr>
      <w:rFonts w:ascii="Garamond" w:eastAsia="Times New Roman" w:hAnsi="Garamond" w:cs="Times New Roman"/>
      <w:sz w:val="20"/>
      <w:szCs w:val="20"/>
      <w:lang w:eastAsia="en-AU"/>
    </w:rPr>
  </w:style>
  <w:style w:type="paragraph" w:customStyle="1" w:styleId="References">
    <w:name w:val="References"/>
    <w:rsid w:val="00762C16"/>
    <w:pPr>
      <w:ind w:left="284" w:hanging="284"/>
    </w:pPr>
    <w:rPr>
      <w:rFonts w:ascii="Garamond" w:eastAsia="Times New Roman" w:hAnsi="Garamond"/>
    </w:rPr>
  </w:style>
  <w:style w:type="paragraph" w:customStyle="1" w:styleId="Tablehead2">
    <w:name w:val="Tablehead2"/>
    <w:basedOn w:val="Tablehead1"/>
    <w:rsid w:val="00762C16"/>
    <w:pPr>
      <w:tabs>
        <w:tab w:val="left" w:pos="992"/>
      </w:tabs>
      <w:spacing w:before="20" w:after="20"/>
    </w:pPr>
    <w:rPr>
      <w:b w:val="0"/>
    </w:rPr>
  </w:style>
  <w:style w:type="paragraph" w:customStyle="1" w:styleId="Tablehead3">
    <w:name w:val="Tablehead3"/>
    <w:basedOn w:val="Tablehead2"/>
    <w:rsid w:val="00762C16"/>
    <w:rPr>
      <w:i/>
    </w:rPr>
  </w:style>
  <w:style w:type="paragraph" w:styleId="TableofFigures">
    <w:name w:val="table of figures"/>
    <w:basedOn w:val="Normal"/>
    <w:next w:val="Normal"/>
    <w:semiHidden/>
    <w:rsid w:val="00762C16"/>
    <w:pPr>
      <w:tabs>
        <w:tab w:val="left" w:pos="3260"/>
        <w:tab w:val="right" w:pos="8222"/>
      </w:tabs>
      <w:spacing w:before="0"/>
      <w:ind w:left="2671" w:hanging="403"/>
    </w:pPr>
    <w:rPr>
      <w:rFonts w:ascii="Garamond" w:hAnsi="Garamond"/>
      <w:sz w:val="22"/>
    </w:rPr>
  </w:style>
  <w:style w:type="paragraph" w:styleId="Header">
    <w:name w:val="header"/>
    <w:basedOn w:val="Normal"/>
    <w:link w:val="HeaderChar"/>
    <w:rsid w:val="00762C16"/>
    <w:pPr>
      <w:tabs>
        <w:tab w:val="center" w:pos="4153"/>
        <w:tab w:val="right" w:pos="8306"/>
      </w:tabs>
    </w:pPr>
  </w:style>
  <w:style w:type="character" w:customStyle="1" w:styleId="HeaderChar">
    <w:name w:val="Header Char"/>
    <w:link w:val="Header"/>
    <w:uiPriority w:val="99"/>
    <w:rsid w:val="00762C16"/>
    <w:rPr>
      <w:rFonts w:ascii="Times New Roman" w:eastAsia="Times New Roman" w:hAnsi="Times New Roman" w:cs="Times New Roman"/>
      <w:sz w:val="24"/>
      <w:szCs w:val="20"/>
      <w:lang w:eastAsia="en-AU"/>
    </w:rPr>
  </w:style>
  <w:style w:type="paragraph" w:styleId="BodyText">
    <w:name w:val="Body Text"/>
    <w:basedOn w:val="Normal"/>
    <w:link w:val="BodyTextChar"/>
    <w:rsid w:val="00D20711"/>
    <w:pPr>
      <w:tabs>
        <w:tab w:val="left" w:pos="8504"/>
      </w:tabs>
      <w:spacing w:line="260" w:lineRule="exact"/>
      <w:ind w:left="2552"/>
    </w:pPr>
    <w:rPr>
      <w:rFonts w:ascii="Arial" w:eastAsia="Calibri" w:hAnsi="Arial" w:cs="Arial"/>
      <w:szCs w:val="24"/>
      <w:lang w:eastAsia="en-US"/>
    </w:rPr>
  </w:style>
  <w:style w:type="character" w:customStyle="1" w:styleId="BodyTextChar">
    <w:name w:val="Body Text Char"/>
    <w:link w:val="BodyText"/>
    <w:rsid w:val="00D20711"/>
    <w:rPr>
      <w:rFonts w:ascii="Arial" w:hAnsi="Arial" w:cs="Arial"/>
      <w:sz w:val="24"/>
      <w:szCs w:val="24"/>
      <w:lang w:eastAsia="en-US"/>
    </w:rPr>
  </w:style>
  <w:style w:type="paragraph" w:customStyle="1" w:styleId="Figuretitle">
    <w:name w:val="Figuretitle"/>
    <w:basedOn w:val="tabletitle"/>
    <w:link w:val="FiguretitleChar"/>
    <w:rsid w:val="00762C16"/>
  </w:style>
  <w:style w:type="character" w:styleId="FollowedHyperlink">
    <w:name w:val="FollowedHyperlink"/>
    <w:uiPriority w:val="99"/>
    <w:rsid w:val="00762C16"/>
    <w:rPr>
      <w:color w:val="000000"/>
      <w:u w:val="single"/>
    </w:rPr>
  </w:style>
  <w:style w:type="character" w:styleId="Hyperlink">
    <w:name w:val="Hyperlink"/>
    <w:uiPriority w:val="99"/>
    <w:rsid w:val="00762C16"/>
    <w:rPr>
      <w:color w:val="000000"/>
      <w:u w:val="single"/>
    </w:rPr>
  </w:style>
  <w:style w:type="paragraph" w:customStyle="1" w:styleId="Dotpoint10">
    <w:name w:val="Dotpoint1"/>
    <w:rsid w:val="00762C16"/>
    <w:pPr>
      <w:tabs>
        <w:tab w:val="left" w:pos="284"/>
      </w:tabs>
      <w:spacing w:before="120"/>
    </w:pPr>
    <w:rPr>
      <w:rFonts w:ascii="Garamond" w:eastAsia="Times New Roman" w:hAnsi="Garamond"/>
      <w:sz w:val="22"/>
    </w:rPr>
  </w:style>
  <w:style w:type="paragraph" w:customStyle="1" w:styleId="Dotpoint20">
    <w:name w:val="Dotpoint2"/>
    <w:rsid w:val="00762C16"/>
    <w:pPr>
      <w:numPr>
        <w:numId w:val="12"/>
      </w:numPr>
      <w:tabs>
        <w:tab w:val="clear" w:pos="0"/>
        <w:tab w:val="left" w:pos="284"/>
        <w:tab w:val="left" w:pos="567"/>
      </w:tabs>
      <w:ind w:left="568" w:hanging="284"/>
    </w:pPr>
    <w:rPr>
      <w:rFonts w:ascii="Garamond" w:eastAsia="Times New Roman" w:hAnsi="Garamond"/>
      <w:sz w:val="22"/>
    </w:rPr>
  </w:style>
  <w:style w:type="paragraph" w:customStyle="1" w:styleId="contents">
    <w:name w:val="contents"/>
    <w:basedOn w:val="Heading1"/>
    <w:rsid w:val="00762C16"/>
  </w:style>
  <w:style w:type="paragraph" w:styleId="BodyTextIndent">
    <w:name w:val="Body Text Indent"/>
    <w:basedOn w:val="Normal"/>
    <w:link w:val="BodyTextIndentChar"/>
    <w:rsid w:val="00762C16"/>
    <w:pPr>
      <w:ind w:left="2977"/>
    </w:pPr>
    <w:rPr>
      <w:sz w:val="36"/>
    </w:rPr>
  </w:style>
  <w:style w:type="character" w:customStyle="1" w:styleId="BodyTextIndentChar">
    <w:name w:val="Body Text Indent Char"/>
    <w:link w:val="BodyTextIndent"/>
    <w:rsid w:val="00762C16"/>
    <w:rPr>
      <w:rFonts w:ascii="Times New Roman" w:eastAsia="Times New Roman" w:hAnsi="Times New Roman" w:cs="Times New Roman"/>
      <w:sz w:val="36"/>
      <w:szCs w:val="20"/>
      <w:lang w:eastAsia="en-AU"/>
    </w:rPr>
  </w:style>
  <w:style w:type="paragraph" w:customStyle="1" w:styleId="Source">
    <w:name w:val="Source"/>
    <w:rsid w:val="00D20711"/>
    <w:pPr>
      <w:spacing w:before="40"/>
      <w:ind w:left="1418"/>
    </w:pPr>
    <w:rPr>
      <w:rFonts w:ascii="Arial" w:eastAsia="Cambria" w:hAnsi="Arial"/>
      <w:sz w:val="15"/>
    </w:rPr>
  </w:style>
  <w:style w:type="paragraph" w:customStyle="1" w:styleId="NumberedListContinuing">
    <w:name w:val="NumberedListContinuing"/>
    <w:rsid w:val="00762C16"/>
    <w:pPr>
      <w:numPr>
        <w:numId w:val="13"/>
      </w:numPr>
      <w:spacing w:before="120"/>
      <w:ind w:left="284" w:hanging="284"/>
    </w:pPr>
    <w:rPr>
      <w:rFonts w:ascii="Garamond" w:eastAsia="Times New Roman" w:hAnsi="Garamond"/>
      <w:sz w:val="22"/>
    </w:rPr>
  </w:style>
  <w:style w:type="table" w:styleId="TableGrid">
    <w:name w:val="Table Grid"/>
    <w:basedOn w:val="TableNormal"/>
    <w:rsid w:val="00762C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62C16"/>
    <w:rPr>
      <w:rFonts w:ascii="Garamond" w:hAnsi="Garamond"/>
      <w:sz w:val="16"/>
    </w:rPr>
  </w:style>
  <w:style w:type="character" w:customStyle="1" w:styleId="FootnoteTextChar">
    <w:name w:val="Footnote Text Char"/>
    <w:link w:val="FootnoteText"/>
    <w:rsid w:val="00762C16"/>
    <w:rPr>
      <w:rFonts w:ascii="Garamond" w:eastAsia="Times New Roman" w:hAnsi="Garamond" w:cs="Times New Roman"/>
      <w:sz w:val="16"/>
      <w:szCs w:val="20"/>
      <w:lang w:eastAsia="en-AU"/>
    </w:rPr>
  </w:style>
  <w:style w:type="paragraph" w:customStyle="1" w:styleId="ODDtabletext">
    <w:name w:val="ODD table text"/>
    <w:link w:val="ODDtabletextChar"/>
    <w:rsid w:val="00762C16"/>
    <w:pPr>
      <w:spacing w:before="40"/>
    </w:pPr>
    <w:rPr>
      <w:rFonts w:ascii="Arial" w:eastAsia="Times New Roman" w:hAnsi="Arial"/>
      <w:sz w:val="16"/>
      <w:szCs w:val="22"/>
    </w:rPr>
  </w:style>
  <w:style w:type="paragraph" w:customStyle="1" w:styleId="ODDtableboldtext">
    <w:name w:val="ODD table bold text"/>
    <w:link w:val="ODDtableboldtextChar"/>
    <w:rsid w:val="00762C16"/>
    <w:pPr>
      <w:spacing w:before="80"/>
    </w:pPr>
    <w:rPr>
      <w:rFonts w:ascii="Arial" w:eastAsia="Times New Roman" w:hAnsi="Arial"/>
      <w:b/>
      <w:sz w:val="16"/>
    </w:rPr>
  </w:style>
  <w:style w:type="character" w:customStyle="1" w:styleId="ODDtabletextChar">
    <w:name w:val="ODD table text Char"/>
    <w:link w:val="ODDtabletext"/>
    <w:rsid w:val="00762C16"/>
    <w:rPr>
      <w:rFonts w:ascii="Arial" w:eastAsia="Times New Roman" w:hAnsi="Arial" w:cs="Times New Roman"/>
      <w:sz w:val="16"/>
      <w:lang w:eastAsia="en-AU"/>
    </w:rPr>
  </w:style>
  <w:style w:type="character" w:customStyle="1" w:styleId="ODDtableboldtextChar">
    <w:name w:val="ODD table bold text Char"/>
    <w:link w:val="ODDtableboldtext"/>
    <w:rsid w:val="00762C16"/>
    <w:rPr>
      <w:rFonts w:ascii="Arial" w:eastAsia="Times New Roman" w:hAnsi="Arial" w:cs="Times New Roman"/>
      <w:b/>
      <w:sz w:val="16"/>
      <w:szCs w:val="20"/>
      <w:lang w:eastAsia="en-AU"/>
    </w:rPr>
  </w:style>
  <w:style w:type="paragraph" w:customStyle="1" w:styleId="ODDTOCstyle">
    <w:name w:val="ODD TOC style"/>
    <w:rsid w:val="00762C16"/>
    <w:pPr>
      <w:spacing w:before="120"/>
    </w:pPr>
    <w:rPr>
      <w:rFonts w:ascii="Arial" w:eastAsia="Times New Roman" w:hAnsi="Arial"/>
      <w:b/>
    </w:rPr>
  </w:style>
  <w:style w:type="paragraph" w:customStyle="1" w:styleId="ODDtabledotpoint">
    <w:name w:val="ODD table dotpoint"/>
    <w:link w:val="ODDtabledotpointChar"/>
    <w:rsid w:val="00762C16"/>
    <w:pPr>
      <w:numPr>
        <w:numId w:val="14"/>
      </w:numPr>
      <w:spacing w:before="20"/>
    </w:pPr>
    <w:rPr>
      <w:rFonts w:ascii="Arial" w:eastAsia="Times New Roman" w:hAnsi="Arial" w:cs="Garamond"/>
      <w:sz w:val="16"/>
    </w:rPr>
  </w:style>
  <w:style w:type="paragraph" w:customStyle="1" w:styleId="AERHeading1">
    <w:name w:val="AER Heading 1"/>
    <w:basedOn w:val="Normal"/>
    <w:rsid w:val="00762C16"/>
    <w:pPr>
      <w:numPr>
        <w:ilvl w:val="1"/>
        <w:numId w:val="14"/>
      </w:numPr>
      <w:spacing w:before="0"/>
    </w:pPr>
    <w:rPr>
      <w:rFonts w:ascii="Verdana" w:hAnsi="Verdana"/>
      <w:sz w:val="22"/>
      <w:szCs w:val="24"/>
    </w:rPr>
  </w:style>
  <w:style w:type="character" w:customStyle="1" w:styleId="ODDtabledotpointChar">
    <w:name w:val="ODD table dotpoint Char"/>
    <w:link w:val="ODDtabledotpoint"/>
    <w:rsid w:val="00762C16"/>
    <w:rPr>
      <w:rFonts w:ascii="Arial" w:eastAsia="Times New Roman" w:hAnsi="Arial" w:cs="Garamond"/>
      <w:sz w:val="16"/>
      <w:szCs w:val="20"/>
      <w:lang w:eastAsia="en-AU"/>
    </w:rPr>
  </w:style>
  <w:style w:type="paragraph" w:customStyle="1" w:styleId="ODDindentbullet">
    <w:name w:val="ODD indent bullet"/>
    <w:link w:val="ODDindentbulletChar"/>
    <w:rsid w:val="00762C16"/>
    <w:pPr>
      <w:numPr>
        <w:numId w:val="15"/>
      </w:numPr>
    </w:pPr>
    <w:rPr>
      <w:rFonts w:ascii="Arial" w:eastAsia="Times New Roman" w:hAnsi="Arial"/>
      <w:sz w:val="16"/>
    </w:rPr>
  </w:style>
  <w:style w:type="character" w:customStyle="1" w:styleId="ODDindentbulletChar">
    <w:name w:val="ODD indent bullet Char"/>
    <w:link w:val="ODDindentbullet"/>
    <w:rsid w:val="00762C16"/>
    <w:rPr>
      <w:rFonts w:ascii="Arial" w:eastAsia="Times New Roman" w:hAnsi="Arial" w:cs="Times New Roman"/>
      <w:sz w:val="16"/>
      <w:szCs w:val="20"/>
      <w:lang w:eastAsia="en-AU"/>
    </w:rPr>
  </w:style>
  <w:style w:type="paragraph" w:customStyle="1" w:styleId="ODD2ndindentbullet">
    <w:name w:val="ODD 2nd indent bullet"/>
    <w:rsid w:val="00762C16"/>
    <w:pPr>
      <w:numPr>
        <w:numId w:val="16"/>
      </w:numPr>
    </w:pPr>
    <w:rPr>
      <w:rFonts w:ascii="Arial" w:eastAsia="Times New Roman" w:hAnsi="Arial"/>
      <w:sz w:val="16"/>
    </w:rPr>
  </w:style>
  <w:style w:type="character" w:styleId="CommentReference">
    <w:name w:val="annotation reference"/>
    <w:semiHidden/>
    <w:rsid w:val="00762C16"/>
    <w:rPr>
      <w:sz w:val="16"/>
      <w:szCs w:val="16"/>
    </w:rPr>
  </w:style>
  <w:style w:type="paragraph" w:styleId="CommentText">
    <w:name w:val="annotation text"/>
    <w:basedOn w:val="Normal"/>
    <w:link w:val="CommentTextChar"/>
    <w:semiHidden/>
    <w:rsid w:val="00762C16"/>
    <w:rPr>
      <w:sz w:val="20"/>
    </w:rPr>
  </w:style>
  <w:style w:type="character" w:customStyle="1" w:styleId="CommentTextChar">
    <w:name w:val="Comment Text Char"/>
    <w:link w:val="CommentText"/>
    <w:semiHidden/>
    <w:rsid w:val="00762C1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rsid w:val="00762C16"/>
    <w:rPr>
      <w:b/>
      <w:bCs/>
    </w:rPr>
  </w:style>
  <w:style w:type="character" w:customStyle="1" w:styleId="CommentSubjectChar">
    <w:name w:val="Comment Subject Char"/>
    <w:link w:val="CommentSubject"/>
    <w:semiHidden/>
    <w:rsid w:val="00762C16"/>
    <w:rPr>
      <w:rFonts w:ascii="Times New Roman" w:eastAsia="Times New Roman" w:hAnsi="Times New Roman" w:cs="Times New Roman"/>
      <w:b/>
      <w:bCs/>
      <w:sz w:val="20"/>
      <w:szCs w:val="20"/>
      <w:lang w:eastAsia="en-AU"/>
    </w:rPr>
  </w:style>
  <w:style w:type="paragraph" w:styleId="BalloonText">
    <w:name w:val="Balloon Text"/>
    <w:basedOn w:val="Normal"/>
    <w:link w:val="BalloonTextChar"/>
    <w:rsid w:val="00762C16"/>
    <w:rPr>
      <w:rFonts w:ascii="Tahoma" w:hAnsi="Tahoma" w:cs="Tahoma"/>
      <w:sz w:val="16"/>
      <w:szCs w:val="16"/>
    </w:rPr>
  </w:style>
  <w:style w:type="character" w:customStyle="1" w:styleId="BalloonTextChar">
    <w:name w:val="Balloon Text Char"/>
    <w:link w:val="BalloonText"/>
    <w:rsid w:val="00762C16"/>
    <w:rPr>
      <w:rFonts w:ascii="Tahoma" w:eastAsia="Times New Roman" w:hAnsi="Tahoma" w:cs="Tahoma"/>
      <w:sz w:val="16"/>
      <w:szCs w:val="16"/>
      <w:lang w:eastAsia="en-AU"/>
    </w:rPr>
  </w:style>
  <w:style w:type="paragraph" w:customStyle="1" w:styleId="Tabletextindented">
    <w:name w:val="Table text indented"/>
    <w:rsid w:val="00762C16"/>
    <w:pPr>
      <w:spacing w:before="40"/>
      <w:ind w:left="142"/>
    </w:pPr>
    <w:rPr>
      <w:rFonts w:ascii="Arial" w:eastAsia="Times New Roman" w:hAnsi="Arial"/>
      <w:sz w:val="16"/>
    </w:rPr>
  </w:style>
  <w:style w:type="paragraph" w:styleId="DocumentMap">
    <w:name w:val="Document Map"/>
    <w:basedOn w:val="Normal"/>
    <w:link w:val="DocumentMapChar"/>
    <w:semiHidden/>
    <w:rsid w:val="00762C16"/>
    <w:pPr>
      <w:shd w:val="clear" w:color="auto" w:fill="000080"/>
    </w:pPr>
    <w:rPr>
      <w:rFonts w:ascii="Tahoma" w:hAnsi="Tahoma" w:cs="Tahoma"/>
      <w:sz w:val="20"/>
    </w:rPr>
  </w:style>
  <w:style w:type="character" w:customStyle="1" w:styleId="DocumentMapChar">
    <w:name w:val="Document Map Char"/>
    <w:link w:val="DocumentMap"/>
    <w:semiHidden/>
    <w:rsid w:val="00762C16"/>
    <w:rPr>
      <w:rFonts w:ascii="Tahoma" w:eastAsia="Times New Roman" w:hAnsi="Tahoma" w:cs="Tahoma"/>
      <w:sz w:val="20"/>
      <w:szCs w:val="20"/>
      <w:shd w:val="clear" w:color="auto" w:fill="000080"/>
      <w:lang w:eastAsia="en-AU"/>
    </w:rPr>
  </w:style>
  <w:style w:type="paragraph" w:styleId="BlockText">
    <w:name w:val="Block Text"/>
    <w:basedOn w:val="Normal"/>
    <w:rsid w:val="00762C16"/>
    <w:pPr>
      <w:spacing w:after="120"/>
      <w:ind w:left="1440" w:right="1440"/>
    </w:pPr>
  </w:style>
  <w:style w:type="paragraph" w:styleId="BodyText2">
    <w:name w:val="Body Text 2"/>
    <w:basedOn w:val="BodyText"/>
    <w:link w:val="BodyText2Char"/>
    <w:rsid w:val="00D20711"/>
    <w:rPr>
      <w:rFonts w:ascii="Trebuchet MS" w:hAnsi="Trebuchet MS"/>
      <w:sz w:val="16"/>
      <w:szCs w:val="16"/>
    </w:rPr>
  </w:style>
  <w:style w:type="character" w:customStyle="1" w:styleId="BodyText2Char">
    <w:name w:val="Body Text 2 Char"/>
    <w:link w:val="BodyText2"/>
    <w:rsid w:val="00D20711"/>
    <w:rPr>
      <w:rFonts w:ascii="Trebuchet MS" w:hAnsi="Trebuchet MS" w:cs="Arial"/>
      <w:sz w:val="16"/>
      <w:szCs w:val="16"/>
      <w:lang w:eastAsia="en-US"/>
    </w:rPr>
  </w:style>
  <w:style w:type="paragraph" w:styleId="BodyText3">
    <w:name w:val="Body Text 3"/>
    <w:basedOn w:val="Normal"/>
    <w:link w:val="BodyText3Char"/>
    <w:rsid w:val="00762C16"/>
    <w:pPr>
      <w:spacing w:after="120"/>
    </w:pPr>
    <w:rPr>
      <w:sz w:val="16"/>
      <w:szCs w:val="16"/>
    </w:rPr>
  </w:style>
  <w:style w:type="character" w:customStyle="1" w:styleId="BodyText3Char">
    <w:name w:val="Body Text 3 Char"/>
    <w:link w:val="BodyText3"/>
    <w:rsid w:val="00762C16"/>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762C16"/>
    <w:pPr>
      <w:spacing w:after="120" w:line="240" w:lineRule="auto"/>
      <w:ind w:firstLine="210"/>
    </w:pPr>
    <w:rPr>
      <w:rFonts w:ascii="Times New Roman" w:hAnsi="Times New Roman"/>
    </w:rPr>
  </w:style>
  <w:style w:type="character" w:customStyle="1" w:styleId="BodyTextFirstIndentChar">
    <w:name w:val="Body Text First Indent Char"/>
    <w:link w:val="BodyTextFirstIndent"/>
    <w:rsid w:val="00762C16"/>
    <w:rPr>
      <w:rFonts w:ascii="Times New Roman" w:eastAsia="Times New Roman" w:hAnsi="Times New Roman" w:cs="Times New Roman"/>
      <w:sz w:val="24"/>
      <w:szCs w:val="20"/>
      <w:lang w:eastAsia="en-AU"/>
    </w:rPr>
  </w:style>
  <w:style w:type="paragraph" w:styleId="BodyTextFirstIndent2">
    <w:name w:val="Body Text First Indent 2"/>
    <w:basedOn w:val="BodyTextIndent"/>
    <w:link w:val="BodyTextFirstIndent2Char"/>
    <w:rsid w:val="00762C16"/>
    <w:pPr>
      <w:spacing w:after="120"/>
      <w:ind w:left="283" w:firstLine="210"/>
    </w:pPr>
    <w:rPr>
      <w:sz w:val="24"/>
    </w:rPr>
  </w:style>
  <w:style w:type="character" w:customStyle="1" w:styleId="BodyTextFirstIndent2Char">
    <w:name w:val="Body Text First Indent 2 Char"/>
    <w:link w:val="BodyTextFirstIndent2"/>
    <w:rsid w:val="00762C16"/>
    <w:rPr>
      <w:rFonts w:ascii="Times New Roman" w:eastAsia="Times New Roman" w:hAnsi="Times New Roman" w:cs="Times New Roman"/>
      <w:sz w:val="24"/>
      <w:szCs w:val="20"/>
      <w:lang w:eastAsia="en-AU"/>
    </w:rPr>
  </w:style>
  <w:style w:type="paragraph" w:styleId="BodyTextIndent2">
    <w:name w:val="Body Text Indent 2"/>
    <w:basedOn w:val="Normal"/>
    <w:link w:val="BodyTextIndent2Char"/>
    <w:rsid w:val="00762C16"/>
    <w:pPr>
      <w:spacing w:after="120" w:line="480" w:lineRule="auto"/>
      <w:ind w:left="283"/>
    </w:pPr>
  </w:style>
  <w:style w:type="character" w:customStyle="1" w:styleId="BodyTextIndent2Char">
    <w:name w:val="Body Text Indent 2 Char"/>
    <w:link w:val="BodyTextIndent2"/>
    <w:rsid w:val="00762C16"/>
    <w:rPr>
      <w:rFonts w:ascii="Times New Roman" w:eastAsia="Times New Roman" w:hAnsi="Times New Roman" w:cs="Times New Roman"/>
      <w:sz w:val="24"/>
      <w:szCs w:val="20"/>
      <w:lang w:eastAsia="en-AU"/>
    </w:rPr>
  </w:style>
  <w:style w:type="paragraph" w:styleId="BodyTextIndent3">
    <w:name w:val="Body Text Indent 3"/>
    <w:basedOn w:val="Normal"/>
    <w:link w:val="BodyTextIndent3Char"/>
    <w:rsid w:val="00762C16"/>
    <w:pPr>
      <w:spacing w:after="120"/>
      <w:ind w:left="283"/>
    </w:pPr>
    <w:rPr>
      <w:sz w:val="16"/>
      <w:szCs w:val="16"/>
    </w:rPr>
  </w:style>
  <w:style w:type="character" w:customStyle="1" w:styleId="BodyTextIndent3Char">
    <w:name w:val="Body Text Indent 3 Char"/>
    <w:link w:val="BodyTextIndent3"/>
    <w:rsid w:val="00762C16"/>
    <w:rPr>
      <w:rFonts w:ascii="Times New Roman" w:eastAsia="Times New Roman" w:hAnsi="Times New Roman" w:cs="Times New Roman"/>
      <w:sz w:val="16"/>
      <w:szCs w:val="16"/>
      <w:lang w:eastAsia="en-AU"/>
    </w:rPr>
  </w:style>
  <w:style w:type="paragraph" w:styleId="Caption">
    <w:name w:val="caption"/>
    <w:basedOn w:val="Normal"/>
    <w:next w:val="Normal"/>
    <w:qFormat/>
    <w:rsid w:val="00762C16"/>
    <w:rPr>
      <w:b/>
      <w:bCs/>
      <w:sz w:val="20"/>
    </w:rPr>
  </w:style>
  <w:style w:type="paragraph" w:styleId="Closing">
    <w:name w:val="Closing"/>
    <w:basedOn w:val="Normal"/>
    <w:link w:val="ClosingChar"/>
    <w:rsid w:val="00762C16"/>
    <w:pPr>
      <w:ind w:left="4252"/>
    </w:pPr>
  </w:style>
  <w:style w:type="character" w:customStyle="1" w:styleId="ClosingChar">
    <w:name w:val="Closing Char"/>
    <w:link w:val="Closing"/>
    <w:rsid w:val="00762C16"/>
    <w:rPr>
      <w:rFonts w:ascii="Times New Roman" w:eastAsia="Times New Roman" w:hAnsi="Times New Roman" w:cs="Times New Roman"/>
      <w:sz w:val="24"/>
      <w:szCs w:val="20"/>
      <w:lang w:eastAsia="en-AU"/>
    </w:rPr>
  </w:style>
  <w:style w:type="paragraph" w:styleId="Date">
    <w:name w:val="Date"/>
    <w:basedOn w:val="Normal"/>
    <w:next w:val="Normal"/>
    <w:link w:val="DateChar"/>
    <w:rsid w:val="00762C16"/>
  </w:style>
  <w:style w:type="character" w:customStyle="1" w:styleId="DateChar">
    <w:name w:val="Date Char"/>
    <w:link w:val="Date"/>
    <w:rsid w:val="00762C16"/>
    <w:rPr>
      <w:rFonts w:ascii="Times New Roman" w:eastAsia="Times New Roman" w:hAnsi="Times New Roman" w:cs="Times New Roman"/>
      <w:sz w:val="24"/>
      <w:szCs w:val="20"/>
      <w:lang w:eastAsia="en-AU"/>
    </w:rPr>
  </w:style>
  <w:style w:type="paragraph" w:styleId="E-mailSignature">
    <w:name w:val="E-mail Signature"/>
    <w:basedOn w:val="Normal"/>
    <w:link w:val="E-mailSignatureChar"/>
    <w:rsid w:val="00762C16"/>
  </w:style>
  <w:style w:type="character" w:customStyle="1" w:styleId="E-mailSignatureChar">
    <w:name w:val="E-mail Signature Char"/>
    <w:link w:val="E-mailSignature"/>
    <w:rsid w:val="00762C16"/>
    <w:rPr>
      <w:rFonts w:ascii="Times New Roman" w:eastAsia="Times New Roman" w:hAnsi="Times New Roman" w:cs="Times New Roman"/>
      <w:sz w:val="24"/>
      <w:szCs w:val="20"/>
      <w:lang w:eastAsia="en-AU"/>
    </w:rPr>
  </w:style>
  <w:style w:type="paragraph" w:styleId="EndnoteText">
    <w:name w:val="endnote text"/>
    <w:basedOn w:val="Normal"/>
    <w:link w:val="EndnoteTextChar"/>
    <w:semiHidden/>
    <w:rsid w:val="00762C16"/>
    <w:rPr>
      <w:sz w:val="20"/>
    </w:rPr>
  </w:style>
  <w:style w:type="character" w:customStyle="1" w:styleId="EndnoteTextChar">
    <w:name w:val="Endnote Text Char"/>
    <w:link w:val="EndnoteText"/>
    <w:semiHidden/>
    <w:rsid w:val="00762C16"/>
    <w:rPr>
      <w:rFonts w:ascii="Times New Roman" w:eastAsia="Times New Roman" w:hAnsi="Times New Roman" w:cs="Times New Roman"/>
      <w:sz w:val="20"/>
      <w:szCs w:val="20"/>
      <w:lang w:eastAsia="en-AU"/>
    </w:rPr>
  </w:style>
  <w:style w:type="paragraph" w:styleId="EnvelopeAddress">
    <w:name w:val="envelope address"/>
    <w:basedOn w:val="Normal"/>
    <w:rsid w:val="00762C1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762C16"/>
    <w:rPr>
      <w:rFonts w:ascii="Arial" w:hAnsi="Arial" w:cs="Arial"/>
      <w:sz w:val="20"/>
    </w:rPr>
  </w:style>
  <w:style w:type="paragraph" w:styleId="HTMLAddress">
    <w:name w:val="HTML Address"/>
    <w:basedOn w:val="Normal"/>
    <w:link w:val="HTMLAddressChar"/>
    <w:rsid w:val="00762C16"/>
    <w:rPr>
      <w:i/>
      <w:iCs/>
    </w:rPr>
  </w:style>
  <w:style w:type="character" w:customStyle="1" w:styleId="HTMLAddressChar">
    <w:name w:val="HTML Address Char"/>
    <w:link w:val="HTMLAddress"/>
    <w:rsid w:val="00762C16"/>
    <w:rPr>
      <w:rFonts w:ascii="Times New Roman" w:eastAsia="Times New Roman" w:hAnsi="Times New Roman" w:cs="Times New Roman"/>
      <w:i/>
      <w:iCs/>
      <w:sz w:val="24"/>
      <w:szCs w:val="20"/>
      <w:lang w:eastAsia="en-AU"/>
    </w:rPr>
  </w:style>
  <w:style w:type="paragraph" w:styleId="HTMLPreformatted">
    <w:name w:val="HTML Preformatted"/>
    <w:basedOn w:val="Normal"/>
    <w:link w:val="HTMLPreformattedChar"/>
    <w:rsid w:val="00762C16"/>
    <w:rPr>
      <w:rFonts w:ascii="Courier New" w:hAnsi="Courier New" w:cs="Courier New"/>
      <w:sz w:val="20"/>
    </w:rPr>
  </w:style>
  <w:style w:type="character" w:customStyle="1" w:styleId="HTMLPreformattedChar">
    <w:name w:val="HTML Preformatted Char"/>
    <w:link w:val="HTMLPreformatted"/>
    <w:rsid w:val="00762C16"/>
    <w:rPr>
      <w:rFonts w:ascii="Courier New" w:eastAsia="Times New Roman" w:hAnsi="Courier New" w:cs="Courier New"/>
      <w:sz w:val="20"/>
      <w:szCs w:val="20"/>
      <w:lang w:eastAsia="en-AU"/>
    </w:rPr>
  </w:style>
  <w:style w:type="paragraph" w:styleId="Index1">
    <w:name w:val="index 1"/>
    <w:basedOn w:val="Normal"/>
    <w:next w:val="Normal"/>
    <w:autoRedefine/>
    <w:semiHidden/>
    <w:rsid w:val="00762C16"/>
    <w:pPr>
      <w:ind w:left="240" w:hanging="240"/>
    </w:pPr>
  </w:style>
  <w:style w:type="paragraph" w:styleId="Index2">
    <w:name w:val="index 2"/>
    <w:basedOn w:val="Normal"/>
    <w:next w:val="Normal"/>
    <w:autoRedefine/>
    <w:semiHidden/>
    <w:rsid w:val="00762C16"/>
    <w:pPr>
      <w:ind w:left="480" w:hanging="240"/>
    </w:pPr>
  </w:style>
  <w:style w:type="paragraph" w:styleId="Index3">
    <w:name w:val="index 3"/>
    <w:basedOn w:val="Normal"/>
    <w:next w:val="Normal"/>
    <w:autoRedefine/>
    <w:semiHidden/>
    <w:rsid w:val="00762C16"/>
    <w:pPr>
      <w:ind w:left="720" w:hanging="240"/>
    </w:pPr>
  </w:style>
  <w:style w:type="paragraph" w:styleId="Index4">
    <w:name w:val="index 4"/>
    <w:basedOn w:val="Normal"/>
    <w:next w:val="Normal"/>
    <w:autoRedefine/>
    <w:semiHidden/>
    <w:rsid w:val="00762C16"/>
    <w:pPr>
      <w:ind w:left="960" w:hanging="240"/>
    </w:pPr>
  </w:style>
  <w:style w:type="paragraph" w:styleId="Index5">
    <w:name w:val="index 5"/>
    <w:basedOn w:val="Normal"/>
    <w:next w:val="Normal"/>
    <w:autoRedefine/>
    <w:semiHidden/>
    <w:rsid w:val="00762C16"/>
    <w:pPr>
      <w:ind w:left="1200" w:hanging="240"/>
    </w:pPr>
  </w:style>
  <w:style w:type="paragraph" w:styleId="Index6">
    <w:name w:val="index 6"/>
    <w:basedOn w:val="Normal"/>
    <w:next w:val="Normal"/>
    <w:autoRedefine/>
    <w:semiHidden/>
    <w:rsid w:val="00762C16"/>
    <w:pPr>
      <w:ind w:left="1440" w:hanging="240"/>
    </w:pPr>
  </w:style>
  <w:style w:type="paragraph" w:styleId="Index7">
    <w:name w:val="index 7"/>
    <w:basedOn w:val="Normal"/>
    <w:next w:val="Normal"/>
    <w:autoRedefine/>
    <w:semiHidden/>
    <w:rsid w:val="00762C16"/>
    <w:pPr>
      <w:ind w:left="1680" w:hanging="240"/>
    </w:pPr>
  </w:style>
  <w:style w:type="paragraph" w:styleId="Index8">
    <w:name w:val="index 8"/>
    <w:basedOn w:val="Normal"/>
    <w:next w:val="Normal"/>
    <w:autoRedefine/>
    <w:semiHidden/>
    <w:rsid w:val="00762C16"/>
    <w:pPr>
      <w:ind w:left="1920" w:hanging="240"/>
    </w:pPr>
  </w:style>
  <w:style w:type="paragraph" w:styleId="Index9">
    <w:name w:val="index 9"/>
    <w:basedOn w:val="Normal"/>
    <w:next w:val="Normal"/>
    <w:autoRedefine/>
    <w:semiHidden/>
    <w:rsid w:val="00762C16"/>
    <w:pPr>
      <w:ind w:left="2160" w:hanging="240"/>
    </w:pPr>
  </w:style>
  <w:style w:type="paragraph" w:styleId="IndexHeading">
    <w:name w:val="index heading"/>
    <w:basedOn w:val="Normal"/>
    <w:next w:val="Index1"/>
    <w:semiHidden/>
    <w:rsid w:val="00762C16"/>
    <w:rPr>
      <w:rFonts w:ascii="Arial" w:hAnsi="Arial" w:cs="Arial"/>
      <w:b/>
      <w:bCs/>
    </w:rPr>
  </w:style>
  <w:style w:type="paragraph" w:styleId="List">
    <w:name w:val="List"/>
    <w:basedOn w:val="Normal"/>
    <w:rsid w:val="00762C16"/>
    <w:pPr>
      <w:ind w:left="283" w:hanging="283"/>
    </w:pPr>
  </w:style>
  <w:style w:type="paragraph" w:styleId="List2">
    <w:name w:val="List 2"/>
    <w:basedOn w:val="Normal"/>
    <w:rsid w:val="00762C16"/>
    <w:pPr>
      <w:ind w:left="566" w:hanging="283"/>
    </w:pPr>
  </w:style>
  <w:style w:type="paragraph" w:styleId="List3">
    <w:name w:val="List 3"/>
    <w:basedOn w:val="Normal"/>
    <w:rsid w:val="00762C16"/>
    <w:pPr>
      <w:ind w:left="849" w:hanging="283"/>
    </w:pPr>
  </w:style>
  <w:style w:type="paragraph" w:styleId="List4">
    <w:name w:val="List 4"/>
    <w:basedOn w:val="Normal"/>
    <w:rsid w:val="00762C16"/>
    <w:pPr>
      <w:ind w:left="1132" w:hanging="283"/>
    </w:pPr>
  </w:style>
  <w:style w:type="paragraph" w:styleId="List5">
    <w:name w:val="List 5"/>
    <w:basedOn w:val="Normal"/>
    <w:rsid w:val="00762C16"/>
    <w:pPr>
      <w:ind w:left="1415" w:hanging="283"/>
    </w:pPr>
  </w:style>
  <w:style w:type="paragraph" w:styleId="ListBullet">
    <w:name w:val="List Bullet"/>
    <w:basedOn w:val="Normal"/>
    <w:rsid w:val="00762C16"/>
    <w:pPr>
      <w:numPr>
        <w:numId w:val="1"/>
      </w:numPr>
    </w:pPr>
  </w:style>
  <w:style w:type="paragraph" w:styleId="ListBullet2">
    <w:name w:val="List Bullet 2"/>
    <w:basedOn w:val="Normal"/>
    <w:rsid w:val="00762C16"/>
    <w:pPr>
      <w:numPr>
        <w:numId w:val="2"/>
      </w:numPr>
    </w:pPr>
  </w:style>
  <w:style w:type="paragraph" w:styleId="ListBullet3">
    <w:name w:val="List Bullet 3"/>
    <w:basedOn w:val="Normal"/>
    <w:rsid w:val="00762C16"/>
    <w:pPr>
      <w:numPr>
        <w:numId w:val="3"/>
      </w:numPr>
    </w:pPr>
  </w:style>
  <w:style w:type="paragraph" w:styleId="ListBullet4">
    <w:name w:val="List Bullet 4"/>
    <w:basedOn w:val="Normal"/>
    <w:rsid w:val="00762C16"/>
    <w:pPr>
      <w:numPr>
        <w:numId w:val="4"/>
      </w:numPr>
    </w:pPr>
  </w:style>
  <w:style w:type="paragraph" w:styleId="ListBullet5">
    <w:name w:val="List Bullet 5"/>
    <w:basedOn w:val="Normal"/>
    <w:rsid w:val="00762C16"/>
    <w:pPr>
      <w:numPr>
        <w:numId w:val="5"/>
      </w:numPr>
    </w:pPr>
  </w:style>
  <w:style w:type="paragraph" w:styleId="ListContinue">
    <w:name w:val="List Continue"/>
    <w:basedOn w:val="Normal"/>
    <w:rsid w:val="00762C16"/>
    <w:pPr>
      <w:spacing w:after="120"/>
      <w:ind w:left="283"/>
    </w:pPr>
  </w:style>
  <w:style w:type="paragraph" w:styleId="ListContinue2">
    <w:name w:val="List Continue 2"/>
    <w:basedOn w:val="Normal"/>
    <w:rsid w:val="00762C16"/>
    <w:pPr>
      <w:spacing w:after="120"/>
      <w:ind w:left="566"/>
    </w:pPr>
  </w:style>
  <w:style w:type="paragraph" w:styleId="ListContinue3">
    <w:name w:val="List Continue 3"/>
    <w:basedOn w:val="Normal"/>
    <w:rsid w:val="00762C16"/>
    <w:pPr>
      <w:spacing w:after="120"/>
      <w:ind w:left="849"/>
    </w:pPr>
  </w:style>
  <w:style w:type="paragraph" w:styleId="ListContinue4">
    <w:name w:val="List Continue 4"/>
    <w:basedOn w:val="Normal"/>
    <w:rsid w:val="00762C16"/>
    <w:pPr>
      <w:spacing w:after="120"/>
      <w:ind w:left="1132"/>
    </w:pPr>
  </w:style>
  <w:style w:type="paragraph" w:styleId="ListContinue5">
    <w:name w:val="List Continue 5"/>
    <w:basedOn w:val="Normal"/>
    <w:rsid w:val="00762C16"/>
    <w:pPr>
      <w:spacing w:after="120"/>
      <w:ind w:left="1415"/>
    </w:pPr>
  </w:style>
  <w:style w:type="paragraph" w:styleId="ListNumber">
    <w:name w:val="List Number"/>
    <w:basedOn w:val="Normal"/>
    <w:rsid w:val="00762C16"/>
    <w:pPr>
      <w:numPr>
        <w:numId w:val="6"/>
      </w:numPr>
    </w:pPr>
  </w:style>
  <w:style w:type="paragraph" w:styleId="ListNumber2">
    <w:name w:val="List Number 2"/>
    <w:basedOn w:val="Normal"/>
    <w:rsid w:val="00762C16"/>
    <w:pPr>
      <w:numPr>
        <w:numId w:val="7"/>
      </w:numPr>
    </w:pPr>
  </w:style>
  <w:style w:type="paragraph" w:styleId="ListNumber3">
    <w:name w:val="List Number 3"/>
    <w:basedOn w:val="Normal"/>
    <w:rsid w:val="00762C16"/>
    <w:pPr>
      <w:numPr>
        <w:numId w:val="8"/>
      </w:numPr>
    </w:pPr>
  </w:style>
  <w:style w:type="paragraph" w:styleId="ListNumber4">
    <w:name w:val="List Number 4"/>
    <w:basedOn w:val="Normal"/>
    <w:rsid w:val="00762C16"/>
    <w:pPr>
      <w:numPr>
        <w:numId w:val="9"/>
      </w:numPr>
    </w:pPr>
  </w:style>
  <w:style w:type="paragraph" w:styleId="ListNumber5">
    <w:name w:val="List Number 5"/>
    <w:basedOn w:val="Normal"/>
    <w:rsid w:val="00762C16"/>
    <w:pPr>
      <w:numPr>
        <w:numId w:val="10"/>
      </w:numPr>
    </w:pPr>
  </w:style>
  <w:style w:type="paragraph" w:styleId="MacroText">
    <w:name w:val="macro"/>
    <w:link w:val="MacroTextChar"/>
    <w:semiHidden/>
    <w:rsid w:val="00762C16"/>
    <w:pPr>
      <w:tabs>
        <w:tab w:val="left" w:pos="480"/>
        <w:tab w:val="left" w:pos="960"/>
        <w:tab w:val="left" w:pos="1440"/>
        <w:tab w:val="left" w:pos="1920"/>
        <w:tab w:val="left" w:pos="2400"/>
        <w:tab w:val="left" w:pos="2880"/>
        <w:tab w:val="left" w:pos="3360"/>
        <w:tab w:val="left" w:pos="3840"/>
        <w:tab w:val="left" w:pos="4320"/>
      </w:tabs>
      <w:spacing w:before="200"/>
    </w:pPr>
    <w:rPr>
      <w:rFonts w:ascii="Courier New" w:eastAsia="Times New Roman" w:hAnsi="Courier New" w:cs="Courier New"/>
    </w:rPr>
  </w:style>
  <w:style w:type="character" w:customStyle="1" w:styleId="MacroTextChar">
    <w:name w:val="Macro Text Char"/>
    <w:link w:val="MacroText"/>
    <w:semiHidden/>
    <w:rsid w:val="00762C16"/>
    <w:rPr>
      <w:rFonts w:ascii="Courier New" w:eastAsia="Times New Roman" w:hAnsi="Courier New" w:cs="Courier New"/>
      <w:sz w:val="20"/>
      <w:szCs w:val="20"/>
      <w:lang w:eastAsia="en-AU"/>
    </w:rPr>
  </w:style>
  <w:style w:type="paragraph" w:styleId="MessageHeader">
    <w:name w:val="Message Header"/>
    <w:basedOn w:val="Normal"/>
    <w:link w:val="MessageHeaderChar"/>
    <w:rsid w:val="00762C1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link w:val="MessageHeader"/>
    <w:rsid w:val="00762C16"/>
    <w:rPr>
      <w:rFonts w:ascii="Arial" w:eastAsia="Times New Roman" w:hAnsi="Arial" w:cs="Arial"/>
      <w:sz w:val="24"/>
      <w:szCs w:val="24"/>
      <w:shd w:val="pct20" w:color="auto" w:fill="auto"/>
      <w:lang w:eastAsia="en-AU"/>
    </w:rPr>
  </w:style>
  <w:style w:type="paragraph" w:styleId="NormalWeb">
    <w:name w:val="Normal (Web)"/>
    <w:basedOn w:val="Normal"/>
    <w:uiPriority w:val="99"/>
    <w:rsid w:val="00762C16"/>
    <w:rPr>
      <w:szCs w:val="24"/>
    </w:rPr>
  </w:style>
  <w:style w:type="paragraph" w:styleId="NormalIndent">
    <w:name w:val="Normal Indent"/>
    <w:basedOn w:val="Normal"/>
    <w:rsid w:val="00762C16"/>
    <w:pPr>
      <w:ind w:left="720"/>
    </w:pPr>
  </w:style>
  <w:style w:type="paragraph" w:styleId="NoteHeading">
    <w:name w:val="Note Heading"/>
    <w:basedOn w:val="Normal"/>
    <w:next w:val="Normal"/>
    <w:link w:val="NoteHeadingChar"/>
    <w:rsid w:val="00762C16"/>
  </w:style>
  <w:style w:type="character" w:customStyle="1" w:styleId="NoteHeadingChar">
    <w:name w:val="Note Heading Char"/>
    <w:link w:val="NoteHeading"/>
    <w:rsid w:val="00762C16"/>
    <w:rPr>
      <w:rFonts w:ascii="Times New Roman" w:eastAsia="Times New Roman" w:hAnsi="Times New Roman" w:cs="Times New Roman"/>
      <w:sz w:val="24"/>
      <w:szCs w:val="20"/>
      <w:lang w:eastAsia="en-AU"/>
    </w:rPr>
  </w:style>
  <w:style w:type="paragraph" w:styleId="PlainText">
    <w:name w:val="Plain Text"/>
    <w:basedOn w:val="Normal"/>
    <w:link w:val="PlainTextChar"/>
    <w:uiPriority w:val="99"/>
    <w:rsid w:val="00762C16"/>
    <w:rPr>
      <w:rFonts w:ascii="Courier New" w:hAnsi="Courier New" w:cs="Courier New"/>
      <w:sz w:val="20"/>
    </w:rPr>
  </w:style>
  <w:style w:type="character" w:customStyle="1" w:styleId="PlainTextChar">
    <w:name w:val="Plain Text Char"/>
    <w:link w:val="PlainText"/>
    <w:uiPriority w:val="99"/>
    <w:rsid w:val="00762C16"/>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762C16"/>
  </w:style>
  <w:style w:type="character" w:customStyle="1" w:styleId="SalutationChar">
    <w:name w:val="Salutation Char"/>
    <w:link w:val="Salutation"/>
    <w:rsid w:val="00762C16"/>
    <w:rPr>
      <w:rFonts w:ascii="Times New Roman" w:eastAsia="Times New Roman" w:hAnsi="Times New Roman" w:cs="Times New Roman"/>
      <w:sz w:val="24"/>
      <w:szCs w:val="20"/>
      <w:lang w:eastAsia="en-AU"/>
    </w:rPr>
  </w:style>
  <w:style w:type="paragraph" w:styleId="Signature">
    <w:name w:val="Signature"/>
    <w:basedOn w:val="Normal"/>
    <w:link w:val="SignatureChar"/>
    <w:rsid w:val="00762C16"/>
    <w:pPr>
      <w:ind w:left="4252"/>
    </w:pPr>
  </w:style>
  <w:style w:type="character" w:customStyle="1" w:styleId="SignatureChar">
    <w:name w:val="Signature Char"/>
    <w:link w:val="Signature"/>
    <w:rsid w:val="00762C16"/>
    <w:rPr>
      <w:rFonts w:ascii="Times New Roman" w:eastAsia="Times New Roman" w:hAnsi="Times New Roman" w:cs="Times New Roman"/>
      <w:sz w:val="24"/>
      <w:szCs w:val="20"/>
      <w:lang w:eastAsia="en-AU"/>
    </w:rPr>
  </w:style>
  <w:style w:type="paragraph" w:styleId="Subtitle">
    <w:name w:val="Subtitle"/>
    <w:basedOn w:val="Normal"/>
    <w:link w:val="SubtitleChar"/>
    <w:qFormat/>
    <w:rsid w:val="00762C16"/>
    <w:pPr>
      <w:spacing w:after="60"/>
      <w:jc w:val="center"/>
      <w:outlineLvl w:val="1"/>
    </w:pPr>
    <w:rPr>
      <w:rFonts w:ascii="Arial" w:hAnsi="Arial" w:cs="Arial"/>
      <w:szCs w:val="24"/>
    </w:rPr>
  </w:style>
  <w:style w:type="character" w:customStyle="1" w:styleId="SubtitleChar">
    <w:name w:val="Subtitle Char"/>
    <w:link w:val="Subtitle"/>
    <w:rsid w:val="00762C16"/>
    <w:rPr>
      <w:rFonts w:ascii="Arial" w:eastAsia="Times New Roman" w:hAnsi="Arial" w:cs="Arial"/>
      <w:sz w:val="24"/>
      <w:szCs w:val="24"/>
      <w:lang w:eastAsia="en-AU"/>
    </w:rPr>
  </w:style>
  <w:style w:type="paragraph" w:styleId="TableofAuthorities">
    <w:name w:val="table of authorities"/>
    <w:basedOn w:val="Normal"/>
    <w:next w:val="Normal"/>
    <w:semiHidden/>
    <w:rsid w:val="00762C16"/>
    <w:pPr>
      <w:ind w:left="240" w:hanging="240"/>
    </w:pPr>
  </w:style>
  <w:style w:type="paragraph" w:styleId="Title">
    <w:name w:val="Title"/>
    <w:basedOn w:val="Normal"/>
    <w:link w:val="TitleChar"/>
    <w:qFormat/>
    <w:rsid w:val="00762C16"/>
    <w:pPr>
      <w:spacing w:before="240" w:after="60"/>
      <w:jc w:val="center"/>
      <w:outlineLvl w:val="0"/>
    </w:pPr>
    <w:rPr>
      <w:rFonts w:ascii="Arial" w:hAnsi="Arial" w:cs="Arial"/>
      <w:b/>
      <w:bCs/>
      <w:kern w:val="28"/>
      <w:sz w:val="32"/>
      <w:szCs w:val="32"/>
    </w:rPr>
  </w:style>
  <w:style w:type="character" w:customStyle="1" w:styleId="TitleChar">
    <w:name w:val="Title Char"/>
    <w:link w:val="Title"/>
    <w:rsid w:val="00762C16"/>
    <w:rPr>
      <w:rFonts w:ascii="Arial" w:eastAsia="Times New Roman" w:hAnsi="Arial" w:cs="Arial"/>
      <w:b/>
      <w:bCs/>
      <w:kern w:val="28"/>
      <w:sz w:val="32"/>
      <w:szCs w:val="32"/>
      <w:lang w:eastAsia="en-AU"/>
    </w:rPr>
  </w:style>
  <w:style w:type="paragraph" w:styleId="TOAHeading">
    <w:name w:val="toa heading"/>
    <w:basedOn w:val="Normal"/>
    <w:next w:val="Normal"/>
    <w:semiHidden/>
    <w:rsid w:val="00762C16"/>
    <w:pPr>
      <w:spacing w:before="120"/>
    </w:pPr>
    <w:rPr>
      <w:rFonts w:ascii="Arial" w:hAnsi="Arial" w:cs="Arial"/>
      <w:b/>
      <w:bCs/>
      <w:szCs w:val="24"/>
    </w:rPr>
  </w:style>
  <w:style w:type="paragraph" w:customStyle="1" w:styleId="Tabledescriptext">
    <w:name w:val="Table_descrip_text"/>
    <w:basedOn w:val="Normal"/>
    <w:next w:val="Normal"/>
    <w:rsid w:val="00762C16"/>
    <w:pPr>
      <w:autoSpaceDE w:val="0"/>
      <w:autoSpaceDN w:val="0"/>
      <w:adjustRightInd w:val="0"/>
      <w:spacing w:before="0"/>
    </w:pPr>
    <w:rPr>
      <w:rFonts w:ascii="Arial" w:hAnsi="Arial" w:cs="Arial"/>
      <w:szCs w:val="24"/>
    </w:rPr>
  </w:style>
  <w:style w:type="paragraph" w:customStyle="1" w:styleId="Imprint">
    <w:name w:val="Imprint"/>
    <w:rsid w:val="00762C16"/>
    <w:pPr>
      <w:spacing w:before="160" w:line="260" w:lineRule="atLeast"/>
    </w:pPr>
    <w:rPr>
      <w:rFonts w:ascii="Arial" w:eastAsia="Times New Roman" w:hAnsi="Arial" w:cs="Arial"/>
      <w:bCs/>
      <w:sz w:val="16"/>
      <w:szCs w:val="16"/>
      <w:lang w:eastAsia="en-US"/>
    </w:rPr>
  </w:style>
  <w:style w:type="paragraph" w:customStyle="1" w:styleId="Tabletitle0">
    <w:name w:val="Tabletitle"/>
    <w:next w:val="Normal"/>
    <w:link w:val="TabletitleCharChar"/>
    <w:rsid w:val="00762C16"/>
    <w:pPr>
      <w:tabs>
        <w:tab w:val="left" w:pos="900"/>
      </w:tabs>
      <w:spacing w:before="320" w:after="80"/>
    </w:pPr>
    <w:rPr>
      <w:rFonts w:ascii="Arial" w:eastAsia="Times New Roman" w:hAnsi="Arial"/>
      <w:b/>
      <w:color w:val="623874"/>
      <w:sz w:val="17"/>
      <w:szCs w:val="17"/>
      <w:lang w:eastAsia="en-US"/>
    </w:rPr>
  </w:style>
  <w:style w:type="character" w:customStyle="1" w:styleId="TabletitleCharChar">
    <w:name w:val="Tabletitle Char Char"/>
    <w:link w:val="Tabletitle0"/>
    <w:rsid w:val="00762C16"/>
    <w:rPr>
      <w:rFonts w:ascii="Arial" w:eastAsia="Times New Roman" w:hAnsi="Arial" w:cs="Times New Roman"/>
      <w:b/>
      <w:color w:val="623874"/>
      <w:sz w:val="17"/>
      <w:szCs w:val="17"/>
    </w:rPr>
  </w:style>
  <w:style w:type="character" w:customStyle="1" w:styleId="TextChar1">
    <w:name w:val="Text Char1"/>
    <w:link w:val="Text"/>
    <w:rsid w:val="00B5319B"/>
    <w:rPr>
      <w:rFonts w:ascii="Trebuchet MS" w:eastAsia="Cambria" w:hAnsi="Trebuchet MS"/>
      <w:szCs w:val="18"/>
      <w:lang w:eastAsia="en-US"/>
    </w:rPr>
  </w:style>
  <w:style w:type="paragraph" w:customStyle="1" w:styleId="Default">
    <w:name w:val="Default"/>
    <w:rsid w:val="00596062"/>
    <w:pPr>
      <w:widowControl w:val="0"/>
      <w:autoSpaceDE w:val="0"/>
      <w:autoSpaceDN w:val="0"/>
      <w:adjustRightInd w:val="0"/>
    </w:pPr>
    <w:rPr>
      <w:rFonts w:ascii="Gill Sans" w:eastAsia="Times New Roman" w:hAnsi="Gill Sans" w:cs="Gill Sans"/>
      <w:color w:val="000000"/>
      <w:sz w:val="24"/>
      <w:szCs w:val="24"/>
    </w:rPr>
  </w:style>
  <w:style w:type="paragraph" w:customStyle="1" w:styleId="Statsbullet">
    <w:name w:val="Stats bullet"/>
    <w:basedOn w:val="Normal"/>
    <w:link w:val="StatsbulletCharChar"/>
    <w:rsid w:val="00596062"/>
    <w:pPr>
      <w:tabs>
        <w:tab w:val="num" w:pos="360"/>
      </w:tabs>
      <w:spacing w:before="20" w:line="260" w:lineRule="exact"/>
      <w:ind w:left="360" w:right="567" w:hanging="360"/>
    </w:pPr>
    <w:rPr>
      <w:rFonts w:ascii="Arial" w:hAnsi="Arial"/>
      <w:sz w:val="18"/>
      <w:szCs w:val="24"/>
      <w:lang w:eastAsia="en-US"/>
    </w:rPr>
  </w:style>
  <w:style w:type="character" w:customStyle="1" w:styleId="StatsbulletCharChar">
    <w:name w:val="Stats bullet Char Char"/>
    <w:link w:val="Statsbullet"/>
    <w:rsid w:val="00596062"/>
    <w:rPr>
      <w:rFonts w:ascii="Arial" w:eastAsia="Times New Roman" w:hAnsi="Arial" w:cs="Times New Roman"/>
      <w:sz w:val="18"/>
      <w:szCs w:val="24"/>
    </w:rPr>
  </w:style>
  <w:style w:type="paragraph" w:customStyle="1" w:styleId="StatsHeading3">
    <w:name w:val="StatsHeading3"/>
    <w:basedOn w:val="Normal"/>
    <w:rsid w:val="00596062"/>
    <w:pPr>
      <w:spacing w:before="240"/>
    </w:pPr>
    <w:rPr>
      <w:rFonts w:ascii="Arial" w:hAnsi="Arial" w:cs="Arial"/>
      <w:b/>
      <w:color w:val="623874"/>
      <w:sz w:val="22"/>
      <w:szCs w:val="24"/>
      <w:lang w:eastAsia="en-US"/>
    </w:rPr>
  </w:style>
  <w:style w:type="paragraph" w:customStyle="1" w:styleId="StatsHeading2">
    <w:name w:val="StatsHeading2"/>
    <w:basedOn w:val="Normal"/>
    <w:link w:val="StatsHeading2CharChar"/>
    <w:autoRedefine/>
    <w:rsid w:val="00596062"/>
    <w:pPr>
      <w:spacing w:before="300"/>
    </w:pPr>
    <w:rPr>
      <w:rFonts w:ascii="Arial" w:hAnsi="Arial"/>
      <w:color w:val="623874"/>
      <w:szCs w:val="24"/>
    </w:rPr>
  </w:style>
  <w:style w:type="character" w:customStyle="1" w:styleId="StatsHeading2CharChar">
    <w:name w:val="StatsHeading2 Char Char"/>
    <w:link w:val="StatsHeading2"/>
    <w:rsid w:val="00596062"/>
    <w:rPr>
      <w:rFonts w:ascii="Arial" w:eastAsia="Times New Roman" w:hAnsi="Arial" w:cs="Times New Roman"/>
      <w:color w:val="623874"/>
      <w:sz w:val="24"/>
      <w:szCs w:val="24"/>
      <w:lang w:eastAsia="en-AU"/>
    </w:rPr>
  </w:style>
  <w:style w:type="paragraph" w:customStyle="1" w:styleId="Firstpara">
    <w:name w:val="First para"/>
    <w:link w:val="FirstparaChar"/>
    <w:autoRedefine/>
    <w:rsid w:val="00596062"/>
    <w:pPr>
      <w:spacing w:before="300" w:line="260" w:lineRule="exact"/>
    </w:pPr>
    <w:rPr>
      <w:rFonts w:ascii="Arial" w:eastAsia="Times New Roman" w:hAnsi="Arial"/>
      <w:sz w:val="18"/>
      <w:szCs w:val="24"/>
      <w:lang w:eastAsia="en-US"/>
    </w:rPr>
  </w:style>
  <w:style w:type="character" w:customStyle="1" w:styleId="FirstparaChar">
    <w:name w:val="First para Char"/>
    <w:link w:val="Firstpara"/>
    <w:rsid w:val="00596062"/>
    <w:rPr>
      <w:rFonts w:ascii="Arial" w:eastAsia="Times New Roman" w:hAnsi="Arial" w:cs="Times New Roman"/>
      <w:sz w:val="18"/>
      <w:szCs w:val="24"/>
    </w:rPr>
  </w:style>
  <w:style w:type="paragraph" w:customStyle="1" w:styleId="StatsHeading1">
    <w:name w:val="StatsHeading1"/>
    <w:basedOn w:val="Normal"/>
    <w:link w:val="StatsHeading1CharChar"/>
    <w:rsid w:val="00596062"/>
    <w:pPr>
      <w:spacing w:before="300" w:after="20"/>
    </w:pPr>
    <w:rPr>
      <w:rFonts w:ascii="Arial" w:hAnsi="Arial"/>
      <w:color w:val="623874"/>
      <w:sz w:val="28"/>
      <w:szCs w:val="32"/>
      <w:lang w:eastAsia="en-US"/>
    </w:rPr>
  </w:style>
  <w:style w:type="character" w:customStyle="1" w:styleId="StatsHeading1CharChar">
    <w:name w:val="StatsHeading1 Char Char"/>
    <w:link w:val="StatsHeading1"/>
    <w:rsid w:val="00596062"/>
    <w:rPr>
      <w:rFonts w:ascii="Arial" w:eastAsia="Times New Roman" w:hAnsi="Arial" w:cs="Times New Roman"/>
      <w:color w:val="623874"/>
      <w:sz w:val="28"/>
      <w:szCs w:val="32"/>
    </w:rPr>
  </w:style>
  <w:style w:type="character" w:customStyle="1" w:styleId="FiguretitleChar">
    <w:name w:val="Figuretitle Char"/>
    <w:link w:val="Figuretitle"/>
    <w:rsid w:val="00596062"/>
    <w:rPr>
      <w:rFonts w:ascii="Arial" w:eastAsia="Times New Roman" w:hAnsi="Arial" w:cs="Times New Roman"/>
      <w:b/>
      <w:color w:val="623874"/>
      <w:sz w:val="17"/>
      <w:szCs w:val="20"/>
      <w:lang w:eastAsia="en-AU"/>
    </w:rPr>
  </w:style>
  <w:style w:type="paragraph" w:customStyle="1" w:styleId="Termshighlight">
    <w:name w:val="Terms highlight"/>
    <w:basedOn w:val="Terms"/>
    <w:link w:val="TermshighlightChar"/>
    <w:rsid w:val="00596062"/>
    <w:rPr>
      <w:b/>
      <w:color w:val="623874"/>
    </w:rPr>
  </w:style>
  <w:style w:type="paragraph" w:customStyle="1" w:styleId="Terms">
    <w:name w:val="Terms"/>
    <w:basedOn w:val="Text"/>
    <w:link w:val="TermsChar"/>
    <w:rsid w:val="00596062"/>
    <w:pPr>
      <w:tabs>
        <w:tab w:val="left" w:pos="317"/>
      </w:tabs>
      <w:spacing w:before="80" w:line="240" w:lineRule="exact"/>
      <w:ind w:left="34"/>
    </w:pPr>
    <w:rPr>
      <w:rFonts w:ascii="Arial" w:hAnsi="Arial"/>
      <w:sz w:val="17"/>
      <w:szCs w:val="24"/>
    </w:rPr>
  </w:style>
  <w:style w:type="character" w:customStyle="1" w:styleId="TermsChar">
    <w:name w:val="Terms Char"/>
    <w:link w:val="Terms"/>
    <w:rsid w:val="00596062"/>
    <w:rPr>
      <w:rFonts w:ascii="Arial" w:eastAsia="Times New Roman" w:hAnsi="Arial" w:cs="Times New Roman"/>
      <w:sz w:val="17"/>
      <w:szCs w:val="24"/>
      <w:lang w:eastAsia="en-AU"/>
    </w:rPr>
  </w:style>
  <w:style w:type="character" w:customStyle="1" w:styleId="TermshighlightChar">
    <w:name w:val="Terms highlight Char"/>
    <w:link w:val="Termshighlight"/>
    <w:rsid w:val="00596062"/>
    <w:rPr>
      <w:rFonts w:ascii="Arial" w:eastAsia="Times New Roman" w:hAnsi="Arial" w:cs="Times New Roman"/>
      <w:b/>
      <w:color w:val="623874"/>
      <w:sz w:val="17"/>
      <w:szCs w:val="24"/>
      <w:lang w:eastAsia="en-AU"/>
    </w:rPr>
  </w:style>
  <w:style w:type="paragraph" w:customStyle="1" w:styleId="NumberedText">
    <w:name w:val="NumberedText"/>
    <w:rsid w:val="00596062"/>
    <w:pPr>
      <w:tabs>
        <w:tab w:val="left" w:pos="284"/>
        <w:tab w:val="num" w:pos="567"/>
      </w:tabs>
      <w:spacing w:before="120" w:line="260" w:lineRule="atLeast"/>
      <w:ind w:left="284" w:hanging="284"/>
    </w:pPr>
    <w:rPr>
      <w:rFonts w:ascii="Arial" w:eastAsia="Times New Roman" w:hAnsi="Arial" w:cs="Arial"/>
      <w:sz w:val="16"/>
      <w:szCs w:val="18"/>
      <w:lang w:eastAsia="en-US"/>
    </w:rPr>
  </w:style>
  <w:style w:type="paragraph" w:customStyle="1" w:styleId="PubTitle">
    <w:name w:val="PubTitle"/>
    <w:basedOn w:val="Normal"/>
    <w:rsid w:val="00596062"/>
    <w:pPr>
      <w:spacing w:before="2000" w:after="20"/>
    </w:pPr>
    <w:rPr>
      <w:rFonts w:ascii="Tahoma" w:hAnsi="Tahoma"/>
      <w:color w:val="7F7F7F"/>
      <w:sz w:val="36"/>
      <w:szCs w:val="48"/>
      <w:lang w:eastAsia="en-US"/>
    </w:rPr>
  </w:style>
  <w:style w:type="paragraph" w:customStyle="1" w:styleId="Pubsubtitle">
    <w:name w:val="Pub subtitle"/>
    <w:basedOn w:val="Normal"/>
    <w:rsid w:val="00596062"/>
    <w:pPr>
      <w:spacing w:before="20" w:after="20"/>
      <w:ind w:left="720"/>
    </w:pPr>
    <w:rPr>
      <w:rFonts w:ascii="Tahoma" w:hAnsi="Tahoma"/>
      <w:color w:val="7F7F7F"/>
      <w:sz w:val="52"/>
      <w:szCs w:val="36"/>
      <w:lang w:eastAsia="en-US"/>
    </w:rPr>
  </w:style>
  <w:style w:type="paragraph" w:customStyle="1" w:styleId="Year">
    <w:name w:val="Year"/>
    <w:basedOn w:val="Normal"/>
    <w:rsid w:val="00596062"/>
    <w:pPr>
      <w:spacing w:before="20" w:after="20"/>
      <w:ind w:left="720"/>
    </w:pPr>
    <w:rPr>
      <w:rFonts w:ascii="Arial" w:hAnsi="Arial"/>
      <w:color w:val="623874"/>
      <w:sz w:val="80"/>
      <w:szCs w:val="80"/>
      <w:lang w:eastAsia="en-US"/>
    </w:rPr>
  </w:style>
  <w:style w:type="paragraph" w:customStyle="1" w:styleId="Contents0">
    <w:name w:val="Contents"/>
    <w:rsid w:val="00596062"/>
    <w:pPr>
      <w:spacing w:before="300"/>
    </w:pPr>
    <w:rPr>
      <w:rFonts w:ascii="Arial" w:eastAsia="Times New Roman" w:hAnsi="Arial"/>
      <w:color w:val="623874"/>
      <w:sz w:val="28"/>
      <w:szCs w:val="32"/>
      <w:lang w:eastAsia="en-US"/>
    </w:rPr>
  </w:style>
  <w:style w:type="paragraph" w:customStyle="1" w:styleId="Matchbullet">
    <w:name w:val="Match bullet"/>
    <w:rsid w:val="00596062"/>
    <w:pPr>
      <w:spacing w:before="120" w:after="20" w:line="260" w:lineRule="exact"/>
    </w:pPr>
    <w:rPr>
      <w:rFonts w:ascii="Arial" w:eastAsia="Times New Roman" w:hAnsi="Arial"/>
      <w:i/>
      <w:sz w:val="16"/>
      <w:szCs w:val="24"/>
      <w:lang w:eastAsia="en-US"/>
    </w:rPr>
  </w:style>
  <w:style w:type="paragraph" w:customStyle="1" w:styleId="TextSpaceBelow">
    <w:name w:val="TextSpaceBelow"/>
    <w:basedOn w:val="Text"/>
    <w:link w:val="TextSpaceBelowChar"/>
    <w:rsid w:val="00596062"/>
    <w:pPr>
      <w:tabs>
        <w:tab w:val="left" w:pos="1418"/>
      </w:tabs>
      <w:spacing w:before="160"/>
    </w:pPr>
    <w:rPr>
      <w:rFonts w:ascii="Arial" w:hAnsi="Arial"/>
      <w:szCs w:val="24"/>
    </w:rPr>
  </w:style>
  <w:style w:type="character" w:customStyle="1" w:styleId="TextSpaceBelowChar">
    <w:name w:val="TextSpaceBelow Char"/>
    <w:link w:val="TextSpaceBelow"/>
    <w:rsid w:val="00596062"/>
    <w:rPr>
      <w:rFonts w:ascii="Arial" w:eastAsia="Times New Roman" w:hAnsi="Arial" w:cs="Times New Roman"/>
      <w:sz w:val="18"/>
      <w:szCs w:val="24"/>
      <w:lang w:eastAsia="en-AU"/>
    </w:rPr>
  </w:style>
  <w:style w:type="paragraph" w:customStyle="1" w:styleId="TableRowBold">
    <w:name w:val="TableRowBold"/>
    <w:basedOn w:val="Tabletext"/>
    <w:rsid w:val="00596062"/>
    <w:pPr>
      <w:spacing w:after="40"/>
    </w:pPr>
    <w:rPr>
      <w:b/>
      <w:color w:val="623874"/>
      <w:szCs w:val="15"/>
    </w:rPr>
  </w:style>
  <w:style w:type="paragraph" w:customStyle="1" w:styleId="Statsbulletspecial">
    <w:name w:val="Stats bullet special"/>
    <w:basedOn w:val="Statsbullet"/>
    <w:rsid w:val="00596062"/>
    <w:pPr>
      <w:spacing w:before="120"/>
      <w:ind w:left="357" w:hanging="357"/>
    </w:pPr>
  </w:style>
  <w:style w:type="paragraph" w:customStyle="1" w:styleId="NotesOnTables">
    <w:name w:val="NotesOnTables"/>
    <w:basedOn w:val="Normal"/>
    <w:rsid w:val="00596062"/>
    <w:pPr>
      <w:spacing w:before="40" w:after="40"/>
      <w:ind w:left="340" w:hanging="340"/>
    </w:pPr>
    <w:rPr>
      <w:rFonts w:ascii="Arial" w:hAnsi="Arial" w:cs="Arial"/>
      <w:color w:val="000000"/>
      <w:sz w:val="16"/>
      <w:szCs w:val="16"/>
      <w:lang w:eastAsia="en-US"/>
    </w:rPr>
  </w:style>
  <w:style w:type="paragraph" w:customStyle="1" w:styleId="Statsbullet2">
    <w:name w:val="Stats bullet2"/>
    <w:basedOn w:val="Statsbullet"/>
    <w:qFormat/>
    <w:rsid w:val="00596062"/>
    <w:pPr>
      <w:tabs>
        <w:tab w:val="clear" w:pos="360"/>
      </w:tabs>
      <w:ind w:left="612" w:hanging="357"/>
    </w:pPr>
  </w:style>
  <w:style w:type="paragraph" w:styleId="TOCHeading">
    <w:name w:val="TOC Heading"/>
    <w:basedOn w:val="Heading1"/>
    <w:next w:val="Normal"/>
    <w:uiPriority w:val="39"/>
    <w:unhideWhenUsed/>
    <w:qFormat/>
    <w:rsid w:val="00596062"/>
    <w:pPr>
      <w:keepNext/>
      <w:keepLines/>
      <w:widowControl/>
      <w:spacing w:before="480" w:after="0" w:line="276" w:lineRule="auto"/>
      <w:outlineLvl w:val="9"/>
    </w:pPr>
    <w:rPr>
      <w:rFonts w:ascii="Cambria" w:hAnsi="Cambria"/>
      <w:b/>
      <w:bCs/>
      <w:color w:val="365F91"/>
      <w:kern w:val="0"/>
      <w:sz w:val="28"/>
      <w:szCs w:val="28"/>
      <w:lang w:val="en-US" w:eastAsia="ja-JP"/>
    </w:rPr>
  </w:style>
  <w:style w:type="paragraph" w:customStyle="1" w:styleId="H4">
    <w:name w:val="H4"/>
    <w:basedOn w:val="Normal"/>
    <w:next w:val="Normal"/>
    <w:rsid w:val="00596062"/>
    <w:pPr>
      <w:keepNext/>
      <w:spacing w:before="100" w:after="100"/>
      <w:outlineLvl w:val="4"/>
    </w:pPr>
    <w:rPr>
      <w:b/>
      <w:snapToGrid w:val="0"/>
      <w:lang w:eastAsia="en-US"/>
    </w:rPr>
  </w:style>
  <w:style w:type="character" w:customStyle="1" w:styleId="asset">
    <w:name w:val="asset"/>
    <w:basedOn w:val="DefaultParagraphFont"/>
    <w:rsid w:val="00596062"/>
  </w:style>
  <w:style w:type="character" w:customStyle="1" w:styleId="assetlinknamecontainer1">
    <w:name w:val="assetlinknamecontainer1"/>
    <w:rsid w:val="00596062"/>
    <w:rPr>
      <w:u w:val="single"/>
    </w:rPr>
  </w:style>
  <w:style w:type="paragraph" w:customStyle="1" w:styleId="Style1">
    <w:name w:val="Style1"/>
    <w:basedOn w:val="PubTitle"/>
    <w:qFormat/>
    <w:rsid w:val="00596062"/>
    <w:rPr>
      <w:rFonts w:cs="Tahoma"/>
    </w:rPr>
  </w:style>
  <w:style w:type="character" w:customStyle="1" w:styleId="truncatedtextcontainer">
    <w:name w:val="truncatedtextcontainer"/>
    <w:basedOn w:val="DefaultParagraphFont"/>
    <w:rsid w:val="00596062"/>
  </w:style>
  <w:style w:type="character" w:customStyle="1" w:styleId="truncatedtext">
    <w:name w:val="truncatedtext"/>
    <w:basedOn w:val="DefaultParagraphFont"/>
    <w:rsid w:val="00596062"/>
  </w:style>
  <w:style w:type="character" w:customStyle="1" w:styleId="hidden1">
    <w:name w:val="hidden1"/>
    <w:rsid w:val="00596062"/>
    <w:rPr>
      <w:vanish/>
      <w:webHidden w:val="0"/>
      <w:specVanish w:val="0"/>
    </w:rPr>
  </w:style>
  <w:style w:type="paragraph" w:customStyle="1" w:styleId="Dotpoint1">
    <w:name w:val="Dotpoint 1"/>
    <w:basedOn w:val="Normal"/>
    <w:qFormat/>
    <w:rsid w:val="00CA5DA1"/>
    <w:pPr>
      <w:numPr>
        <w:numId w:val="19"/>
      </w:numPr>
      <w:spacing w:before="0" w:line="280" w:lineRule="exact"/>
      <w:ind w:left="284" w:hanging="284"/>
    </w:pPr>
    <w:rPr>
      <w:rFonts w:ascii="Trebuchet MS" w:eastAsia="Calibri" w:hAnsi="Trebuchet MS"/>
      <w:sz w:val="18"/>
      <w:lang w:eastAsia="en-US"/>
    </w:rPr>
  </w:style>
  <w:style w:type="paragraph" w:customStyle="1" w:styleId="Dotpoint2">
    <w:name w:val="Dotpoint 2"/>
    <w:basedOn w:val="Dotpoint1"/>
    <w:qFormat/>
    <w:rsid w:val="00CA5DA1"/>
    <w:pPr>
      <w:numPr>
        <w:numId w:val="20"/>
      </w:numPr>
      <w:tabs>
        <w:tab w:val="left" w:pos="567"/>
      </w:tabs>
    </w:pPr>
  </w:style>
  <w:style w:type="paragraph" w:styleId="ListParagraph">
    <w:name w:val="List Paragraph"/>
    <w:basedOn w:val="Normal"/>
    <w:uiPriority w:val="34"/>
    <w:qFormat/>
    <w:rsid w:val="00221236"/>
    <w:pPr>
      <w:ind w:left="720"/>
      <w:contextualSpacing/>
    </w:pPr>
  </w:style>
  <w:style w:type="paragraph" w:customStyle="1" w:styleId="Bodytext0">
    <w:name w:val="Body__text"/>
    <w:link w:val="BodytextChar0"/>
    <w:rsid w:val="00C57A81"/>
    <w:pPr>
      <w:tabs>
        <w:tab w:val="left" w:pos="2977"/>
      </w:tabs>
      <w:spacing w:after="140"/>
      <w:ind w:left="567"/>
    </w:pPr>
    <w:rPr>
      <w:rFonts w:ascii="Trebuchet MS" w:eastAsia="Times New Roman" w:hAnsi="Trebuchet MS"/>
      <w:snapToGrid w:val="0"/>
      <w:sz w:val="19"/>
      <w:lang w:eastAsia="en-US"/>
    </w:rPr>
  </w:style>
  <w:style w:type="character" w:customStyle="1" w:styleId="BodytextChar0">
    <w:name w:val="Body__text Char"/>
    <w:link w:val="Bodytext0"/>
    <w:rsid w:val="00C57A81"/>
    <w:rPr>
      <w:rFonts w:ascii="Trebuchet MS" w:eastAsia="Times New Roman" w:hAnsi="Trebuchet MS" w:cs="Times New Roman"/>
      <w:snapToGrid w:val="0"/>
      <w:sz w:val="19"/>
      <w:szCs w:val="20"/>
    </w:rPr>
  </w:style>
  <w:style w:type="character" w:styleId="UnresolvedMention">
    <w:name w:val="Unresolved Mention"/>
    <w:uiPriority w:val="99"/>
    <w:semiHidden/>
    <w:unhideWhenUsed/>
    <w:rsid w:val="00B5522A"/>
    <w:rPr>
      <w:color w:val="605E5C"/>
      <w:shd w:val="clear" w:color="auto" w:fill="E1DFDD"/>
    </w:rPr>
  </w:style>
  <w:style w:type="character" w:customStyle="1" w:styleId="TextChar">
    <w:name w:val="Text Char"/>
    <w:rsid w:val="007013C0"/>
    <w:rPr>
      <w:rFonts w:ascii="Trebuchet MS" w:hAnsi="Trebuchet MS"/>
      <w:sz w:val="19"/>
      <w:lang w:val="en-AU"/>
    </w:rPr>
  </w:style>
  <w:style w:type="paragraph" w:customStyle="1" w:styleId="NoParagraphStyle">
    <w:name w:val="[No Paragraph Style]"/>
    <w:rsid w:val="006C3B7B"/>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en-US" w:eastAsia="en-US"/>
    </w:rPr>
  </w:style>
  <w:style w:type="paragraph" w:styleId="Revision">
    <w:name w:val="Revision"/>
    <w:hidden/>
    <w:uiPriority w:val="99"/>
    <w:semiHidden/>
    <w:rsid w:val="009D423A"/>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91190">
      <w:bodyDiv w:val="1"/>
      <w:marLeft w:val="0"/>
      <w:marRight w:val="0"/>
      <w:marTop w:val="0"/>
      <w:marBottom w:val="0"/>
      <w:divBdr>
        <w:top w:val="none" w:sz="0" w:space="0" w:color="auto"/>
        <w:left w:val="none" w:sz="0" w:space="0" w:color="auto"/>
        <w:bottom w:val="none" w:sz="0" w:space="0" w:color="auto"/>
        <w:right w:val="none" w:sz="0" w:space="0" w:color="auto"/>
      </w:divBdr>
    </w:div>
    <w:div w:id="343746763">
      <w:bodyDiv w:val="1"/>
      <w:marLeft w:val="0"/>
      <w:marRight w:val="0"/>
      <w:marTop w:val="0"/>
      <w:marBottom w:val="0"/>
      <w:divBdr>
        <w:top w:val="none" w:sz="0" w:space="0" w:color="auto"/>
        <w:left w:val="none" w:sz="0" w:space="0" w:color="auto"/>
        <w:bottom w:val="none" w:sz="0" w:space="0" w:color="auto"/>
        <w:right w:val="none" w:sz="0" w:space="0" w:color="auto"/>
      </w:divBdr>
    </w:div>
    <w:div w:id="391925464">
      <w:bodyDiv w:val="1"/>
      <w:marLeft w:val="0"/>
      <w:marRight w:val="0"/>
      <w:marTop w:val="0"/>
      <w:marBottom w:val="0"/>
      <w:divBdr>
        <w:top w:val="none" w:sz="0" w:space="0" w:color="auto"/>
        <w:left w:val="none" w:sz="0" w:space="0" w:color="auto"/>
        <w:bottom w:val="none" w:sz="0" w:space="0" w:color="auto"/>
        <w:right w:val="none" w:sz="0" w:space="0" w:color="auto"/>
      </w:divBdr>
    </w:div>
    <w:div w:id="967323504">
      <w:bodyDiv w:val="1"/>
      <w:marLeft w:val="0"/>
      <w:marRight w:val="0"/>
      <w:marTop w:val="0"/>
      <w:marBottom w:val="0"/>
      <w:divBdr>
        <w:top w:val="none" w:sz="0" w:space="0" w:color="auto"/>
        <w:left w:val="none" w:sz="0" w:space="0" w:color="auto"/>
        <w:bottom w:val="none" w:sz="0" w:space="0" w:color="auto"/>
        <w:right w:val="none" w:sz="0" w:space="0" w:color="auto"/>
      </w:divBdr>
    </w:div>
    <w:div w:id="1044014452">
      <w:bodyDiv w:val="1"/>
      <w:marLeft w:val="0"/>
      <w:marRight w:val="0"/>
      <w:marTop w:val="0"/>
      <w:marBottom w:val="0"/>
      <w:divBdr>
        <w:top w:val="none" w:sz="0" w:space="0" w:color="auto"/>
        <w:left w:val="none" w:sz="0" w:space="0" w:color="auto"/>
        <w:bottom w:val="none" w:sz="0" w:space="0" w:color="auto"/>
        <w:right w:val="none" w:sz="0" w:space="0" w:color="auto"/>
      </w:divBdr>
    </w:div>
    <w:div w:id="1725568306">
      <w:bodyDiv w:val="1"/>
      <w:marLeft w:val="0"/>
      <w:marRight w:val="0"/>
      <w:marTop w:val="0"/>
      <w:marBottom w:val="0"/>
      <w:divBdr>
        <w:top w:val="none" w:sz="0" w:space="0" w:color="auto"/>
        <w:left w:val="none" w:sz="0" w:space="0" w:color="auto"/>
        <w:bottom w:val="none" w:sz="0" w:space="0" w:color="auto"/>
        <w:right w:val="none" w:sz="0" w:space="0" w:color="auto"/>
      </w:divBdr>
    </w:div>
    <w:div w:id="1829247991">
      <w:bodyDiv w:val="1"/>
      <w:marLeft w:val="0"/>
      <w:marRight w:val="0"/>
      <w:marTop w:val="0"/>
      <w:marBottom w:val="0"/>
      <w:divBdr>
        <w:top w:val="none" w:sz="0" w:space="0" w:color="auto"/>
        <w:left w:val="none" w:sz="0" w:space="0" w:color="auto"/>
        <w:bottom w:val="none" w:sz="0" w:space="0" w:color="auto"/>
        <w:right w:val="none" w:sz="0" w:space="0" w:color="auto"/>
      </w:divBdr>
    </w:div>
    <w:div w:id="1908373071">
      <w:bodyDiv w:val="1"/>
      <w:marLeft w:val="0"/>
      <w:marRight w:val="0"/>
      <w:marTop w:val="0"/>
      <w:marBottom w:val="0"/>
      <w:divBdr>
        <w:top w:val="none" w:sz="0" w:space="0" w:color="auto"/>
        <w:left w:val="none" w:sz="0" w:space="0" w:color="auto"/>
        <w:bottom w:val="none" w:sz="0" w:space="0" w:color="auto"/>
        <w:right w:val="none" w:sz="0" w:space="0" w:color="auto"/>
      </w:divBdr>
    </w:div>
    <w:div w:id="20896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ver.edu.au"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https://www.linkedin.com/company/nc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ver@ncver.edu.au"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3.0/au/" TargetMode="External"/><Relationship Id="rId14" Type="http://schemas.openxmlformats.org/officeDocument/2006/relationships/hyperlink" Target="https://x.com/nc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C3A77-BF63-434C-B0DB-152BCB8A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1</TotalTime>
  <Pages>12</Pages>
  <Words>3738</Words>
  <Characters>21441</Characters>
  <Application>Microsoft Office Word</Application>
  <DocSecurity>0</DocSecurity>
  <Lines>455</Lines>
  <Paragraphs>227</Paragraphs>
  <ScaleCrop>false</ScaleCrop>
  <HeadingPairs>
    <vt:vector size="2" baseType="variant">
      <vt:variant>
        <vt:lpstr>Title</vt:lpstr>
      </vt:variant>
      <vt:variant>
        <vt:i4>1</vt:i4>
      </vt:variant>
    </vt:vector>
  </HeadingPairs>
  <TitlesOfParts>
    <vt:vector size="1" baseType="lpstr">
      <vt:lpstr>Government funding of VET 2022: jurisdictional asset accounting policies</vt:lpstr>
    </vt:vector>
  </TitlesOfParts>
  <Company>Hewlett-Packard Company</Company>
  <LinksUpToDate>false</LinksUpToDate>
  <CharactersWithSpaces>25058</CharactersWithSpaces>
  <SharedDoc>false</SharedDoc>
  <HLinks>
    <vt:vector size="60" baseType="variant">
      <vt:variant>
        <vt:i4>393343</vt:i4>
      </vt:variant>
      <vt:variant>
        <vt:i4>24</vt:i4>
      </vt:variant>
      <vt:variant>
        <vt:i4>0</vt:i4>
      </vt:variant>
      <vt:variant>
        <vt:i4>5</vt:i4>
      </vt:variant>
      <vt:variant>
        <vt:lpwstr>http://www.federalfinancialrelations.gov.au/content/national_agreements.aspx</vt:lpwstr>
      </vt:variant>
      <vt:variant>
        <vt:lpwstr/>
      </vt:variant>
      <vt:variant>
        <vt:i4>393343</vt:i4>
      </vt:variant>
      <vt:variant>
        <vt:i4>21</vt:i4>
      </vt:variant>
      <vt:variant>
        <vt:i4>0</vt:i4>
      </vt:variant>
      <vt:variant>
        <vt:i4>5</vt:i4>
      </vt:variant>
      <vt:variant>
        <vt:lpwstr>http://www.federalfinancialrelations.gov.au/content/national_agreements.aspx</vt:lpwstr>
      </vt:variant>
      <vt:variant>
        <vt:lpwstr/>
      </vt:variant>
      <vt:variant>
        <vt:i4>393343</vt:i4>
      </vt:variant>
      <vt:variant>
        <vt:i4>18</vt:i4>
      </vt:variant>
      <vt:variant>
        <vt:i4>0</vt:i4>
      </vt:variant>
      <vt:variant>
        <vt:i4>5</vt:i4>
      </vt:variant>
      <vt:variant>
        <vt:lpwstr>http://www.federalfinancialrelations.gov.au/content/national_agreements.aspx</vt:lpwstr>
      </vt:variant>
      <vt:variant>
        <vt:lpwstr/>
      </vt:variant>
      <vt:variant>
        <vt:i4>4391029</vt:i4>
      </vt:variant>
      <vt:variant>
        <vt:i4>15</vt:i4>
      </vt:variant>
      <vt:variant>
        <vt:i4>0</vt:i4>
      </vt:variant>
      <vt:variant>
        <vt:i4>5</vt:i4>
      </vt:variant>
      <vt:variant>
        <vt:lpwstr>http://www.federalfinancialrelations.gov.au/content/npa/skills_past.aspx</vt:lpwstr>
      </vt:variant>
      <vt:variant>
        <vt:lpwstr/>
      </vt:variant>
      <vt:variant>
        <vt:i4>1769567</vt:i4>
      </vt:variant>
      <vt:variant>
        <vt:i4>12</vt:i4>
      </vt:variant>
      <vt:variant>
        <vt:i4>0</vt:i4>
      </vt:variant>
      <vt:variant>
        <vt:i4>5</vt:i4>
      </vt:variant>
      <vt:variant>
        <vt:lpwstr>http://hdl.voced.edu.au/10707/187905</vt:lpwstr>
      </vt:variant>
      <vt:variant>
        <vt:lpwstr/>
      </vt:variant>
      <vt:variant>
        <vt:i4>7864347</vt:i4>
      </vt:variant>
      <vt:variant>
        <vt:i4>9</vt:i4>
      </vt:variant>
      <vt:variant>
        <vt:i4>0</vt:i4>
      </vt:variant>
      <vt:variant>
        <vt:i4>5</vt:i4>
      </vt:variant>
      <vt:variant>
        <vt:lpwstr>http://www.federalfinancialrelations.gov.au/content/intergovernmental_agreements.aspx</vt:lpwstr>
      </vt:variant>
      <vt:variant>
        <vt:lpwstr/>
      </vt:variant>
      <vt:variant>
        <vt:i4>1835100</vt:i4>
      </vt:variant>
      <vt:variant>
        <vt:i4>6</vt:i4>
      </vt:variant>
      <vt:variant>
        <vt:i4>0</vt:i4>
      </vt:variant>
      <vt:variant>
        <vt:i4>5</vt:i4>
      </vt:variant>
      <vt:variant>
        <vt:lpwstr>https://www.lsay.edu.au/</vt:lpwstr>
      </vt:variant>
      <vt:variant>
        <vt:lpwstr/>
      </vt:variant>
      <vt:variant>
        <vt:i4>1245294</vt:i4>
      </vt:variant>
      <vt:variant>
        <vt:i4>3</vt:i4>
      </vt:variant>
      <vt:variant>
        <vt:i4>0</vt:i4>
      </vt:variant>
      <vt:variant>
        <vt:i4>5</vt:i4>
      </vt:variant>
      <vt:variant>
        <vt:lpwstr>mailto:ncver@ncver.edu.au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ariant>
        <vt:i4>2752572</vt:i4>
      </vt:variant>
      <vt:variant>
        <vt:i4>2476</vt:i4>
      </vt:variant>
      <vt:variant>
        <vt:i4>1025</vt:i4>
      </vt:variant>
      <vt:variant>
        <vt:i4>4</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funding of VET 2024: jurisdictional asset accounting policies</dc:title>
  <dc:subject/>
  <dc:creator>NCVER</dc:creator>
  <cp:keywords/>
  <cp:lastModifiedBy>Rocky Barbaro</cp:lastModifiedBy>
  <cp:revision>2</cp:revision>
  <cp:lastPrinted>2021-10-07T04:01:00Z</cp:lastPrinted>
  <dcterms:created xsi:type="dcterms:W3CDTF">2025-10-20T01:45:00Z</dcterms:created>
  <dcterms:modified xsi:type="dcterms:W3CDTF">2025-10-20T01:45:00Z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2024-09-25T06:03:35Z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370bfd78-3f3d-4e8d-a593-0645e7d0bd93</vt:lpwstr>
  </property>
  <property fmtid="{D5CDD505-2E9C-101B-9397-08002B2CF9AE}" pid="8" name="MSIP_Label_cb1ad429-e51f-433a-bb63-ec2e462336b1_ContentBits">
    <vt:lpwstr>0</vt:lpwstr>
  </property>
</Properties>
</file>