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92AEC" w14:textId="77777777" w:rsidR="00AB7E26" w:rsidRDefault="00AB7E26" w:rsidP="00940830">
      <w:pPr>
        <w:pStyle w:val="PublicationTitle"/>
      </w:pPr>
      <w:bookmarkStart w:id="0" w:name="_Toc296423677"/>
      <w:bookmarkStart w:id="1" w:name="_Toc296497508"/>
    </w:p>
    <w:bookmarkEnd w:id="0"/>
    <w:bookmarkEnd w:id="1"/>
    <w:p w14:paraId="09D078E7" w14:textId="77777777" w:rsidR="00166281" w:rsidRDefault="00166281" w:rsidP="00940830">
      <w:pPr>
        <w:pStyle w:val="Organisation"/>
      </w:pPr>
    </w:p>
    <w:p w14:paraId="1DBAEF3E" w14:textId="77777777" w:rsidR="000315D7" w:rsidRDefault="000315D7" w:rsidP="00940830">
      <w:pPr>
        <w:pStyle w:val="Organisation"/>
      </w:pPr>
    </w:p>
    <w:p w14:paraId="2778CF47" w14:textId="77777777" w:rsidR="006C5DA9" w:rsidRPr="006C5DA9" w:rsidRDefault="00804038" w:rsidP="00E429C5">
      <w:pPr>
        <w:pStyle w:val="Text"/>
      </w:pPr>
      <w:r w:rsidRPr="00901509">
        <w:rPr>
          <w:rStyle w:val="HeaderChar"/>
          <w:noProof/>
        </w:rPr>
        <mc:AlternateContent>
          <mc:Choice Requires="wps">
            <w:drawing>
              <wp:anchor distT="0" distB="0" distL="0" distR="0" simplePos="0" relativeHeight="251658244" behindDoc="0" locked="0" layoutInCell="1" allowOverlap="1" wp14:anchorId="33322DF1" wp14:editId="64ED3CF9">
                <wp:simplePos x="0" y="0"/>
                <wp:positionH relativeFrom="page">
                  <wp:posOffset>13281553</wp:posOffset>
                </wp:positionH>
                <wp:positionV relativeFrom="page">
                  <wp:posOffset>3211846</wp:posOffset>
                </wp:positionV>
                <wp:extent cx="1503045" cy="3776345"/>
                <wp:effectExtent l="0" t="0" r="0" b="0"/>
                <wp:wrapNone/>
                <wp:docPr id="1777062786"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03045" cy="3776345"/>
                        </a:xfrm>
                        <a:custGeom>
                          <a:avLst/>
                          <a:gdLst/>
                          <a:ahLst/>
                          <a:cxnLst/>
                          <a:rect l="l" t="t" r="r" b="b"/>
                          <a:pathLst>
                            <a:path w="1503045" h="3776345">
                              <a:moveTo>
                                <a:pt x="1502843" y="0"/>
                              </a:moveTo>
                              <a:lnTo>
                                <a:pt x="181978" y="0"/>
                              </a:lnTo>
                              <a:lnTo>
                                <a:pt x="133599" y="6492"/>
                              </a:lnTo>
                              <a:lnTo>
                                <a:pt x="90128" y="24818"/>
                              </a:lnTo>
                              <a:lnTo>
                                <a:pt x="53298" y="53254"/>
                              </a:lnTo>
                              <a:lnTo>
                                <a:pt x="24844" y="90074"/>
                              </a:lnTo>
                              <a:lnTo>
                                <a:pt x="6500" y="133552"/>
                              </a:lnTo>
                              <a:lnTo>
                                <a:pt x="0" y="181965"/>
                              </a:lnTo>
                              <a:lnTo>
                                <a:pt x="0" y="3594100"/>
                              </a:lnTo>
                              <a:lnTo>
                                <a:pt x="6500" y="3642442"/>
                              </a:lnTo>
                              <a:lnTo>
                                <a:pt x="24844" y="3685901"/>
                              </a:lnTo>
                              <a:lnTo>
                                <a:pt x="53298" y="3722735"/>
                              </a:lnTo>
                              <a:lnTo>
                                <a:pt x="90128" y="3751201"/>
                              </a:lnTo>
                              <a:lnTo>
                                <a:pt x="133599" y="3769559"/>
                              </a:lnTo>
                              <a:lnTo>
                                <a:pt x="181978" y="3776065"/>
                              </a:lnTo>
                              <a:lnTo>
                                <a:pt x="1502843" y="3776065"/>
                              </a:lnTo>
                              <a:lnTo>
                                <a:pt x="1502843" y="0"/>
                              </a:lnTo>
                              <a:close/>
                            </a:path>
                          </a:pathLst>
                        </a:custGeom>
                        <a:solidFill>
                          <a:srgbClr val="2B40F5"/>
                        </a:solidFill>
                      </wps:spPr>
                      <wps:bodyPr wrap="square" lIns="0" tIns="0" rIns="0" bIns="0" rtlCol="0">
                        <a:prstTxWarp prst="textNoShape">
                          <a:avLst/>
                        </a:prstTxWarp>
                        <a:noAutofit/>
                      </wps:bodyPr>
                    </wps:wsp>
                  </a:graphicData>
                </a:graphic>
              </wp:anchor>
            </w:drawing>
          </mc:Choice>
          <mc:Fallback xmlns:arto="http://schemas.microsoft.com/office/word/2006/arto" xmlns:a="http://schemas.openxmlformats.org/drawingml/2006/main" xmlns:pic="http://schemas.openxmlformats.org/drawingml/2006/picture" xmlns:a14="http://schemas.microsoft.com/office/drawing/2010/main">
            <w:pict w14:anchorId="1D1C2EDD">
              <v:shape id="Graphic 8" style="position:absolute;margin-left:1045.8pt;margin-top:252.9pt;width:118.35pt;height:297.35pt;z-index:251658242;visibility:visible;mso-wrap-style:square;mso-wrap-distance-left:0;mso-wrap-distance-top:0;mso-wrap-distance-right:0;mso-wrap-distance-bottom:0;mso-position-horizontal:absolute;mso-position-horizontal-relative:page;mso-position-vertical:absolute;mso-position-vertical-relative:page;v-text-anchor:top" coordsize="1503045,3776345" o:spid="_x0000_s1026" fillcolor="#2b40f5" stroked="f" path="m1502843,l181978,,133599,6492,90128,24818,53298,53254,24844,90074,6500,133552,,181965,,3594100r6500,48342l24844,3685901r28454,36834l90128,3751201r43471,18358l181978,3776065r1320865,l1502843,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" w14:anchorId="76B712AD">
                <v:path arrowok="t"/>
                <w10:wrap anchorx="page" anchory="page"/>
              </v:shape>
            </w:pict>
          </mc:Fallback>
        </mc:AlternateContent>
      </w:r>
      <w:r w:rsidRPr="00901509">
        <w:rPr>
          <w:rStyle w:val="HeaderChar"/>
          <w:noProof/>
        </w:rPr>
        <mc:AlternateContent>
          <mc:Choice Requires="wps">
            <w:drawing>
              <wp:anchor distT="0" distB="0" distL="0" distR="0" simplePos="0" relativeHeight="251658243" behindDoc="0" locked="0" layoutInCell="1" allowOverlap="1" wp14:anchorId="67B9CDDC" wp14:editId="018C473A">
                <wp:simplePos x="0" y="0"/>
                <wp:positionH relativeFrom="page">
                  <wp:posOffset>13129153</wp:posOffset>
                </wp:positionH>
                <wp:positionV relativeFrom="page">
                  <wp:posOffset>3059446</wp:posOffset>
                </wp:positionV>
                <wp:extent cx="1503045" cy="3776345"/>
                <wp:effectExtent l="0" t="0" r="0" b="0"/>
                <wp:wrapNone/>
                <wp:docPr id="41774291"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03045" cy="3776345"/>
                        </a:xfrm>
                        <a:custGeom>
                          <a:avLst/>
                          <a:gdLst/>
                          <a:ahLst/>
                          <a:cxnLst/>
                          <a:rect l="l" t="t" r="r" b="b"/>
                          <a:pathLst>
                            <a:path w="1503045" h="3776345">
                              <a:moveTo>
                                <a:pt x="1502843" y="0"/>
                              </a:moveTo>
                              <a:lnTo>
                                <a:pt x="181978" y="0"/>
                              </a:lnTo>
                              <a:lnTo>
                                <a:pt x="133599" y="6492"/>
                              </a:lnTo>
                              <a:lnTo>
                                <a:pt x="90128" y="24818"/>
                              </a:lnTo>
                              <a:lnTo>
                                <a:pt x="53298" y="53254"/>
                              </a:lnTo>
                              <a:lnTo>
                                <a:pt x="24844" y="90074"/>
                              </a:lnTo>
                              <a:lnTo>
                                <a:pt x="6500" y="133552"/>
                              </a:lnTo>
                              <a:lnTo>
                                <a:pt x="0" y="181965"/>
                              </a:lnTo>
                              <a:lnTo>
                                <a:pt x="0" y="3594100"/>
                              </a:lnTo>
                              <a:lnTo>
                                <a:pt x="6500" y="3642442"/>
                              </a:lnTo>
                              <a:lnTo>
                                <a:pt x="24844" y="3685901"/>
                              </a:lnTo>
                              <a:lnTo>
                                <a:pt x="53298" y="3722735"/>
                              </a:lnTo>
                              <a:lnTo>
                                <a:pt x="90128" y="3751201"/>
                              </a:lnTo>
                              <a:lnTo>
                                <a:pt x="133599" y="3769559"/>
                              </a:lnTo>
                              <a:lnTo>
                                <a:pt x="181978" y="3776065"/>
                              </a:lnTo>
                              <a:lnTo>
                                <a:pt x="1502843" y="3776065"/>
                              </a:lnTo>
                              <a:lnTo>
                                <a:pt x="1502843" y="0"/>
                              </a:lnTo>
                              <a:close/>
                            </a:path>
                          </a:pathLst>
                        </a:custGeom>
                        <a:solidFill>
                          <a:srgbClr val="2B40F5"/>
                        </a:solidFill>
                      </wps:spPr>
                      <wps:bodyPr wrap="square" lIns="0" tIns="0" rIns="0" bIns="0" rtlCol="0">
                        <a:prstTxWarp prst="textNoShape">
                          <a:avLst/>
                        </a:prstTxWarp>
                        <a:noAutofit/>
                      </wps:bodyPr>
                    </wps:wsp>
                  </a:graphicData>
                </a:graphic>
              </wp:anchor>
            </w:drawing>
          </mc:Choice>
          <mc:Fallback xmlns:arto="http://schemas.microsoft.com/office/word/2006/arto" xmlns:a="http://schemas.openxmlformats.org/drawingml/2006/main" xmlns:pic="http://schemas.openxmlformats.org/drawingml/2006/picture" xmlns:a14="http://schemas.microsoft.com/office/drawing/2010/main">
            <w:pict w14:anchorId="48BB3B31">
              <v:shape id="Graphic 8" style="position:absolute;margin-left:1033.8pt;margin-top:240.9pt;width:118.35pt;height:297.35pt;z-index:251658241;visibility:visible;mso-wrap-style:square;mso-wrap-distance-left:0;mso-wrap-distance-top:0;mso-wrap-distance-right:0;mso-wrap-distance-bottom:0;mso-position-horizontal:absolute;mso-position-horizontal-relative:page;mso-position-vertical:absolute;mso-position-vertical-relative:page;v-text-anchor:top" coordsize="1503045,3776345" o:spid="_x0000_s1026" fillcolor="#2b40f5" stroked="f" path="m1502843,l181978,,133599,6492,90128,24818,53298,53254,24844,90074,6500,133552,,181965,,3594100r6500,48342l24844,3685901r28454,36834l90128,3751201r43471,18358l181978,3776065r1320865,l1502843,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" w14:anchorId="4FF91A84">
                <v:path arrowok="t"/>
                <w10:wrap anchorx="page" anchory="page"/>
              </v:shape>
            </w:pict>
          </mc:Fallback>
        </mc:AlternateContent>
      </w:r>
    </w:p>
    <w:p w14:paraId="60B4A1A5" w14:textId="77777777" w:rsidR="001B43CF" w:rsidRDefault="001B43CF" w:rsidP="00E429C5">
      <w:pPr>
        <w:pStyle w:val="Text"/>
      </w:pPr>
    </w:p>
    <w:p w14:paraId="0CAA2264" w14:textId="77777777" w:rsidR="001B43CF" w:rsidRDefault="001B43CF" w:rsidP="00E429C5">
      <w:pPr>
        <w:pStyle w:val="Text"/>
      </w:pPr>
    </w:p>
    <w:p w14:paraId="75F61BEF" w14:textId="77777777" w:rsidR="001B43CF" w:rsidRDefault="001B43CF" w:rsidP="00E429C5">
      <w:pPr>
        <w:pStyle w:val="Text"/>
      </w:pPr>
    </w:p>
    <w:p w14:paraId="7D9A9635" w14:textId="77777777" w:rsidR="001B43CF" w:rsidRDefault="001B43CF" w:rsidP="00E429C5">
      <w:pPr>
        <w:pStyle w:val="Text"/>
      </w:pPr>
    </w:p>
    <w:p w14:paraId="2E816F28" w14:textId="77777777" w:rsidR="001B43CF" w:rsidRDefault="001B43CF" w:rsidP="00E429C5">
      <w:pPr>
        <w:pStyle w:val="Text"/>
      </w:pPr>
    </w:p>
    <w:p w14:paraId="36922DC5" w14:textId="77777777" w:rsidR="00DB599C" w:rsidRDefault="00DB599C" w:rsidP="00E429C5">
      <w:pPr>
        <w:pStyle w:val="Text"/>
      </w:pPr>
    </w:p>
    <w:p w14:paraId="20F2A90C" w14:textId="77777777" w:rsidR="00DB599C" w:rsidRDefault="00DB599C" w:rsidP="00E429C5">
      <w:pPr>
        <w:pStyle w:val="Text"/>
      </w:pPr>
    </w:p>
    <w:p w14:paraId="184BF9F8" w14:textId="77777777" w:rsidR="00DB599C" w:rsidRDefault="0021104C" w:rsidP="00A9334E">
      <w:pPr>
        <w:pStyle w:val="Heading3"/>
        <w:ind w:left="2552" w:right="-1"/>
      </w:pPr>
      <w:r>
        <w:rPr>
          <w:noProof/>
        </w:rPr>
        <mc:AlternateContent>
          <mc:Choice Requires="wpg">
            <w:drawing>
              <wp:anchor distT="0" distB="0" distL="114300" distR="114300" simplePos="0" relativeHeight="251658241" behindDoc="0" locked="0" layoutInCell="1" allowOverlap="1" wp14:anchorId="07A2E310" wp14:editId="5DA754D2">
                <wp:simplePos x="0" y="0"/>
                <wp:positionH relativeFrom="margin">
                  <wp:posOffset>557980</wp:posOffset>
                </wp:positionH>
                <wp:positionV relativeFrom="paragraph">
                  <wp:posOffset>194069</wp:posOffset>
                </wp:positionV>
                <wp:extent cx="4857750" cy="2247900"/>
                <wp:effectExtent l="0" t="0" r="0" b="0"/>
                <wp:wrapNone/>
                <wp:docPr id="1277556442" name="Group 12"/>
                <wp:cNvGraphicFramePr/>
                <a:graphic xmlns:a="http://schemas.openxmlformats.org/drawingml/2006/main">
                  <a:graphicData uri="http://schemas.microsoft.com/office/word/2010/wordprocessingGroup">
                    <wpg:wgp>
                      <wpg:cNvGrpSpPr/>
                      <wpg:grpSpPr>
                        <a:xfrm>
                          <a:off x="0" y="0"/>
                          <a:ext cx="4857750" cy="2247900"/>
                          <a:chOff x="0" y="0"/>
                          <a:chExt cx="4858131" cy="1657438"/>
                        </a:xfrm>
                      </wpg:grpSpPr>
                      <wps:wsp>
                        <wps:cNvPr id="1658422043" name="Text Box 62"/>
                        <wps:cNvSpPr txBox="1"/>
                        <wps:spPr>
                          <a:xfrm>
                            <a:off x="237488" y="225466"/>
                            <a:ext cx="4620643" cy="1431972"/>
                          </a:xfrm>
                          <a:prstGeom prst="rect">
                            <a:avLst/>
                          </a:prstGeom>
                          <a:noFill/>
                          <a:ln w="6350">
                            <a:noFill/>
                          </a:ln>
                        </wps:spPr>
                        <wps:txbx>
                          <w:txbxContent>
                            <w:p w14:paraId="1E9746C8" w14:textId="77777777" w:rsidR="00544383" w:rsidRPr="0021104C" w:rsidRDefault="0021104C" w:rsidP="00693881">
                              <w:pPr>
                                <w:pStyle w:val="Heading3"/>
                                <w:spacing w:before="0" w:line="240" w:lineRule="atLeast"/>
                                <w:rPr>
                                  <w:kern w:val="28"/>
                                  <w:sz w:val="56"/>
                                  <w:szCs w:val="56"/>
                                  <w:lang w:val="en-US"/>
                                </w:rPr>
                              </w:pPr>
                              <w:r>
                                <w:rPr>
                                  <w:kern w:val="28"/>
                                  <w:sz w:val="56"/>
                                  <w:szCs w:val="56"/>
                                  <w:lang w:val="en-US"/>
                                </w:rPr>
                                <w:t xml:space="preserve">Strengthening </w:t>
                              </w:r>
                              <w:r w:rsidR="00BE5CE2">
                                <w:rPr>
                                  <w:kern w:val="28"/>
                                  <w:sz w:val="56"/>
                                  <w:szCs w:val="56"/>
                                  <w:lang w:val="en-US"/>
                                </w:rPr>
                                <w:br/>
                              </w:r>
                              <w:r>
                                <w:rPr>
                                  <w:kern w:val="28"/>
                                  <w:sz w:val="56"/>
                                  <w:szCs w:val="56"/>
                                  <w:lang w:val="en-US"/>
                                </w:rPr>
                                <w:t>teaching practice and psychosocial support – support document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445795630" name="Image 12"/>
                          <pic:cNvPicPr>
                            <a:picLock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9905" cy="23558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7A2E310" id="Group 12" o:spid="_x0000_s1026" style="position:absolute;left:0;text-align:left;margin-left:43.95pt;margin-top:15.3pt;width:382.5pt;height:177pt;z-index:251658241;mso-position-horizontal-relative:margin;mso-width-relative:margin;mso-height-relative:margin" coordsize="48581,165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">
                <v:shapetype id="_x0000_t202" coordsize="21600,21600" o:spt="202" path="m,l,21600r21600,l21600,xe">
                  <v:stroke joinstyle="miter"/>
                  <v:path gradientshapeok="t" o:connecttype="rect"/>
                </v:shapetype>
                <v:shape id="_x0000_s1027" type="#_x0000_t202" style="position:absolute;left:2374;top:2254;width:46207;height:14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" filled="f" stroked="f" strokeweight=".5pt">
                  <v:textbox>
                    <w:txbxContent>
                      <w:p w14:paraId="1E9746C8" w14:textId="77777777" w:rsidR="00544383" w:rsidRPr="0021104C" w:rsidRDefault="0021104C" w:rsidP="00693881">
                        <w:pPr>
                          <w:pStyle w:val="Heading3"/>
                          <w:spacing w:before="0" w:line="240" w:lineRule="atLeast"/>
                          <w:rPr>
                            <w:kern w:val="28"/>
                            <w:sz w:val="56"/>
                            <w:szCs w:val="56"/>
                            <w:lang w:val="en-US"/>
                          </w:rPr>
                        </w:pPr>
                        <w:r>
                          <w:rPr>
                            <w:kern w:val="28"/>
                            <w:sz w:val="56"/>
                            <w:szCs w:val="56"/>
                            <w:lang w:val="en-US"/>
                          </w:rPr>
                          <w:t xml:space="preserve">Strengthening </w:t>
                        </w:r>
                        <w:r w:rsidR="00BE5CE2">
                          <w:rPr>
                            <w:kern w:val="28"/>
                            <w:sz w:val="56"/>
                            <w:szCs w:val="56"/>
                            <w:lang w:val="en-US"/>
                          </w:rPr>
                          <w:br/>
                        </w:r>
                        <w:r>
                          <w:rPr>
                            <w:kern w:val="28"/>
                            <w:sz w:val="56"/>
                            <w:szCs w:val="56"/>
                            <w:lang w:val="en-US"/>
                          </w:rPr>
                          <w:t>teaching practice and psychosocial support – support document</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2" o:spid="_x0000_s1028" type="#_x0000_t75" style="position:absolute;width:3299;height:23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">
                  <v:imagedata r:id="rId12" o:title=""/>
                  <o:lock v:ext="edit" aspectratio="f"/>
                </v:shape>
                <w10:wrap anchorx="margin"/>
              </v:group>
            </w:pict>
          </mc:Fallback>
        </mc:AlternateContent>
      </w:r>
      <w:r w:rsidR="00DB599C">
        <w:softHyphen/>
      </w:r>
    </w:p>
    <w:p w14:paraId="35C152F2" w14:textId="77777777" w:rsidR="002D35A6" w:rsidRDefault="00DF0D05" w:rsidP="00A9334E">
      <w:pPr>
        <w:pStyle w:val="Heading3"/>
        <w:ind w:left="2552" w:right="-1"/>
        <w:sectPr w:rsidR="002D35A6" w:rsidSect="002D35A6">
          <w:headerReference w:type="even" r:id="rId13"/>
          <w:headerReference w:type="default" r:id="rId14"/>
          <w:type w:val="continuous"/>
          <w:pgSz w:w="11907" w:h="16840" w:code="9"/>
          <w:pgMar w:top="1276" w:right="1418" w:bottom="992" w:left="1418" w:header="567" w:footer="556" w:gutter="0"/>
          <w:cols w:space="708" w:equalWidth="0">
            <w:col w:w="9071"/>
          </w:cols>
          <w:docGrid w:linePitch="360"/>
        </w:sectPr>
      </w:pPr>
      <w:r>
        <w:rPr>
          <w:noProof/>
          <w:color w:val="2B40F5"/>
          <w:spacing w:val="-2"/>
        </w:rPr>
        <mc:AlternateContent>
          <mc:Choice Requires="wps">
            <w:drawing>
              <wp:anchor distT="0" distB="0" distL="114300" distR="114300" simplePos="0" relativeHeight="251658249" behindDoc="0" locked="0" layoutInCell="1" allowOverlap="1" wp14:anchorId="669D6057" wp14:editId="30A2F7B5">
                <wp:simplePos x="0" y="0"/>
                <wp:positionH relativeFrom="margin">
                  <wp:posOffset>3119120</wp:posOffset>
                </wp:positionH>
                <wp:positionV relativeFrom="paragraph">
                  <wp:posOffset>2023110</wp:posOffset>
                </wp:positionV>
                <wp:extent cx="4171950" cy="1495425"/>
                <wp:effectExtent l="0" t="0" r="0" b="0"/>
                <wp:wrapNone/>
                <wp:docPr id="1059314698" name="Text Box 62"/>
                <wp:cNvGraphicFramePr/>
                <a:graphic xmlns:a="http://schemas.openxmlformats.org/drawingml/2006/main">
                  <a:graphicData uri="http://schemas.microsoft.com/office/word/2010/wordprocessingShape">
                    <wps:wsp>
                      <wps:cNvSpPr txBox="1"/>
                      <wps:spPr>
                        <a:xfrm>
                          <a:off x="0" y="0"/>
                          <a:ext cx="4171950" cy="1495425"/>
                        </a:xfrm>
                        <a:prstGeom prst="rect">
                          <a:avLst/>
                        </a:prstGeom>
                        <a:noFill/>
                        <a:ln w="6350">
                          <a:noFill/>
                        </a:ln>
                      </wps:spPr>
                      <wps:txbx>
                        <w:txbxContent>
                          <w:p w14:paraId="40D2AAE1" w14:textId="77777777" w:rsidR="00DF0D05" w:rsidRPr="0021104C" w:rsidRDefault="00DF0D05" w:rsidP="00DF0D05">
                            <w:pPr>
                              <w:pStyle w:val="Organisation"/>
                              <w:ind w:left="0"/>
                            </w:pPr>
                            <w:r w:rsidRPr="0021104C">
                              <w:t xml:space="preserve">Maree </w:t>
                            </w:r>
                            <w:proofErr w:type="spellStart"/>
                            <w:r w:rsidRPr="0021104C">
                              <w:t>Ackehurst</w:t>
                            </w:r>
                            <w:proofErr w:type="spellEnd"/>
                            <w:r w:rsidRPr="0021104C">
                              <w:t xml:space="preserve"> </w:t>
                            </w:r>
                          </w:p>
                          <w:p w14:paraId="6CF25A05" w14:textId="77777777" w:rsidR="00DF0D05" w:rsidRPr="0021104C" w:rsidRDefault="00DF0D05" w:rsidP="00DF0D05">
                            <w:pPr>
                              <w:pStyle w:val="Organisation"/>
                              <w:ind w:left="0"/>
                            </w:pPr>
                            <w:r w:rsidRPr="0021104C">
                              <w:t>Joanne Waugh</w:t>
                            </w:r>
                          </w:p>
                          <w:p w14:paraId="28745B51" w14:textId="77777777" w:rsidR="00DF0D05" w:rsidRPr="00693881" w:rsidRDefault="00DF0D05" w:rsidP="008B72EF">
                            <w:pPr>
                              <w:pStyle w:val="Tex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9D6057" id="Text Box 62" o:spid="_x0000_s1029" type="#_x0000_t202" style="position:absolute;left:0;text-align:left;margin-left:245.6pt;margin-top:159.3pt;width:328.5pt;height:117.75pt;z-index:25165824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" filled="f" stroked="f" strokeweight=".5pt">
                <v:textbox>
                  <w:txbxContent>
                    <w:p w14:paraId="40D2AAE1" w14:textId="77777777" w:rsidR="00DF0D05" w:rsidRPr="0021104C" w:rsidRDefault="00DF0D05" w:rsidP="00DF0D05">
                      <w:pPr>
                        <w:pStyle w:val="Organisation"/>
                        <w:ind w:left="0"/>
                      </w:pPr>
                      <w:r w:rsidRPr="0021104C">
                        <w:t xml:space="preserve">Maree </w:t>
                      </w:r>
                      <w:proofErr w:type="spellStart"/>
                      <w:r w:rsidRPr="0021104C">
                        <w:t>Ackehurst</w:t>
                      </w:r>
                      <w:proofErr w:type="spellEnd"/>
                      <w:r w:rsidRPr="0021104C">
                        <w:t xml:space="preserve"> </w:t>
                      </w:r>
                    </w:p>
                    <w:p w14:paraId="6CF25A05" w14:textId="77777777" w:rsidR="00DF0D05" w:rsidRPr="0021104C" w:rsidRDefault="00DF0D05" w:rsidP="00DF0D05">
                      <w:pPr>
                        <w:pStyle w:val="Organisation"/>
                        <w:ind w:left="0"/>
                      </w:pPr>
                      <w:r w:rsidRPr="0021104C">
                        <w:t>Joanne Waugh</w:t>
                      </w:r>
                    </w:p>
                    <w:p w14:paraId="28745B51" w14:textId="77777777" w:rsidR="00DF0D05" w:rsidRPr="00693881" w:rsidRDefault="00DF0D05" w:rsidP="008B72EF">
                      <w:pPr>
                        <w:pStyle w:val="Text"/>
                      </w:pPr>
                    </w:p>
                  </w:txbxContent>
                </v:textbox>
                <w10:wrap anchorx="margin"/>
              </v:shape>
            </w:pict>
          </mc:Fallback>
        </mc:AlternateContent>
      </w:r>
      <w:r>
        <w:rPr>
          <w:noProof/>
          <w:color w:val="2B40F5"/>
          <w:spacing w:val="-2"/>
        </w:rPr>
        <mc:AlternateContent>
          <mc:Choice Requires="wps">
            <w:drawing>
              <wp:anchor distT="0" distB="0" distL="114300" distR="114300" simplePos="0" relativeHeight="251658245" behindDoc="0" locked="0" layoutInCell="1" allowOverlap="1" wp14:anchorId="267F88DF" wp14:editId="65456889">
                <wp:simplePos x="0" y="0"/>
                <wp:positionH relativeFrom="margin">
                  <wp:posOffset>804545</wp:posOffset>
                </wp:positionH>
                <wp:positionV relativeFrom="paragraph">
                  <wp:posOffset>2023110</wp:posOffset>
                </wp:positionV>
                <wp:extent cx="4171950" cy="1495425"/>
                <wp:effectExtent l="0" t="0" r="0" b="0"/>
                <wp:wrapNone/>
                <wp:docPr id="323449817" name="Text Box 62"/>
                <wp:cNvGraphicFramePr/>
                <a:graphic xmlns:a="http://schemas.openxmlformats.org/drawingml/2006/main">
                  <a:graphicData uri="http://schemas.microsoft.com/office/word/2010/wordprocessingShape">
                    <wps:wsp>
                      <wps:cNvSpPr txBox="1"/>
                      <wps:spPr>
                        <a:xfrm>
                          <a:off x="0" y="0"/>
                          <a:ext cx="4171950" cy="1495425"/>
                        </a:xfrm>
                        <a:prstGeom prst="rect">
                          <a:avLst/>
                        </a:prstGeom>
                        <a:noFill/>
                        <a:ln w="6350">
                          <a:noFill/>
                        </a:ln>
                      </wps:spPr>
                      <wps:txbx>
                        <w:txbxContent>
                          <w:p w14:paraId="36D36EEE" w14:textId="77777777" w:rsidR="0021104C" w:rsidRPr="0021104C" w:rsidRDefault="0021104C" w:rsidP="0021104C">
                            <w:pPr>
                              <w:pStyle w:val="Organisation"/>
                              <w:ind w:left="0"/>
                            </w:pPr>
                            <w:r w:rsidRPr="0021104C">
                              <w:t xml:space="preserve">Tabatha Griffin </w:t>
                            </w:r>
                          </w:p>
                          <w:p w14:paraId="68537042" w14:textId="77777777" w:rsidR="0021104C" w:rsidRPr="0021104C" w:rsidRDefault="0021104C" w:rsidP="0021104C">
                            <w:pPr>
                              <w:pStyle w:val="Organisation"/>
                              <w:ind w:left="0"/>
                            </w:pPr>
                            <w:r w:rsidRPr="0021104C">
                              <w:t>Bridget Wibrow</w:t>
                            </w:r>
                          </w:p>
                          <w:p w14:paraId="64067EF9" w14:textId="77777777" w:rsidR="0021104C" w:rsidRPr="0021104C" w:rsidRDefault="0021104C" w:rsidP="0021104C">
                            <w:pPr>
                              <w:pStyle w:val="Organisation"/>
                              <w:ind w:left="0"/>
                            </w:pPr>
                            <w:proofErr w:type="spellStart"/>
                            <w:r w:rsidRPr="0021104C">
                              <w:t>Upekha</w:t>
                            </w:r>
                            <w:proofErr w:type="spellEnd"/>
                            <w:r w:rsidRPr="0021104C">
                              <w:t xml:space="preserve"> </w:t>
                            </w:r>
                            <w:proofErr w:type="spellStart"/>
                            <w:r w:rsidRPr="0021104C">
                              <w:t>Andrahannadi</w:t>
                            </w:r>
                            <w:proofErr w:type="spellEnd"/>
                          </w:p>
                          <w:p w14:paraId="6841FEFB" w14:textId="77777777" w:rsidR="00693881" w:rsidRPr="00693881" w:rsidRDefault="008B72EF" w:rsidP="00DF0D05">
                            <w:pPr>
                              <w:pStyle w:val="Organisation"/>
                              <w:spacing w:before="240"/>
                              <w:ind w:left="0"/>
                            </w:pPr>
                            <w:r>
                              <w:t>National Centre for Vocational Education Research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7F88DF" id="_x0000_s1030" type="#_x0000_t202" style="position:absolute;left:0;text-align:left;margin-left:63.35pt;margin-top:159.3pt;width:328.5pt;height:117.75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" filled="f" stroked="f" strokeweight=".5pt">
                <v:textbox>
                  <w:txbxContent>
                    <w:p w14:paraId="36D36EEE" w14:textId="77777777" w:rsidR="0021104C" w:rsidRPr="0021104C" w:rsidRDefault="0021104C" w:rsidP="0021104C">
                      <w:pPr>
                        <w:pStyle w:val="Organisation"/>
                        <w:ind w:left="0"/>
                      </w:pPr>
                      <w:r w:rsidRPr="0021104C">
                        <w:t xml:space="preserve">Tabatha Griffin </w:t>
                      </w:r>
                    </w:p>
                    <w:p w14:paraId="68537042" w14:textId="77777777" w:rsidR="0021104C" w:rsidRPr="0021104C" w:rsidRDefault="0021104C" w:rsidP="0021104C">
                      <w:pPr>
                        <w:pStyle w:val="Organisation"/>
                        <w:ind w:left="0"/>
                      </w:pPr>
                      <w:r w:rsidRPr="0021104C">
                        <w:t>Bridget Wibrow</w:t>
                      </w:r>
                    </w:p>
                    <w:p w14:paraId="64067EF9" w14:textId="77777777" w:rsidR="0021104C" w:rsidRPr="0021104C" w:rsidRDefault="0021104C" w:rsidP="0021104C">
                      <w:pPr>
                        <w:pStyle w:val="Organisation"/>
                        <w:ind w:left="0"/>
                      </w:pPr>
                      <w:proofErr w:type="spellStart"/>
                      <w:r w:rsidRPr="0021104C">
                        <w:t>Upekha</w:t>
                      </w:r>
                      <w:proofErr w:type="spellEnd"/>
                      <w:r w:rsidRPr="0021104C">
                        <w:t xml:space="preserve"> </w:t>
                      </w:r>
                      <w:proofErr w:type="spellStart"/>
                      <w:r w:rsidRPr="0021104C">
                        <w:t>Andrahannadi</w:t>
                      </w:r>
                      <w:proofErr w:type="spellEnd"/>
                    </w:p>
                    <w:p w14:paraId="6841FEFB" w14:textId="77777777" w:rsidR="00693881" w:rsidRPr="00693881" w:rsidRDefault="008B72EF" w:rsidP="00DF0D05">
                      <w:pPr>
                        <w:pStyle w:val="Organisation"/>
                        <w:spacing w:before="240"/>
                        <w:ind w:left="0"/>
                      </w:pPr>
                      <w:r>
                        <w:t>National Centre for Vocational Education Research</w:t>
                      </w:r>
                    </w:p>
                  </w:txbxContent>
                </v:textbox>
                <w10:wrap anchorx="margin"/>
              </v:shape>
            </w:pict>
          </mc:Fallback>
        </mc:AlternateContent>
      </w:r>
      <w:r w:rsidR="005E69DC">
        <w:rPr>
          <w:noProof/>
        </w:rPr>
        <mc:AlternateContent>
          <mc:Choice Requires="wps">
            <w:drawing>
              <wp:anchor distT="0" distB="0" distL="114300" distR="114300" simplePos="0" relativeHeight="251658246" behindDoc="0" locked="0" layoutInCell="1" allowOverlap="1" wp14:anchorId="00CAC4DB" wp14:editId="586AB8AB">
                <wp:simplePos x="0" y="0"/>
                <wp:positionH relativeFrom="margin">
                  <wp:posOffset>886806</wp:posOffset>
                </wp:positionH>
                <wp:positionV relativeFrom="paragraph">
                  <wp:posOffset>3349435</wp:posOffset>
                </wp:positionV>
                <wp:extent cx="3533775" cy="1124849"/>
                <wp:effectExtent l="0" t="0" r="9525" b="0"/>
                <wp:wrapNone/>
                <wp:docPr id="852489793" name="Rectangle: Rounded Corners 14"/>
                <wp:cNvGraphicFramePr/>
                <a:graphic xmlns:a="http://schemas.openxmlformats.org/drawingml/2006/main">
                  <a:graphicData uri="http://schemas.microsoft.com/office/word/2010/wordprocessingShape">
                    <wps:wsp>
                      <wps:cNvSpPr/>
                      <wps:spPr>
                        <a:xfrm>
                          <a:off x="0" y="0"/>
                          <a:ext cx="3533775" cy="1124849"/>
                        </a:xfrm>
                        <a:prstGeom prst="roundRect">
                          <a:avLst>
                            <a:gd name="adj" fmla="val 12230"/>
                          </a:avLst>
                        </a:prstGeom>
                        <a:solidFill>
                          <a:srgbClr val="2B40F5"/>
                        </a:solidFill>
                        <a:ln>
                          <a:noFill/>
                        </a:ln>
                      </wps:spPr>
                      <wps:style>
                        <a:lnRef idx="2">
                          <a:schemeClr val="accent1"/>
                        </a:lnRef>
                        <a:fillRef idx="1">
                          <a:schemeClr val="lt1"/>
                        </a:fillRef>
                        <a:effectRef idx="0">
                          <a:schemeClr val="accent1"/>
                        </a:effectRef>
                        <a:fontRef idx="minor">
                          <a:schemeClr val="dk1"/>
                        </a:fontRef>
                      </wps:style>
                      <wps:txbx>
                        <w:txbxContent>
                          <w:p w14:paraId="129F671E" w14:textId="77777777" w:rsidR="0012601A" w:rsidRPr="005E69DC" w:rsidRDefault="00D71435" w:rsidP="00E429C5">
                            <w:pPr>
                              <w:pStyle w:val="Text"/>
                              <w:rPr>
                                <w:color w:val="FFFFFF" w:themeColor="background1"/>
                              </w:rPr>
                            </w:pPr>
                            <w:r w:rsidRPr="005E69DC">
                              <w:rPr>
                                <w:color w:val="FFFFFF" w:themeColor="background1"/>
                              </w:rPr>
                              <w:t xml:space="preserve">This document was produced as an added resource </w:t>
                            </w:r>
                            <w:r w:rsidRPr="0021104C">
                              <w:rPr>
                                <w:color w:val="FFFFFF" w:themeColor="background1"/>
                              </w:rPr>
                              <w:t xml:space="preserve">for </w:t>
                            </w:r>
                            <w:r w:rsidR="0021104C" w:rsidRPr="0021104C">
                              <w:rPr>
                                <w:i/>
                                <w:iCs/>
                                <w:color w:val="FFFFFF" w:themeColor="background1"/>
                              </w:rPr>
                              <w:t>Strengthening teaching practice and psychosocial support</w:t>
                            </w:r>
                            <w:r w:rsidRPr="0021104C">
                              <w:rPr>
                                <w:color w:val="FFFFFF" w:themeColor="background1"/>
                              </w:rPr>
                              <w:t>.</w:t>
                            </w:r>
                            <w:r w:rsidRPr="005E69DC">
                              <w:rPr>
                                <w:color w:val="FFFFFF" w:themeColor="background1"/>
                              </w:rPr>
                              <w:t xml:space="preserve"> The publication is available on NCVER’s Portal: &lt;https://www.ncver.edu.au/&gt;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0CAC4DB" id="Rectangle: Rounded Corners 14" o:spid="_x0000_s1031" style="position:absolute;left:0;text-align:left;margin-left:69.85pt;margin-top:263.75pt;width:278.25pt;height:88.55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801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" fillcolor="#2b40f5" stroked="f" strokeweight="2pt">
                <v:textbox>
                  <w:txbxContent>
                    <w:p w14:paraId="129F671E" w14:textId="77777777" w:rsidR="0012601A" w:rsidRPr="005E69DC" w:rsidRDefault="00D71435" w:rsidP="00E429C5">
                      <w:pPr>
                        <w:pStyle w:val="Text"/>
                        <w:rPr>
                          <w:color w:val="FFFFFF" w:themeColor="background1"/>
                        </w:rPr>
                      </w:pPr>
                      <w:r w:rsidRPr="005E69DC">
                        <w:rPr>
                          <w:color w:val="FFFFFF" w:themeColor="background1"/>
                        </w:rPr>
                        <w:t xml:space="preserve">This document was produced as an added resource </w:t>
                      </w:r>
                      <w:r w:rsidRPr="0021104C">
                        <w:rPr>
                          <w:color w:val="FFFFFF" w:themeColor="background1"/>
                        </w:rPr>
                        <w:t xml:space="preserve">for </w:t>
                      </w:r>
                      <w:r w:rsidR="0021104C" w:rsidRPr="0021104C">
                        <w:rPr>
                          <w:i/>
                          <w:iCs/>
                          <w:color w:val="FFFFFF" w:themeColor="background1"/>
                        </w:rPr>
                        <w:t>Strengthening teaching practice and psychosocial support</w:t>
                      </w:r>
                      <w:r w:rsidRPr="0021104C">
                        <w:rPr>
                          <w:color w:val="FFFFFF" w:themeColor="background1"/>
                        </w:rPr>
                        <w:t>.</w:t>
                      </w:r>
                      <w:r w:rsidRPr="005E69DC">
                        <w:rPr>
                          <w:color w:val="FFFFFF" w:themeColor="background1"/>
                        </w:rPr>
                        <w:t xml:space="preserve"> The publication is available on NCVER’s Portal: &lt;https://www.ncver.edu.au/&gt;</w:t>
                      </w:r>
                    </w:p>
                  </w:txbxContent>
                </v:textbox>
                <w10:wrap anchorx="margin"/>
              </v:roundrect>
            </w:pict>
          </mc:Fallback>
        </mc:AlternateContent>
      </w:r>
      <w:r w:rsidR="00661A3B" w:rsidRPr="00901509">
        <w:rPr>
          <w:rStyle w:val="HeaderChar"/>
          <w:noProof/>
        </w:rPr>
        <mc:AlternateContent>
          <mc:Choice Requires="wps">
            <w:drawing>
              <wp:anchor distT="0" distB="0" distL="0" distR="0" simplePos="0" relativeHeight="251658242" behindDoc="1" locked="0" layoutInCell="1" allowOverlap="1" wp14:anchorId="1353EDC0" wp14:editId="2E66BCCA">
                <wp:simplePos x="0" y="0"/>
                <wp:positionH relativeFrom="margin">
                  <wp:posOffset>894080</wp:posOffset>
                </wp:positionH>
                <wp:positionV relativeFrom="paragraph">
                  <wp:posOffset>1938020</wp:posOffset>
                </wp:positionV>
                <wp:extent cx="3971290"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71290" cy="1270"/>
                        </a:xfrm>
                        <a:custGeom>
                          <a:avLst/>
                          <a:gdLst/>
                          <a:ahLst/>
                          <a:cxnLst/>
                          <a:rect l="l" t="t" r="r" b="b"/>
                          <a:pathLst>
                            <a:path w="3971290">
                              <a:moveTo>
                                <a:pt x="0" y="0"/>
                              </a:moveTo>
                              <a:lnTo>
                                <a:pt x="3970807"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arto="http://schemas.microsoft.com/office/word/2006/arto" xmlns:a="http://schemas.openxmlformats.org/drawingml/2006/main" xmlns:pic="http://schemas.openxmlformats.org/drawingml/2006/picture" xmlns:a14="http://schemas.microsoft.com/office/drawing/2010/main">
            <w:pict w14:anchorId="5647A390">
              <v:shape id="Graphic 13" style="position:absolute;margin-left:70.4pt;margin-top:152.6pt;width:312.7pt;height:.1pt;z-index:-251659264;visibility:visible;mso-wrap-style:square;mso-wrap-distance-left:0;mso-wrap-distance-top:0;mso-wrap-distance-right:0;mso-wrap-distance-bottom:0;mso-position-horizontal:absolute;mso-position-horizontal-relative:margin;mso-position-vertical:absolute;mso-position-vertical-relative:text;v-text-anchor:top" coordsize="3971290,1270" o:spid="_x0000_s1026" filled="f" strokeweight=".5pt" path="m,l3970807,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" w14:anchorId="13F6F638">
                <v:path arrowok="t"/>
                <w10:wrap type="topAndBottom" anchorx="margin"/>
              </v:shape>
            </w:pict>
          </mc:Fallback>
        </mc:AlternateContent>
      </w:r>
      <w:r w:rsidR="00FE4A2D" w:rsidRPr="005C2FCF">
        <w:br w:type="page"/>
      </w:r>
      <w:bookmarkStart w:id="2" w:name="_Toc495748330"/>
      <w:bookmarkStart w:id="3" w:name="_Toc495810630"/>
      <w:bookmarkStart w:id="4" w:name="_Toc6031787"/>
      <w:bookmarkStart w:id="5" w:name="_Toc6031844"/>
    </w:p>
    <w:p w14:paraId="5497DC10" w14:textId="77777777" w:rsidR="00177827" w:rsidRDefault="00177827" w:rsidP="00A9334E">
      <w:pPr>
        <w:pStyle w:val="Heading3"/>
        <w:ind w:left="2552" w:right="-1"/>
      </w:pPr>
    </w:p>
    <w:p w14:paraId="60E23CF5" w14:textId="77777777" w:rsidR="008E6C3A" w:rsidRPr="005C2FCF" w:rsidRDefault="008E6C3A" w:rsidP="008E6C3A">
      <w:pPr>
        <w:pStyle w:val="Heading3"/>
        <w:ind w:right="-1"/>
      </w:pPr>
      <w:r w:rsidRPr="005C2FCF">
        <w:t>Publisher’s note</w:t>
      </w:r>
    </w:p>
    <w:p w14:paraId="62497977" w14:textId="77777777" w:rsidR="006A702B" w:rsidRDefault="00000A5A" w:rsidP="00000A5A">
      <w:pPr>
        <w:pStyle w:val="Imprint"/>
      </w:pPr>
      <w:r>
        <w:t>The views and opinions expressed in this document are those of NCVER and do not necessarily reflect the views of the Australian Government and state and territory governments. Any errors and omissions are the responsibility of the author(s).</w:t>
      </w:r>
    </w:p>
    <w:p w14:paraId="37C5AABD" w14:textId="77777777" w:rsidR="006A702B" w:rsidRDefault="006A702B" w:rsidP="008E6C3A">
      <w:pPr>
        <w:pStyle w:val="Imprint"/>
      </w:pPr>
    </w:p>
    <w:p w14:paraId="3533ECB4" w14:textId="77777777" w:rsidR="006A702B" w:rsidRDefault="006A702B" w:rsidP="008E6C3A">
      <w:pPr>
        <w:pStyle w:val="Imprint"/>
      </w:pPr>
    </w:p>
    <w:p w14:paraId="240C7947" w14:textId="77777777" w:rsidR="006A702B" w:rsidRDefault="006A702B" w:rsidP="008E6C3A">
      <w:pPr>
        <w:pStyle w:val="Imprint"/>
      </w:pPr>
    </w:p>
    <w:p w14:paraId="0D956200" w14:textId="77777777" w:rsidR="006A702B" w:rsidRDefault="006A702B" w:rsidP="008E6C3A">
      <w:pPr>
        <w:pStyle w:val="Imprint"/>
      </w:pPr>
    </w:p>
    <w:p w14:paraId="36DD5F3C" w14:textId="77777777" w:rsidR="006A702B" w:rsidRDefault="006A702B" w:rsidP="008E6C3A">
      <w:pPr>
        <w:pStyle w:val="Imprint"/>
      </w:pPr>
    </w:p>
    <w:p w14:paraId="659B5457" w14:textId="77777777" w:rsidR="006A702B" w:rsidRDefault="006A702B" w:rsidP="008E6C3A">
      <w:pPr>
        <w:pStyle w:val="Imprint"/>
      </w:pPr>
    </w:p>
    <w:p w14:paraId="12FF7BC1" w14:textId="77777777" w:rsidR="006A702B" w:rsidRDefault="00371BB0" w:rsidP="00E429C5">
      <w:pPr>
        <w:pStyle w:val="Text"/>
      </w:pPr>
      <w:r>
        <w:rPr>
          <w:noProof/>
          <w:lang w:eastAsia="en-AU"/>
        </w:rPr>
        <mc:AlternateContent>
          <mc:Choice Requires="wps">
            <w:drawing>
              <wp:anchor distT="0" distB="0" distL="114300" distR="114300" simplePos="0" relativeHeight="251658240" behindDoc="0" locked="0" layoutInCell="1" allowOverlap="1" wp14:anchorId="252CEEEC" wp14:editId="52C8B7FF">
                <wp:simplePos x="0" y="0"/>
                <wp:positionH relativeFrom="margin">
                  <wp:align>left</wp:align>
                </wp:positionH>
                <wp:positionV relativeFrom="margin">
                  <wp:posOffset>3969558</wp:posOffset>
                </wp:positionV>
                <wp:extent cx="5682615" cy="5261717"/>
                <wp:effectExtent l="0" t="0" r="0" b="0"/>
                <wp:wrapNone/>
                <wp:docPr id="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2615" cy="52617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7CF512" w14:textId="47B031DF" w:rsidR="00297C1D" w:rsidRPr="00A021FC" w:rsidRDefault="00297C1D" w:rsidP="00297C1D">
                            <w:pPr>
                              <w:pStyle w:val="Imprint"/>
                              <w:rPr>
                                <w:b/>
                              </w:rPr>
                            </w:pPr>
                            <w:r w:rsidRPr="00400885">
                              <w:rPr>
                                <w:b/>
                              </w:rPr>
                              <w:t xml:space="preserve">© </w:t>
                            </w:r>
                            <w:r w:rsidR="000D48E1" w:rsidRPr="00400885">
                              <w:rPr>
                                <w:b/>
                              </w:rPr>
                              <w:t>National Centre for Vocational Education Research,</w:t>
                            </w:r>
                            <w:r w:rsidR="000D48E1" w:rsidRPr="00A021FC">
                              <w:rPr>
                                <w:b/>
                              </w:rPr>
                              <w:t xml:space="preserve"> </w:t>
                            </w:r>
                            <w:r w:rsidR="00400885">
                              <w:rPr>
                                <w:b/>
                              </w:rPr>
                              <w:t>2026</w:t>
                            </w:r>
                          </w:p>
                          <w:p w14:paraId="5CD27506" w14:textId="77777777" w:rsidR="00297C1D" w:rsidRDefault="00297C1D" w:rsidP="00297C1D">
                            <w:pPr>
                              <w:pStyle w:val="Imprint"/>
                              <w:rPr>
                                <w:sz w:val="20"/>
                              </w:rPr>
                            </w:pPr>
                            <w:r w:rsidRPr="00E80270">
                              <w:rPr>
                                <w:noProof/>
                                <w:sz w:val="20"/>
                                <w:lang w:eastAsia="en-AU"/>
                              </w:rPr>
                              <w:drawing>
                                <wp:inline distT="0" distB="0" distL="0" distR="0" wp14:anchorId="38E76F98" wp14:editId="21B0DD48">
                                  <wp:extent cx="850265" cy="302895"/>
                                  <wp:effectExtent l="19050" t="0" r="6985" b="0"/>
                                  <wp:docPr id="459393398"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5"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10E05DF2" w14:textId="77777777" w:rsidR="00297C1D" w:rsidRDefault="00297C1D" w:rsidP="00297C1D">
                            <w:pPr>
                              <w:pStyle w:val="Imprint"/>
                            </w:pPr>
                            <w:proofErr w:type="gramStart"/>
                            <w:r w:rsidRPr="001D321A">
                              <w:t>With the exception of</w:t>
                            </w:r>
                            <w:proofErr w:type="gramEnd"/>
                            <w:r w:rsidRPr="001D321A">
                              <w:t xml:space="preserve"> the Commonwealth Coat of Arms, the Department’s logo, any material protected by a </w:t>
                            </w:r>
                            <w:proofErr w:type="gramStart"/>
                            <w:r w:rsidRPr="001D321A">
                              <w:t>trade mark</w:t>
                            </w:r>
                            <w:proofErr w:type="gramEnd"/>
                            <w:r w:rsidRPr="001D321A">
                              <w:t xml:space="preserve"> and where otherwise noted all material presented in this document is provided under a Creative Commons Attribution 3.0 Australia &lt;http://creativecommons.org/licenses/by/3.0/au&gt; licence. </w:t>
                            </w:r>
                          </w:p>
                          <w:p w14:paraId="0A80BC92" w14:textId="77777777" w:rsidR="00297C1D" w:rsidRPr="001D321A" w:rsidRDefault="00297C1D" w:rsidP="00297C1D">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07CEF499" w14:textId="77777777" w:rsidR="00297C1D" w:rsidRDefault="00297C1D" w:rsidP="00297C1D">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298A56F8" w14:textId="77777777" w:rsidR="00371BB0" w:rsidRPr="0021104C" w:rsidRDefault="00371BB0" w:rsidP="00297C1D">
                            <w:pPr>
                              <w:pStyle w:val="Imprint"/>
                              <w:rPr>
                                <w:highlight w:val="yellow"/>
                              </w:rPr>
                            </w:pPr>
                            <w:r w:rsidRPr="00371BB0">
                              <w:t xml:space="preserve">This document should be attributed </w:t>
                            </w:r>
                            <w:r w:rsidRPr="0021104C">
                              <w:t xml:space="preserve">as </w:t>
                            </w:r>
                            <w:r w:rsidR="0021104C" w:rsidRPr="0021104C">
                              <w:t xml:space="preserve">Griffin T, </w:t>
                            </w:r>
                            <w:proofErr w:type="spellStart"/>
                            <w:r w:rsidR="0021104C" w:rsidRPr="0021104C">
                              <w:t>Wibrow</w:t>
                            </w:r>
                            <w:proofErr w:type="spellEnd"/>
                            <w:r w:rsidR="0021104C" w:rsidRPr="0021104C">
                              <w:t xml:space="preserve"> W, Waugh J, </w:t>
                            </w:r>
                            <w:proofErr w:type="spellStart"/>
                            <w:r w:rsidR="0021104C" w:rsidRPr="0021104C">
                              <w:t>Andrahannadi</w:t>
                            </w:r>
                            <w:proofErr w:type="spellEnd"/>
                            <w:r w:rsidR="0021104C" w:rsidRPr="0021104C">
                              <w:t xml:space="preserve"> U &amp; </w:t>
                            </w:r>
                            <w:proofErr w:type="spellStart"/>
                            <w:r w:rsidR="0021104C" w:rsidRPr="0021104C">
                              <w:t>Ackehurst</w:t>
                            </w:r>
                            <w:proofErr w:type="spellEnd"/>
                            <w:r w:rsidR="0021104C" w:rsidRPr="0021104C">
                              <w:t xml:space="preserve"> M, 2026, </w:t>
                            </w:r>
                            <w:r w:rsidR="0021104C" w:rsidRPr="0021104C">
                              <w:rPr>
                                <w:i/>
                              </w:rPr>
                              <w:t xml:space="preserve">Strengthening teaching practice and psychosocial support </w:t>
                            </w:r>
                            <w:r w:rsidR="0021104C" w:rsidRPr="0021104C">
                              <w:rPr>
                                <w:i/>
                                <w:iCs/>
                              </w:rPr>
                              <w:t>—</w:t>
                            </w:r>
                            <w:r w:rsidR="0021104C" w:rsidRPr="0021104C">
                              <w:rPr>
                                <w:i/>
                              </w:rPr>
                              <w:t xml:space="preserve"> support document,</w:t>
                            </w:r>
                            <w:r w:rsidR="0021104C" w:rsidRPr="0021104C">
                              <w:t xml:space="preserve"> NCVER, Adelaide</w:t>
                            </w:r>
                            <w:r w:rsidRPr="0021104C">
                              <w:t>.</w:t>
                            </w:r>
                            <w:r w:rsidRPr="00371BB0">
                              <w:t xml:space="preserve"> </w:t>
                            </w:r>
                          </w:p>
                          <w:p w14:paraId="3B372336" w14:textId="77777777" w:rsidR="00297C1D" w:rsidRPr="001D321A" w:rsidRDefault="00297C1D" w:rsidP="00297C1D">
                            <w:pPr>
                              <w:pStyle w:val="Imprint"/>
                            </w:pPr>
                            <w:r w:rsidRPr="001D321A">
                              <w:t xml:space="preserve">This work has been produced by NCVER on behalf of the Australian Government and state and territory governments, with funding provided through the </w:t>
                            </w:r>
                            <w:r w:rsidR="00722F98">
                              <w:t xml:space="preserve">Australian </w:t>
                            </w:r>
                            <w:r w:rsidR="003D5CFD">
                              <w:t xml:space="preserve">Government </w:t>
                            </w:r>
                            <w:r w:rsidRPr="001D321A">
                              <w:t xml:space="preserve">Department of </w:t>
                            </w:r>
                            <w:r w:rsidR="00B2410F">
                              <w:t>Employment</w:t>
                            </w:r>
                            <w:r w:rsidR="007F17C5">
                              <w:t xml:space="preserve"> and Workplace Relations</w:t>
                            </w:r>
                            <w:r w:rsidRPr="001D321A">
                              <w:t xml:space="preserve">. </w:t>
                            </w:r>
                          </w:p>
                          <w:p w14:paraId="4D4EB485" w14:textId="77777777" w:rsidR="00D42A61" w:rsidRPr="00D42A61" w:rsidRDefault="00D42A61" w:rsidP="00D42A61">
                            <w:pPr>
                              <w:pStyle w:val="Imprint"/>
                              <w:rPr>
                                <w:color w:val="000000"/>
                              </w:rPr>
                            </w:pPr>
                            <w:r w:rsidRPr="00D42A61">
                              <w:rPr>
                                <w:color w:val="000000"/>
                              </w:rPr>
                              <w:t>Published by NCVER, ABN 87 007 967 311</w:t>
                            </w:r>
                          </w:p>
                          <w:p w14:paraId="5F702D5A" w14:textId="77777777" w:rsidR="00D42A61" w:rsidRPr="00D42A61" w:rsidRDefault="00D42A61" w:rsidP="00D42A61">
                            <w:pPr>
                              <w:pStyle w:val="Imprint"/>
                              <w:rPr>
                                <w:color w:val="000000"/>
                              </w:rPr>
                            </w:pPr>
                            <w:r w:rsidRPr="00D42A61">
                              <w:rPr>
                                <w:color w:val="000000"/>
                              </w:rPr>
                              <w:t xml:space="preserve">Level </w:t>
                            </w:r>
                            <w:r w:rsidR="00F56B11">
                              <w:rPr>
                                <w:color w:val="000000"/>
                              </w:rPr>
                              <w:t>4</w:t>
                            </w:r>
                            <w:r w:rsidR="00CA7119">
                              <w:rPr>
                                <w:color w:val="000000"/>
                              </w:rPr>
                              <w:t xml:space="preserve">, </w:t>
                            </w:r>
                            <w:r w:rsidR="00F56B11">
                              <w:rPr>
                                <w:color w:val="000000"/>
                              </w:rPr>
                              <w:t>191 Pulteney Street</w:t>
                            </w:r>
                            <w:r w:rsidRPr="00D42A61">
                              <w:rPr>
                                <w:color w:val="000000"/>
                              </w:rPr>
                              <w:t>, Adelaide, SA 5000</w:t>
                            </w:r>
                            <w:r w:rsidRPr="00D42A61">
                              <w:rPr>
                                <w:color w:val="000000"/>
                              </w:rPr>
                              <w:br/>
                              <w:t>PO Box 8288 Station Arcade, Adelaide SA 5000, Australia</w:t>
                            </w:r>
                          </w:p>
                          <w:p w14:paraId="6D88CA22" w14:textId="77777777" w:rsidR="00297C1D" w:rsidRDefault="00D42A61" w:rsidP="00D42A61">
                            <w:pPr>
                              <w:pStyle w:val="Imprint"/>
                              <w:rPr>
                                <w:color w:val="000000"/>
                              </w:rPr>
                            </w:pPr>
                            <w:r w:rsidRPr="00D42A61">
                              <w:rPr>
                                <w:b/>
                                <w:color w:val="000000"/>
                              </w:rPr>
                              <w:t>Phone</w:t>
                            </w:r>
                            <w:r w:rsidRPr="00D42A61">
                              <w:rPr>
                                <w:color w:val="000000"/>
                              </w:rPr>
                              <w:t xml:space="preserve"> +61 8 8230 8400     </w:t>
                            </w:r>
                            <w:r w:rsidRPr="00D42A61">
                              <w:rPr>
                                <w:b/>
                                <w:color w:val="000000"/>
                              </w:rPr>
                              <w:t>Email</w:t>
                            </w:r>
                            <w:r w:rsidRPr="00D42A61">
                              <w:rPr>
                                <w:color w:val="000000"/>
                              </w:rPr>
                              <w:t xml:space="preserve"> </w:t>
                            </w:r>
                            <w:hyperlink r:id="rId16" w:history="1">
                              <w:r w:rsidRPr="003F1876">
                                <w:rPr>
                                  <w:color w:val="000000"/>
                                </w:rPr>
                                <w:t>ncver@ncver.edu.au</w:t>
                              </w:r>
                            </w:hyperlink>
                            <w:r w:rsidRPr="00D42A61">
                              <w:rPr>
                                <w:color w:val="000000"/>
                              </w:rPr>
                              <w:t xml:space="preserve">     </w:t>
                            </w:r>
                          </w:p>
                          <w:p w14:paraId="33BF5E88" w14:textId="77777777" w:rsidR="00D42A61" w:rsidRPr="00D42A61" w:rsidRDefault="00D42A61" w:rsidP="00D42A61">
                            <w:pPr>
                              <w:pStyle w:val="Imprint"/>
                              <w:rPr>
                                <w:color w:val="000000"/>
                              </w:rPr>
                            </w:pPr>
                            <w:r w:rsidRPr="00D42A61">
                              <w:rPr>
                                <w:b/>
                                <w:color w:val="000000"/>
                              </w:rPr>
                              <w:t>Web</w:t>
                            </w:r>
                            <w:r w:rsidRPr="00D42A61">
                              <w:rPr>
                                <w:color w:val="000000"/>
                              </w:rPr>
                              <w:t xml:space="preserve"> &lt;http</w:t>
                            </w:r>
                            <w:r w:rsidR="00297C1D">
                              <w:rPr>
                                <w:color w:val="000000"/>
                              </w:rPr>
                              <w:t>s</w:t>
                            </w:r>
                            <w:r w:rsidRPr="00D42A61">
                              <w:rPr>
                                <w:color w:val="000000"/>
                              </w:rPr>
                              <w:t>://www.ncver.edu.au&gt;</w:t>
                            </w:r>
                          </w:p>
                          <w:p w14:paraId="4F9A5BB3" w14:textId="77777777" w:rsidR="001B1A4E" w:rsidRPr="001B1A4E" w:rsidRDefault="00D42A61" w:rsidP="001B1A4E">
                            <w:pPr>
                              <w:pStyle w:val="Imprint"/>
                              <w:tabs>
                                <w:tab w:val="left" w:pos="851"/>
                              </w:tabs>
                              <w:spacing w:after="40"/>
                              <w:rPr>
                                <w:color w:val="000000"/>
                              </w:rPr>
                            </w:pPr>
                            <w:r w:rsidRPr="00D42A61">
                              <w:rPr>
                                <w:b/>
                                <w:color w:val="000000"/>
                              </w:rPr>
                              <w:t>Follow us:</w:t>
                            </w:r>
                            <w:r w:rsidRPr="00D42A61">
                              <w:rPr>
                                <w:color w:val="000000"/>
                              </w:rPr>
                              <w:t xml:space="preserve"> </w:t>
                            </w:r>
                            <w:r w:rsidRPr="00D42A61">
                              <w:rPr>
                                <w:color w:val="000000"/>
                              </w:rPr>
                              <w:tab/>
                            </w:r>
                            <w:r w:rsidR="001B1A4E">
                              <w:tab/>
                            </w:r>
                          </w:p>
                          <w:p w14:paraId="6FBCC920" w14:textId="77777777" w:rsidR="00D42A61" w:rsidRPr="00371BB0" w:rsidRDefault="001B1A4E" w:rsidP="00371BB0">
                            <w:pPr>
                              <w:autoSpaceDE w:val="0"/>
                              <w:autoSpaceDN w:val="0"/>
                              <w:adjustRightInd w:val="0"/>
                              <w:spacing w:before="0" w:after="40" w:line="288" w:lineRule="auto"/>
                              <w:textAlignment w:val="center"/>
                              <w:rPr>
                                <w:rFonts w:cs="MinionPro-Regular"/>
                                <w:color w:val="000000"/>
                                <w:sz w:val="16"/>
                                <w:szCs w:val="16"/>
                                <w:lang w:val="en-US"/>
                              </w:rPr>
                            </w:pPr>
                            <w:r w:rsidRPr="002A40DF">
                              <w:rPr>
                                <w:rFonts w:cs="MinionPro-Regular"/>
                                <w:noProof/>
                                <w:color w:val="000000"/>
                                <w:sz w:val="16"/>
                                <w:szCs w:val="16"/>
                                <w:lang w:val="en-US"/>
                              </w:rPr>
                              <w:drawing>
                                <wp:inline distT="0" distB="0" distL="0" distR="0" wp14:anchorId="0958BC11" wp14:editId="3DFFE26E">
                                  <wp:extent cx="123825" cy="123825"/>
                                  <wp:effectExtent l="0" t="0" r="9525" b="9525"/>
                                  <wp:docPr id="1451475604" name="Picture 1451475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2A40DF">
                              <w:rPr>
                                <w:rFonts w:cs="MinionPro-Regular"/>
                                <w:color w:val="000000"/>
                                <w:sz w:val="16"/>
                                <w:szCs w:val="16"/>
                                <w:lang w:val="en-US"/>
                              </w:rPr>
                              <w:t xml:space="preserve">  &lt;</w:t>
                            </w:r>
                            <w:hyperlink r:id="rId18" w:history="1">
                              <w:r w:rsidRPr="002A40DF">
                                <w:rPr>
                                  <w:rFonts w:cs="MinionPro-Regular"/>
                                  <w:sz w:val="16"/>
                                  <w:szCs w:val="16"/>
                                  <w:lang w:val="en-US"/>
                                </w:rPr>
                                <w:t>https://www.linkedin.com/company/ncver</w:t>
                              </w:r>
                            </w:hyperlink>
                            <w:r w:rsidRPr="002A40DF">
                              <w:rPr>
                                <w:rFonts w:cs="MinionPro-Regular"/>
                                <w:color w:val="000000"/>
                                <w:sz w:val="16"/>
                                <w:szCs w:val="16"/>
                                <w:lang w:val="en-US"/>
                              </w:rPr>
                              <w:t>&gt;</w:t>
                            </w:r>
                          </w:p>
                          <w:p w14:paraId="387CCE6E" w14:textId="77777777" w:rsidR="00CD0BFB" w:rsidRPr="006A702B" w:rsidRDefault="00CD0BFB" w:rsidP="00233C8D"/>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252CEEEC" id="Text Box 22" o:spid="_x0000_s1032" type="#_x0000_t202" style="position:absolute;margin-left:0;margin-top:312.55pt;width:447.45pt;height:414.3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" filled="f" stroked="f">
                <v:textbox>
                  <w:txbxContent>
                    <w:p w14:paraId="287CF512" w14:textId="47B031DF" w:rsidR="00297C1D" w:rsidRPr="00A021FC" w:rsidRDefault="00297C1D" w:rsidP="00297C1D">
                      <w:pPr>
                        <w:pStyle w:val="Imprint"/>
                        <w:rPr>
                          <w:b/>
                        </w:rPr>
                      </w:pPr>
                      <w:r w:rsidRPr="00400885">
                        <w:rPr>
                          <w:b/>
                        </w:rPr>
                        <w:t xml:space="preserve">© </w:t>
                      </w:r>
                      <w:r w:rsidR="000D48E1" w:rsidRPr="00400885">
                        <w:rPr>
                          <w:b/>
                        </w:rPr>
                        <w:t>National Centre for Vocational Education Research,</w:t>
                      </w:r>
                      <w:r w:rsidR="000D48E1" w:rsidRPr="00A021FC">
                        <w:rPr>
                          <w:b/>
                        </w:rPr>
                        <w:t xml:space="preserve"> </w:t>
                      </w:r>
                      <w:r w:rsidR="00400885">
                        <w:rPr>
                          <w:b/>
                        </w:rPr>
                        <w:t>2026</w:t>
                      </w:r>
                    </w:p>
                    <w:p w14:paraId="5CD27506" w14:textId="77777777" w:rsidR="00297C1D" w:rsidRDefault="00297C1D" w:rsidP="00297C1D">
                      <w:pPr>
                        <w:pStyle w:val="Imprint"/>
                        <w:rPr>
                          <w:sz w:val="20"/>
                        </w:rPr>
                      </w:pPr>
                      <w:r w:rsidRPr="00E80270">
                        <w:rPr>
                          <w:noProof/>
                          <w:sz w:val="20"/>
                          <w:lang w:eastAsia="en-AU"/>
                        </w:rPr>
                        <w:drawing>
                          <wp:inline distT="0" distB="0" distL="0" distR="0" wp14:anchorId="38E76F98" wp14:editId="21B0DD48">
                            <wp:extent cx="850265" cy="302895"/>
                            <wp:effectExtent l="19050" t="0" r="6985" b="0"/>
                            <wp:docPr id="459393398"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5"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10E05DF2" w14:textId="77777777" w:rsidR="00297C1D" w:rsidRDefault="00297C1D" w:rsidP="00297C1D">
                      <w:pPr>
                        <w:pStyle w:val="Imprint"/>
                      </w:pPr>
                      <w:proofErr w:type="gramStart"/>
                      <w:r w:rsidRPr="001D321A">
                        <w:t>With the exception of</w:t>
                      </w:r>
                      <w:proofErr w:type="gramEnd"/>
                      <w:r w:rsidRPr="001D321A">
                        <w:t xml:space="preserve"> the Commonwealth Coat of Arms, the Department’s logo, any material protected by a </w:t>
                      </w:r>
                      <w:proofErr w:type="gramStart"/>
                      <w:r w:rsidRPr="001D321A">
                        <w:t>trade mark</w:t>
                      </w:r>
                      <w:proofErr w:type="gramEnd"/>
                      <w:r w:rsidRPr="001D321A">
                        <w:t xml:space="preserve"> and where otherwise noted all material presented in this document is provided under a Creative Commons Attribution 3.0 Australia &lt;http://creativecommons.org/licenses/by/3.0/au&gt; licence. </w:t>
                      </w:r>
                    </w:p>
                    <w:p w14:paraId="0A80BC92" w14:textId="77777777" w:rsidR="00297C1D" w:rsidRPr="001D321A" w:rsidRDefault="00297C1D" w:rsidP="00297C1D">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07CEF499" w14:textId="77777777" w:rsidR="00297C1D" w:rsidRDefault="00297C1D" w:rsidP="00297C1D">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298A56F8" w14:textId="77777777" w:rsidR="00371BB0" w:rsidRPr="0021104C" w:rsidRDefault="00371BB0" w:rsidP="00297C1D">
                      <w:pPr>
                        <w:pStyle w:val="Imprint"/>
                        <w:rPr>
                          <w:highlight w:val="yellow"/>
                        </w:rPr>
                      </w:pPr>
                      <w:r w:rsidRPr="00371BB0">
                        <w:t xml:space="preserve">This document should be attributed </w:t>
                      </w:r>
                      <w:r w:rsidRPr="0021104C">
                        <w:t xml:space="preserve">as </w:t>
                      </w:r>
                      <w:r w:rsidR="0021104C" w:rsidRPr="0021104C">
                        <w:t xml:space="preserve">Griffin T, </w:t>
                      </w:r>
                      <w:proofErr w:type="spellStart"/>
                      <w:r w:rsidR="0021104C" w:rsidRPr="0021104C">
                        <w:t>Wibrow</w:t>
                      </w:r>
                      <w:proofErr w:type="spellEnd"/>
                      <w:r w:rsidR="0021104C" w:rsidRPr="0021104C">
                        <w:t xml:space="preserve"> W, Waugh J, </w:t>
                      </w:r>
                      <w:proofErr w:type="spellStart"/>
                      <w:r w:rsidR="0021104C" w:rsidRPr="0021104C">
                        <w:t>Andrahannadi</w:t>
                      </w:r>
                      <w:proofErr w:type="spellEnd"/>
                      <w:r w:rsidR="0021104C" w:rsidRPr="0021104C">
                        <w:t xml:space="preserve"> U &amp; </w:t>
                      </w:r>
                      <w:proofErr w:type="spellStart"/>
                      <w:r w:rsidR="0021104C" w:rsidRPr="0021104C">
                        <w:t>Ackehurst</w:t>
                      </w:r>
                      <w:proofErr w:type="spellEnd"/>
                      <w:r w:rsidR="0021104C" w:rsidRPr="0021104C">
                        <w:t xml:space="preserve"> M, 2026, </w:t>
                      </w:r>
                      <w:r w:rsidR="0021104C" w:rsidRPr="0021104C">
                        <w:rPr>
                          <w:i/>
                        </w:rPr>
                        <w:t xml:space="preserve">Strengthening teaching practice and psychosocial support </w:t>
                      </w:r>
                      <w:r w:rsidR="0021104C" w:rsidRPr="0021104C">
                        <w:rPr>
                          <w:i/>
                          <w:iCs/>
                        </w:rPr>
                        <w:t>—</w:t>
                      </w:r>
                      <w:r w:rsidR="0021104C" w:rsidRPr="0021104C">
                        <w:rPr>
                          <w:i/>
                        </w:rPr>
                        <w:t xml:space="preserve"> support document,</w:t>
                      </w:r>
                      <w:r w:rsidR="0021104C" w:rsidRPr="0021104C">
                        <w:t xml:space="preserve"> NCVER, Adelaide</w:t>
                      </w:r>
                      <w:r w:rsidRPr="0021104C">
                        <w:t>.</w:t>
                      </w:r>
                      <w:r w:rsidRPr="00371BB0">
                        <w:t xml:space="preserve"> </w:t>
                      </w:r>
                    </w:p>
                    <w:p w14:paraId="3B372336" w14:textId="77777777" w:rsidR="00297C1D" w:rsidRPr="001D321A" w:rsidRDefault="00297C1D" w:rsidP="00297C1D">
                      <w:pPr>
                        <w:pStyle w:val="Imprint"/>
                      </w:pPr>
                      <w:r w:rsidRPr="001D321A">
                        <w:t xml:space="preserve">This work has been produced by NCVER on behalf of the Australian Government and state and territory governments, with funding provided through the </w:t>
                      </w:r>
                      <w:r w:rsidR="00722F98">
                        <w:t xml:space="preserve">Australian </w:t>
                      </w:r>
                      <w:r w:rsidR="003D5CFD">
                        <w:t xml:space="preserve">Government </w:t>
                      </w:r>
                      <w:r w:rsidRPr="001D321A">
                        <w:t xml:space="preserve">Department of </w:t>
                      </w:r>
                      <w:r w:rsidR="00B2410F">
                        <w:t>Employment</w:t>
                      </w:r>
                      <w:r w:rsidR="007F17C5">
                        <w:t xml:space="preserve"> and Workplace Relations</w:t>
                      </w:r>
                      <w:r w:rsidRPr="001D321A">
                        <w:t xml:space="preserve">. </w:t>
                      </w:r>
                    </w:p>
                    <w:p w14:paraId="4D4EB485" w14:textId="77777777" w:rsidR="00D42A61" w:rsidRPr="00D42A61" w:rsidRDefault="00D42A61" w:rsidP="00D42A61">
                      <w:pPr>
                        <w:pStyle w:val="Imprint"/>
                        <w:rPr>
                          <w:color w:val="000000"/>
                        </w:rPr>
                      </w:pPr>
                      <w:r w:rsidRPr="00D42A61">
                        <w:rPr>
                          <w:color w:val="000000"/>
                        </w:rPr>
                        <w:t>Published by NCVER, ABN 87 007 967 311</w:t>
                      </w:r>
                    </w:p>
                    <w:p w14:paraId="5F702D5A" w14:textId="77777777" w:rsidR="00D42A61" w:rsidRPr="00D42A61" w:rsidRDefault="00D42A61" w:rsidP="00D42A61">
                      <w:pPr>
                        <w:pStyle w:val="Imprint"/>
                        <w:rPr>
                          <w:color w:val="000000"/>
                        </w:rPr>
                      </w:pPr>
                      <w:r w:rsidRPr="00D42A61">
                        <w:rPr>
                          <w:color w:val="000000"/>
                        </w:rPr>
                        <w:t xml:space="preserve">Level </w:t>
                      </w:r>
                      <w:r w:rsidR="00F56B11">
                        <w:rPr>
                          <w:color w:val="000000"/>
                        </w:rPr>
                        <w:t>4</w:t>
                      </w:r>
                      <w:r w:rsidR="00CA7119">
                        <w:rPr>
                          <w:color w:val="000000"/>
                        </w:rPr>
                        <w:t xml:space="preserve">, </w:t>
                      </w:r>
                      <w:r w:rsidR="00F56B11">
                        <w:rPr>
                          <w:color w:val="000000"/>
                        </w:rPr>
                        <w:t>191 Pulteney Street</w:t>
                      </w:r>
                      <w:r w:rsidRPr="00D42A61">
                        <w:rPr>
                          <w:color w:val="000000"/>
                        </w:rPr>
                        <w:t>, Adelaide, SA 5000</w:t>
                      </w:r>
                      <w:r w:rsidRPr="00D42A61">
                        <w:rPr>
                          <w:color w:val="000000"/>
                        </w:rPr>
                        <w:br/>
                        <w:t>PO Box 8288 Station Arcade, Adelaide SA 5000, Australia</w:t>
                      </w:r>
                    </w:p>
                    <w:p w14:paraId="6D88CA22" w14:textId="77777777" w:rsidR="00297C1D" w:rsidRDefault="00D42A61" w:rsidP="00D42A61">
                      <w:pPr>
                        <w:pStyle w:val="Imprint"/>
                        <w:rPr>
                          <w:color w:val="000000"/>
                        </w:rPr>
                      </w:pPr>
                      <w:r w:rsidRPr="00D42A61">
                        <w:rPr>
                          <w:b/>
                          <w:color w:val="000000"/>
                        </w:rPr>
                        <w:t>Phone</w:t>
                      </w:r>
                      <w:r w:rsidRPr="00D42A61">
                        <w:rPr>
                          <w:color w:val="000000"/>
                        </w:rPr>
                        <w:t xml:space="preserve"> +61 8 8230 8400     </w:t>
                      </w:r>
                      <w:r w:rsidRPr="00D42A61">
                        <w:rPr>
                          <w:b/>
                          <w:color w:val="000000"/>
                        </w:rPr>
                        <w:t>Email</w:t>
                      </w:r>
                      <w:r w:rsidRPr="00D42A61">
                        <w:rPr>
                          <w:color w:val="000000"/>
                        </w:rPr>
                        <w:t xml:space="preserve"> </w:t>
                      </w:r>
                      <w:hyperlink r:id="rId19" w:history="1">
                        <w:r w:rsidRPr="003F1876">
                          <w:rPr>
                            <w:color w:val="000000"/>
                          </w:rPr>
                          <w:t>ncver@ncver.edu.au</w:t>
                        </w:r>
                      </w:hyperlink>
                      <w:r w:rsidRPr="00D42A61">
                        <w:rPr>
                          <w:color w:val="000000"/>
                        </w:rPr>
                        <w:t xml:space="preserve">     </w:t>
                      </w:r>
                    </w:p>
                    <w:p w14:paraId="33BF5E88" w14:textId="77777777" w:rsidR="00D42A61" w:rsidRPr="00D42A61" w:rsidRDefault="00D42A61" w:rsidP="00D42A61">
                      <w:pPr>
                        <w:pStyle w:val="Imprint"/>
                        <w:rPr>
                          <w:color w:val="000000"/>
                        </w:rPr>
                      </w:pPr>
                      <w:r w:rsidRPr="00D42A61">
                        <w:rPr>
                          <w:b/>
                          <w:color w:val="000000"/>
                        </w:rPr>
                        <w:t>Web</w:t>
                      </w:r>
                      <w:r w:rsidRPr="00D42A61">
                        <w:rPr>
                          <w:color w:val="000000"/>
                        </w:rPr>
                        <w:t xml:space="preserve"> &lt;http</w:t>
                      </w:r>
                      <w:r w:rsidR="00297C1D">
                        <w:rPr>
                          <w:color w:val="000000"/>
                        </w:rPr>
                        <w:t>s</w:t>
                      </w:r>
                      <w:r w:rsidRPr="00D42A61">
                        <w:rPr>
                          <w:color w:val="000000"/>
                        </w:rPr>
                        <w:t>://www.ncver.edu.au&gt;</w:t>
                      </w:r>
                    </w:p>
                    <w:p w14:paraId="4F9A5BB3" w14:textId="77777777" w:rsidR="001B1A4E" w:rsidRPr="001B1A4E" w:rsidRDefault="00D42A61" w:rsidP="001B1A4E">
                      <w:pPr>
                        <w:pStyle w:val="Imprint"/>
                        <w:tabs>
                          <w:tab w:val="left" w:pos="851"/>
                        </w:tabs>
                        <w:spacing w:after="40"/>
                        <w:rPr>
                          <w:color w:val="000000"/>
                        </w:rPr>
                      </w:pPr>
                      <w:r w:rsidRPr="00D42A61">
                        <w:rPr>
                          <w:b/>
                          <w:color w:val="000000"/>
                        </w:rPr>
                        <w:t>Follow us:</w:t>
                      </w:r>
                      <w:r w:rsidRPr="00D42A61">
                        <w:rPr>
                          <w:color w:val="000000"/>
                        </w:rPr>
                        <w:t xml:space="preserve"> </w:t>
                      </w:r>
                      <w:r w:rsidRPr="00D42A61">
                        <w:rPr>
                          <w:color w:val="000000"/>
                        </w:rPr>
                        <w:tab/>
                      </w:r>
                      <w:r w:rsidR="001B1A4E">
                        <w:tab/>
                      </w:r>
                    </w:p>
                    <w:p w14:paraId="6FBCC920" w14:textId="77777777" w:rsidR="00D42A61" w:rsidRPr="00371BB0" w:rsidRDefault="001B1A4E" w:rsidP="00371BB0">
                      <w:pPr>
                        <w:autoSpaceDE w:val="0"/>
                        <w:autoSpaceDN w:val="0"/>
                        <w:adjustRightInd w:val="0"/>
                        <w:spacing w:before="0" w:after="40" w:line="288" w:lineRule="auto"/>
                        <w:textAlignment w:val="center"/>
                        <w:rPr>
                          <w:rFonts w:cs="MinionPro-Regular"/>
                          <w:color w:val="000000"/>
                          <w:sz w:val="16"/>
                          <w:szCs w:val="16"/>
                          <w:lang w:val="en-US"/>
                        </w:rPr>
                      </w:pPr>
                      <w:r w:rsidRPr="002A40DF">
                        <w:rPr>
                          <w:rFonts w:cs="MinionPro-Regular"/>
                          <w:noProof/>
                          <w:color w:val="000000"/>
                          <w:sz w:val="16"/>
                          <w:szCs w:val="16"/>
                          <w:lang w:val="en-US"/>
                        </w:rPr>
                        <w:drawing>
                          <wp:inline distT="0" distB="0" distL="0" distR="0" wp14:anchorId="0958BC11" wp14:editId="3DFFE26E">
                            <wp:extent cx="123825" cy="123825"/>
                            <wp:effectExtent l="0" t="0" r="9525" b="9525"/>
                            <wp:docPr id="1451475604" name="Picture 1451475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2A40DF">
                        <w:rPr>
                          <w:rFonts w:cs="MinionPro-Regular"/>
                          <w:color w:val="000000"/>
                          <w:sz w:val="16"/>
                          <w:szCs w:val="16"/>
                          <w:lang w:val="en-US"/>
                        </w:rPr>
                        <w:t xml:space="preserve">  &lt;</w:t>
                      </w:r>
                      <w:hyperlink r:id="rId20" w:history="1">
                        <w:r w:rsidRPr="002A40DF">
                          <w:rPr>
                            <w:rFonts w:cs="MinionPro-Regular"/>
                            <w:sz w:val="16"/>
                            <w:szCs w:val="16"/>
                            <w:lang w:val="en-US"/>
                          </w:rPr>
                          <w:t>https://www.linkedin.com/company/ncver</w:t>
                        </w:r>
                      </w:hyperlink>
                      <w:r w:rsidRPr="002A40DF">
                        <w:rPr>
                          <w:rFonts w:cs="MinionPro-Regular"/>
                          <w:color w:val="000000"/>
                          <w:sz w:val="16"/>
                          <w:szCs w:val="16"/>
                          <w:lang w:val="en-US"/>
                        </w:rPr>
                        <w:t>&gt;</w:t>
                      </w:r>
                    </w:p>
                    <w:p w14:paraId="387CCE6E" w14:textId="77777777" w:rsidR="00CD0BFB" w:rsidRPr="006A702B" w:rsidRDefault="00CD0BFB" w:rsidP="00233C8D"/>
                  </w:txbxContent>
                </v:textbox>
                <w10:wrap anchorx="margin" anchory="margin"/>
              </v:shape>
            </w:pict>
          </mc:Fallback>
        </mc:AlternateContent>
      </w:r>
    </w:p>
    <w:p w14:paraId="6E3B4F09" w14:textId="77777777" w:rsidR="006A702B" w:rsidRDefault="006A702B" w:rsidP="00E429C5">
      <w:pPr>
        <w:pStyle w:val="Text"/>
      </w:pPr>
    </w:p>
    <w:p w14:paraId="745407C0" w14:textId="77777777" w:rsidR="006A702B" w:rsidRDefault="006A702B" w:rsidP="00E429C5">
      <w:pPr>
        <w:pStyle w:val="Text"/>
      </w:pPr>
    </w:p>
    <w:p w14:paraId="56BA37C6" w14:textId="77777777" w:rsidR="006A702B" w:rsidRDefault="006A702B" w:rsidP="00E429C5">
      <w:pPr>
        <w:pStyle w:val="Text"/>
      </w:pPr>
    </w:p>
    <w:p w14:paraId="40FA9DD7" w14:textId="77777777" w:rsidR="006A702B" w:rsidRDefault="006A702B" w:rsidP="00E429C5">
      <w:pPr>
        <w:pStyle w:val="Text"/>
      </w:pPr>
    </w:p>
    <w:p w14:paraId="6986250F" w14:textId="77777777" w:rsidR="006A702B" w:rsidRDefault="006A702B" w:rsidP="00E429C5">
      <w:pPr>
        <w:pStyle w:val="Text"/>
      </w:pPr>
    </w:p>
    <w:p w14:paraId="5A489620" w14:textId="77777777" w:rsidR="00177827" w:rsidRDefault="00177827" w:rsidP="00874DA5">
      <w:pPr>
        <w:pStyle w:val="Contents"/>
      </w:pPr>
    </w:p>
    <w:p w14:paraId="2DB4361F" w14:textId="77777777" w:rsidR="00D42A61" w:rsidRDefault="00D42A61" w:rsidP="00874DA5">
      <w:pPr>
        <w:pStyle w:val="Contents"/>
      </w:pPr>
    </w:p>
    <w:p w14:paraId="758D1DB2" w14:textId="77777777" w:rsidR="00D42A61" w:rsidRDefault="00D42A61" w:rsidP="00874DA5">
      <w:pPr>
        <w:pStyle w:val="Contents"/>
        <w:sectPr w:rsidR="00D42A61" w:rsidSect="002D35A6">
          <w:headerReference w:type="default" r:id="rId21"/>
          <w:pgSz w:w="11907" w:h="16840" w:code="9"/>
          <w:pgMar w:top="1276" w:right="1418" w:bottom="992" w:left="1418" w:header="567" w:footer="556" w:gutter="0"/>
          <w:cols w:space="708" w:equalWidth="0">
            <w:col w:w="9071"/>
          </w:cols>
          <w:docGrid w:linePitch="360"/>
        </w:sectPr>
      </w:pPr>
    </w:p>
    <w:p w14:paraId="41B93F15" w14:textId="77777777" w:rsidR="009E231A" w:rsidRPr="00DC5F5C" w:rsidRDefault="00FE4A2D" w:rsidP="00874DA5">
      <w:pPr>
        <w:pStyle w:val="Contents"/>
      </w:pPr>
      <w:bookmarkStart w:id="6" w:name="_Toc98394880"/>
      <w:bookmarkStart w:id="7" w:name="_Toc296423683"/>
      <w:bookmarkStart w:id="8" w:name="_Toc296497514"/>
      <w:r w:rsidRPr="00DC5F5C">
        <w:lastRenderedPageBreak/>
        <w:t>Contents</w:t>
      </w:r>
      <w:bookmarkEnd w:id="6"/>
      <w:bookmarkEnd w:id="7"/>
      <w:bookmarkEnd w:id="8"/>
    </w:p>
    <w:p w14:paraId="34360A29" w14:textId="5781DB73" w:rsidR="005C7E41" w:rsidRDefault="00E110EA">
      <w:pPr>
        <w:pStyle w:val="TOC1"/>
        <w:rPr>
          <w:rFonts w:asciiTheme="minorHAnsi" w:eastAsiaTheme="minorEastAsia" w:hAnsiTheme="minorHAnsi" w:cstheme="minorBidi"/>
          <w:color w:val="auto"/>
          <w:kern w:val="2"/>
          <w:sz w:val="24"/>
          <w:szCs w:val="24"/>
          <w:lang w:eastAsia="en-AU"/>
          <w14:ligatures w14:val="standardContextual"/>
        </w:rPr>
      </w:pPr>
      <w:r w:rsidRPr="009775C7">
        <w:rPr>
          <w:rFonts w:ascii="Avant Garde" w:hAnsi="Avant Garde"/>
        </w:rPr>
        <w:fldChar w:fldCharType="begin"/>
      </w:r>
      <w:r w:rsidR="00FE4A2D" w:rsidRPr="009775C7">
        <w:rPr>
          <w:rFonts w:ascii="Avant Garde" w:hAnsi="Avant Garde"/>
        </w:rPr>
        <w:instrText xml:space="preserve"> TOC \o "1-2" </w:instrText>
      </w:r>
      <w:r w:rsidRPr="009775C7">
        <w:rPr>
          <w:rFonts w:ascii="Avant Garde" w:hAnsi="Avant Garde"/>
        </w:rPr>
        <w:fldChar w:fldCharType="separate"/>
      </w:r>
      <w:r w:rsidR="005C7E41">
        <w:t>Tables and figures</w:t>
      </w:r>
      <w:r w:rsidR="005C7E41">
        <w:tab/>
      </w:r>
      <w:r w:rsidR="005C7E41">
        <w:fldChar w:fldCharType="begin"/>
      </w:r>
      <w:r w:rsidR="005C7E41">
        <w:instrText xml:space="preserve"> PAGEREF _Toc241507524 \h </w:instrText>
      </w:r>
      <w:r w:rsidR="005C7E41">
        <w:fldChar w:fldCharType="separate"/>
      </w:r>
      <w:r w:rsidR="00AE37B8">
        <w:t>4</w:t>
      </w:r>
      <w:r w:rsidR="005C7E41">
        <w:fldChar w:fldCharType="end"/>
      </w:r>
    </w:p>
    <w:p w14:paraId="1830835D" w14:textId="644179AA" w:rsidR="005C7E41" w:rsidRDefault="005C7E41">
      <w:pPr>
        <w:pStyle w:val="TOC2"/>
        <w:rPr>
          <w:rFonts w:asciiTheme="minorHAnsi" w:eastAsiaTheme="minorEastAsia" w:hAnsiTheme="minorHAnsi" w:cstheme="minorBidi"/>
          <w:color w:val="auto"/>
          <w:kern w:val="2"/>
          <w:sz w:val="24"/>
          <w:szCs w:val="24"/>
          <w:lang w:eastAsia="en-AU"/>
          <w14:ligatures w14:val="standardContextual"/>
        </w:rPr>
      </w:pPr>
      <w:r>
        <w:t>Figures</w:t>
      </w:r>
      <w:r>
        <w:tab/>
      </w:r>
      <w:r>
        <w:fldChar w:fldCharType="begin"/>
      </w:r>
      <w:r>
        <w:instrText xml:space="preserve"> PAGEREF _Toc241507525 \h </w:instrText>
      </w:r>
      <w:r>
        <w:fldChar w:fldCharType="separate"/>
      </w:r>
      <w:r w:rsidR="00AE37B8">
        <w:t>4</w:t>
      </w:r>
      <w:r>
        <w:fldChar w:fldCharType="end"/>
      </w:r>
    </w:p>
    <w:p w14:paraId="182C50AB" w14:textId="7FCDE857" w:rsidR="005C7E41" w:rsidRDefault="005C7E41">
      <w:pPr>
        <w:pStyle w:val="TOC1"/>
        <w:rPr>
          <w:rFonts w:asciiTheme="minorHAnsi" w:eastAsiaTheme="minorEastAsia" w:hAnsiTheme="minorHAnsi" w:cstheme="minorBidi"/>
          <w:color w:val="auto"/>
          <w:kern w:val="2"/>
          <w:sz w:val="24"/>
          <w:szCs w:val="24"/>
          <w:lang w:eastAsia="en-AU"/>
          <w14:ligatures w14:val="standardContextual"/>
        </w:rPr>
      </w:pPr>
      <w:r>
        <w:t>Introduction</w:t>
      </w:r>
      <w:r>
        <w:tab/>
      </w:r>
      <w:r>
        <w:fldChar w:fldCharType="begin"/>
      </w:r>
      <w:r>
        <w:instrText xml:space="preserve"> PAGEREF _Toc241507526 \h </w:instrText>
      </w:r>
      <w:r>
        <w:fldChar w:fldCharType="separate"/>
      </w:r>
      <w:r w:rsidR="00AE37B8">
        <w:t>5</w:t>
      </w:r>
      <w:r>
        <w:fldChar w:fldCharType="end"/>
      </w:r>
    </w:p>
    <w:p w14:paraId="771F6757" w14:textId="47B90F0D" w:rsidR="005C7E41" w:rsidRDefault="005C7E41">
      <w:pPr>
        <w:pStyle w:val="TOC1"/>
        <w:rPr>
          <w:rFonts w:asciiTheme="minorHAnsi" w:eastAsiaTheme="minorEastAsia" w:hAnsiTheme="minorHAnsi" w:cstheme="minorBidi"/>
          <w:color w:val="auto"/>
          <w:kern w:val="2"/>
          <w:sz w:val="24"/>
          <w:szCs w:val="24"/>
          <w:lang w:eastAsia="en-AU"/>
          <w14:ligatures w14:val="standardContextual"/>
        </w:rPr>
      </w:pPr>
      <w:r>
        <w:t>Literature review</w:t>
      </w:r>
      <w:r>
        <w:tab/>
      </w:r>
      <w:r>
        <w:fldChar w:fldCharType="begin"/>
      </w:r>
      <w:r>
        <w:instrText xml:space="preserve"> PAGEREF _Toc241507527 \h </w:instrText>
      </w:r>
      <w:r>
        <w:fldChar w:fldCharType="separate"/>
      </w:r>
      <w:r w:rsidR="00AE37B8">
        <w:t>6</w:t>
      </w:r>
      <w:r>
        <w:fldChar w:fldCharType="end"/>
      </w:r>
    </w:p>
    <w:p w14:paraId="0ACC6FCB" w14:textId="4166FD4A" w:rsidR="005C7E41" w:rsidRDefault="005C7E41">
      <w:pPr>
        <w:pStyle w:val="TOC2"/>
        <w:rPr>
          <w:rFonts w:asciiTheme="minorHAnsi" w:eastAsiaTheme="minorEastAsia" w:hAnsiTheme="minorHAnsi" w:cstheme="minorBidi"/>
          <w:color w:val="auto"/>
          <w:kern w:val="2"/>
          <w:sz w:val="24"/>
          <w:szCs w:val="24"/>
          <w:lang w:eastAsia="en-AU"/>
          <w14:ligatures w14:val="standardContextual"/>
        </w:rPr>
      </w:pPr>
      <w:r w:rsidRPr="00F32A3B">
        <w:rPr>
          <w:lang w:val="en-US"/>
        </w:rPr>
        <w:t>Background</w:t>
      </w:r>
      <w:r>
        <w:tab/>
      </w:r>
      <w:r>
        <w:fldChar w:fldCharType="begin"/>
      </w:r>
      <w:r>
        <w:instrText xml:space="preserve"> PAGEREF _Toc241507528 \h </w:instrText>
      </w:r>
      <w:r>
        <w:fldChar w:fldCharType="separate"/>
      </w:r>
      <w:r w:rsidR="00AE37B8">
        <w:t>6</w:t>
      </w:r>
      <w:r>
        <w:fldChar w:fldCharType="end"/>
      </w:r>
    </w:p>
    <w:p w14:paraId="5FE96389" w14:textId="2548C995" w:rsidR="005C7E41" w:rsidRDefault="005C7E41">
      <w:pPr>
        <w:pStyle w:val="TOC2"/>
        <w:rPr>
          <w:rFonts w:asciiTheme="minorHAnsi" w:eastAsiaTheme="minorEastAsia" w:hAnsiTheme="minorHAnsi" w:cstheme="minorBidi"/>
          <w:color w:val="auto"/>
          <w:kern w:val="2"/>
          <w:sz w:val="24"/>
          <w:szCs w:val="24"/>
          <w:lang w:eastAsia="en-AU"/>
          <w14:ligatures w14:val="standardContextual"/>
        </w:rPr>
      </w:pPr>
      <w:r w:rsidRPr="00F32A3B">
        <w:rPr>
          <w:lang w:val="en-US"/>
        </w:rPr>
        <w:t>Context</w:t>
      </w:r>
      <w:r>
        <w:tab/>
      </w:r>
      <w:r>
        <w:fldChar w:fldCharType="begin"/>
      </w:r>
      <w:r>
        <w:instrText xml:space="preserve"> PAGEREF _Toc241507529 \h </w:instrText>
      </w:r>
      <w:r>
        <w:fldChar w:fldCharType="separate"/>
      </w:r>
      <w:r w:rsidR="00AE37B8">
        <w:t>6</w:t>
      </w:r>
      <w:r>
        <w:fldChar w:fldCharType="end"/>
      </w:r>
    </w:p>
    <w:p w14:paraId="179C5FBB" w14:textId="23B48502" w:rsidR="005C7E41" w:rsidRDefault="005C7E41">
      <w:pPr>
        <w:pStyle w:val="TOC2"/>
        <w:rPr>
          <w:rFonts w:asciiTheme="minorHAnsi" w:eastAsiaTheme="minorEastAsia" w:hAnsiTheme="minorHAnsi" w:cstheme="minorBidi"/>
          <w:color w:val="auto"/>
          <w:kern w:val="2"/>
          <w:sz w:val="24"/>
          <w:szCs w:val="24"/>
          <w:lang w:eastAsia="en-AU"/>
          <w14:ligatures w14:val="standardContextual"/>
        </w:rPr>
      </w:pPr>
      <w:r>
        <w:t>Effective teaching in VET: from competence to excellence</w:t>
      </w:r>
      <w:r>
        <w:tab/>
      </w:r>
      <w:r>
        <w:fldChar w:fldCharType="begin"/>
      </w:r>
      <w:r>
        <w:instrText xml:space="preserve"> PAGEREF _Toc241507530 \h </w:instrText>
      </w:r>
      <w:r>
        <w:fldChar w:fldCharType="separate"/>
      </w:r>
      <w:r w:rsidR="00AE37B8">
        <w:t>11</w:t>
      </w:r>
      <w:r>
        <w:fldChar w:fldCharType="end"/>
      </w:r>
    </w:p>
    <w:p w14:paraId="65113E0E" w14:textId="69B7A729" w:rsidR="005C7E41" w:rsidRDefault="005C7E41">
      <w:pPr>
        <w:pStyle w:val="TOC2"/>
        <w:rPr>
          <w:rFonts w:asciiTheme="minorHAnsi" w:eastAsiaTheme="minorEastAsia" w:hAnsiTheme="minorHAnsi" w:cstheme="minorBidi"/>
          <w:color w:val="auto"/>
          <w:kern w:val="2"/>
          <w:sz w:val="24"/>
          <w:szCs w:val="24"/>
          <w:lang w:eastAsia="en-AU"/>
          <w14:ligatures w14:val="standardContextual"/>
        </w:rPr>
      </w:pPr>
      <w:r>
        <w:t>Teacher training: qualifications and professional development</w:t>
      </w:r>
      <w:r>
        <w:tab/>
      </w:r>
      <w:r>
        <w:fldChar w:fldCharType="begin"/>
      </w:r>
      <w:r>
        <w:instrText xml:space="preserve"> PAGEREF _Toc241507531 \h </w:instrText>
      </w:r>
      <w:r>
        <w:fldChar w:fldCharType="separate"/>
      </w:r>
      <w:r w:rsidR="00AE37B8">
        <w:t>20</w:t>
      </w:r>
      <w:r>
        <w:fldChar w:fldCharType="end"/>
      </w:r>
    </w:p>
    <w:p w14:paraId="618696F8" w14:textId="75A1C78C" w:rsidR="005C7E41" w:rsidRDefault="005C7E41">
      <w:pPr>
        <w:pStyle w:val="TOC2"/>
        <w:rPr>
          <w:rFonts w:asciiTheme="minorHAnsi" w:eastAsiaTheme="minorEastAsia" w:hAnsiTheme="minorHAnsi" w:cstheme="minorBidi"/>
          <w:color w:val="auto"/>
          <w:kern w:val="2"/>
          <w:sz w:val="24"/>
          <w:szCs w:val="24"/>
          <w:lang w:eastAsia="en-AU"/>
          <w14:ligatures w14:val="standardContextual"/>
        </w:rPr>
      </w:pPr>
      <w:r>
        <w:t>Psychosocial impacts on teaching and learning</w:t>
      </w:r>
      <w:r>
        <w:tab/>
      </w:r>
      <w:r>
        <w:fldChar w:fldCharType="begin"/>
      </w:r>
      <w:r>
        <w:instrText xml:space="preserve"> PAGEREF _Toc241507532 \h </w:instrText>
      </w:r>
      <w:r>
        <w:fldChar w:fldCharType="separate"/>
      </w:r>
      <w:r w:rsidR="00AE37B8">
        <w:t>36</w:t>
      </w:r>
      <w:r>
        <w:fldChar w:fldCharType="end"/>
      </w:r>
    </w:p>
    <w:p w14:paraId="035A99EA" w14:textId="47D5D755" w:rsidR="005C7E41" w:rsidRDefault="005C7E41">
      <w:pPr>
        <w:pStyle w:val="TOC1"/>
        <w:rPr>
          <w:rFonts w:asciiTheme="minorHAnsi" w:eastAsiaTheme="minorEastAsia" w:hAnsiTheme="minorHAnsi" w:cstheme="minorBidi"/>
          <w:color w:val="auto"/>
          <w:kern w:val="2"/>
          <w:sz w:val="24"/>
          <w:szCs w:val="24"/>
          <w:lang w:eastAsia="en-AU"/>
          <w14:ligatures w14:val="standardContextual"/>
        </w:rPr>
      </w:pPr>
      <w:r w:rsidRPr="00F32A3B">
        <w:rPr>
          <w:lang w:val="en-US"/>
        </w:rPr>
        <w:t>Teacher wellbeing – insights from the consultations</w:t>
      </w:r>
      <w:r>
        <w:tab/>
      </w:r>
      <w:r>
        <w:fldChar w:fldCharType="begin"/>
      </w:r>
      <w:r>
        <w:instrText xml:space="preserve"> PAGEREF _Toc241507533 \h </w:instrText>
      </w:r>
      <w:r>
        <w:fldChar w:fldCharType="separate"/>
      </w:r>
      <w:r w:rsidR="00AE37B8">
        <w:t>46</w:t>
      </w:r>
      <w:r>
        <w:fldChar w:fldCharType="end"/>
      </w:r>
    </w:p>
    <w:p w14:paraId="45CF561D" w14:textId="7160FA1B" w:rsidR="005C7E41" w:rsidRDefault="005C7E41">
      <w:pPr>
        <w:pStyle w:val="TOC1"/>
        <w:rPr>
          <w:rFonts w:asciiTheme="minorHAnsi" w:eastAsiaTheme="minorEastAsia" w:hAnsiTheme="minorHAnsi" w:cstheme="minorBidi"/>
          <w:color w:val="auto"/>
          <w:kern w:val="2"/>
          <w:sz w:val="24"/>
          <w:szCs w:val="24"/>
          <w:lang w:eastAsia="en-AU"/>
          <w14:ligatures w14:val="standardContextual"/>
        </w:rPr>
      </w:pPr>
      <w:r>
        <w:t>Ongoing teacher development: supporting evidence and further information</w:t>
      </w:r>
      <w:r>
        <w:tab/>
      </w:r>
      <w:r>
        <w:fldChar w:fldCharType="begin"/>
      </w:r>
      <w:r>
        <w:instrText xml:space="preserve"> PAGEREF _Toc241507534 \h </w:instrText>
      </w:r>
      <w:r>
        <w:fldChar w:fldCharType="separate"/>
      </w:r>
      <w:r w:rsidR="00AE37B8">
        <w:t>49</w:t>
      </w:r>
      <w:r>
        <w:fldChar w:fldCharType="end"/>
      </w:r>
    </w:p>
    <w:p w14:paraId="3E27618A" w14:textId="192208D8" w:rsidR="005C7E41" w:rsidRDefault="005C7E41">
      <w:pPr>
        <w:pStyle w:val="TOC2"/>
        <w:rPr>
          <w:rFonts w:asciiTheme="minorHAnsi" w:eastAsiaTheme="minorEastAsia" w:hAnsiTheme="minorHAnsi" w:cstheme="minorBidi"/>
          <w:color w:val="auto"/>
          <w:kern w:val="2"/>
          <w:sz w:val="24"/>
          <w:szCs w:val="24"/>
          <w:lang w:eastAsia="en-AU"/>
          <w14:ligatures w14:val="standardContextual"/>
        </w:rPr>
      </w:pPr>
      <w:r w:rsidRPr="00F32A3B">
        <w:rPr>
          <w:rFonts w:eastAsia="Arial"/>
        </w:rPr>
        <w:t>Identification of professional development needs</w:t>
      </w:r>
      <w:r>
        <w:tab/>
      </w:r>
      <w:r>
        <w:fldChar w:fldCharType="begin"/>
      </w:r>
      <w:r>
        <w:instrText xml:space="preserve"> PAGEREF _Toc241507535 \h </w:instrText>
      </w:r>
      <w:r>
        <w:fldChar w:fldCharType="separate"/>
      </w:r>
      <w:r w:rsidR="00AE37B8">
        <w:t>49</w:t>
      </w:r>
      <w:r>
        <w:fldChar w:fldCharType="end"/>
      </w:r>
    </w:p>
    <w:p w14:paraId="07D5BE28" w14:textId="7F3DA481" w:rsidR="005C7E41" w:rsidRDefault="005C7E41">
      <w:pPr>
        <w:pStyle w:val="TOC2"/>
        <w:rPr>
          <w:rFonts w:asciiTheme="minorHAnsi" w:eastAsiaTheme="minorEastAsia" w:hAnsiTheme="minorHAnsi" w:cstheme="minorBidi"/>
          <w:color w:val="auto"/>
          <w:kern w:val="2"/>
          <w:sz w:val="24"/>
          <w:szCs w:val="24"/>
          <w:lang w:eastAsia="en-AU"/>
          <w14:ligatures w14:val="standardContextual"/>
        </w:rPr>
      </w:pPr>
      <w:r w:rsidRPr="00F32A3B">
        <w:rPr>
          <w:rFonts w:eastAsia="Arial"/>
        </w:rPr>
        <w:t>Professional development activities</w:t>
      </w:r>
      <w:r>
        <w:tab/>
      </w:r>
      <w:r>
        <w:fldChar w:fldCharType="begin"/>
      </w:r>
      <w:r>
        <w:instrText xml:space="preserve"> PAGEREF _Toc241507536 \h </w:instrText>
      </w:r>
      <w:r>
        <w:fldChar w:fldCharType="separate"/>
      </w:r>
      <w:r w:rsidR="00AE37B8">
        <w:t>57</w:t>
      </w:r>
      <w:r>
        <w:fldChar w:fldCharType="end"/>
      </w:r>
    </w:p>
    <w:p w14:paraId="2DECC1E6" w14:textId="078CE6DC" w:rsidR="005C7E41" w:rsidRDefault="005C7E41">
      <w:pPr>
        <w:pStyle w:val="TOC2"/>
        <w:rPr>
          <w:rFonts w:asciiTheme="minorHAnsi" w:eastAsiaTheme="minorEastAsia" w:hAnsiTheme="minorHAnsi" w:cstheme="minorBidi"/>
          <w:color w:val="auto"/>
          <w:kern w:val="2"/>
          <w:sz w:val="24"/>
          <w:szCs w:val="24"/>
          <w:lang w:eastAsia="en-AU"/>
          <w14:ligatures w14:val="standardContextual"/>
        </w:rPr>
      </w:pPr>
      <w:r w:rsidRPr="00F32A3B">
        <w:rPr>
          <w:rFonts w:eastAsia="Arial"/>
        </w:rPr>
        <w:t>Implementing new teaching skills – practices that help</w:t>
      </w:r>
      <w:r>
        <w:tab/>
      </w:r>
      <w:r>
        <w:fldChar w:fldCharType="begin"/>
      </w:r>
      <w:r>
        <w:instrText xml:space="preserve"> PAGEREF _Toc241507537 \h </w:instrText>
      </w:r>
      <w:r>
        <w:fldChar w:fldCharType="separate"/>
      </w:r>
      <w:r w:rsidR="00AE37B8">
        <w:t>67</w:t>
      </w:r>
      <w:r>
        <w:fldChar w:fldCharType="end"/>
      </w:r>
    </w:p>
    <w:p w14:paraId="6ED76553" w14:textId="515B3A84" w:rsidR="005C7E41" w:rsidRDefault="005C7E41">
      <w:pPr>
        <w:pStyle w:val="TOC1"/>
        <w:rPr>
          <w:rFonts w:asciiTheme="minorHAnsi" w:eastAsiaTheme="minorEastAsia" w:hAnsiTheme="minorHAnsi" w:cstheme="minorBidi"/>
          <w:color w:val="auto"/>
          <w:kern w:val="2"/>
          <w:sz w:val="24"/>
          <w:szCs w:val="24"/>
          <w:lang w:eastAsia="en-AU"/>
          <w14:ligatures w14:val="standardContextual"/>
        </w:rPr>
      </w:pPr>
      <w:r>
        <w:t>References</w:t>
      </w:r>
      <w:r>
        <w:tab/>
      </w:r>
      <w:r>
        <w:fldChar w:fldCharType="begin"/>
      </w:r>
      <w:r>
        <w:instrText xml:space="preserve"> PAGEREF _Toc241507538 \h </w:instrText>
      </w:r>
      <w:r>
        <w:fldChar w:fldCharType="separate"/>
      </w:r>
      <w:r w:rsidR="00AE37B8">
        <w:t>75</w:t>
      </w:r>
      <w:r>
        <w:fldChar w:fldCharType="end"/>
      </w:r>
    </w:p>
    <w:p w14:paraId="58571A03" w14:textId="50806BD8" w:rsidR="005C7E41" w:rsidRDefault="005C7E41">
      <w:pPr>
        <w:pStyle w:val="TOC1"/>
        <w:rPr>
          <w:rFonts w:asciiTheme="minorHAnsi" w:eastAsiaTheme="minorEastAsia" w:hAnsiTheme="minorHAnsi" w:cstheme="minorBidi"/>
          <w:color w:val="auto"/>
          <w:kern w:val="2"/>
          <w:sz w:val="24"/>
          <w:szCs w:val="24"/>
          <w:lang w:eastAsia="en-AU"/>
          <w14:ligatures w14:val="standardContextual"/>
        </w:rPr>
      </w:pPr>
      <w:r>
        <w:t>Appendix A: Sample of resources for teachers to support students (from all education sectors)</w:t>
      </w:r>
      <w:r>
        <w:tab/>
      </w:r>
      <w:r>
        <w:fldChar w:fldCharType="begin"/>
      </w:r>
      <w:r>
        <w:instrText xml:space="preserve"> PAGEREF _Toc241507539 \h </w:instrText>
      </w:r>
      <w:r>
        <w:fldChar w:fldCharType="separate"/>
      </w:r>
      <w:r w:rsidR="00AE37B8">
        <w:t>84</w:t>
      </w:r>
      <w:r>
        <w:fldChar w:fldCharType="end"/>
      </w:r>
    </w:p>
    <w:p w14:paraId="678212BC" w14:textId="208DBE7B" w:rsidR="004E7227" w:rsidRDefault="00E110EA" w:rsidP="00FD5AFF">
      <w:pPr>
        <w:pStyle w:val="Text"/>
        <w:tabs>
          <w:tab w:val="right" w:pos="9072"/>
        </w:tabs>
        <w:ind w:right="-1"/>
      </w:pPr>
      <w:r w:rsidRPr="009775C7">
        <w:fldChar w:fldCharType="end"/>
      </w:r>
    </w:p>
    <w:p w14:paraId="4D2CFF05" w14:textId="77777777" w:rsidR="00371BB0" w:rsidRDefault="00371BB0" w:rsidP="00FD5AFF">
      <w:pPr>
        <w:pStyle w:val="Text"/>
        <w:tabs>
          <w:tab w:val="right" w:pos="9072"/>
        </w:tabs>
        <w:ind w:right="-1"/>
      </w:pPr>
    </w:p>
    <w:p w14:paraId="52404725" w14:textId="77777777" w:rsidR="004E7227" w:rsidRDefault="004E7227" w:rsidP="00E429C5">
      <w:pPr>
        <w:pStyle w:val="Text"/>
        <w:rPr>
          <w:rFonts w:ascii="Tahoma" w:hAnsi="Tahoma" w:cs="Tahoma"/>
          <w:color w:val="000000"/>
          <w:kern w:val="28"/>
          <w:sz w:val="56"/>
          <w:szCs w:val="56"/>
        </w:rPr>
      </w:pPr>
      <w:r>
        <w:br w:type="page"/>
      </w:r>
    </w:p>
    <w:p w14:paraId="06F6389A" w14:textId="77777777" w:rsidR="004E7227" w:rsidRDefault="004E7227" w:rsidP="004E7227">
      <w:pPr>
        <w:pStyle w:val="Heading1"/>
      </w:pPr>
      <w:bookmarkStart w:id="9" w:name="_Toc241507524"/>
      <w:r>
        <w:lastRenderedPageBreak/>
        <w:t>Tables and figures</w:t>
      </w:r>
      <w:bookmarkEnd w:id="9"/>
    </w:p>
    <w:p w14:paraId="228E5C4B" w14:textId="77777777" w:rsidR="00AA0C7E" w:rsidRDefault="00AA0C7E" w:rsidP="00AA0C7E">
      <w:pPr>
        <w:pStyle w:val="Heading2"/>
      </w:pPr>
      <w:bookmarkStart w:id="10" w:name="_Toc296497516"/>
      <w:bookmarkStart w:id="11" w:name="_Toc298162801"/>
      <w:r>
        <w:t>Tables</w:t>
      </w:r>
      <w:bookmarkEnd w:id="10"/>
      <w:bookmarkEnd w:id="11"/>
    </w:p>
    <w:bookmarkStart w:id="12" w:name="_Toc296497517"/>
    <w:bookmarkStart w:id="13" w:name="_Toc298162802"/>
    <w:p w14:paraId="159409B0" w14:textId="5515756A" w:rsidR="00032A36" w:rsidRDefault="00032A36" w:rsidP="00A76B9D">
      <w:pPr>
        <w:pStyle w:val="TableofFigures"/>
        <w:rPr>
          <w:rFonts w:asciiTheme="minorHAnsi" w:eastAsiaTheme="minorEastAsia" w:hAnsiTheme="minorHAnsi" w:cstheme="minorBidi"/>
          <w:color w:val="auto"/>
          <w:kern w:val="2"/>
          <w:sz w:val="24"/>
          <w:szCs w:val="24"/>
          <w:lang w:eastAsia="en-AU"/>
          <w14:ligatures w14:val="standardContextual"/>
        </w:rPr>
      </w:pPr>
      <w:r>
        <w:rPr>
          <w:rFonts w:ascii="Trebuchet MS" w:hAnsi="Trebuchet MS"/>
          <w:b/>
        </w:rPr>
        <w:fldChar w:fldCharType="begin"/>
      </w:r>
      <w:r>
        <w:rPr>
          <w:rFonts w:ascii="Trebuchet MS" w:hAnsi="Trebuchet MS"/>
          <w:b/>
        </w:rPr>
        <w:instrText xml:space="preserve"> TOC \f F \t "Tabletitle" \c </w:instrText>
      </w:r>
      <w:r>
        <w:rPr>
          <w:rFonts w:ascii="Trebuchet MS" w:hAnsi="Trebuchet MS"/>
          <w:b/>
        </w:rPr>
        <w:fldChar w:fldCharType="separate"/>
      </w:r>
      <w:r>
        <w:t xml:space="preserve">1 </w:t>
      </w:r>
      <w:r w:rsidR="00220F0B">
        <w:tab/>
      </w:r>
      <w:r>
        <w:t>Examples of theories and capability frameworks informing VET teaching</w:t>
      </w:r>
      <w:r>
        <w:tab/>
      </w:r>
      <w:r>
        <w:fldChar w:fldCharType="begin"/>
      </w:r>
      <w:r>
        <w:instrText xml:space="preserve"> PAGEREF _Toc241744006 \h </w:instrText>
      </w:r>
      <w:r>
        <w:fldChar w:fldCharType="separate"/>
      </w:r>
      <w:r>
        <w:t>13</w:t>
      </w:r>
      <w:r>
        <w:fldChar w:fldCharType="end"/>
      </w:r>
    </w:p>
    <w:p w14:paraId="6B446F1D" w14:textId="33463674" w:rsidR="00032A36" w:rsidRDefault="00032A36" w:rsidP="00A76B9D">
      <w:pPr>
        <w:pStyle w:val="TableofFigures"/>
        <w:rPr>
          <w:rFonts w:asciiTheme="minorHAnsi" w:eastAsiaTheme="minorEastAsia" w:hAnsiTheme="minorHAnsi" w:cstheme="minorBidi"/>
          <w:color w:val="auto"/>
          <w:kern w:val="2"/>
          <w:sz w:val="24"/>
          <w:szCs w:val="24"/>
          <w:lang w:eastAsia="en-AU"/>
          <w14:ligatures w14:val="standardContextual"/>
        </w:rPr>
      </w:pPr>
      <w:r>
        <w:t xml:space="preserve">2 </w:t>
      </w:r>
      <w:r w:rsidR="00220F0B">
        <w:tab/>
      </w:r>
      <w:r>
        <w:t>Examples of effective teaching practices and associated strategies</w:t>
      </w:r>
      <w:r>
        <w:tab/>
      </w:r>
      <w:r>
        <w:fldChar w:fldCharType="begin"/>
      </w:r>
      <w:r>
        <w:instrText xml:space="preserve"> PAGEREF _Toc241744007 \h </w:instrText>
      </w:r>
      <w:r>
        <w:fldChar w:fldCharType="separate"/>
      </w:r>
      <w:r>
        <w:t>15</w:t>
      </w:r>
      <w:r>
        <w:fldChar w:fldCharType="end"/>
      </w:r>
    </w:p>
    <w:p w14:paraId="3B67A4FF" w14:textId="545E5ED0" w:rsidR="00032A36" w:rsidRPr="00A76B9D" w:rsidRDefault="00032A36" w:rsidP="00A76B9D">
      <w:pPr>
        <w:pStyle w:val="TableofFigures"/>
      </w:pPr>
      <w:r w:rsidRPr="00A76B9D">
        <w:t xml:space="preserve">3 </w:t>
      </w:r>
      <w:r w:rsidR="00220F0B" w:rsidRPr="00A76B9D">
        <w:tab/>
      </w:r>
      <w:r w:rsidRPr="00A76B9D">
        <w:t>Total enrolments for the Certificate IV in Training and Assessment,</w:t>
      </w:r>
      <w:r w:rsidR="007F1655" w:rsidRPr="00A76B9D">
        <w:br/>
      </w:r>
      <w:r w:rsidRPr="00A76B9D">
        <w:t>by version, 2019-2023</w:t>
      </w:r>
      <w:r w:rsidRPr="00A76B9D">
        <w:tab/>
      </w:r>
      <w:r w:rsidRPr="00A76B9D">
        <w:fldChar w:fldCharType="begin"/>
      </w:r>
      <w:r w:rsidRPr="00A76B9D">
        <w:instrText xml:space="preserve"> PAGEREF _Toc241744008 \h </w:instrText>
      </w:r>
      <w:r w:rsidRPr="00A76B9D">
        <w:fldChar w:fldCharType="separate"/>
      </w:r>
      <w:r w:rsidRPr="00A76B9D">
        <w:t>24</w:t>
      </w:r>
      <w:r w:rsidRPr="00A76B9D">
        <w:fldChar w:fldCharType="end"/>
      </w:r>
    </w:p>
    <w:p w14:paraId="12318F0D" w14:textId="75D1892F" w:rsidR="00032A36" w:rsidRDefault="00032A36" w:rsidP="00A76B9D">
      <w:pPr>
        <w:pStyle w:val="TableofFigures"/>
        <w:rPr>
          <w:rFonts w:asciiTheme="minorHAnsi" w:eastAsiaTheme="minorEastAsia" w:hAnsiTheme="minorHAnsi" w:cstheme="minorBidi"/>
          <w:color w:val="auto"/>
          <w:kern w:val="2"/>
          <w:sz w:val="24"/>
          <w:szCs w:val="24"/>
          <w:lang w:eastAsia="en-AU"/>
          <w14:ligatures w14:val="standardContextual"/>
        </w:rPr>
      </w:pPr>
      <w:r>
        <w:t>5</w:t>
      </w:r>
      <w:r w:rsidR="00220F0B">
        <w:tab/>
      </w:r>
      <w:r>
        <w:t xml:space="preserve">Examples of vocational pedagogy and industry currency </w:t>
      </w:r>
      <w:r w:rsidR="00777230">
        <w:t>s</w:t>
      </w:r>
      <w:r>
        <w:t>activities</w:t>
      </w:r>
      <w:r>
        <w:tab/>
      </w:r>
      <w:r>
        <w:fldChar w:fldCharType="begin"/>
      </w:r>
      <w:r>
        <w:instrText xml:space="preserve"> PAGEREF _Toc241744009 \h </w:instrText>
      </w:r>
      <w:r>
        <w:fldChar w:fldCharType="separate"/>
      </w:r>
      <w:r>
        <w:t>28</w:t>
      </w:r>
      <w:r>
        <w:fldChar w:fldCharType="end"/>
      </w:r>
    </w:p>
    <w:p w14:paraId="124992FC" w14:textId="6718C9DF" w:rsidR="00032A36" w:rsidRDefault="00032A36" w:rsidP="00A76B9D">
      <w:pPr>
        <w:pStyle w:val="TableofFigures"/>
        <w:rPr>
          <w:rFonts w:asciiTheme="minorHAnsi" w:eastAsiaTheme="minorEastAsia" w:hAnsiTheme="minorHAnsi" w:cstheme="minorBidi"/>
          <w:color w:val="auto"/>
          <w:kern w:val="2"/>
          <w:sz w:val="24"/>
          <w:szCs w:val="24"/>
          <w:lang w:eastAsia="en-AU"/>
          <w14:ligatures w14:val="standardContextual"/>
        </w:rPr>
      </w:pPr>
      <w:r>
        <w:t>7</w:t>
      </w:r>
      <w:r w:rsidR="00220F0B">
        <w:tab/>
      </w:r>
      <w:r>
        <w:t>Context specific barriers to professional development</w:t>
      </w:r>
      <w:r>
        <w:tab/>
      </w:r>
      <w:r>
        <w:fldChar w:fldCharType="begin"/>
      </w:r>
      <w:r>
        <w:instrText xml:space="preserve"> PAGEREF _Toc241744010 \h </w:instrText>
      </w:r>
      <w:r>
        <w:fldChar w:fldCharType="separate"/>
      </w:r>
      <w:r>
        <w:t>67</w:t>
      </w:r>
      <w:r>
        <w:fldChar w:fldCharType="end"/>
      </w:r>
    </w:p>
    <w:p w14:paraId="344BADE0" w14:textId="2B9875EF" w:rsidR="00315883" w:rsidRDefault="00032A36" w:rsidP="00AA0C7E">
      <w:pPr>
        <w:pStyle w:val="Heading2"/>
        <w:rPr>
          <w:noProof/>
        </w:rPr>
      </w:pPr>
      <w:r>
        <w:rPr>
          <w:rFonts w:ascii="Trebuchet MS" w:hAnsi="Trebuchet MS" w:cs="Times New Roman"/>
          <w:b w:val="0"/>
          <w:noProof/>
          <w:color w:val="000000"/>
          <w:sz w:val="19"/>
          <w:szCs w:val="19"/>
        </w:rPr>
        <w:fldChar w:fldCharType="end"/>
      </w:r>
      <w:r w:rsidR="00AA0C7E">
        <w:t>Figures</w:t>
      </w:r>
      <w:bookmarkEnd w:id="12"/>
      <w:bookmarkEnd w:id="13"/>
      <w:r w:rsidR="00AA0C7E">
        <w:rPr>
          <w:rFonts w:ascii="Garamond" w:hAnsi="Garamond"/>
          <w:sz w:val="22"/>
        </w:rPr>
        <w:fldChar w:fldCharType="begin"/>
      </w:r>
      <w:r w:rsidR="00AA0C7E">
        <w:instrText xml:space="preserve"> TOC \t "Figuretitle" \c </w:instrText>
      </w:r>
      <w:r w:rsidR="00AA0C7E">
        <w:rPr>
          <w:rFonts w:ascii="Garamond" w:hAnsi="Garamond"/>
          <w:sz w:val="22"/>
        </w:rPr>
        <w:fldChar w:fldCharType="separate"/>
      </w:r>
    </w:p>
    <w:p w14:paraId="6039E0AD" w14:textId="0D3FCC38" w:rsidR="00315883" w:rsidRDefault="00315883" w:rsidP="00A76B9D">
      <w:pPr>
        <w:pStyle w:val="TableofFigures"/>
        <w:rPr>
          <w:rFonts w:asciiTheme="minorHAnsi" w:eastAsiaTheme="minorEastAsia" w:hAnsiTheme="minorHAnsi" w:cstheme="minorBidi"/>
          <w:color w:val="auto"/>
          <w:kern w:val="2"/>
          <w:sz w:val="24"/>
          <w:szCs w:val="24"/>
          <w:lang w:eastAsia="en-GB"/>
          <w14:ligatures w14:val="standardContextual"/>
        </w:rPr>
      </w:pPr>
      <w:r>
        <w:t xml:space="preserve">1 </w:t>
      </w:r>
      <w:r w:rsidR="00BF2452">
        <w:tab/>
      </w:r>
      <w:r>
        <w:t>The RTO typology developed by Jobs and Skills Australia</w:t>
      </w:r>
      <w:r>
        <w:tab/>
      </w:r>
      <w:r>
        <w:fldChar w:fldCharType="begin"/>
      </w:r>
      <w:r>
        <w:instrText xml:space="preserve"> PAGEREF _Toc241742248 \h </w:instrText>
      </w:r>
      <w:r>
        <w:fldChar w:fldCharType="separate"/>
      </w:r>
      <w:r>
        <w:t>10</w:t>
      </w:r>
      <w:r>
        <w:fldChar w:fldCharType="end"/>
      </w:r>
    </w:p>
    <w:p w14:paraId="68233383" w14:textId="6CE67629" w:rsidR="004E7227" w:rsidRDefault="00AA0C7E" w:rsidP="00A76B9D">
      <w:pPr>
        <w:pStyle w:val="TableofFigures"/>
      </w:pPr>
      <w:r>
        <w:fldChar w:fldCharType="end"/>
      </w:r>
    </w:p>
    <w:p w14:paraId="18028A47" w14:textId="77777777" w:rsidR="00A93867" w:rsidRPr="00A93867" w:rsidRDefault="00A93867">
      <w:pPr>
        <w:spacing w:before="0" w:line="240" w:lineRule="auto"/>
        <w:rPr>
          <w:rFonts w:ascii="Tahoma" w:hAnsi="Tahoma" w:cs="Tahoma"/>
          <w:b/>
          <w:color w:val="000000"/>
          <w:kern w:val="28"/>
          <w:sz w:val="56"/>
          <w:szCs w:val="56"/>
        </w:rPr>
      </w:pPr>
      <w:bookmarkStart w:id="14" w:name="_Toc298162803"/>
      <w:r w:rsidRPr="00A93867">
        <w:rPr>
          <w:b/>
        </w:rPr>
        <w:br w:type="page"/>
      </w:r>
    </w:p>
    <w:p w14:paraId="347F906C" w14:textId="77777777" w:rsidR="009E231A" w:rsidRDefault="004B6D45" w:rsidP="008C0A74">
      <w:pPr>
        <w:pStyle w:val="Heading1"/>
      </w:pPr>
      <w:bookmarkStart w:id="15" w:name="_Toc241507526"/>
      <w:bookmarkEnd w:id="14"/>
      <w:r>
        <w:lastRenderedPageBreak/>
        <w:t>Introduction</w:t>
      </w:r>
      <w:bookmarkEnd w:id="15"/>
    </w:p>
    <w:p w14:paraId="1CD455C7" w14:textId="77777777" w:rsidR="004B6D45" w:rsidRDefault="004B6D45" w:rsidP="004B6D45">
      <w:pPr>
        <w:pStyle w:val="Text"/>
      </w:pPr>
      <w:r w:rsidRPr="004B6D45">
        <w:t xml:space="preserve">This support document contains supplementary content to the report, </w:t>
      </w:r>
      <w:r w:rsidRPr="008F0107">
        <w:rPr>
          <w:i/>
          <w:iCs/>
        </w:rPr>
        <w:t>Strengthening teaching practice and psychosocial support</w:t>
      </w:r>
      <w:r w:rsidRPr="004B6D45">
        <w:t>. It contains:</w:t>
      </w:r>
    </w:p>
    <w:p w14:paraId="18EB8544" w14:textId="77777777" w:rsidR="004B6D45" w:rsidRDefault="004B6D45" w:rsidP="004B6D45">
      <w:pPr>
        <w:pStyle w:val="Dotpoint1"/>
      </w:pPr>
      <w:r>
        <w:t xml:space="preserve">A literature review  </w:t>
      </w:r>
    </w:p>
    <w:p w14:paraId="1E64509B" w14:textId="07C92059" w:rsidR="004B6D45" w:rsidRDefault="004B6D45" w:rsidP="004B6D45">
      <w:pPr>
        <w:pStyle w:val="Dotpoint1"/>
      </w:pPr>
      <w:r>
        <w:t>A discussion related to teacher wellbeing</w:t>
      </w:r>
      <w:r w:rsidR="00627D46">
        <w:t>, informed by the consultations</w:t>
      </w:r>
    </w:p>
    <w:p w14:paraId="69C2A7F9" w14:textId="1F58CBB3" w:rsidR="000A1F1C" w:rsidRPr="00A50895" w:rsidRDefault="004B6D45" w:rsidP="009A4B44">
      <w:pPr>
        <w:pStyle w:val="Dotpoint1"/>
      </w:pPr>
      <w:r>
        <w:t>Supporting evidence and further information on ongoing teacher development</w:t>
      </w:r>
      <w:r w:rsidR="009A4B44">
        <w:t>.</w:t>
      </w:r>
    </w:p>
    <w:bookmarkEnd w:id="2"/>
    <w:bookmarkEnd w:id="3"/>
    <w:bookmarkEnd w:id="4"/>
    <w:bookmarkEnd w:id="5"/>
    <w:p w14:paraId="6BB2DFB5" w14:textId="77777777" w:rsidR="005E69DC" w:rsidRDefault="005E69DC" w:rsidP="004B6D45">
      <w:pPr>
        <w:pStyle w:val="Heading1"/>
      </w:pPr>
      <w:r>
        <w:br w:type="page"/>
      </w:r>
      <w:bookmarkStart w:id="16" w:name="_Toc241507527"/>
      <w:r w:rsidR="004B6D45">
        <w:lastRenderedPageBreak/>
        <w:t>Literature review</w:t>
      </w:r>
      <w:bookmarkEnd w:id="16"/>
    </w:p>
    <w:p w14:paraId="483D244E" w14:textId="77777777" w:rsidR="003203FD" w:rsidRPr="003203FD" w:rsidRDefault="003203FD" w:rsidP="003203FD">
      <w:pPr>
        <w:pStyle w:val="Heading2"/>
        <w:rPr>
          <w:lang w:val="en-US"/>
        </w:rPr>
      </w:pPr>
      <w:bookmarkStart w:id="17" w:name="_Toc241507528"/>
      <w:r w:rsidRPr="003203FD">
        <w:rPr>
          <w:lang w:val="en-US"/>
        </w:rPr>
        <w:t>Background</w:t>
      </w:r>
      <w:bookmarkEnd w:id="17"/>
    </w:p>
    <w:p w14:paraId="654B0453" w14:textId="77777777" w:rsidR="008B77E5" w:rsidRPr="008B77E5" w:rsidRDefault="008B77E5" w:rsidP="008B77E5">
      <w:pPr>
        <w:pStyle w:val="Text"/>
      </w:pPr>
      <w:r w:rsidRPr="008B77E5">
        <w:t>This literature review aimed to identify gaps in the existing evidence base, with a particular focus on:</w:t>
      </w:r>
    </w:p>
    <w:p w14:paraId="09F1CD94" w14:textId="77777777" w:rsidR="008B77E5" w:rsidRPr="008B77E5" w:rsidRDefault="008B77E5" w:rsidP="008B77E5">
      <w:pPr>
        <w:pStyle w:val="Text"/>
        <w:numPr>
          <w:ilvl w:val="0"/>
          <w:numId w:val="23"/>
        </w:numPr>
      </w:pPr>
      <w:r w:rsidRPr="008B77E5">
        <w:t>barriers to the implementation of effective teaching practices and methodologies in VET</w:t>
      </w:r>
    </w:p>
    <w:p w14:paraId="1C68700C" w14:textId="77777777" w:rsidR="008B77E5" w:rsidRPr="008B77E5" w:rsidRDefault="008B77E5" w:rsidP="008B77E5">
      <w:pPr>
        <w:pStyle w:val="Text"/>
        <w:numPr>
          <w:ilvl w:val="0"/>
          <w:numId w:val="23"/>
        </w:numPr>
      </w:pPr>
      <w:r w:rsidRPr="008B77E5">
        <w:t>whether teaching qualifications contain relevant and contemporary content to support effective practice</w:t>
      </w:r>
    </w:p>
    <w:p w14:paraId="6D9F488F" w14:textId="77777777" w:rsidR="008B77E5" w:rsidRPr="008B77E5" w:rsidRDefault="008B77E5" w:rsidP="008B77E5">
      <w:pPr>
        <w:pStyle w:val="Text"/>
        <w:numPr>
          <w:ilvl w:val="0"/>
          <w:numId w:val="23"/>
        </w:numPr>
      </w:pPr>
      <w:r w:rsidRPr="008B77E5">
        <w:t>the drivers of psychosocial impacts within VET classrooms and the additional wraparound supports that may be required</w:t>
      </w:r>
    </w:p>
    <w:p w14:paraId="12AF8BBD" w14:textId="77777777" w:rsidR="008B77E5" w:rsidRPr="008B77E5" w:rsidRDefault="008B77E5" w:rsidP="008B77E5">
      <w:pPr>
        <w:pStyle w:val="Text"/>
        <w:numPr>
          <w:ilvl w:val="0"/>
          <w:numId w:val="23"/>
        </w:numPr>
      </w:pPr>
      <w:r w:rsidRPr="008B77E5">
        <w:t>the availability and accessibility of professional development opportunities that address both teaching practice and psychosocial wellbeing.</w:t>
      </w:r>
    </w:p>
    <w:p w14:paraId="739099D0" w14:textId="77777777" w:rsidR="008B77E5" w:rsidRPr="008B77E5" w:rsidRDefault="008B77E5" w:rsidP="008B77E5">
      <w:pPr>
        <w:pStyle w:val="Text"/>
      </w:pPr>
      <w:r w:rsidRPr="008B77E5">
        <w:t>The review is structured around the following sections:</w:t>
      </w:r>
    </w:p>
    <w:p w14:paraId="0D69BDB2" w14:textId="77777777" w:rsidR="008B77E5" w:rsidRPr="008B77E5" w:rsidRDefault="008B77E5" w:rsidP="008B77E5">
      <w:pPr>
        <w:pStyle w:val="Text"/>
        <w:numPr>
          <w:ilvl w:val="0"/>
          <w:numId w:val="24"/>
        </w:numPr>
      </w:pPr>
      <w:r w:rsidRPr="008B77E5">
        <w:rPr>
          <w:b/>
          <w:bCs/>
        </w:rPr>
        <w:t>Context:</w:t>
      </w:r>
      <w:r w:rsidRPr="008B77E5">
        <w:t xml:space="preserve"> The complexity of teaching in VET and the VET educator workforce</w:t>
      </w:r>
    </w:p>
    <w:p w14:paraId="2C9F1654" w14:textId="77777777" w:rsidR="008B77E5" w:rsidRPr="008B77E5" w:rsidRDefault="008B77E5" w:rsidP="008B77E5">
      <w:pPr>
        <w:pStyle w:val="Text"/>
        <w:numPr>
          <w:ilvl w:val="0"/>
          <w:numId w:val="24"/>
        </w:numPr>
      </w:pPr>
      <w:r w:rsidRPr="008B77E5">
        <w:rPr>
          <w:b/>
          <w:bCs/>
        </w:rPr>
        <w:t>Effective teaching in VET:</w:t>
      </w:r>
      <w:r w:rsidRPr="008B77E5">
        <w:t xml:space="preserve"> From competence to excellence</w:t>
      </w:r>
    </w:p>
    <w:p w14:paraId="6E2864FC" w14:textId="77777777" w:rsidR="008B77E5" w:rsidRPr="008B77E5" w:rsidRDefault="008B77E5" w:rsidP="008B77E5">
      <w:pPr>
        <w:pStyle w:val="Text"/>
        <w:numPr>
          <w:ilvl w:val="0"/>
          <w:numId w:val="24"/>
        </w:numPr>
      </w:pPr>
      <w:r w:rsidRPr="008B77E5">
        <w:rPr>
          <w:b/>
          <w:bCs/>
        </w:rPr>
        <w:t>Teacher training:</w:t>
      </w:r>
      <w:r w:rsidRPr="008B77E5">
        <w:t xml:space="preserve"> From initial teaching qualifications to ongoing professional development</w:t>
      </w:r>
    </w:p>
    <w:p w14:paraId="1EB71AE6" w14:textId="77777777" w:rsidR="008B77E5" w:rsidRPr="008B77E5" w:rsidRDefault="008B77E5" w:rsidP="008B77E5">
      <w:pPr>
        <w:pStyle w:val="Text"/>
        <w:numPr>
          <w:ilvl w:val="0"/>
          <w:numId w:val="24"/>
        </w:numPr>
      </w:pPr>
      <w:r w:rsidRPr="008B77E5">
        <w:rPr>
          <w:b/>
          <w:bCs/>
        </w:rPr>
        <w:t>Psychosocial impacts:</w:t>
      </w:r>
      <w:r w:rsidRPr="008B77E5">
        <w:t xml:space="preserve"> Implications for students and teachers</w:t>
      </w:r>
    </w:p>
    <w:p w14:paraId="0AC8F5E9" w14:textId="77777777" w:rsidR="008B77E5" w:rsidRDefault="008B77E5" w:rsidP="003203FD">
      <w:pPr>
        <w:pStyle w:val="Text"/>
      </w:pPr>
    </w:p>
    <w:p w14:paraId="072BA894" w14:textId="77777777" w:rsidR="003203FD" w:rsidRPr="003203FD" w:rsidRDefault="003203FD" w:rsidP="003203FD">
      <w:pPr>
        <w:pStyle w:val="Heading2"/>
        <w:rPr>
          <w:lang w:val="en-US"/>
        </w:rPr>
      </w:pPr>
      <w:bookmarkStart w:id="18" w:name="_Toc241507529"/>
      <w:r>
        <w:rPr>
          <w:lang w:val="en-US"/>
        </w:rPr>
        <w:t>C</w:t>
      </w:r>
      <w:r w:rsidRPr="003203FD">
        <w:rPr>
          <w:lang w:val="en-US"/>
        </w:rPr>
        <w:t>ontext</w:t>
      </w:r>
      <w:bookmarkEnd w:id="18"/>
    </w:p>
    <w:p w14:paraId="30EEFB86" w14:textId="77777777" w:rsidR="003203FD" w:rsidRPr="003203FD" w:rsidRDefault="003203FD" w:rsidP="003203FD">
      <w:pPr>
        <w:pStyle w:val="Quote"/>
        <w:rPr>
          <w:lang w:val="en-US"/>
        </w:rPr>
      </w:pPr>
      <w:r w:rsidRPr="003203FD">
        <w:rPr>
          <w:lang w:val="en-US"/>
        </w:rPr>
        <w:t>‘…quality of teaching is the key factor in improving learner achievement…. the quality of an education system cannot exceed the quality of its teachers’ (Faraday, Overton and Cooper (2011, p.5)</w:t>
      </w:r>
    </w:p>
    <w:p w14:paraId="5B3421A3" w14:textId="1EB52553" w:rsidR="003203FD" w:rsidRPr="003203FD" w:rsidRDefault="003203FD" w:rsidP="003203FD">
      <w:pPr>
        <w:pStyle w:val="Text"/>
        <w:rPr>
          <w:lang w:val="en-US"/>
        </w:rPr>
      </w:pPr>
      <w:r w:rsidRPr="003203FD">
        <w:rPr>
          <w:lang w:val="en-US"/>
        </w:rPr>
        <w:t xml:space="preserve">There are many factors that teachers, trainers and assessors </w:t>
      </w:r>
      <w:r w:rsidR="00005323">
        <w:rPr>
          <w:lang w:val="en-US"/>
        </w:rPr>
        <w:t>must</w:t>
      </w:r>
      <w:r w:rsidRPr="003203FD">
        <w:rPr>
          <w:lang w:val="en-US"/>
        </w:rPr>
        <w:t xml:space="preserve"> consider in the delivery of quality vocational education and training (VET) (Misko, Guthrie &amp; Waters 2021, Guthrie &amp; Waters 2022). How to ensure teachers, trainers and assessors are supported and </w:t>
      </w:r>
      <w:r w:rsidR="00011C43" w:rsidRPr="003203FD">
        <w:rPr>
          <w:lang w:val="en-US"/>
        </w:rPr>
        <w:t>can</w:t>
      </w:r>
      <w:r w:rsidRPr="003203FD">
        <w:rPr>
          <w:lang w:val="en-US"/>
        </w:rPr>
        <w:t xml:space="preserve"> access opportunities to develop their capability to address these factors, is an important consideration. Teacher capability itself is also influenced by many considerations, including the type of educational and other qualifications teachers hold, the professional development they undertake, and the environment in which they are teaching. This section of the report explores the complexity of teaching in VET and the VET educator workforce. </w:t>
      </w:r>
    </w:p>
    <w:p w14:paraId="14694139" w14:textId="77777777" w:rsidR="00005323" w:rsidRDefault="00005323">
      <w:pPr>
        <w:spacing w:before="0" w:line="240" w:lineRule="auto"/>
        <w:rPr>
          <w:rFonts w:cs="Tahoma"/>
          <w:color w:val="000000"/>
          <w:sz w:val="24"/>
          <w:lang w:val="en-US"/>
        </w:rPr>
      </w:pPr>
      <w:r>
        <w:rPr>
          <w:lang w:val="en-US"/>
        </w:rPr>
        <w:br w:type="page"/>
      </w:r>
    </w:p>
    <w:p w14:paraId="79FB61DF" w14:textId="32B2E789" w:rsidR="003203FD" w:rsidRPr="003203FD" w:rsidRDefault="003203FD" w:rsidP="003203FD">
      <w:pPr>
        <w:pStyle w:val="Heading3"/>
        <w:rPr>
          <w:lang w:val="en-US"/>
        </w:rPr>
      </w:pPr>
      <w:r w:rsidRPr="003203FD">
        <w:rPr>
          <w:lang w:val="en-US"/>
        </w:rPr>
        <w:lastRenderedPageBreak/>
        <w:t>The complexity of teaching in VET</w:t>
      </w:r>
    </w:p>
    <w:p w14:paraId="7CBA9CA8" w14:textId="77777777" w:rsidR="004D2297" w:rsidRDefault="003203FD" w:rsidP="003203FD">
      <w:pPr>
        <w:pStyle w:val="Text"/>
        <w:rPr>
          <w:lang w:val="en-US"/>
        </w:rPr>
      </w:pPr>
      <w:r w:rsidRPr="003203FD">
        <w:rPr>
          <w:lang w:val="en-US"/>
        </w:rPr>
        <w:t xml:space="preserve">Teaching is a complex activity that is multifaceted in nature. The OECD (2025) describes teaching as ‘a discipline grounded in scientific research, an art requiring creativity, and a craft necessitating constant collaborative reflection and improvement’. While this description was focused on teaching in the school environment, teaching in VET can be considered </w:t>
      </w:r>
      <w:r w:rsidR="00FA6D26">
        <w:rPr>
          <w:lang w:val="en-US"/>
        </w:rPr>
        <w:t>equally</w:t>
      </w:r>
      <w:r w:rsidRPr="003203FD">
        <w:rPr>
          <w:lang w:val="en-US"/>
        </w:rPr>
        <w:t xml:space="preserve"> as complex, </w:t>
      </w:r>
      <w:r w:rsidR="00FA6D26">
        <w:rPr>
          <w:lang w:val="en-US"/>
        </w:rPr>
        <w:t>especially</w:t>
      </w:r>
      <w:r w:rsidRPr="003203FD">
        <w:rPr>
          <w:lang w:val="en-US"/>
        </w:rPr>
        <w:t xml:space="preserve"> due to the diverse student cohort, teaching environments/contexts, the multiple purposes of VET, industry expectation and compliance requirements. </w:t>
      </w:r>
    </w:p>
    <w:p w14:paraId="70CFD389" w14:textId="77777777" w:rsidR="004D2297" w:rsidRPr="00223688" w:rsidRDefault="004D2297" w:rsidP="004D2297">
      <w:pPr>
        <w:pStyle w:val="Text"/>
      </w:pPr>
      <w:r w:rsidRPr="00223688">
        <w:t>Of particular focus in this research is the complex teaching environment in which VET educators operate. Psychosocial challenges within this environment can affect teaching effectiveness and contribute to both workforce retention and learner retention issues. These issues are explored further in the psychosocial section of this report.</w:t>
      </w:r>
    </w:p>
    <w:p w14:paraId="3BE6AB49" w14:textId="6530ED17" w:rsidR="003203FD" w:rsidRPr="003203FD" w:rsidRDefault="003203FD" w:rsidP="003203FD">
      <w:pPr>
        <w:pStyle w:val="Text"/>
        <w:rPr>
          <w:lang w:val="en-US"/>
        </w:rPr>
      </w:pPr>
      <w:r w:rsidRPr="003203FD">
        <w:rPr>
          <w:lang w:val="en-US"/>
        </w:rPr>
        <w:t>Griffin and Davidson (2025) described the multitude of VET teachers’ considerations when designing and delivering VET, which included various aspects of teaching (teaching approaches, identifying and providing learning support needs, ensuring student engagement, and undertaking assessments), alongside content development that meets training package requirements as well as additional industry needs, and evidence gathering for compliance purposes.</w:t>
      </w:r>
    </w:p>
    <w:p w14:paraId="434412C3" w14:textId="77777777" w:rsidR="008C50AF" w:rsidRPr="00D155FF" w:rsidRDefault="003203FD" w:rsidP="003203FD">
      <w:pPr>
        <w:pStyle w:val="Text"/>
        <w:rPr>
          <w:lang w:val="en-US"/>
        </w:rPr>
      </w:pPr>
      <w:r w:rsidRPr="003203FD">
        <w:rPr>
          <w:lang w:val="en-US"/>
        </w:rPr>
        <w:t xml:space="preserve">The human element of teaching should also be acknowledged and embraced. To teach well, and </w:t>
      </w:r>
      <w:r w:rsidR="003E2501">
        <w:rPr>
          <w:lang w:val="en-US"/>
        </w:rPr>
        <w:t>work within</w:t>
      </w:r>
      <w:r w:rsidRPr="003203FD">
        <w:rPr>
          <w:lang w:val="en-US"/>
        </w:rPr>
        <w:t xml:space="preserve"> the complex VET teaching environment, teachers need to draw on their own judgement, </w:t>
      </w:r>
      <w:r w:rsidRPr="00D155FF">
        <w:rPr>
          <w:lang w:val="en-US"/>
        </w:rPr>
        <w:t xml:space="preserve">individual styles and strengths (Griffin &amp; Davidson 2025). </w:t>
      </w:r>
    </w:p>
    <w:p w14:paraId="656F3093" w14:textId="77777777" w:rsidR="003203FD" w:rsidRPr="003203FD" w:rsidRDefault="003203FD" w:rsidP="003203FD">
      <w:pPr>
        <w:pStyle w:val="Heading3"/>
        <w:rPr>
          <w:lang w:val="en-US"/>
        </w:rPr>
      </w:pPr>
      <w:r w:rsidRPr="00D155FF">
        <w:rPr>
          <w:lang w:val="en-US"/>
        </w:rPr>
        <w:t>Who is the VET educator workforce?</w:t>
      </w:r>
    </w:p>
    <w:p w14:paraId="75A754FC" w14:textId="77777777" w:rsidR="003203FD" w:rsidRPr="003203FD" w:rsidRDefault="003203FD" w:rsidP="003203FD">
      <w:pPr>
        <w:pStyle w:val="Text"/>
        <w:rPr>
          <w:lang w:val="en-US"/>
        </w:rPr>
      </w:pPr>
      <w:r w:rsidRPr="003203FD">
        <w:rPr>
          <w:lang w:val="en-US"/>
        </w:rPr>
        <w:t xml:space="preserve">The VET workforce is large and encompasses many different types of roles. Jobs and Skills Australia (2024a) have developed a helpful taxonomy that </w:t>
      </w:r>
      <w:proofErr w:type="spellStart"/>
      <w:r w:rsidRPr="003203FD">
        <w:rPr>
          <w:lang w:val="en-US"/>
        </w:rPr>
        <w:t>categorises</w:t>
      </w:r>
      <w:proofErr w:type="spellEnd"/>
      <w:r w:rsidRPr="003203FD">
        <w:rPr>
          <w:lang w:val="en-US"/>
        </w:rPr>
        <w:t xml:space="preserve"> the VET workforce into six segments:</w:t>
      </w:r>
    </w:p>
    <w:p w14:paraId="2F7442BB" w14:textId="77777777" w:rsidR="003203FD" w:rsidRPr="003203FD" w:rsidRDefault="003203FD" w:rsidP="003203FD">
      <w:pPr>
        <w:pStyle w:val="Dotpoint1"/>
        <w:rPr>
          <w:lang w:val="en-US"/>
        </w:rPr>
      </w:pPr>
      <w:r w:rsidRPr="003203FD">
        <w:rPr>
          <w:lang w:val="en-US"/>
        </w:rPr>
        <w:t>Teach, Train and Assess</w:t>
      </w:r>
    </w:p>
    <w:p w14:paraId="1A30CB17" w14:textId="77777777" w:rsidR="003203FD" w:rsidRPr="003203FD" w:rsidRDefault="003203FD" w:rsidP="003203FD">
      <w:pPr>
        <w:pStyle w:val="Dotpoint1"/>
        <w:rPr>
          <w:lang w:val="en-US"/>
        </w:rPr>
      </w:pPr>
      <w:r w:rsidRPr="003203FD">
        <w:rPr>
          <w:lang w:val="en-US"/>
        </w:rPr>
        <w:t>Curriculum and Learning Design</w:t>
      </w:r>
    </w:p>
    <w:p w14:paraId="5CEBEBF3" w14:textId="77777777" w:rsidR="003203FD" w:rsidRPr="003203FD" w:rsidRDefault="003203FD" w:rsidP="003203FD">
      <w:pPr>
        <w:pStyle w:val="Dotpoint1"/>
        <w:rPr>
          <w:lang w:val="en-US"/>
        </w:rPr>
      </w:pPr>
      <w:r w:rsidRPr="003203FD">
        <w:rPr>
          <w:lang w:val="en-US"/>
        </w:rPr>
        <w:t>Quality Assurance and Compliance</w:t>
      </w:r>
    </w:p>
    <w:p w14:paraId="61C7A4C3" w14:textId="77777777" w:rsidR="003203FD" w:rsidRPr="003203FD" w:rsidRDefault="003203FD" w:rsidP="003203FD">
      <w:pPr>
        <w:pStyle w:val="Dotpoint1"/>
        <w:rPr>
          <w:lang w:val="en-US"/>
        </w:rPr>
      </w:pPr>
      <w:r w:rsidRPr="003203FD">
        <w:rPr>
          <w:lang w:val="en-US"/>
        </w:rPr>
        <w:t>Leadership</w:t>
      </w:r>
    </w:p>
    <w:p w14:paraId="4308C4BA" w14:textId="77777777" w:rsidR="003203FD" w:rsidRPr="003203FD" w:rsidRDefault="003203FD" w:rsidP="003203FD">
      <w:pPr>
        <w:pStyle w:val="Dotpoint1"/>
        <w:rPr>
          <w:lang w:val="en-US"/>
        </w:rPr>
      </w:pPr>
      <w:r w:rsidRPr="003203FD">
        <w:rPr>
          <w:lang w:val="en-US"/>
        </w:rPr>
        <w:t>Learning Support</w:t>
      </w:r>
    </w:p>
    <w:p w14:paraId="426FDF06" w14:textId="77777777" w:rsidR="003203FD" w:rsidRPr="003203FD" w:rsidRDefault="003203FD" w:rsidP="003203FD">
      <w:pPr>
        <w:pStyle w:val="Dotpoint1"/>
        <w:rPr>
          <w:lang w:val="en-US"/>
        </w:rPr>
      </w:pPr>
      <w:r w:rsidRPr="003203FD">
        <w:rPr>
          <w:lang w:val="en-US"/>
        </w:rPr>
        <w:t>Administration and Operations.</w:t>
      </w:r>
    </w:p>
    <w:p w14:paraId="58CBBFA5" w14:textId="2A1C30EE" w:rsidR="003203FD" w:rsidRPr="003203FD" w:rsidRDefault="003203FD" w:rsidP="003203FD">
      <w:pPr>
        <w:pStyle w:val="Text"/>
        <w:rPr>
          <w:lang w:val="en-US"/>
        </w:rPr>
      </w:pPr>
      <w:r w:rsidRPr="003203FD">
        <w:rPr>
          <w:lang w:val="en-US"/>
        </w:rPr>
        <w:t xml:space="preserve">This project is focused primarily on the first of </w:t>
      </w:r>
      <w:r w:rsidR="00E37657">
        <w:rPr>
          <w:lang w:val="en-US"/>
        </w:rPr>
        <w:t>these segments</w:t>
      </w:r>
      <w:r w:rsidRPr="003203FD">
        <w:rPr>
          <w:lang w:val="en-US"/>
        </w:rPr>
        <w:t xml:space="preserve">: those who teach, train and assess. </w:t>
      </w:r>
    </w:p>
    <w:p w14:paraId="1B840E4F" w14:textId="21A4B67B" w:rsidR="003203FD" w:rsidRPr="003203FD" w:rsidRDefault="003203FD" w:rsidP="003203FD">
      <w:pPr>
        <w:pStyle w:val="Text"/>
        <w:rPr>
          <w:lang w:val="en-US"/>
        </w:rPr>
      </w:pPr>
      <w:r w:rsidRPr="003203FD">
        <w:rPr>
          <w:lang w:val="en-US"/>
        </w:rPr>
        <w:t xml:space="preserve">Jobs and Skills Australia (2024) also provide an occupational framework that sits within the ‘teach, train and assess’ category, </w:t>
      </w:r>
      <w:r w:rsidR="00DA2B13">
        <w:rPr>
          <w:lang w:val="en-US"/>
        </w:rPr>
        <w:t>describing</w:t>
      </w:r>
      <w:r w:rsidRPr="003203FD">
        <w:rPr>
          <w:lang w:val="en-US"/>
        </w:rPr>
        <w:t xml:space="preserve"> a spectrum of roles including teachers who are ‘working under supervision’, roles that range from a focused to broad scope, and specific teaching roles such as those in secondary schools and those delivering literacy and numeracy skills. This framework highlights the diversity of teaching roles in VET and </w:t>
      </w:r>
      <w:r w:rsidR="00F40E1E">
        <w:rPr>
          <w:lang w:val="en-US"/>
        </w:rPr>
        <w:t>the</w:t>
      </w:r>
      <w:r w:rsidRPr="003203FD">
        <w:rPr>
          <w:lang w:val="en-US"/>
        </w:rPr>
        <w:t xml:space="preserve"> scopes of practice they have.</w:t>
      </w:r>
    </w:p>
    <w:p w14:paraId="3425BFB9" w14:textId="74EA2A3D" w:rsidR="003203FD" w:rsidRPr="003203FD" w:rsidRDefault="003203FD" w:rsidP="003203FD">
      <w:pPr>
        <w:pStyle w:val="Text"/>
        <w:rPr>
          <w:lang w:val="en-US"/>
        </w:rPr>
      </w:pPr>
      <w:r w:rsidRPr="0405A908">
        <w:rPr>
          <w:lang w:val="en-US"/>
        </w:rPr>
        <w:lastRenderedPageBreak/>
        <w:t xml:space="preserve">There are various job roles </w:t>
      </w:r>
      <w:r w:rsidR="005F4905" w:rsidRPr="0405A908">
        <w:rPr>
          <w:lang w:val="en-US"/>
        </w:rPr>
        <w:t xml:space="preserve">(and associated titles) </w:t>
      </w:r>
      <w:r w:rsidRPr="0405A908">
        <w:rPr>
          <w:lang w:val="en-US"/>
        </w:rPr>
        <w:t>that fall under the teach, train and assess category, including (but not limited to): Head Teacher, VET Teacher, TAFE Lecturer, Senior Trainer and Assessor, Assessor, and LLN Practitioner (Jobs and Skills Australia 2024a). It is important to note that those who teach, train and assess in the VET sector also self-identify with specific job titles and descriptions of what they do. Guthrie and Waters (2022) explain that the meanings ascribed to different terms, such as VET ‘teacher’ and ‘trainer’ can differ. For simplicity, this report will use various terms interchangeably, encapsulating all the various descriptors that might be used (including ‘teacher’, ‘trainer’, ‘</w:t>
      </w:r>
      <w:r w:rsidR="00AD5FB1" w:rsidRPr="0405A908">
        <w:rPr>
          <w:lang w:val="en-US"/>
        </w:rPr>
        <w:t>educator’, ‘</w:t>
      </w:r>
      <w:r w:rsidRPr="0405A908">
        <w:rPr>
          <w:lang w:val="en-US"/>
        </w:rPr>
        <w:t xml:space="preserve">lecturer’, ‘practitioner’ and ‘facilitator’). </w:t>
      </w:r>
    </w:p>
    <w:p w14:paraId="2738D993" w14:textId="77777777" w:rsidR="003203FD" w:rsidRPr="003203FD" w:rsidRDefault="003203FD" w:rsidP="003203FD">
      <w:pPr>
        <w:pStyle w:val="Text"/>
        <w:rPr>
          <w:lang w:val="en-US"/>
        </w:rPr>
      </w:pPr>
      <w:r w:rsidRPr="003203FD">
        <w:rPr>
          <w:lang w:val="en-US"/>
        </w:rPr>
        <w:t>It should also be noted that some VET teachers may identify more strongly with their industry role, especially if they are still working in that field. This can influence how they think about their teaching role (Guthrie &amp; Waters 2022; Griffin &amp; Davidson 2025) and can interfere with accurate VET workforce data collection, as described by Jobs and Skills Australia (JSA 2024a).</w:t>
      </w:r>
    </w:p>
    <w:p w14:paraId="4AFFAD2D" w14:textId="23CF7C79" w:rsidR="003203FD" w:rsidRPr="003203FD" w:rsidRDefault="003203FD" w:rsidP="003203FD">
      <w:pPr>
        <w:pStyle w:val="Text"/>
        <w:rPr>
          <w:lang w:val="en-US"/>
        </w:rPr>
      </w:pPr>
      <w:r w:rsidRPr="003203FD">
        <w:rPr>
          <w:lang w:val="en-US"/>
        </w:rPr>
        <w:t xml:space="preserve">The VET teacher workforce is also diverse in other ways. Some of this diversity is due to the various pathways into VET </w:t>
      </w:r>
      <w:r w:rsidR="00D1663F">
        <w:rPr>
          <w:lang w:val="en-US"/>
        </w:rPr>
        <w:t>teaching roles</w:t>
      </w:r>
      <w:r w:rsidRPr="003203FD">
        <w:rPr>
          <w:lang w:val="en-US"/>
        </w:rPr>
        <w:t>, which result in a workforce that has different professional backgrounds, skills and prior experiences. These pathways and other contributors to the diversity in the VET workforce include:</w:t>
      </w:r>
    </w:p>
    <w:p w14:paraId="4DA369D8" w14:textId="683E64EB" w:rsidR="003203FD" w:rsidRPr="003203FD" w:rsidRDefault="003203FD" w:rsidP="003203FD">
      <w:pPr>
        <w:pStyle w:val="Dotpoint1"/>
        <w:rPr>
          <w:lang w:val="en-US"/>
        </w:rPr>
      </w:pPr>
      <w:r w:rsidRPr="003203FD">
        <w:rPr>
          <w:lang w:val="en-US"/>
        </w:rPr>
        <w:t xml:space="preserve">Qualifications held — a unique characteristic of the VET teacher workforce is their dual professionalism. Those who teach, train and assess are required, as set out by the Standard for RTOs, to hold both a vocational qualification and a teaching </w:t>
      </w:r>
      <w:r w:rsidR="00AD5FB1" w:rsidRPr="003203FD">
        <w:rPr>
          <w:lang w:val="en-US"/>
        </w:rPr>
        <w:t>qualification.</w:t>
      </w:r>
      <w:r w:rsidRPr="003203FD">
        <w:rPr>
          <w:lang w:val="en-US"/>
        </w:rPr>
        <w:t xml:space="preserve"> The various qualification pathways taken by VET teachers </w:t>
      </w:r>
      <w:r w:rsidR="00803C8D" w:rsidRPr="003203FD">
        <w:rPr>
          <w:lang w:val="en-US"/>
        </w:rPr>
        <w:t>are</w:t>
      </w:r>
      <w:r w:rsidRPr="003203FD">
        <w:rPr>
          <w:lang w:val="en-US"/>
        </w:rPr>
        <w:t xml:space="preserve"> explored further in the ‘Teacher training’ section. </w:t>
      </w:r>
    </w:p>
    <w:p w14:paraId="11205CC9" w14:textId="77777777" w:rsidR="003203FD" w:rsidRPr="003203FD" w:rsidRDefault="003203FD" w:rsidP="003203FD">
      <w:pPr>
        <w:pStyle w:val="Dotpoint1"/>
        <w:rPr>
          <w:lang w:val="en-US"/>
        </w:rPr>
      </w:pPr>
      <w:r w:rsidRPr="003203FD">
        <w:rPr>
          <w:lang w:val="en-US"/>
        </w:rPr>
        <w:t xml:space="preserve">Teaching experience — VET teachers can be considered as being situated somewhere on a spectrum from novice to experienced. This spectrum has been further articulated in work by the TAFE Development Centre, which </w:t>
      </w:r>
      <w:proofErr w:type="spellStart"/>
      <w:r w:rsidRPr="003203FD">
        <w:rPr>
          <w:lang w:val="en-US"/>
        </w:rPr>
        <w:t>categorised</w:t>
      </w:r>
      <w:proofErr w:type="spellEnd"/>
      <w:r w:rsidRPr="003203FD">
        <w:rPr>
          <w:lang w:val="en-US"/>
        </w:rPr>
        <w:t xml:space="preserve"> VET practitioners in three ways: new entrant, accomplished practitioner, and educational leader (Tyler and Dymock 2017). Many of the teacher capability frameworks also account for the different levels of experience that a VET teacher may have, as do individual training providers (Jobs and Skills Australia 2024a). This is discussed further in the ‘Effective teaching: from competence to excellence’ section.</w:t>
      </w:r>
    </w:p>
    <w:p w14:paraId="21945247" w14:textId="77777777" w:rsidR="003203FD" w:rsidRPr="003203FD" w:rsidRDefault="003203FD" w:rsidP="003203FD">
      <w:pPr>
        <w:pStyle w:val="Dotpoint1"/>
        <w:rPr>
          <w:lang w:val="en-US"/>
        </w:rPr>
      </w:pPr>
      <w:r w:rsidRPr="003203FD">
        <w:rPr>
          <w:lang w:val="en-US"/>
        </w:rPr>
        <w:t xml:space="preserve">Employment conditions — VET teachers may work full-time, but many are part-time, casual, may work across multiple RTOs, and may be working simultaneously in industry (Jobs and Skills Australia 2024a). These different employment conditions can influence the teaching approaches used (Griffin &amp; Davidson 2025) and the professional development of teachers, as elaborated in the ‘Teacher training’ section. </w:t>
      </w:r>
    </w:p>
    <w:p w14:paraId="52253DAA" w14:textId="419E6CF5" w:rsidR="003203FD" w:rsidRPr="003203FD" w:rsidRDefault="003203FD" w:rsidP="003203FD">
      <w:pPr>
        <w:pStyle w:val="Text"/>
        <w:rPr>
          <w:lang w:val="en-US"/>
        </w:rPr>
      </w:pPr>
      <w:r w:rsidRPr="003203FD">
        <w:rPr>
          <w:lang w:val="en-US"/>
        </w:rPr>
        <w:t>Understanding the characteristics of the VET teacher workforce is complicated by the fact that comprehensive data is lacking</w:t>
      </w:r>
      <w:r w:rsidR="00F3636D">
        <w:rPr>
          <w:lang w:val="en-US"/>
        </w:rPr>
        <w:t xml:space="preserve">, </w:t>
      </w:r>
      <w:r w:rsidR="008E12DE">
        <w:rPr>
          <w:lang w:val="en-US"/>
        </w:rPr>
        <w:t xml:space="preserve">as described by </w:t>
      </w:r>
      <w:r w:rsidRPr="003203FD">
        <w:rPr>
          <w:lang w:val="en-US"/>
        </w:rPr>
        <w:t xml:space="preserve">Jobs and Skills Australia </w:t>
      </w:r>
      <w:r w:rsidR="00F3636D">
        <w:rPr>
          <w:lang w:val="en-US"/>
        </w:rPr>
        <w:t>(</w:t>
      </w:r>
      <w:r w:rsidRPr="003203FD">
        <w:rPr>
          <w:lang w:val="en-US"/>
        </w:rPr>
        <w:t xml:space="preserve">2024a). Acknowledging the limitations of the available data, the VET teacher workforce displays the following characteristics. It is: </w:t>
      </w:r>
    </w:p>
    <w:p w14:paraId="79BB94B8" w14:textId="77777777" w:rsidR="003203FD" w:rsidRPr="003203FD" w:rsidRDefault="003203FD" w:rsidP="003203FD">
      <w:pPr>
        <w:pStyle w:val="Dotpoint1"/>
        <w:rPr>
          <w:lang w:val="en-US"/>
        </w:rPr>
      </w:pPr>
      <w:r w:rsidRPr="003203FD">
        <w:rPr>
          <w:lang w:val="en-US"/>
        </w:rPr>
        <w:t xml:space="preserve">older and ageing. The average age of the ‘teach, train and assess’ category of the VET workforce is 48.1 years (JSA 2024a). This can, at least partly, be explained by the fact that </w:t>
      </w:r>
      <w:r w:rsidRPr="003203FD">
        <w:rPr>
          <w:lang w:val="en-US"/>
        </w:rPr>
        <w:lastRenderedPageBreak/>
        <w:t>teaching is often a second or third career, with many VET teachers starting in industry (Smith 2025).</w:t>
      </w:r>
    </w:p>
    <w:p w14:paraId="2C45619D" w14:textId="77777777" w:rsidR="003203FD" w:rsidRPr="003203FD" w:rsidRDefault="003203FD" w:rsidP="003203FD">
      <w:pPr>
        <w:pStyle w:val="Dotpoint1"/>
        <w:rPr>
          <w:lang w:val="en-US"/>
        </w:rPr>
      </w:pPr>
      <w:r w:rsidRPr="003203FD">
        <w:rPr>
          <w:lang w:val="en-US"/>
        </w:rPr>
        <w:t>relatively evenly split by gender (51.1% female, JSA 2024a). Other segments of the VET workforce are more female dominated (57.2% female overall, JSA 2024a).</w:t>
      </w:r>
    </w:p>
    <w:p w14:paraId="7CBE86CB" w14:textId="77777777" w:rsidR="003203FD" w:rsidRPr="003203FD" w:rsidRDefault="003203FD" w:rsidP="003203FD">
      <w:pPr>
        <w:pStyle w:val="Dotpoint1"/>
        <w:rPr>
          <w:lang w:val="en-US"/>
        </w:rPr>
      </w:pPr>
      <w:r w:rsidRPr="003203FD">
        <w:rPr>
          <w:lang w:val="en-US"/>
        </w:rPr>
        <w:t xml:space="preserve">lacking in diversity regarding First Nations status (1.8%), those born overseas (31.4%) and those who speak a language other than English (18.2%) (JSA 2024a). </w:t>
      </w:r>
    </w:p>
    <w:p w14:paraId="344613E1" w14:textId="77777777" w:rsidR="003203FD" w:rsidRPr="003203FD" w:rsidRDefault="003203FD" w:rsidP="003203FD">
      <w:pPr>
        <w:pStyle w:val="Dotpoint1"/>
        <w:rPr>
          <w:lang w:val="en-US"/>
        </w:rPr>
      </w:pPr>
      <w:r w:rsidRPr="003203FD">
        <w:rPr>
          <w:lang w:val="en-US"/>
        </w:rPr>
        <w:t xml:space="preserve">relatively highly qualified compared to the overall </w:t>
      </w:r>
      <w:proofErr w:type="spellStart"/>
      <w:r w:rsidRPr="003203FD">
        <w:rPr>
          <w:lang w:val="en-US"/>
        </w:rPr>
        <w:t>labour</w:t>
      </w:r>
      <w:proofErr w:type="spellEnd"/>
      <w:r w:rsidRPr="003203FD">
        <w:rPr>
          <w:lang w:val="en-US"/>
        </w:rPr>
        <w:t xml:space="preserve"> market. This likely relates to the dual professionalism nature of VET teachers, as explained above.</w:t>
      </w:r>
    </w:p>
    <w:p w14:paraId="7F757B92" w14:textId="77777777" w:rsidR="003203FD" w:rsidRPr="003203FD" w:rsidRDefault="003203FD" w:rsidP="003203FD">
      <w:pPr>
        <w:pStyle w:val="Dotpoint1"/>
        <w:rPr>
          <w:lang w:val="en-US"/>
        </w:rPr>
      </w:pPr>
      <w:r w:rsidRPr="003203FD">
        <w:rPr>
          <w:lang w:val="en-US"/>
        </w:rPr>
        <w:t xml:space="preserve">largely composed of permanent staff (55.8%), but a higher proportion of VET teachers are employed on a fixed term or casual basis compared to the Australian workforce at large (14.8% and 27.3% compared to 5.0% and 21.1%) (JSA 2024a). This more </w:t>
      </w:r>
      <w:proofErr w:type="spellStart"/>
      <w:r w:rsidRPr="003203FD">
        <w:rPr>
          <w:lang w:val="en-US"/>
        </w:rPr>
        <w:t>casualised</w:t>
      </w:r>
      <w:proofErr w:type="spellEnd"/>
      <w:r w:rsidRPr="003203FD">
        <w:rPr>
          <w:lang w:val="en-US"/>
        </w:rPr>
        <w:t xml:space="preserve"> employment status can influence support and professional development opportunities for teachers, as discussed in the ‘teacher training’ section. </w:t>
      </w:r>
    </w:p>
    <w:p w14:paraId="59129243" w14:textId="687641BA" w:rsidR="003203FD" w:rsidRPr="003203FD" w:rsidRDefault="009F7E66" w:rsidP="003203FD">
      <w:pPr>
        <w:pStyle w:val="Text"/>
        <w:rPr>
          <w:lang w:val="en-US"/>
        </w:rPr>
      </w:pPr>
      <w:r>
        <w:rPr>
          <w:lang w:val="en-US"/>
        </w:rPr>
        <w:t>O</w:t>
      </w:r>
      <w:r w:rsidR="003203FD" w:rsidRPr="003203FD">
        <w:rPr>
          <w:lang w:val="en-US"/>
        </w:rPr>
        <w:t>ther elements of diversity stem from the teaching environment, as discussed below.</w:t>
      </w:r>
    </w:p>
    <w:p w14:paraId="388208DB" w14:textId="77777777" w:rsidR="003203FD" w:rsidRPr="003203FD" w:rsidRDefault="003203FD" w:rsidP="003203FD">
      <w:pPr>
        <w:pStyle w:val="Heading3"/>
        <w:rPr>
          <w:lang w:val="en-US"/>
        </w:rPr>
      </w:pPr>
      <w:r w:rsidRPr="003203FD">
        <w:rPr>
          <w:lang w:val="en-US"/>
        </w:rPr>
        <w:t>The complex teaching environment</w:t>
      </w:r>
    </w:p>
    <w:p w14:paraId="6F9A7E57" w14:textId="77777777" w:rsidR="003203FD" w:rsidRPr="003203FD" w:rsidRDefault="003203FD" w:rsidP="003203FD">
      <w:pPr>
        <w:pStyle w:val="Text"/>
        <w:rPr>
          <w:lang w:val="en-US"/>
        </w:rPr>
      </w:pPr>
      <w:r w:rsidRPr="003203FD">
        <w:rPr>
          <w:lang w:val="en-US"/>
        </w:rPr>
        <w:t xml:space="preserve">The diversity in the VET educator workforce is heavily influenced by the complex structures of the VET sector and varied teaching environments in which teachers work. Environmental factors that can affect how teachers’ job roles are shaped include: the jurisdiction in which they are working (and the regulatory and policy context in place), different industries, the size and type of the RTO(s) in which they are delivering, the needs of different learner groups, and the delivery mode being used. </w:t>
      </w:r>
    </w:p>
    <w:p w14:paraId="14EDC612" w14:textId="77777777" w:rsidR="003203FD" w:rsidRPr="003203FD" w:rsidRDefault="003203FD" w:rsidP="003203FD">
      <w:pPr>
        <w:pStyle w:val="Text"/>
        <w:rPr>
          <w:lang w:val="en-US"/>
        </w:rPr>
      </w:pPr>
      <w:r w:rsidRPr="003203FD">
        <w:rPr>
          <w:lang w:val="en-US"/>
        </w:rPr>
        <w:t xml:space="preserve">There are many different provider types in the Australian VET sector: TAFEs, private training providers, schools, dual sector universities, and enterprise and community-based adult education providers. To improve understanding of these different providers and the functions they play, a typology has been developed that creates ‘groups of like RTOs’ (Figure 1, JSA 2024b). </w:t>
      </w:r>
    </w:p>
    <w:p w14:paraId="00D45AC3" w14:textId="753AC383" w:rsidR="003203FD" w:rsidRPr="003203FD" w:rsidRDefault="003203FD" w:rsidP="003203FD">
      <w:pPr>
        <w:pStyle w:val="Text"/>
        <w:rPr>
          <w:lang w:val="en-US"/>
        </w:rPr>
      </w:pPr>
      <w:r w:rsidRPr="003203FD">
        <w:rPr>
          <w:lang w:val="en-US"/>
        </w:rPr>
        <w:t xml:space="preserve">Not only </w:t>
      </w:r>
      <w:r w:rsidR="00392D28">
        <w:rPr>
          <w:lang w:val="en-US"/>
        </w:rPr>
        <w:t>can</w:t>
      </w:r>
      <w:r w:rsidRPr="003203FD">
        <w:rPr>
          <w:lang w:val="en-US"/>
        </w:rPr>
        <w:t xml:space="preserve"> teaching roles look different in each of these broader RTO types (JSA 2024b), but they also may differ at the ‘segment’ level, as shown in figure 1. For example, teacher roles may vary by:</w:t>
      </w:r>
    </w:p>
    <w:p w14:paraId="6DAAA37C" w14:textId="77777777" w:rsidR="003203FD" w:rsidRPr="003203FD" w:rsidRDefault="003203FD" w:rsidP="003203FD">
      <w:pPr>
        <w:pStyle w:val="Dotpoint1"/>
        <w:rPr>
          <w:lang w:val="en-US"/>
        </w:rPr>
      </w:pPr>
      <w:r w:rsidRPr="003203FD">
        <w:rPr>
          <w:lang w:val="en-US"/>
        </w:rPr>
        <w:t>RTO size</w:t>
      </w:r>
    </w:p>
    <w:p w14:paraId="464EB22D" w14:textId="77777777" w:rsidR="003203FD" w:rsidRPr="003203FD" w:rsidRDefault="003203FD" w:rsidP="003203FD">
      <w:pPr>
        <w:pStyle w:val="Dotpoint1"/>
        <w:rPr>
          <w:lang w:val="en-US"/>
        </w:rPr>
      </w:pPr>
      <w:r w:rsidRPr="003203FD">
        <w:rPr>
          <w:lang w:val="en-US"/>
        </w:rPr>
        <w:t>funding arrangement</w:t>
      </w:r>
    </w:p>
    <w:p w14:paraId="54163D8A" w14:textId="77777777" w:rsidR="003203FD" w:rsidRPr="003203FD" w:rsidRDefault="003203FD" w:rsidP="003203FD">
      <w:pPr>
        <w:pStyle w:val="Dotpoint1"/>
        <w:rPr>
          <w:lang w:val="en-US"/>
        </w:rPr>
      </w:pPr>
      <w:r w:rsidRPr="003203FD">
        <w:rPr>
          <w:lang w:val="en-US"/>
        </w:rPr>
        <w:t>industry</w:t>
      </w:r>
    </w:p>
    <w:p w14:paraId="7443C520" w14:textId="77777777" w:rsidR="003203FD" w:rsidRPr="003203FD" w:rsidRDefault="003203FD" w:rsidP="003203FD">
      <w:pPr>
        <w:pStyle w:val="Dotpoint1"/>
        <w:rPr>
          <w:lang w:val="en-US"/>
        </w:rPr>
      </w:pPr>
      <w:r w:rsidRPr="003203FD">
        <w:rPr>
          <w:lang w:val="en-US"/>
        </w:rPr>
        <w:t>location (e.g. metropolitan versus regional)</w:t>
      </w:r>
    </w:p>
    <w:p w14:paraId="66EE4F57" w14:textId="77777777" w:rsidR="003203FD" w:rsidRPr="003203FD" w:rsidRDefault="003203FD" w:rsidP="003203FD">
      <w:pPr>
        <w:pStyle w:val="Dotpoint1"/>
        <w:rPr>
          <w:lang w:val="en-US"/>
        </w:rPr>
      </w:pPr>
      <w:r w:rsidRPr="003203FD">
        <w:rPr>
          <w:lang w:val="en-US"/>
        </w:rPr>
        <w:t>student cohorts (e.g. school students, First Nations, international)</w:t>
      </w:r>
    </w:p>
    <w:p w14:paraId="5F669A0A" w14:textId="77777777" w:rsidR="003203FD" w:rsidRPr="003203FD" w:rsidRDefault="003203FD" w:rsidP="003203FD">
      <w:pPr>
        <w:pStyle w:val="Dotpoint1"/>
        <w:rPr>
          <w:lang w:val="en-US"/>
        </w:rPr>
      </w:pPr>
      <w:r w:rsidRPr="003203FD">
        <w:rPr>
          <w:lang w:val="en-US"/>
        </w:rPr>
        <w:t>program type (e.g. qualifications, short courses) and AQF level</w:t>
      </w:r>
    </w:p>
    <w:p w14:paraId="7E305EE0" w14:textId="77777777" w:rsidR="003203FD" w:rsidRPr="003203FD" w:rsidRDefault="003203FD" w:rsidP="003203FD">
      <w:pPr>
        <w:pStyle w:val="Dotpoint1"/>
        <w:rPr>
          <w:lang w:val="en-US"/>
        </w:rPr>
      </w:pPr>
      <w:r w:rsidRPr="003203FD">
        <w:rPr>
          <w:lang w:val="en-US"/>
        </w:rPr>
        <w:t xml:space="preserve">delivery mode (e.g. online delivery, classroom delivery, workplace delivery, apprenticeship/traineeship models).   </w:t>
      </w:r>
    </w:p>
    <w:p w14:paraId="20B4B123" w14:textId="77777777" w:rsidR="003203FD" w:rsidRDefault="003203FD" w:rsidP="003203FD">
      <w:pPr>
        <w:pStyle w:val="Text"/>
        <w:rPr>
          <w:lang w:val="en-US"/>
        </w:rPr>
      </w:pPr>
      <w:r w:rsidRPr="003203FD">
        <w:rPr>
          <w:lang w:val="en-US"/>
        </w:rPr>
        <w:lastRenderedPageBreak/>
        <w:t xml:space="preserve">The diversity described in this chapter, in teacher demographics, VET teaching pathways and qualifications, and the complex nature of the VET sector, often leads researchers and sector commentators to the conclusion that ‘one size fits all’ never seems to work in the Australian VET context. A more nuanced view is needed, including in consideration of strengthening teaching practices. </w:t>
      </w:r>
    </w:p>
    <w:p w14:paraId="3F08415A" w14:textId="173BF493" w:rsidR="003203FD" w:rsidRDefault="003203FD">
      <w:pPr>
        <w:spacing w:before="0" w:line="240" w:lineRule="auto"/>
        <w:rPr>
          <w:lang w:val="en-US"/>
        </w:rPr>
      </w:pPr>
    </w:p>
    <w:p w14:paraId="3ABFE9F2" w14:textId="7C7FE44C" w:rsidR="003203FD" w:rsidRPr="00023A13" w:rsidRDefault="00CB4A8B" w:rsidP="00023A13">
      <w:pPr>
        <w:pStyle w:val="Figuretitle"/>
      </w:pPr>
      <w:bookmarkStart w:id="19" w:name="_Toc241677069"/>
      <w:bookmarkStart w:id="20" w:name="_Toc241742248"/>
      <w:r w:rsidRPr="00023A13">
        <w:rPr>
          <w:noProof/>
        </w:rPr>
        <w:drawing>
          <wp:anchor distT="0" distB="0" distL="114300" distR="114300" simplePos="0" relativeHeight="251658247" behindDoc="0" locked="0" layoutInCell="1" allowOverlap="1" wp14:anchorId="73302C87" wp14:editId="61587F42">
            <wp:simplePos x="0" y="0"/>
            <wp:positionH relativeFrom="margin">
              <wp:posOffset>-29845</wp:posOffset>
            </wp:positionH>
            <wp:positionV relativeFrom="page">
              <wp:posOffset>2432709</wp:posOffset>
            </wp:positionV>
            <wp:extent cx="5761355" cy="5035550"/>
            <wp:effectExtent l="0" t="0" r="4445" b="6350"/>
            <wp:wrapTopAndBottom/>
            <wp:docPr id="88231534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61355" cy="5035550"/>
                    </a:xfrm>
                    <a:prstGeom prst="rect">
                      <a:avLst/>
                    </a:prstGeom>
                    <a:noFill/>
                  </pic:spPr>
                </pic:pic>
              </a:graphicData>
            </a:graphic>
          </wp:anchor>
        </w:drawing>
      </w:r>
      <w:r w:rsidR="003203FD" w:rsidRPr="00023A13">
        <w:t>Figure 1 The RTO typology developed by Jobs and Skills Australia</w:t>
      </w:r>
      <w:bookmarkEnd w:id="19"/>
      <w:bookmarkEnd w:id="20"/>
    </w:p>
    <w:p w14:paraId="3D73C82C" w14:textId="6EB3A2F8" w:rsidR="00CB4A8B" w:rsidRDefault="00CB4A8B" w:rsidP="003203FD">
      <w:pPr>
        <w:pStyle w:val="Source"/>
      </w:pPr>
    </w:p>
    <w:p w14:paraId="6F7EB0FE" w14:textId="64EEEFD6" w:rsidR="003203FD" w:rsidRDefault="003203FD" w:rsidP="003203FD">
      <w:pPr>
        <w:pStyle w:val="Source"/>
      </w:pPr>
      <w:r>
        <w:t>Source: Jobs and Skills Australia (2024b, p. 5)</w:t>
      </w:r>
    </w:p>
    <w:p w14:paraId="6A58F66F" w14:textId="77777777" w:rsidR="003203FD" w:rsidRDefault="003203FD" w:rsidP="003203FD">
      <w:pPr>
        <w:pStyle w:val="Source"/>
      </w:pPr>
    </w:p>
    <w:p w14:paraId="7294203E" w14:textId="77777777" w:rsidR="00FC39C9" w:rsidRDefault="00FC39C9">
      <w:pPr>
        <w:spacing w:before="0" w:line="240" w:lineRule="auto"/>
        <w:rPr>
          <w:rFonts w:cs="Tahoma"/>
          <w:b/>
          <w:sz w:val="28"/>
        </w:rPr>
      </w:pPr>
      <w:bookmarkStart w:id="21" w:name="_Toc207377776"/>
      <w:r>
        <w:br w:type="page"/>
      </w:r>
    </w:p>
    <w:p w14:paraId="71F2EB65" w14:textId="7FAEDE53" w:rsidR="0092765D" w:rsidRDefault="0092765D" w:rsidP="0092765D">
      <w:pPr>
        <w:pStyle w:val="Heading2"/>
      </w:pPr>
      <w:bookmarkStart w:id="22" w:name="_Toc241507530"/>
      <w:r>
        <w:lastRenderedPageBreak/>
        <w:t>Effective teaching in VET: from competence to excellence</w:t>
      </w:r>
      <w:bookmarkEnd w:id="21"/>
      <w:bookmarkEnd w:id="22"/>
    </w:p>
    <w:p w14:paraId="0F3D7130" w14:textId="77777777" w:rsidR="0092765D" w:rsidRDefault="0092765D" w:rsidP="0092765D">
      <w:pPr>
        <w:pStyle w:val="Heading3"/>
        <w:rPr>
          <w:rFonts w:eastAsia="Arial"/>
        </w:rPr>
      </w:pPr>
      <w:bookmarkStart w:id="23" w:name="_Toc207377777"/>
      <w:r w:rsidRPr="004074C5">
        <w:rPr>
          <w:rFonts w:eastAsia="Arial"/>
        </w:rPr>
        <w:t>RTO standards</w:t>
      </w:r>
      <w:r>
        <w:rPr>
          <w:rFonts w:eastAsia="Arial"/>
        </w:rPr>
        <w:t>: shaping VET delivery and setting the benchmark</w:t>
      </w:r>
      <w:bookmarkEnd w:id="23"/>
    </w:p>
    <w:p w14:paraId="432BFCB4" w14:textId="77777777" w:rsidR="0092765D" w:rsidRDefault="0092765D" w:rsidP="0092765D">
      <w:pPr>
        <w:pStyle w:val="Text"/>
        <w:rPr>
          <w:rFonts w:eastAsia="Arial"/>
        </w:rPr>
      </w:pPr>
      <w:r w:rsidRPr="0077061E">
        <w:rPr>
          <w:rFonts w:eastAsia="Arial"/>
        </w:rPr>
        <w:t xml:space="preserve">The revised 2025 Standards are positioned as the benchmark for </w:t>
      </w:r>
      <w:r>
        <w:rPr>
          <w:rFonts w:eastAsia="Arial"/>
        </w:rPr>
        <w:t>ensuring</w:t>
      </w:r>
      <w:r w:rsidRPr="0077061E">
        <w:rPr>
          <w:rFonts w:eastAsia="Arial"/>
        </w:rPr>
        <w:t xml:space="preserve"> quality and integrity in VET, supported </w:t>
      </w:r>
      <w:r>
        <w:rPr>
          <w:rFonts w:eastAsia="Arial"/>
        </w:rPr>
        <w:t>nationally</w:t>
      </w:r>
      <w:r w:rsidRPr="0077061E">
        <w:rPr>
          <w:rFonts w:eastAsia="Arial"/>
        </w:rPr>
        <w:t xml:space="preserve"> with the ambition of enabling a more flexible, robust, and quality-driven approach to regulation (Australian Government 202</w:t>
      </w:r>
      <w:r>
        <w:rPr>
          <w:rFonts w:eastAsia="Arial"/>
        </w:rPr>
        <w:t>5a</w:t>
      </w:r>
      <w:r w:rsidRPr="0077061E">
        <w:rPr>
          <w:rFonts w:eastAsia="Arial"/>
        </w:rPr>
        <w:t>)</w:t>
      </w:r>
      <w:r>
        <w:rPr>
          <w:rFonts w:eastAsia="Arial"/>
        </w:rPr>
        <w:t>:</w:t>
      </w:r>
    </w:p>
    <w:p w14:paraId="098A5D0F" w14:textId="77777777" w:rsidR="0092765D" w:rsidRDefault="0092765D" w:rsidP="0092765D">
      <w:pPr>
        <w:pStyle w:val="Quote"/>
        <w:rPr>
          <w:rFonts w:eastAsia="Arial"/>
        </w:rPr>
      </w:pPr>
      <w:r w:rsidRPr="00065BAF">
        <w:rPr>
          <w:rFonts w:eastAsia="Arial"/>
        </w:rPr>
        <w:t xml:space="preserve">The 2025 Standards for RTOs have been designed to reflect the diversity of the VET sector and ensure requirements are fit-for-purpose across different RTO settings. This will help ensure the 2025 Standards clearly articulate characteristics required of RTOs to foster high-quality delivery for all users of the VET system </w:t>
      </w:r>
      <w:r w:rsidRPr="0077061E">
        <w:rPr>
          <w:rFonts w:eastAsia="Arial"/>
        </w:rPr>
        <w:t>(Australian Government 202</w:t>
      </w:r>
      <w:r>
        <w:rPr>
          <w:rFonts w:eastAsia="Arial"/>
        </w:rPr>
        <w:t>5a</w:t>
      </w:r>
      <w:r w:rsidRPr="0077061E">
        <w:rPr>
          <w:rFonts w:eastAsia="Arial"/>
        </w:rPr>
        <w:t>)</w:t>
      </w:r>
      <w:r>
        <w:rPr>
          <w:rFonts w:eastAsia="Arial"/>
        </w:rPr>
        <w:t>.</w:t>
      </w:r>
    </w:p>
    <w:p w14:paraId="1C20CFDC" w14:textId="7430C3FB" w:rsidR="0092765D" w:rsidRPr="007940AA" w:rsidRDefault="0092765D" w:rsidP="0092765D">
      <w:pPr>
        <w:pStyle w:val="Text"/>
        <w:rPr>
          <w:rFonts w:eastAsia="Arial"/>
        </w:rPr>
      </w:pPr>
      <w:r>
        <w:rPr>
          <w:rFonts w:eastAsia="Arial"/>
        </w:rPr>
        <w:t>The standards are presented in four parts</w:t>
      </w:r>
      <w:r w:rsidRPr="00DE6760">
        <w:rPr>
          <w:rFonts w:eastAsia="Arial"/>
        </w:rPr>
        <w:t xml:space="preserve"> with each part setting out a specific area of RTO responsibility</w:t>
      </w:r>
      <w:r>
        <w:rPr>
          <w:rFonts w:eastAsia="Arial"/>
        </w:rPr>
        <w:t xml:space="preserve">: training and assessment; VET student support; VET workforce; and governance. </w:t>
      </w:r>
      <w:r w:rsidRPr="007940AA">
        <w:rPr>
          <w:rFonts w:eastAsia="Arial"/>
        </w:rPr>
        <w:t>Within the training and assessment components, the Standards provide detailed expectations that directly influence how teaching is enacted</w:t>
      </w:r>
      <w:r w:rsidR="009E69AC">
        <w:rPr>
          <w:rFonts w:eastAsia="Arial"/>
        </w:rPr>
        <w:t>:</w:t>
      </w:r>
      <w:r w:rsidRPr="007940AA">
        <w:rPr>
          <w:rFonts w:eastAsia="Arial"/>
        </w:rPr>
        <w:t xml:space="preserve"> </w:t>
      </w:r>
    </w:p>
    <w:p w14:paraId="31D2E25F" w14:textId="77777777" w:rsidR="0092765D" w:rsidRPr="007940AA" w:rsidRDefault="0092765D" w:rsidP="0092765D">
      <w:pPr>
        <w:pStyle w:val="Dotpoint1"/>
        <w:tabs>
          <w:tab w:val="clear" w:pos="567"/>
          <w:tab w:val="left" w:pos="284"/>
        </w:tabs>
        <w:ind w:left="284"/>
        <w:rPr>
          <w:rFonts w:eastAsia="Arial"/>
        </w:rPr>
      </w:pPr>
      <w:r w:rsidRPr="007940AA">
        <w:rPr>
          <w:rFonts w:eastAsia="Arial"/>
        </w:rPr>
        <w:t>Standard 1.1 requires training to be eng</w:t>
      </w:r>
      <w:r>
        <w:rPr>
          <w:rFonts w:eastAsia="Arial"/>
        </w:rPr>
        <w:t>aging</w:t>
      </w:r>
      <w:r w:rsidRPr="007940AA">
        <w:rPr>
          <w:rFonts w:eastAsia="Arial"/>
        </w:rPr>
        <w:t xml:space="preserve">, well-structured, and appropriately paced to ensure learners can build skills and knowledge consistent with the training product. </w:t>
      </w:r>
      <w:r>
        <w:rPr>
          <w:rFonts w:eastAsia="Arial"/>
        </w:rPr>
        <w:t>Performance i</w:t>
      </w:r>
      <w:r w:rsidRPr="007940AA">
        <w:rPr>
          <w:rFonts w:eastAsia="Arial"/>
        </w:rPr>
        <w:t xml:space="preserve">ndicators </w:t>
      </w:r>
      <w:r>
        <w:rPr>
          <w:rFonts w:eastAsia="Arial"/>
        </w:rPr>
        <w:t xml:space="preserve">for this outcome standard include </w:t>
      </w:r>
      <w:r w:rsidRPr="007940AA">
        <w:rPr>
          <w:rFonts w:eastAsia="Arial"/>
        </w:rPr>
        <w:t xml:space="preserve">sufficient time for instruction and practice, the use of interactive techniques and resources, and the capacity to integrate </w:t>
      </w:r>
      <w:r>
        <w:rPr>
          <w:rFonts w:eastAsia="Arial"/>
        </w:rPr>
        <w:t xml:space="preserve">work placements or community-based learning. </w:t>
      </w:r>
    </w:p>
    <w:p w14:paraId="024319E0" w14:textId="77777777" w:rsidR="0092765D" w:rsidRDefault="0092765D" w:rsidP="0092765D">
      <w:pPr>
        <w:pStyle w:val="Dotpoint1"/>
        <w:tabs>
          <w:tab w:val="clear" w:pos="567"/>
          <w:tab w:val="left" w:pos="284"/>
        </w:tabs>
        <w:ind w:left="284"/>
        <w:rPr>
          <w:rFonts w:eastAsia="Arial"/>
        </w:rPr>
      </w:pPr>
      <w:r w:rsidRPr="007940AA">
        <w:rPr>
          <w:rFonts w:eastAsia="Arial"/>
        </w:rPr>
        <w:t xml:space="preserve">Standard 1.2 </w:t>
      </w:r>
      <w:r>
        <w:rPr>
          <w:rFonts w:eastAsia="Arial"/>
        </w:rPr>
        <w:t>requires effective engagement with the industry, employer and community representatives to strengthen the industry relevance of training offered by the RTOs.</w:t>
      </w:r>
    </w:p>
    <w:p w14:paraId="6344652A" w14:textId="77777777" w:rsidR="0092765D" w:rsidRPr="007940AA" w:rsidRDefault="0092765D" w:rsidP="0092765D">
      <w:pPr>
        <w:pStyle w:val="Dotpoint1"/>
        <w:tabs>
          <w:tab w:val="clear" w:pos="567"/>
          <w:tab w:val="left" w:pos="284"/>
        </w:tabs>
        <w:ind w:left="284"/>
        <w:rPr>
          <w:rFonts w:eastAsia="Arial"/>
        </w:rPr>
      </w:pPr>
      <w:r>
        <w:rPr>
          <w:rFonts w:eastAsia="Arial"/>
        </w:rPr>
        <w:t xml:space="preserve"> </w:t>
      </w:r>
      <w:r w:rsidRPr="004320CF">
        <w:rPr>
          <w:rFonts w:eastAsia="Arial"/>
        </w:rPr>
        <w:t>Standards 1.3 to 1.5 provide a framework for ensuring the fairness,</w:t>
      </w:r>
      <w:r>
        <w:rPr>
          <w:rFonts w:eastAsia="Arial"/>
        </w:rPr>
        <w:t xml:space="preserve"> </w:t>
      </w:r>
      <w:r w:rsidRPr="004320CF">
        <w:rPr>
          <w:rFonts w:eastAsia="Arial"/>
        </w:rPr>
        <w:t>flexibility, validity, and reliability of assessments emphasising quality assurance through both review and independent oversight. These processes ensure that assessment quality reflects not only individual judgment but robust institutional systems, supporting consistent outcomes and maintaining the integrity of qualifications across delivery contexts and the labour market.</w:t>
      </w:r>
    </w:p>
    <w:p w14:paraId="51E9DE57" w14:textId="5A5414DD" w:rsidR="0092765D" w:rsidRPr="00466A1C" w:rsidRDefault="0092765D" w:rsidP="0092765D">
      <w:pPr>
        <w:pStyle w:val="Text"/>
      </w:pPr>
      <w:r w:rsidRPr="00B4482E">
        <w:t xml:space="preserve">While the focus of this study is on the VET workforce involved directly in teaching, training, and assessment, it is important to note that VET teaching workforce also contributes to a range of interconnected roles essential for high-quality delivery and student outcomes. VET teachers engage in curriculum development and learning design, provide learning support, ensure quality and compliance, manage administrative and operational functions, and </w:t>
      </w:r>
      <w:r w:rsidR="00E46260">
        <w:t>provide</w:t>
      </w:r>
      <w:r w:rsidRPr="00B4482E">
        <w:t xml:space="preserve"> leadership at various levels</w:t>
      </w:r>
      <w:r>
        <w:t xml:space="preserve"> (</w:t>
      </w:r>
      <w:r w:rsidRPr="00B4482E">
        <w:t>Skills and Workforce Ministerial Council 2024</w:t>
      </w:r>
      <w:r>
        <w:t>; Griffin &amp; Davidson 2025)</w:t>
      </w:r>
      <w:r w:rsidRPr="00B4482E">
        <w:t xml:space="preserve">. </w:t>
      </w:r>
      <w:r w:rsidRPr="00466A1C">
        <w:t xml:space="preserve">Thus, strengthening teacher preparation and ongoing professional development in these interconnected domains is critical to meeting the requirements of high-quality VET provision. </w:t>
      </w:r>
    </w:p>
    <w:p w14:paraId="14039789" w14:textId="77777777" w:rsidR="0092765D" w:rsidRDefault="0092765D" w:rsidP="0092765D">
      <w:pPr>
        <w:pStyle w:val="Text"/>
        <w:rPr>
          <w:rFonts w:eastAsia="Arial"/>
        </w:rPr>
      </w:pPr>
      <w:r w:rsidRPr="00DE6760">
        <w:rPr>
          <w:rFonts w:eastAsia="Arial"/>
        </w:rPr>
        <w:t xml:space="preserve">Collectively, </w:t>
      </w:r>
      <w:r>
        <w:rPr>
          <w:rFonts w:eastAsia="Arial"/>
        </w:rPr>
        <w:t>the</w:t>
      </w:r>
      <w:r w:rsidRPr="00DE6760">
        <w:rPr>
          <w:rFonts w:eastAsia="Arial"/>
        </w:rPr>
        <w:t xml:space="preserve"> </w:t>
      </w:r>
      <w:r>
        <w:rPr>
          <w:rFonts w:eastAsia="Arial"/>
        </w:rPr>
        <w:t>Standards</w:t>
      </w:r>
      <w:r w:rsidRPr="00DE6760">
        <w:rPr>
          <w:rFonts w:eastAsia="Arial"/>
        </w:rPr>
        <w:t xml:space="preserve"> underscore the regulatory expectation that VET delivery must be student-centred, industry-relevant, and underpinned by professional and ethical organisational practices.</w:t>
      </w:r>
      <w:r w:rsidRPr="003746A7">
        <w:rPr>
          <w:rFonts w:eastAsia="Arial"/>
        </w:rPr>
        <w:t xml:space="preserve"> </w:t>
      </w:r>
      <w:r w:rsidRPr="00C74076">
        <w:rPr>
          <w:rFonts w:eastAsia="Arial"/>
        </w:rPr>
        <w:t xml:space="preserve">Importantly, the Standards provide </w:t>
      </w:r>
      <w:r>
        <w:rPr>
          <w:rFonts w:eastAsia="Arial"/>
        </w:rPr>
        <w:t xml:space="preserve">a foundation for moving beyond compliance towards excellence. </w:t>
      </w:r>
      <w:r w:rsidRPr="009669C2">
        <w:rPr>
          <w:rFonts w:eastAsia="Arial"/>
        </w:rPr>
        <w:t xml:space="preserve">Examples of </w:t>
      </w:r>
      <w:r w:rsidRPr="00DB66D1">
        <w:rPr>
          <w:rFonts w:eastAsia="Arial"/>
        </w:rPr>
        <w:t xml:space="preserve">the </w:t>
      </w:r>
      <w:r w:rsidRPr="009669C2">
        <w:rPr>
          <w:rFonts w:eastAsia="Arial"/>
        </w:rPr>
        <w:t xml:space="preserve">ways in which some RTOs are meeting and going beyond the Standards to pursue excellence can be found in </w:t>
      </w:r>
      <w:r w:rsidRPr="00DB66D1">
        <w:rPr>
          <w:rFonts w:eastAsia="Arial"/>
        </w:rPr>
        <w:t xml:space="preserve">recent </w:t>
      </w:r>
      <w:r w:rsidRPr="009669C2">
        <w:rPr>
          <w:rFonts w:eastAsia="Arial"/>
        </w:rPr>
        <w:t xml:space="preserve">NCVER </w:t>
      </w:r>
      <w:r w:rsidRPr="00DB66D1">
        <w:rPr>
          <w:rFonts w:eastAsia="Arial"/>
        </w:rPr>
        <w:t>research</w:t>
      </w:r>
      <w:r w:rsidRPr="00D93A28">
        <w:t>:</w:t>
      </w:r>
      <w:r w:rsidRPr="00DB66D1">
        <w:rPr>
          <w:rFonts w:eastAsia="Arial"/>
        </w:rPr>
        <w:t xml:space="preserve"> </w:t>
      </w:r>
      <w:r w:rsidRPr="00C67376">
        <w:rPr>
          <w:rFonts w:eastAsia="Arial"/>
          <w:i/>
          <w:iCs/>
        </w:rPr>
        <w:t>Motivators of</w:t>
      </w:r>
      <w:r w:rsidRPr="00C67376">
        <w:rPr>
          <w:rFonts w:eastAsia="Arial"/>
          <w:i/>
        </w:rPr>
        <w:t xml:space="preserve"> high</w:t>
      </w:r>
      <w:r w:rsidRPr="00C67376">
        <w:rPr>
          <w:rFonts w:eastAsia="Arial"/>
          <w:i/>
          <w:iCs/>
        </w:rPr>
        <w:t>-</w:t>
      </w:r>
      <w:r w:rsidRPr="00C67376">
        <w:rPr>
          <w:rFonts w:eastAsia="Arial"/>
          <w:i/>
        </w:rPr>
        <w:t>performing RTOs</w:t>
      </w:r>
      <w:r>
        <w:rPr>
          <w:rFonts w:eastAsia="Arial"/>
        </w:rPr>
        <w:t xml:space="preserve"> </w:t>
      </w:r>
      <w:r w:rsidRPr="00DB66D1">
        <w:rPr>
          <w:rFonts w:eastAsia="Arial"/>
        </w:rPr>
        <w:t xml:space="preserve">(Waugh 2023), </w:t>
      </w:r>
      <w:r w:rsidRPr="00C67376">
        <w:rPr>
          <w:rFonts w:eastAsia="Arial"/>
          <w:i/>
          <w:iCs/>
        </w:rPr>
        <w:t>Effective</w:t>
      </w:r>
      <w:r w:rsidRPr="00C67376">
        <w:rPr>
          <w:rFonts w:eastAsia="Arial"/>
          <w:i/>
        </w:rPr>
        <w:t xml:space="preserve"> teaching and learning</w:t>
      </w:r>
      <w:r w:rsidRPr="00DB66D1">
        <w:rPr>
          <w:rFonts w:eastAsia="Arial"/>
        </w:rPr>
        <w:t xml:space="preserve"> (Griffin &amp; Davidson </w:t>
      </w:r>
      <w:r w:rsidRPr="00DB66D1">
        <w:rPr>
          <w:rFonts w:eastAsia="Arial"/>
        </w:rPr>
        <w:lastRenderedPageBreak/>
        <w:t xml:space="preserve">2025), </w:t>
      </w:r>
      <w:r w:rsidRPr="00C67376">
        <w:rPr>
          <w:rFonts w:eastAsia="Arial"/>
          <w:i/>
          <w:iCs/>
        </w:rPr>
        <w:t>Effective</w:t>
      </w:r>
      <w:r w:rsidRPr="00C67376">
        <w:rPr>
          <w:rFonts w:eastAsia="Arial"/>
          <w:i/>
        </w:rPr>
        <w:t xml:space="preserve"> student support</w:t>
      </w:r>
      <w:r w:rsidRPr="00DB66D1">
        <w:rPr>
          <w:rFonts w:eastAsia="Arial"/>
        </w:rPr>
        <w:t xml:space="preserve"> (</w:t>
      </w:r>
      <w:proofErr w:type="spellStart"/>
      <w:r w:rsidRPr="00DB66D1">
        <w:rPr>
          <w:rFonts w:eastAsia="Arial"/>
        </w:rPr>
        <w:t>Andrahannadi</w:t>
      </w:r>
      <w:proofErr w:type="spellEnd"/>
      <w:r w:rsidRPr="00DB66D1">
        <w:rPr>
          <w:rFonts w:eastAsia="Arial"/>
        </w:rPr>
        <w:t xml:space="preserve"> &amp; Griffin 2025)</w:t>
      </w:r>
      <w:r>
        <w:rPr>
          <w:rFonts w:eastAsia="Arial"/>
        </w:rPr>
        <w:t xml:space="preserve"> and</w:t>
      </w:r>
      <w:r w:rsidRPr="00DB66D1">
        <w:rPr>
          <w:rFonts w:eastAsia="Arial"/>
        </w:rPr>
        <w:t xml:space="preserve"> </w:t>
      </w:r>
      <w:r w:rsidRPr="00C67376">
        <w:rPr>
          <w:rFonts w:eastAsia="Arial"/>
          <w:i/>
          <w:iCs/>
        </w:rPr>
        <w:t>Effective</w:t>
      </w:r>
      <w:r w:rsidRPr="00C67376">
        <w:rPr>
          <w:rFonts w:eastAsia="Arial"/>
          <w:i/>
        </w:rPr>
        <w:t xml:space="preserve"> RTO-employer partnerships</w:t>
      </w:r>
      <w:r w:rsidRPr="00DB66D1">
        <w:rPr>
          <w:rFonts w:eastAsia="Arial"/>
        </w:rPr>
        <w:t xml:space="preserve"> (Trimboli, Circelli &amp; </w:t>
      </w:r>
      <w:proofErr w:type="spellStart"/>
      <w:r w:rsidRPr="00DB66D1">
        <w:rPr>
          <w:rFonts w:eastAsia="Arial"/>
        </w:rPr>
        <w:t>Berghella</w:t>
      </w:r>
      <w:proofErr w:type="spellEnd"/>
      <w:r w:rsidRPr="00DB66D1">
        <w:rPr>
          <w:rFonts w:eastAsia="Arial"/>
        </w:rPr>
        <w:t xml:space="preserve"> 2023).</w:t>
      </w:r>
    </w:p>
    <w:p w14:paraId="68D913C5" w14:textId="77777777" w:rsidR="0092765D" w:rsidRDefault="0092765D" w:rsidP="0092765D">
      <w:pPr>
        <w:pStyle w:val="Heading3"/>
        <w:rPr>
          <w:rFonts w:eastAsia="Arial"/>
        </w:rPr>
      </w:pPr>
      <w:bookmarkStart w:id="24" w:name="_Toc207377778"/>
      <w:r w:rsidRPr="006A7788">
        <w:rPr>
          <w:rFonts w:eastAsia="Arial"/>
        </w:rPr>
        <w:t>Excellence in VET teaching: why there is no universal definition</w:t>
      </w:r>
      <w:bookmarkEnd w:id="24"/>
    </w:p>
    <w:p w14:paraId="6AD864D3" w14:textId="77777777" w:rsidR="0092765D" w:rsidRDefault="0092765D" w:rsidP="0092765D">
      <w:pPr>
        <w:pStyle w:val="Text"/>
        <w:rPr>
          <w:rFonts w:eastAsia="Arial"/>
        </w:rPr>
      </w:pPr>
      <w:r>
        <w:rPr>
          <w:rFonts w:eastAsia="Arial"/>
        </w:rPr>
        <w:t>The term ‘e</w:t>
      </w:r>
      <w:r w:rsidRPr="00441F7F">
        <w:rPr>
          <w:rFonts w:eastAsia="Arial"/>
        </w:rPr>
        <w:t>xcellence</w:t>
      </w:r>
      <w:r>
        <w:rPr>
          <w:rFonts w:eastAsia="Arial"/>
        </w:rPr>
        <w:t>’</w:t>
      </w:r>
      <w:r w:rsidRPr="00441F7F">
        <w:rPr>
          <w:rFonts w:eastAsia="Arial"/>
        </w:rPr>
        <w:t xml:space="preserve"> </w:t>
      </w:r>
      <w:r>
        <w:rPr>
          <w:rFonts w:eastAsia="Arial"/>
        </w:rPr>
        <w:t>can be</w:t>
      </w:r>
      <w:r w:rsidRPr="00441F7F">
        <w:rPr>
          <w:rFonts w:eastAsia="Arial"/>
        </w:rPr>
        <w:t xml:space="preserve"> defined as the quality of being outstanding or exceptionally good (Oxford English Dictionary). </w:t>
      </w:r>
      <w:r w:rsidRPr="000A6F18">
        <w:rPr>
          <w:rFonts w:eastAsia="Arial"/>
        </w:rPr>
        <w:t xml:space="preserve">In the VET literature, the concept of excellence in teaching is often situated </w:t>
      </w:r>
      <w:r>
        <w:rPr>
          <w:rFonts w:eastAsia="Arial"/>
        </w:rPr>
        <w:t>under</w:t>
      </w:r>
      <w:r w:rsidRPr="000A6F18">
        <w:rPr>
          <w:rFonts w:eastAsia="Arial"/>
        </w:rPr>
        <w:t xml:space="preserve"> the umbrella concept of quality</w:t>
      </w:r>
      <w:r>
        <w:rPr>
          <w:rFonts w:eastAsia="Arial"/>
        </w:rPr>
        <w:t xml:space="preserve"> </w:t>
      </w:r>
      <w:r w:rsidRPr="000A6F18">
        <w:rPr>
          <w:rFonts w:eastAsia="Arial"/>
        </w:rPr>
        <w:t>VET delivery</w:t>
      </w:r>
      <w:r>
        <w:rPr>
          <w:rFonts w:eastAsia="Arial"/>
        </w:rPr>
        <w:t xml:space="preserve"> (Waters &amp; Guthrie 2025)</w:t>
      </w:r>
      <w:r w:rsidRPr="000A6F18">
        <w:rPr>
          <w:rFonts w:eastAsia="Arial"/>
        </w:rPr>
        <w:t>. Across the literature, recurring themes emerge that underpin high-quality delivery: it is transformational, student-centred, aligned with industry, focused on developing both immediate vocational competencies and longer-term 21st-century capabilities</w:t>
      </w:r>
      <w:r>
        <w:rPr>
          <w:rFonts w:eastAsia="Arial"/>
        </w:rPr>
        <w:t>,</w:t>
      </w:r>
      <w:r w:rsidRPr="000A6F18">
        <w:rPr>
          <w:rFonts w:eastAsia="Arial"/>
        </w:rPr>
        <w:t xml:space="preserve"> and result</w:t>
      </w:r>
      <w:r>
        <w:rPr>
          <w:rFonts w:eastAsia="Arial"/>
        </w:rPr>
        <w:t>s</w:t>
      </w:r>
      <w:r w:rsidRPr="000A6F18">
        <w:rPr>
          <w:rFonts w:eastAsia="Arial"/>
        </w:rPr>
        <w:t xml:space="preserve"> in employment or other related outcomes (Guthrie &amp; Waters 2022, p.8, Guthrie </w:t>
      </w:r>
      <w:r>
        <w:rPr>
          <w:rFonts w:eastAsia="Arial"/>
        </w:rPr>
        <w:t xml:space="preserve">&amp; </w:t>
      </w:r>
      <w:r w:rsidRPr="000A6F18">
        <w:rPr>
          <w:rFonts w:eastAsia="Arial"/>
        </w:rPr>
        <w:t>Waters 2021; Lucas, Spencer &amp; Claxton 2012).</w:t>
      </w:r>
    </w:p>
    <w:p w14:paraId="0AA0E0F3" w14:textId="40EC3672" w:rsidR="0092765D" w:rsidRDefault="0092765D" w:rsidP="0092765D">
      <w:pPr>
        <w:pStyle w:val="Text"/>
        <w:rPr>
          <w:rFonts w:eastAsia="Arial"/>
        </w:rPr>
      </w:pPr>
      <w:proofErr w:type="gramStart"/>
      <w:r>
        <w:rPr>
          <w:rFonts w:eastAsia="Arial"/>
        </w:rPr>
        <w:t>With regard to</w:t>
      </w:r>
      <w:proofErr w:type="gramEnd"/>
      <w:r w:rsidRPr="00441F7F">
        <w:rPr>
          <w:rFonts w:eastAsia="Arial"/>
        </w:rPr>
        <w:t xml:space="preserve"> VET teaching, the literature </w:t>
      </w:r>
      <w:r>
        <w:rPr>
          <w:rFonts w:eastAsia="Arial"/>
        </w:rPr>
        <w:t xml:space="preserve">often </w:t>
      </w:r>
      <w:r w:rsidRPr="00441F7F">
        <w:rPr>
          <w:rFonts w:eastAsia="Arial"/>
        </w:rPr>
        <w:t>use</w:t>
      </w:r>
      <w:r>
        <w:rPr>
          <w:rFonts w:eastAsia="Arial"/>
        </w:rPr>
        <w:t>s</w:t>
      </w:r>
      <w:r w:rsidRPr="00441F7F">
        <w:rPr>
          <w:rFonts w:eastAsia="Arial"/>
        </w:rPr>
        <w:t xml:space="preserve"> terms such as </w:t>
      </w:r>
      <w:r>
        <w:rPr>
          <w:rFonts w:eastAsia="Arial"/>
        </w:rPr>
        <w:t>‘</w:t>
      </w:r>
      <w:r w:rsidRPr="00441F7F">
        <w:rPr>
          <w:rFonts w:eastAsia="Arial"/>
        </w:rPr>
        <w:t>quality</w:t>
      </w:r>
      <w:r>
        <w:rPr>
          <w:rFonts w:eastAsia="Arial"/>
        </w:rPr>
        <w:t>’</w:t>
      </w:r>
      <w:r w:rsidRPr="00441F7F">
        <w:rPr>
          <w:rFonts w:eastAsia="Arial"/>
        </w:rPr>
        <w:t xml:space="preserve">, </w:t>
      </w:r>
      <w:r>
        <w:rPr>
          <w:rFonts w:eastAsia="Arial"/>
        </w:rPr>
        <w:t>‘</w:t>
      </w:r>
      <w:r w:rsidRPr="00441F7F">
        <w:rPr>
          <w:rFonts w:eastAsia="Arial"/>
        </w:rPr>
        <w:t>high quality</w:t>
      </w:r>
      <w:r>
        <w:rPr>
          <w:rFonts w:eastAsia="Arial"/>
        </w:rPr>
        <w:t>’</w:t>
      </w:r>
      <w:r w:rsidRPr="00441F7F">
        <w:rPr>
          <w:rFonts w:eastAsia="Arial"/>
        </w:rPr>
        <w:t xml:space="preserve">, </w:t>
      </w:r>
      <w:r>
        <w:rPr>
          <w:rFonts w:eastAsia="Arial"/>
        </w:rPr>
        <w:t>‘</w:t>
      </w:r>
      <w:r w:rsidRPr="00441F7F">
        <w:rPr>
          <w:rFonts w:eastAsia="Arial"/>
        </w:rPr>
        <w:t>effective teaching</w:t>
      </w:r>
      <w:r>
        <w:rPr>
          <w:rFonts w:eastAsia="Arial"/>
        </w:rPr>
        <w:t>’</w:t>
      </w:r>
      <w:r w:rsidRPr="00441F7F">
        <w:rPr>
          <w:rFonts w:eastAsia="Arial"/>
        </w:rPr>
        <w:t xml:space="preserve">, and </w:t>
      </w:r>
      <w:r>
        <w:rPr>
          <w:rFonts w:eastAsia="Arial"/>
        </w:rPr>
        <w:t>‘</w:t>
      </w:r>
      <w:r w:rsidRPr="00441F7F">
        <w:rPr>
          <w:rFonts w:eastAsia="Arial"/>
        </w:rPr>
        <w:t>good practice</w:t>
      </w:r>
      <w:r>
        <w:rPr>
          <w:rFonts w:eastAsia="Arial"/>
        </w:rPr>
        <w:t>’</w:t>
      </w:r>
      <w:r w:rsidRPr="00441F7F">
        <w:rPr>
          <w:rFonts w:eastAsia="Arial"/>
        </w:rPr>
        <w:t xml:space="preserve"> interchangeably to describe excellence in teaching.</w:t>
      </w:r>
      <w:r>
        <w:rPr>
          <w:rFonts w:eastAsia="Arial"/>
        </w:rPr>
        <w:t xml:space="preserve"> </w:t>
      </w:r>
      <w:r>
        <w:t>This</w:t>
      </w:r>
      <w:r w:rsidRPr="00D56AB4">
        <w:t xml:space="preserve"> review of </w:t>
      </w:r>
      <w:r w:rsidRPr="00D9479F">
        <w:rPr>
          <w:rFonts w:eastAsia="Arial"/>
        </w:rPr>
        <w:t>the</w:t>
      </w:r>
      <w:r w:rsidRPr="00D56AB4">
        <w:rPr>
          <w:rFonts w:eastAsia="Arial"/>
        </w:rPr>
        <w:t xml:space="preserve"> </w:t>
      </w:r>
      <w:r w:rsidRPr="00D9479F">
        <w:rPr>
          <w:rFonts w:eastAsia="Arial"/>
        </w:rPr>
        <w:t xml:space="preserve">literature on excellence in VET teaching </w:t>
      </w:r>
      <w:r>
        <w:rPr>
          <w:rFonts w:eastAsia="Arial"/>
        </w:rPr>
        <w:t>identified</w:t>
      </w:r>
      <w:r w:rsidRPr="00D9479F">
        <w:rPr>
          <w:rFonts w:eastAsia="Arial"/>
        </w:rPr>
        <w:t xml:space="preserve"> </w:t>
      </w:r>
      <w:r w:rsidR="00005D7F">
        <w:rPr>
          <w:rFonts w:eastAsia="Arial"/>
        </w:rPr>
        <w:t xml:space="preserve">a </w:t>
      </w:r>
      <w:r w:rsidRPr="00D9479F">
        <w:rPr>
          <w:rFonts w:eastAsia="Arial"/>
        </w:rPr>
        <w:t>wide</w:t>
      </w:r>
      <w:r>
        <w:rPr>
          <w:rFonts w:eastAsia="Arial"/>
        </w:rPr>
        <w:t>-</w:t>
      </w:r>
      <w:r w:rsidRPr="00D9479F">
        <w:rPr>
          <w:rFonts w:eastAsia="Arial"/>
        </w:rPr>
        <w:t xml:space="preserve">ranging </w:t>
      </w:r>
      <w:r>
        <w:rPr>
          <w:rFonts w:eastAsia="Arial"/>
        </w:rPr>
        <w:t xml:space="preserve">exploration of </w:t>
      </w:r>
      <w:r w:rsidRPr="00D9479F">
        <w:rPr>
          <w:rFonts w:eastAsia="Arial"/>
        </w:rPr>
        <w:t>issues</w:t>
      </w:r>
      <w:r>
        <w:rPr>
          <w:rFonts w:eastAsia="Arial"/>
        </w:rPr>
        <w:t>,</w:t>
      </w:r>
      <w:r w:rsidRPr="00D9479F">
        <w:rPr>
          <w:rFonts w:eastAsia="Arial"/>
        </w:rPr>
        <w:t xml:space="preserve"> from conceptualising quality</w:t>
      </w:r>
      <w:r>
        <w:rPr>
          <w:rFonts w:eastAsia="Arial"/>
        </w:rPr>
        <w:t xml:space="preserve"> to teacher qualifications,</w:t>
      </w:r>
      <w:r w:rsidRPr="00D9479F">
        <w:rPr>
          <w:rFonts w:eastAsia="Arial"/>
        </w:rPr>
        <w:t xml:space="preserve"> professional development</w:t>
      </w:r>
      <w:r>
        <w:rPr>
          <w:rFonts w:eastAsia="Arial"/>
        </w:rPr>
        <w:t xml:space="preserve"> and workforce issues </w:t>
      </w:r>
      <w:proofErr w:type="gramStart"/>
      <w:r>
        <w:rPr>
          <w:rFonts w:eastAsia="Arial"/>
        </w:rPr>
        <w:t>and also</w:t>
      </w:r>
      <w:proofErr w:type="gramEnd"/>
      <w:r>
        <w:rPr>
          <w:rFonts w:eastAsia="Arial"/>
        </w:rPr>
        <w:t xml:space="preserve"> encompassing inclusive learner-centred approaches and the importance of work-integrated learning</w:t>
      </w:r>
      <w:r w:rsidRPr="00D9479F">
        <w:rPr>
          <w:rFonts w:eastAsia="Arial"/>
        </w:rPr>
        <w:t xml:space="preserve">. </w:t>
      </w:r>
    </w:p>
    <w:p w14:paraId="58E28C23" w14:textId="77777777" w:rsidR="0092765D" w:rsidRDefault="0092765D" w:rsidP="0092765D">
      <w:pPr>
        <w:pStyle w:val="Text"/>
        <w:rPr>
          <w:rFonts w:eastAsia="Arial"/>
        </w:rPr>
      </w:pPr>
      <w:r>
        <w:rPr>
          <w:rFonts w:eastAsia="Arial"/>
        </w:rPr>
        <w:t>N</w:t>
      </w:r>
      <w:r w:rsidRPr="003D5076">
        <w:rPr>
          <w:rFonts w:eastAsia="Arial"/>
        </w:rPr>
        <w:t xml:space="preserve">umerous studies </w:t>
      </w:r>
      <w:r>
        <w:rPr>
          <w:rFonts w:eastAsia="Arial"/>
        </w:rPr>
        <w:t xml:space="preserve">on </w:t>
      </w:r>
      <w:r w:rsidRPr="003D5076">
        <w:rPr>
          <w:rFonts w:eastAsia="Arial"/>
        </w:rPr>
        <w:t>VET teaching</w:t>
      </w:r>
      <w:r>
        <w:rPr>
          <w:rFonts w:eastAsia="Arial"/>
        </w:rPr>
        <w:t xml:space="preserve"> </w:t>
      </w:r>
      <w:r w:rsidRPr="003D5076">
        <w:rPr>
          <w:rFonts w:eastAsia="Arial"/>
        </w:rPr>
        <w:t>propos</w:t>
      </w:r>
      <w:r>
        <w:rPr>
          <w:rFonts w:eastAsia="Arial"/>
        </w:rPr>
        <w:t>e</w:t>
      </w:r>
      <w:r w:rsidRPr="003D5076">
        <w:rPr>
          <w:rFonts w:eastAsia="Arial"/>
        </w:rPr>
        <w:t xml:space="preserve"> frameworks, conceptual models and elements to define effective teaching practices. The</w:t>
      </w:r>
      <w:r>
        <w:rPr>
          <w:rFonts w:eastAsia="Arial"/>
        </w:rPr>
        <w:t xml:space="preserve">se reflect </w:t>
      </w:r>
      <w:r w:rsidRPr="003D5076">
        <w:rPr>
          <w:rFonts w:eastAsia="Arial"/>
        </w:rPr>
        <w:t>the complex nature of teaching and</w:t>
      </w:r>
      <w:r>
        <w:rPr>
          <w:rFonts w:eastAsia="Arial"/>
        </w:rPr>
        <w:t>, to some degree,</w:t>
      </w:r>
      <w:r w:rsidRPr="003D5076">
        <w:rPr>
          <w:rFonts w:eastAsia="Arial"/>
        </w:rPr>
        <w:t xml:space="preserve"> the variety of contexts in which VET educators work. This complexity makes it challenging</w:t>
      </w:r>
      <w:r>
        <w:rPr>
          <w:rFonts w:eastAsia="Arial"/>
        </w:rPr>
        <w:t xml:space="preserve"> not only</w:t>
      </w:r>
      <w:r w:rsidRPr="003D5076">
        <w:rPr>
          <w:rFonts w:eastAsia="Arial"/>
        </w:rPr>
        <w:t xml:space="preserve"> to agree on a common definition of teaching excellence</w:t>
      </w:r>
      <w:r>
        <w:rPr>
          <w:rFonts w:eastAsia="Arial"/>
        </w:rPr>
        <w:t>, but also how to even approach such a concept</w:t>
      </w:r>
      <w:r w:rsidRPr="003D5076">
        <w:rPr>
          <w:rFonts w:eastAsia="Arial"/>
        </w:rPr>
        <w:t xml:space="preserve">.  </w:t>
      </w:r>
    </w:p>
    <w:p w14:paraId="06270DF5" w14:textId="26908DBF" w:rsidR="0092765D" w:rsidRDefault="0092765D" w:rsidP="0092765D">
      <w:pPr>
        <w:pStyle w:val="Text"/>
        <w:rPr>
          <w:rFonts w:eastAsia="Arial"/>
        </w:rPr>
      </w:pPr>
      <w:r w:rsidRPr="00B0756E">
        <w:rPr>
          <w:rFonts w:eastAsia="Arial"/>
        </w:rPr>
        <w:t xml:space="preserve">For example, the comprehensive literature review </w:t>
      </w:r>
      <w:r w:rsidR="009A6AD7">
        <w:rPr>
          <w:rFonts w:eastAsia="Arial"/>
        </w:rPr>
        <w:t>in</w:t>
      </w:r>
      <w:r w:rsidRPr="00B0756E">
        <w:rPr>
          <w:rFonts w:eastAsia="Arial"/>
        </w:rPr>
        <w:t xml:space="preserve"> Schmidt’s (2019) work on investigating ways that advanced skills for VET teachers are conceptualised and developed, identifies two contrasting approaches to conceptualising teaching and the teacher’s role: reductionist and holistic. </w:t>
      </w:r>
    </w:p>
    <w:p w14:paraId="234F316B" w14:textId="77777777" w:rsidR="0092765D" w:rsidRDefault="0092765D" w:rsidP="0092765D">
      <w:pPr>
        <w:pStyle w:val="Text"/>
        <w:rPr>
          <w:rFonts w:eastAsia="Arial"/>
        </w:rPr>
      </w:pPr>
      <w:r w:rsidRPr="00B0756E">
        <w:rPr>
          <w:rFonts w:eastAsia="Arial"/>
        </w:rPr>
        <w:t>The reductionist approach:</w:t>
      </w:r>
    </w:p>
    <w:p w14:paraId="30279F4D" w14:textId="77777777" w:rsidR="0092765D" w:rsidRDefault="0092765D" w:rsidP="0092765D">
      <w:pPr>
        <w:pStyle w:val="Quote"/>
        <w:rPr>
          <w:rFonts w:eastAsia="Arial"/>
        </w:rPr>
      </w:pPr>
      <w:r w:rsidRPr="00A94912">
        <w:rPr>
          <w:rFonts w:eastAsia="Arial"/>
        </w:rPr>
        <w:t>seek</w:t>
      </w:r>
      <w:r>
        <w:rPr>
          <w:rFonts w:eastAsia="Arial"/>
        </w:rPr>
        <w:t>[s]</w:t>
      </w:r>
      <w:r w:rsidRPr="00A94912">
        <w:rPr>
          <w:rFonts w:eastAsia="Arial"/>
        </w:rPr>
        <w:t xml:space="preserve"> to reduce or atomise teaching into its various parts to arrive at a requisite list of skills, knowledge and attributes, and particular behaviours, methods or practices teachers must implement to teach well (Schmidt 2019, p.2).</w:t>
      </w:r>
    </w:p>
    <w:p w14:paraId="7B17271C" w14:textId="77777777" w:rsidR="0092765D" w:rsidRPr="0061655B" w:rsidRDefault="0092765D" w:rsidP="0092765D">
      <w:pPr>
        <w:pStyle w:val="Text"/>
        <w:rPr>
          <w:rFonts w:eastAsia="Arial"/>
        </w:rPr>
      </w:pPr>
      <w:r w:rsidRPr="0061655B">
        <w:rPr>
          <w:rFonts w:eastAsia="Arial"/>
        </w:rPr>
        <w:t xml:space="preserve">In contrast, the holistic approach </w:t>
      </w:r>
      <w:r>
        <w:rPr>
          <w:rFonts w:eastAsia="Arial"/>
        </w:rPr>
        <w:t>(</w:t>
      </w:r>
      <w:r w:rsidRPr="0061655B">
        <w:rPr>
          <w:rFonts w:eastAsia="Arial"/>
        </w:rPr>
        <w:t>Schmidt 2019, p.2) sees teaching as a personal and relational endeavour emphasising that this perspective:</w:t>
      </w:r>
    </w:p>
    <w:p w14:paraId="42444AB8" w14:textId="77777777" w:rsidR="0092765D" w:rsidRPr="00AB3EAE" w:rsidRDefault="0092765D" w:rsidP="0092765D">
      <w:pPr>
        <w:pStyle w:val="Quote"/>
        <w:rPr>
          <w:rFonts w:eastAsia="Arial"/>
        </w:rPr>
      </w:pPr>
      <w:r w:rsidRPr="0061655B">
        <w:rPr>
          <w:rFonts w:eastAsia="Arial"/>
        </w:rPr>
        <w:t>seeks to understand teaching by focussing on the personal - an essential, yet somewhat intangible and often individualist quality that a teacher may bring to his/her work. It recognises the importance of the teacher as central to teaching, ‘the distinctive, irreproducible human being who inhabits the role of the teacher</w:t>
      </w:r>
      <w:r>
        <w:rPr>
          <w:rFonts w:eastAsia="Arial"/>
        </w:rPr>
        <w:t>’</w:t>
      </w:r>
      <w:r w:rsidRPr="0061655B">
        <w:rPr>
          <w:rFonts w:eastAsia="Arial"/>
        </w:rPr>
        <w:t xml:space="preserve"> (Hansen 2001</w:t>
      </w:r>
      <w:r>
        <w:rPr>
          <w:rFonts w:eastAsia="Arial"/>
        </w:rPr>
        <w:t xml:space="preserve"> as cited in Schmidt 2019, p.2</w:t>
      </w:r>
      <w:r w:rsidRPr="0061655B">
        <w:rPr>
          <w:rFonts w:eastAsia="Arial"/>
        </w:rPr>
        <w:t>)</w:t>
      </w:r>
    </w:p>
    <w:p w14:paraId="50F33DE6" w14:textId="77777777" w:rsidR="0092765D" w:rsidRDefault="0092765D" w:rsidP="0092765D">
      <w:pPr>
        <w:pStyle w:val="Text"/>
        <w:rPr>
          <w:rFonts w:eastAsia="Arial"/>
        </w:rPr>
      </w:pPr>
      <w:r w:rsidRPr="00280690">
        <w:rPr>
          <w:rFonts w:eastAsia="Arial"/>
        </w:rPr>
        <w:t xml:space="preserve">While reductionist approaches may support the identification of capabilities for frameworks, they risk eclipsing the personal, ethical, and relational dimensions of individual teachers. </w:t>
      </w:r>
    </w:p>
    <w:p w14:paraId="1E9A7E38" w14:textId="77777777" w:rsidR="0092765D" w:rsidRDefault="0092765D" w:rsidP="0092765D">
      <w:pPr>
        <w:pStyle w:val="Text"/>
      </w:pPr>
      <w:r>
        <w:rPr>
          <w:rFonts w:eastAsia="Arial"/>
        </w:rPr>
        <w:lastRenderedPageBreak/>
        <w:t>The challenge of identifying specific capabilities</w:t>
      </w:r>
      <w:r w:rsidRPr="00280690">
        <w:rPr>
          <w:rFonts w:eastAsia="Arial"/>
        </w:rPr>
        <w:t xml:space="preserve"> highlights the ongoing need to question assumptions and consider alternative, more comprehensive conceptualisations of good teaching practice.</w:t>
      </w:r>
      <w:r>
        <w:rPr>
          <w:rFonts w:eastAsia="Arial"/>
        </w:rPr>
        <w:t xml:space="preserve"> It suggests that e</w:t>
      </w:r>
      <w:r w:rsidRPr="00862D25">
        <w:t xml:space="preserve">xcellence in teaching </w:t>
      </w:r>
      <w:r>
        <w:t xml:space="preserve">in </w:t>
      </w:r>
      <w:r w:rsidRPr="00862D25">
        <w:t xml:space="preserve">VET </w:t>
      </w:r>
      <w:r>
        <w:t>is not a static and linear notion. It is</w:t>
      </w:r>
      <w:r w:rsidRPr="00862D25">
        <w:t xml:space="preserve"> a complex</w:t>
      </w:r>
      <w:r>
        <w:t xml:space="preserve"> and </w:t>
      </w:r>
      <w:r w:rsidRPr="00862D25">
        <w:t xml:space="preserve">multi-layered concept that can take different forms depending on </w:t>
      </w:r>
      <w:r>
        <w:t xml:space="preserve">the diverse contexts in which it is performed (Griffin 2017; </w:t>
      </w:r>
      <w:r w:rsidRPr="00862D25">
        <w:t>Guthrie &amp; Waters 2021).</w:t>
      </w:r>
      <w:r>
        <w:t xml:space="preserve"> Thus, it needs to be considered as an evolving concept with context driven interpretations. </w:t>
      </w:r>
    </w:p>
    <w:p w14:paraId="27E8DFC5" w14:textId="77777777" w:rsidR="0092765D" w:rsidRDefault="0092765D" w:rsidP="0092765D">
      <w:pPr>
        <w:pStyle w:val="Text"/>
        <w:rPr>
          <w:rFonts w:eastAsia="Arial"/>
        </w:rPr>
      </w:pPr>
      <w:r>
        <w:rPr>
          <w:rFonts w:eastAsia="Arial"/>
        </w:rPr>
        <w:t>F</w:t>
      </w:r>
      <w:r w:rsidRPr="00581EF3">
        <w:rPr>
          <w:rFonts w:eastAsia="Arial"/>
        </w:rPr>
        <w:t>or the purposes of this report, excellence in VET teaching is understood as the enactment of high-quality, adaptive teaching practices by VET educators who operate above baseline standards. This working definition recognises that excellence is context driven, dynamic, and must be anchored in the specific needs of learners</w:t>
      </w:r>
      <w:r>
        <w:rPr>
          <w:rFonts w:eastAsia="Arial"/>
        </w:rPr>
        <w:t>, teachers</w:t>
      </w:r>
      <w:r w:rsidRPr="00581EF3">
        <w:rPr>
          <w:rFonts w:eastAsia="Arial"/>
        </w:rPr>
        <w:t xml:space="preserve"> and industr</w:t>
      </w:r>
      <w:r>
        <w:rPr>
          <w:rFonts w:eastAsia="Arial"/>
        </w:rPr>
        <w:t>ies</w:t>
      </w:r>
      <w:r w:rsidRPr="00581EF3">
        <w:rPr>
          <w:rFonts w:eastAsia="Arial"/>
        </w:rPr>
        <w:t>, incorporating both the measurable capabilities and intangible dimensions of effective teaching across varied settings.</w:t>
      </w:r>
    </w:p>
    <w:p w14:paraId="2BDD4F9A" w14:textId="77777777" w:rsidR="0092765D" w:rsidRDefault="0092765D" w:rsidP="0092765D">
      <w:pPr>
        <w:pStyle w:val="Heading3"/>
      </w:pPr>
      <w:bookmarkStart w:id="25" w:name="_Toc207377779"/>
      <w:r>
        <w:t>Effective teaching: current teaching practices, supports and models</w:t>
      </w:r>
      <w:bookmarkEnd w:id="25"/>
    </w:p>
    <w:p w14:paraId="644381E9" w14:textId="1DC84E50" w:rsidR="0092765D" w:rsidRDefault="0092765D" w:rsidP="0092765D">
      <w:pPr>
        <w:pStyle w:val="Text"/>
        <w:rPr>
          <w:rFonts w:eastAsia="Arial"/>
        </w:rPr>
      </w:pPr>
      <w:r w:rsidRPr="005166D6">
        <w:rPr>
          <w:rFonts w:eastAsia="Arial"/>
        </w:rPr>
        <w:t xml:space="preserve">The literature on effective teaching practices in VET draws on a diverse range of theories and capability frameworks to conceptualise, investigate and guide practice in high-quality teaching in the diverse and evolving contexts of VET. Some of these are presented in table </w:t>
      </w:r>
      <w:r w:rsidR="00D903D7">
        <w:rPr>
          <w:rFonts w:eastAsia="Arial"/>
        </w:rPr>
        <w:t>1</w:t>
      </w:r>
      <w:r w:rsidRPr="005166D6">
        <w:rPr>
          <w:rFonts w:eastAsia="Arial"/>
        </w:rPr>
        <w:t>.</w:t>
      </w:r>
    </w:p>
    <w:p w14:paraId="0CDBC5FA" w14:textId="03AA348E" w:rsidR="0092765D" w:rsidRPr="00023A13" w:rsidRDefault="0092765D" w:rsidP="00023A13">
      <w:pPr>
        <w:pStyle w:val="Tabletitle0"/>
      </w:pPr>
      <w:bookmarkStart w:id="26" w:name="_Toc241744006"/>
      <w:r w:rsidRPr="00023A13">
        <w:t xml:space="preserve">Table </w:t>
      </w:r>
      <w:r w:rsidR="00D903D7" w:rsidRPr="00023A13">
        <w:t>1</w:t>
      </w:r>
      <w:r w:rsidRPr="00023A13">
        <w:t xml:space="preserve"> Examples of theories and capability frameworks informing VET teaching</w:t>
      </w:r>
      <w:bookmarkEnd w:id="26"/>
      <w:r w:rsidRPr="00023A13">
        <w:t xml:space="preserve"> </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
      <w:tblGrid>
        <w:gridCol w:w="4508"/>
        <w:gridCol w:w="4508"/>
      </w:tblGrid>
      <w:tr w:rsidR="0092765D" w:rsidRPr="001814A4" w14:paraId="5C00D5C5" w14:textId="77777777" w:rsidTr="0092765D">
        <w:trPr>
          <w:trHeight w:val="300"/>
        </w:trPr>
        <w:tc>
          <w:tcPr>
            <w:tcW w:w="4508" w:type="dxa"/>
            <w:tcBorders>
              <w:top w:val="single" w:sz="4" w:space="0" w:color="auto"/>
              <w:bottom w:val="single" w:sz="4" w:space="0" w:color="auto"/>
            </w:tcBorders>
          </w:tcPr>
          <w:p w14:paraId="6646C4BC" w14:textId="77777777" w:rsidR="0092765D" w:rsidRPr="001814A4" w:rsidRDefault="0092765D" w:rsidP="00012970">
            <w:pPr>
              <w:pStyle w:val="Tablehead1"/>
            </w:pPr>
            <w:r w:rsidRPr="001814A4">
              <w:t>Theories/models/frameworks</w:t>
            </w:r>
          </w:p>
        </w:tc>
        <w:tc>
          <w:tcPr>
            <w:tcW w:w="4508" w:type="dxa"/>
            <w:tcBorders>
              <w:top w:val="single" w:sz="4" w:space="0" w:color="auto"/>
              <w:bottom w:val="single" w:sz="4" w:space="0" w:color="auto"/>
            </w:tcBorders>
          </w:tcPr>
          <w:p w14:paraId="43F653FC" w14:textId="77777777" w:rsidR="0092765D" w:rsidRPr="001814A4" w:rsidRDefault="0092765D" w:rsidP="00012970">
            <w:pPr>
              <w:pStyle w:val="Tablehead1"/>
            </w:pPr>
            <w:r w:rsidRPr="001814A4">
              <w:t>VET Capability frameworks</w:t>
            </w:r>
          </w:p>
        </w:tc>
      </w:tr>
      <w:tr w:rsidR="0092765D" w:rsidRPr="001814A4" w14:paraId="0970F06A" w14:textId="77777777" w:rsidTr="0092765D">
        <w:trPr>
          <w:trHeight w:val="300"/>
        </w:trPr>
        <w:tc>
          <w:tcPr>
            <w:tcW w:w="4508" w:type="dxa"/>
            <w:tcBorders>
              <w:top w:val="single" w:sz="4" w:space="0" w:color="auto"/>
              <w:bottom w:val="single" w:sz="4" w:space="0" w:color="auto"/>
            </w:tcBorders>
          </w:tcPr>
          <w:p w14:paraId="2715BDA3" w14:textId="77777777" w:rsidR="0092765D" w:rsidRPr="00C13911" w:rsidRDefault="0092765D" w:rsidP="002A2B2C">
            <w:pPr>
              <w:pStyle w:val="Tabletext"/>
              <w:numPr>
                <w:ilvl w:val="0"/>
                <w:numId w:val="25"/>
              </w:numPr>
              <w:tabs>
                <w:tab w:val="clear" w:pos="559"/>
                <w:tab w:val="decimal" w:pos="321"/>
              </w:tabs>
              <w:jc w:val="left"/>
            </w:pPr>
            <w:r w:rsidRPr="00C13911">
              <w:t>Cognitive Load Theory (CLT)</w:t>
            </w:r>
            <w:r>
              <w:t xml:space="preserve"> (</w:t>
            </w:r>
            <w:r w:rsidRPr="00AC585D">
              <w:t>Griffin &amp; Davidson 2025</w:t>
            </w:r>
            <w:r>
              <w:t xml:space="preserve">; </w:t>
            </w:r>
            <w:r w:rsidRPr="008B67C3">
              <w:t>New South Wales Government 2018</w:t>
            </w:r>
            <w:r>
              <w:t>)</w:t>
            </w:r>
          </w:p>
          <w:p w14:paraId="0818CC3E" w14:textId="77777777" w:rsidR="0092765D" w:rsidRPr="00C13911" w:rsidRDefault="0092765D" w:rsidP="002A2B2C">
            <w:pPr>
              <w:pStyle w:val="Tabletext"/>
              <w:numPr>
                <w:ilvl w:val="0"/>
                <w:numId w:val="25"/>
              </w:numPr>
              <w:tabs>
                <w:tab w:val="clear" w:pos="559"/>
                <w:tab w:val="decimal" w:pos="321"/>
              </w:tabs>
              <w:jc w:val="left"/>
            </w:pPr>
            <w:r w:rsidRPr="00C13911">
              <w:t>Universal Design for Learning (UDL)</w:t>
            </w:r>
            <w:r>
              <w:t xml:space="preserve"> (Collins 2024; </w:t>
            </w:r>
            <w:r w:rsidRPr="00F02C31">
              <w:t>Quirke &amp; McCarthy 2020</w:t>
            </w:r>
            <w:r>
              <w:t>)</w:t>
            </w:r>
          </w:p>
          <w:p w14:paraId="3A601894" w14:textId="77777777" w:rsidR="0092765D" w:rsidRPr="0092765D" w:rsidRDefault="0092765D" w:rsidP="002A2B2C">
            <w:pPr>
              <w:pStyle w:val="Tabletext"/>
              <w:numPr>
                <w:ilvl w:val="0"/>
                <w:numId w:val="25"/>
              </w:numPr>
              <w:tabs>
                <w:tab w:val="clear" w:pos="559"/>
                <w:tab w:val="decimal" w:pos="321"/>
              </w:tabs>
              <w:jc w:val="left"/>
            </w:pPr>
            <w:r w:rsidRPr="00C13911">
              <w:t>Positioning Theory</w:t>
            </w:r>
            <w:r>
              <w:t xml:space="preserve"> (Tran &amp; Le 2017)</w:t>
            </w:r>
          </w:p>
          <w:p w14:paraId="139BA622" w14:textId="77777777" w:rsidR="0092765D" w:rsidRPr="0092765D" w:rsidRDefault="0092765D" w:rsidP="002A2B2C">
            <w:pPr>
              <w:pStyle w:val="Tabletext"/>
              <w:numPr>
                <w:ilvl w:val="0"/>
                <w:numId w:val="25"/>
              </w:numPr>
              <w:tabs>
                <w:tab w:val="clear" w:pos="559"/>
                <w:tab w:val="decimal" w:pos="321"/>
              </w:tabs>
              <w:jc w:val="left"/>
            </w:pPr>
            <w:r w:rsidRPr="0092765D">
              <w:t>Theory of Practice Architectures (Smith &amp; Yasukawa 2017; Francisco 2020)</w:t>
            </w:r>
          </w:p>
          <w:p w14:paraId="55411AF3" w14:textId="77777777" w:rsidR="0092765D" w:rsidRPr="00C13911" w:rsidRDefault="0092765D" w:rsidP="00E3640E">
            <w:pPr>
              <w:pStyle w:val="Tabletext"/>
              <w:numPr>
                <w:ilvl w:val="0"/>
                <w:numId w:val="25"/>
              </w:numPr>
              <w:tabs>
                <w:tab w:val="clear" w:pos="559"/>
                <w:tab w:val="decimal" w:pos="321"/>
              </w:tabs>
              <w:jc w:val="left"/>
            </w:pPr>
            <w:r w:rsidRPr="00C13911">
              <w:t>Theory of Ecologies of Practices</w:t>
            </w:r>
            <w:r>
              <w:t xml:space="preserve"> (Smith &amp; Yasukawa 2017; Francisco 2020)</w:t>
            </w:r>
          </w:p>
          <w:p w14:paraId="3DB3C9BF" w14:textId="77777777" w:rsidR="0092765D" w:rsidRPr="00C13911" w:rsidRDefault="0092765D" w:rsidP="002A2B2C">
            <w:pPr>
              <w:pStyle w:val="Tabletext"/>
              <w:numPr>
                <w:ilvl w:val="0"/>
                <w:numId w:val="25"/>
              </w:numPr>
              <w:tabs>
                <w:tab w:val="clear" w:pos="559"/>
                <w:tab w:val="decimal" w:pos="321"/>
              </w:tabs>
              <w:jc w:val="left"/>
            </w:pPr>
            <w:r w:rsidRPr="00C13911">
              <w:t>Community of Inquiry (</w:t>
            </w:r>
            <w:proofErr w:type="spellStart"/>
            <w:r w:rsidRPr="00C13911">
              <w:t>CoI</w:t>
            </w:r>
            <w:proofErr w:type="spellEnd"/>
            <w:r w:rsidRPr="00C13911">
              <w:t>) Model</w:t>
            </w:r>
            <w:r>
              <w:t xml:space="preserve"> (Hamer &amp; Smith 2021)</w:t>
            </w:r>
          </w:p>
          <w:p w14:paraId="354F8CB0" w14:textId="77777777" w:rsidR="0092765D" w:rsidRPr="00C13911" w:rsidRDefault="0092765D" w:rsidP="002A2B2C">
            <w:pPr>
              <w:pStyle w:val="Tabletext"/>
              <w:numPr>
                <w:ilvl w:val="0"/>
                <w:numId w:val="25"/>
              </w:numPr>
              <w:tabs>
                <w:tab w:val="clear" w:pos="559"/>
                <w:tab w:val="decimal" w:pos="321"/>
              </w:tabs>
              <w:jc w:val="left"/>
            </w:pPr>
            <w:r w:rsidRPr="00C13911">
              <w:t>Entrepreneurship Education (EE) Framework</w:t>
            </w:r>
            <w:r>
              <w:t xml:space="preserve"> (</w:t>
            </w:r>
            <w:proofErr w:type="spellStart"/>
            <w:r>
              <w:t>Kolho</w:t>
            </w:r>
            <w:proofErr w:type="spellEnd"/>
            <w:r>
              <w:t xml:space="preserve"> 2024)</w:t>
            </w:r>
          </w:p>
          <w:p w14:paraId="47D50FC8" w14:textId="77777777" w:rsidR="0092765D" w:rsidRPr="00C13911" w:rsidRDefault="0092765D" w:rsidP="002A2B2C">
            <w:pPr>
              <w:pStyle w:val="Tabletext"/>
              <w:numPr>
                <w:ilvl w:val="0"/>
                <w:numId w:val="25"/>
              </w:numPr>
              <w:tabs>
                <w:tab w:val="clear" w:pos="559"/>
                <w:tab w:val="decimal" w:pos="321"/>
              </w:tabs>
              <w:jc w:val="left"/>
            </w:pPr>
            <w:r w:rsidRPr="00C13911">
              <w:t>Education for Sustainability (</w:t>
            </w:r>
            <w:proofErr w:type="spellStart"/>
            <w:r w:rsidRPr="00C13911">
              <w:t>EfS</w:t>
            </w:r>
            <w:proofErr w:type="spellEnd"/>
            <w:r w:rsidRPr="00C13911">
              <w:t>) Pedagogical Model</w:t>
            </w:r>
            <w:r>
              <w:t xml:space="preserve"> (Bedi &amp; </w:t>
            </w:r>
            <w:proofErr w:type="spellStart"/>
            <w:r>
              <w:t>Germein</w:t>
            </w:r>
            <w:proofErr w:type="spellEnd"/>
            <w:r>
              <w:t xml:space="preserve"> 2014)</w:t>
            </w:r>
          </w:p>
          <w:p w14:paraId="53CB4F4F" w14:textId="77777777" w:rsidR="0092765D" w:rsidRPr="00C13911" w:rsidRDefault="0092765D" w:rsidP="002A2B2C">
            <w:pPr>
              <w:pStyle w:val="Tabletext"/>
              <w:numPr>
                <w:ilvl w:val="0"/>
                <w:numId w:val="25"/>
              </w:numPr>
              <w:tabs>
                <w:tab w:val="clear" w:pos="559"/>
                <w:tab w:val="decimal" w:pos="321"/>
              </w:tabs>
              <w:jc w:val="left"/>
            </w:pPr>
            <w:r w:rsidRPr="00C13911">
              <w:t>Pedagogic Framework for Socially Inclusive VET</w:t>
            </w:r>
            <w:r>
              <w:t xml:space="preserve"> (Bowman &amp; Callan 2012)</w:t>
            </w:r>
          </w:p>
          <w:p w14:paraId="39AE79DE" w14:textId="77777777" w:rsidR="0092765D" w:rsidRPr="00C13911" w:rsidRDefault="0092765D" w:rsidP="002A2B2C">
            <w:pPr>
              <w:pStyle w:val="Tabletext"/>
              <w:numPr>
                <w:ilvl w:val="0"/>
                <w:numId w:val="25"/>
              </w:numPr>
              <w:tabs>
                <w:tab w:val="clear" w:pos="559"/>
                <w:tab w:val="decimal" w:pos="321"/>
              </w:tabs>
              <w:jc w:val="left"/>
            </w:pPr>
            <w:r w:rsidRPr="00C13911">
              <w:t>Bain’s Student-Centred Indicators</w:t>
            </w:r>
            <w:r>
              <w:t xml:space="preserve"> (Cox &amp; Prestridge 2020)</w:t>
            </w:r>
          </w:p>
          <w:p w14:paraId="75861043" w14:textId="77777777" w:rsidR="0092765D" w:rsidRPr="00C13911" w:rsidRDefault="0092765D" w:rsidP="002A2B2C">
            <w:pPr>
              <w:pStyle w:val="Tabletext"/>
              <w:numPr>
                <w:ilvl w:val="0"/>
                <w:numId w:val="25"/>
              </w:numPr>
              <w:tabs>
                <w:tab w:val="clear" w:pos="559"/>
                <w:tab w:val="decimal" w:pos="321"/>
              </w:tabs>
              <w:jc w:val="left"/>
            </w:pPr>
            <w:r w:rsidRPr="00C13911">
              <w:t>Culturally Responsive Professional Learning and Development</w:t>
            </w:r>
            <w:r>
              <w:t xml:space="preserve"> (CRPLD) (London et al. 2019)</w:t>
            </w:r>
          </w:p>
          <w:p w14:paraId="332AD9A5" w14:textId="77777777" w:rsidR="0092765D" w:rsidRPr="00C13911" w:rsidRDefault="0092765D" w:rsidP="002A2B2C">
            <w:pPr>
              <w:pStyle w:val="Tabletext"/>
              <w:numPr>
                <w:ilvl w:val="0"/>
                <w:numId w:val="25"/>
              </w:numPr>
              <w:tabs>
                <w:tab w:val="clear" w:pos="559"/>
                <w:tab w:val="decimal" w:pos="321"/>
              </w:tabs>
              <w:jc w:val="left"/>
            </w:pPr>
            <w:r w:rsidRPr="00C13911">
              <w:t>Edu cultural Wheel</w:t>
            </w:r>
            <w:r>
              <w:t xml:space="preserve"> (London et al. 2019)</w:t>
            </w:r>
          </w:p>
          <w:p w14:paraId="0DEC59CC" w14:textId="77777777" w:rsidR="0092765D" w:rsidRPr="00C13911" w:rsidRDefault="0092765D" w:rsidP="002A2B2C">
            <w:pPr>
              <w:pStyle w:val="Tabletext"/>
              <w:numPr>
                <w:ilvl w:val="0"/>
                <w:numId w:val="25"/>
              </w:numPr>
              <w:tabs>
                <w:tab w:val="clear" w:pos="559"/>
                <w:tab w:val="decimal" w:pos="321"/>
              </w:tabs>
              <w:jc w:val="left"/>
            </w:pPr>
            <w:r w:rsidRPr="00C13911">
              <w:t>Danielson Framework for Teaching</w:t>
            </w:r>
            <w:r>
              <w:t xml:space="preserve"> (Danielson 2014)</w:t>
            </w:r>
          </w:p>
          <w:p w14:paraId="3F3DAC32" w14:textId="77777777" w:rsidR="0092765D" w:rsidRPr="00C13911" w:rsidRDefault="0092765D" w:rsidP="002A2B2C">
            <w:pPr>
              <w:pStyle w:val="Tabletext"/>
              <w:numPr>
                <w:ilvl w:val="0"/>
                <w:numId w:val="25"/>
              </w:numPr>
              <w:tabs>
                <w:tab w:val="clear" w:pos="559"/>
                <w:tab w:val="decimal" w:pos="321"/>
              </w:tabs>
              <w:jc w:val="left"/>
            </w:pPr>
            <w:r w:rsidRPr="00F42373">
              <w:t>European Framework for the Digital Competence of Educators (</w:t>
            </w:r>
            <w:proofErr w:type="spellStart"/>
            <w:r w:rsidRPr="00F42373">
              <w:t>DigCompEdu</w:t>
            </w:r>
            <w:proofErr w:type="spellEnd"/>
            <w:r w:rsidRPr="00F42373">
              <w:t>)</w:t>
            </w:r>
            <w:r>
              <w:t xml:space="preserve"> (</w:t>
            </w:r>
            <w:proofErr w:type="spellStart"/>
            <w:r w:rsidRPr="008E6F09">
              <w:t>Wibrow</w:t>
            </w:r>
            <w:proofErr w:type="spellEnd"/>
            <w:r w:rsidRPr="008E6F09">
              <w:t>, Circelli &amp; Korbel 2020</w:t>
            </w:r>
            <w:r>
              <w:t>)</w:t>
            </w:r>
          </w:p>
        </w:tc>
        <w:tc>
          <w:tcPr>
            <w:tcW w:w="4508" w:type="dxa"/>
            <w:tcBorders>
              <w:top w:val="single" w:sz="4" w:space="0" w:color="auto"/>
              <w:bottom w:val="single" w:sz="4" w:space="0" w:color="auto"/>
            </w:tcBorders>
          </w:tcPr>
          <w:p w14:paraId="3C03BFC6" w14:textId="77777777" w:rsidR="0092765D" w:rsidRPr="00C13911" w:rsidRDefault="0092765D" w:rsidP="00E3640E">
            <w:pPr>
              <w:pStyle w:val="Tabletext"/>
              <w:numPr>
                <w:ilvl w:val="0"/>
                <w:numId w:val="25"/>
              </w:numPr>
              <w:jc w:val="left"/>
            </w:pPr>
            <w:r w:rsidRPr="00C13911">
              <w:t>Innovation and Business Skills Australia (IBSA)</w:t>
            </w:r>
          </w:p>
          <w:p w14:paraId="76E0DEF3" w14:textId="77777777" w:rsidR="0092765D" w:rsidRPr="00C13911" w:rsidRDefault="0092765D" w:rsidP="00E3640E">
            <w:pPr>
              <w:pStyle w:val="Tabletext"/>
              <w:numPr>
                <w:ilvl w:val="0"/>
                <w:numId w:val="25"/>
              </w:numPr>
              <w:jc w:val="left"/>
            </w:pPr>
            <w:r w:rsidRPr="00C13911">
              <w:t>TAFE SA VET Educator Capability Framework</w:t>
            </w:r>
          </w:p>
          <w:p w14:paraId="2BD6102E" w14:textId="77777777" w:rsidR="0092765D" w:rsidRPr="00C13911" w:rsidRDefault="0092765D" w:rsidP="00E3640E">
            <w:pPr>
              <w:pStyle w:val="Tabletext"/>
              <w:numPr>
                <w:ilvl w:val="0"/>
                <w:numId w:val="25"/>
              </w:numPr>
              <w:jc w:val="left"/>
            </w:pPr>
            <w:r w:rsidRPr="00C13911">
              <w:t>Tas TAFE Educator Capability Framework</w:t>
            </w:r>
          </w:p>
          <w:p w14:paraId="4E3790F2" w14:textId="77777777" w:rsidR="0092765D" w:rsidRPr="00C13911" w:rsidRDefault="0092765D" w:rsidP="00E3640E">
            <w:pPr>
              <w:pStyle w:val="Tabletext"/>
              <w:numPr>
                <w:ilvl w:val="0"/>
                <w:numId w:val="25"/>
              </w:numPr>
              <w:jc w:val="left"/>
            </w:pPr>
            <w:r w:rsidRPr="00C13911">
              <w:t>TAFE NSW Professional Standards for Teachers</w:t>
            </w:r>
          </w:p>
          <w:p w14:paraId="44C084C2" w14:textId="77777777" w:rsidR="0092765D" w:rsidRPr="00C13911" w:rsidRDefault="0092765D" w:rsidP="00E3640E">
            <w:pPr>
              <w:pStyle w:val="Tabletext"/>
              <w:numPr>
                <w:ilvl w:val="0"/>
                <w:numId w:val="25"/>
              </w:numPr>
              <w:jc w:val="left"/>
            </w:pPr>
            <w:r w:rsidRPr="00C13911">
              <w:t>Chislom Educator Capability Framework</w:t>
            </w:r>
          </w:p>
          <w:p w14:paraId="28B1CF15" w14:textId="77777777" w:rsidR="0092765D" w:rsidRPr="00C13911" w:rsidRDefault="0092765D" w:rsidP="00E3640E">
            <w:pPr>
              <w:pStyle w:val="Tabletext"/>
              <w:numPr>
                <w:ilvl w:val="0"/>
                <w:numId w:val="25"/>
              </w:numPr>
              <w:jc w:val="left"/>
            </w:pPr>
            <w:r w:rsidRPr="00C13911">
              <w:t>North Metropolitan TAFE VET Practitioner Capability Framework</w:t>
            </w:r>
          </w:p>
          <w:p w14:paraId="486232D8" w14:textId="77777777" w:rsidR="0092765D" w:rsidRPr="00C13911" w:rsidRDefault="0092765D" w:rsidP="00E3640E">
            <w:pPr>
              <w:pStyle w:val="Tabletext"/>
              <w:numPr>
                <w:ilvl w:val="0"/>
                <w:numId w:val="25"/>
              </w:numPr>
              <w:jc w:val="left"/>
            </w:pPr>
            <w:r w:rsidRPr="00C13911">
              <w:t>Charles Darwin University VET Educator Capability Framework</w:t>
            </w:r>
          </w:p>
          <w:p w14:paraId="7A45569E" w14:textId="77777777" w:rsidR="0092765D" w:rsidRPr="00C13911" w:rsidRDefault="0092765D" w:rsidP="00E3640E">
            <w:pPr>
              <w:pStyle w:val="Tabletext"/>
              <w:numPr>
                <w:ilvl w:val="0"/>
                <w:numId w:val="25"/>
              </w:numPr>
              <w:jc w:val="left"/>
            </w:pPr>
            <w:r w:rsidRPr="00C13911">
              <w:t>Charles Darwin University VET Educator Capability Framework</w:t>
            </w:r>
          </w:p>
          <w:p w14:paraId="5118D68C" w14:textId="77777777" w:rsidR="0092765D" w:rsidRPr="00C13911" w:rsidRDefault="0092765D" w:rsidP="00E3640E">
            <w:pPr>
              <w:pStyle w:val="Tabletext"/>
              <w:numPr>
                <w:ilvl w:val="0"/>
                <w:numId w:val="25"/>
              </w:numPr>
              <w:jc w:val="left"/>
            </w:pPr>
            <w:r w:rsidRPr="00C13911">
              <w:t>Charles Darwin University VET Educator Capability Framework</w:t>
            </w:r>
          </w:p>
          <w:p w14:paraId="40EB891C" w14:textId="77777777" w:rsidR="0092765D" w:rsidRPr="00C13911" w:rsidRDefault="0092765D" w:rsidP="00E3640E">
            <w:pPr>
              <w:pStyle w:val="Tabletext"/>
              <w:numPr>
                <w:ilvl w:val="0"/>
                <w:numId w:val="25"/>
              </w:numPr>
              <w:jc w:val="left"/>
            </w:pPr>
            <w:r w:rsidRPr="00C13911">
              <w:t>National TVET Quality Framework</w:t>
            </w:r>
          </w:p>
          <w:p w14:paraId="26F7BF41" w14:textId="77777777" w:rsidR="0092765D" w:rsidRPr="00C13911" w:rsidRDefault="0092765D" w:rsidP="0092765D">
            <w:pPr>
              <w:pStyle w:val="Tabletext"/>
            </w:pPr>
          </w:p>
        </w:tc>
      </w:tr>
    </w:tbl>
    <w:p w14:paraId="2A2EA92C" w14:textId="77777777" w:rsidR="00E3640E" w:rsidRDefault="00E3640E" w:rsidP="0092765D">
      <w:pPr>
        <w:pStyle w:val="Text"/>
        <w:rPr>
          <w:rFonts w:eastAsia="Arial"/>
        </w:rPr>
      </w:pPr>
    </w:p>
    <w:p w14:paraId="4CC3D724" w14:textId="48EE0976" w:rsidR="0092765D" w:rsidRDefault="0092765D" w:rsidP="0092765D">
      <w:pPr>
        <w:pStyle w:val="Text"/>
        <w:rPr>
          <w:rFonts w:eastAsia="Arial"/>
        </w:rPr>
      </w:pPr>
      <w:r w:rsidRPr="006D549F">
        <w:rPr>
          <w:rFonts w:eastAsia="Arial"/>
        </w:rPr>
        <w:lastRenderedPageBreak/>
        <w:t xml:space="preserve">These theories and capability frameworks facilitate shaping both the conceptual understanding and practical advancement of high-quality teaching in VET. For example, the literature demonstrates that frameworks such as Universal Design for Learning (UDL) are used to promote </w:t>
      </w:r>
      <w:r w:rsidR="00E74124">
        <w:rPr>
          <w:rFonts w:eastAsia="Arial"/>
        </w:rPr>
        <w:t>the creation of</w:t>
      </w:r>
      <w:r w:rsidRPr="006D549F">
        <w:rPr>
          <w:rFonts w:eastAsia="Arial"/>
        </w:rPr>
        <w:t xml:space="preserve"> flexible and accessible learning environments responsive to learner diversity</w:t>
      </w:r>
      <w:r>
        <w:rPr>
          <w:rFonts w:eastAsia="Arial"/>
        </w:rPr>
        <w:t xml:space="preserve"> </w:t>
      </w:r>
      <w:r w:rsidRPr="00170442">
        <w:rPr>
          <w:rFonts w:eastAsia="Arial"/>
        </w:rPr>
        <w:t>(Collins 2024; Quirke &amp; McCarthy 2020)</w:t>
      </w:r>
      <w:r>
        <w:rPr>
          <w:rFonts w:eastAsia="Arial"/>
        </w:rPr>
        <w:t>.</w:t>
      </w:r>
      <w:r w:rsidRPr="006D549F">
        <w:rPr>
          <w:rFonts w:eastAsia="Arial"/>
        </w:rPr>
        <w:t xml:space="preserve"> Cognitive Load Theory has provided the basis for research on instructional techniques that optimise knowledge retention and reduce unnecessary complexity in learning tasks</w:t>
      </w:r>
      <w:r>
        <w:rPr>
          <w:rFonts w:eastAsia="Arial"/>
        </w:rPr>
        <w:t xml:space="preserve"> (</w:t>
      </w:r>
      <w:r w:rsidRPr="00B05021">
        <w:rPr>
          <w:rFonts w:eastAsia="Arial"/>
        </w:rPr>
        <w:t>New South Wales Government 2018)</w:t>
      </w:r>
      <w:r>
        <w:rPr>
          <w:rFonts w:eastAsia="Arial"/>
        </w:rPr>
        <w:t xml:space="preserve">. </w:t>
      </w:r>
      <w:r w:rsidRPr="006D549F">
        <w:rPr>
          <w:rFonts w:eastAsia="Arial"/>
        </w:rPr>
        <w:t>The Theory of Practice Architectures (Kemmis et al. 2012) highlight</w:t>
      </w:r>
      <w:r>
        <w:rPr>
          <w:rFonts w:eastAsia="Arial"/>
        </w:rPr>
        <w:t>s</w:t>
      </w:r>
      <w:r w:rsidRPr="006D549F">
        <w:rPr>
          <w:rFonts w:eastAsia="Arial"/>
        </w:rPr>
        <w:t xml:space="preserve"> how teaching is influenced by wider social, cultural, and material contexts. Cultural responsiveness is embedded through models like the</w:t>
      </w:r>
      <w:r w:rsidR="00F33F45" w:rsidRPr="00F33F45">
        <w:t xml:space="preserve"> </w:t>
      </w:r>
      <w:r w:rsidR="00F33F45" w:rsidRPr="00F33F45">
        <w:rPr>
          <w:rFonts w:eastAsia="Arial"/>
        </w:rPr>
        <w:t>Culturally Responsive Professional Learning and Development</w:t>
      </w:r>
      <w:r w:rsidRPr="006D549F">
        <w:rPr>
          <w:rFonts w:eastAsia="Arial"/>
        </w:rPr>
        <w:t xml:space="preserve"> </w:t>
      </w:r>
      <w:r w:rsidR="00F33F45">
        <w:rPr>
          <w:rFonts w:eastAsia="Arial"/>
        </w:rPr>
        <w:t>(</w:t>
      </w:r>
      <w:r w:rsidRPr="006D549F">
        <w:rPr>
          <w:rFonts w:eastAsia="Arial"/>
        </w:rPr>
        <w:t>CRPLD</w:t>
      </w:r>
      <w:r w:rsidR="00F33F45">
        <w:rPr>
          <w:rFonts w:eastAsia="Arial"/>
        </w:rPr>
        <w:t>)</w:t>
      </w:r>
      <w:r w:rsidRPr="006D549F">
        <w:rPr>
          <w:rFonts w:eastAsia="Arial"/>
        </w:rPr>
        <w:t xml:space="preserve"> and Edu-cultural Wheel, enabling inclusion for culturally diverse learners in </w:t>
      </w:r>
      <w:r>
        <w:rPr>
          <w:rFonts w:eastAsia="Arial"/>
        </w:rPr>
        <w:t xml:space="preserve">training </w:t>
      </w:r>
      <w:r w:rsidRPr="00CD09DC">
        <w:rPr>
          <w:rFonts w:eastAsia="Arial"/>
        </w:rPr>
        <w:t>(London et al. 2019)</w:t>
      </w:r>
      <w:r>
        <w:rPr>
          <w:rFonts w:eastAsia="Arial"/>
        </w:rPr>
        <w:t>.</w:t>
      </w:r>
      <w:r w:rsidRPr="006D549F">
        <w:rPr>
          <w:rFonts w:eastAsia="Arial"/>
        </w:rPr>
        <w:t xml:space="preserve"> </w:t>
      </w:r>
    </w:p>
    <w:p w14:paraId="1021689B" w14:textId="36EAE557" w:rsidR="0092765D" w:rsidRDefault="0092765D" w:rsidP="0092765D">
      <w:pPr>
        <w:pStyle w:val="Text"/>
      </w:pPr>
      <w:r>
        <w:rPr>
          <w:rFonts w:eastAsia="Arial"/>
        </w:rPr>
        <w:t>T</w:t>
      </w:r>
      <w:r w:rsidRPr="006D549F">
        <w:rPr>
          <w:rFonts w:eastAsia="Arial"/>
        </w:rPr>
        <w:t xml:space="preserve">hese theories and frameworks offer strong conceptual lenses and have been used to analyse and improve teaching effectiveness in diverse VET contexts. However, while some theories such as </w:t>
      </w:r>
      <w:r w:rsidR="008B08A5">
        <w:rPr>
          <w:rFonts w:eastAsia="Arial"/>
        </w:rPr>
        <w:t>Cognitive Load Theory</w:t>
      </w:r>
      <w:r w:rsidRPr="006D549F">
        <w:rPr>
          <w:rFonts w:eastAsia="Arial"/>
        </w:rPr>
        <w:t xml:space="preserve"> and </w:t>
      </w:r>
      <w:r w:rsidR="008B08A5">
        <w:rPr>
          <w:rFonts w:eastAsia="Arial"/>
        </w:rPr>
        <w:t>the Universal Design for Learning</w:t>
      </w:r>
      <w:r w:rsidRPr="006D549F">
        <w:rPr>
          <w:rFonts w:eastAsia="Arial"/>
        </w:rPr>
        <w:t xml:space="preserve"> are well-supported by empirical evidence and widely used to shape </w:t>
      </w:r>
      <w:r>
        <w:rPr>
          <w:rFonts w:eastAsia="Arial"/>
        </w:rPr>
        <w:t xml:space="preserve">and </w:t>
      </w:r>
      <w:r w:rsidRPr="006D549F">
        <w:rPr>
          <w:rFonts w:eastAsia="Arial"/>
        </w:rPr>
        <w:t>de</w:t>
      </w:r>
      <w:r>
        <w:rPr>
          <w:rFonts w:eastAsia="Arial"/>
        </w:rPr>
        <w:t>velop teaching practices</w:t>
      </w:r>
      <w:r w:rsidRPr="006D549F">
        <w:rPr>
          <w:rFonts w:eastAsia="Arial"/>
        </w:rPr>
        <w:t>, others require adaptation to the complex and varied settings of VET delivery. This emphasi</w:t>
      </w:r>
      <w:r>
        <w:rPr>
          <w:rFonts w:eastAsia="Arial"/>
        </w:rPr>
        <w:t>s</w:t>
      </w:r>
      <w:r w:rsidRPr="006D549F">
        <w:rPr>
          <w:rFonts w:eastAsia="Arial"/>
        </w:rPr>
        <w:t>es the ongoing need for critically assessing both the applicability and impact of theoretical models within the diverse VET teaching landscape.</w:t>
      </w:r>
    </w:p>
    <w:p w14:paraId="6CB6C4B1" w14:textId="77777777" w:rsidR="0092765D" w:rsidRDefault="0092765D" w:rsidP="0092765D">
      <w:pPr>
        <w:pStyle w:val="Text"/>
      </w:pPr>
      <w:r w:rsidRPr="00C82FD8">
        <w:t xml:space="preserve">Misko, Guthrie, and Waters’ (2021) review of </w:t>
      </w:r>
      <w:r w:rsidRPr="00843339">
        <w:t xml:space="preserve">the capability frameworks </w:t>
      </w:r>
      <w:r w:rsidRPr="00C82FD8">
        <w:t xml:space="preserve">reveals that, despite differences in structure and terminology, the teacher capability frameworks in VET </w:t>
      </w:r>
      <w:r>
        <w:t>share</w:t>
      </w:r>
      <w:r w:rsidRPr="00C82FD8">
        <w:t xml:space="preserve"> core elements such as</w:t>
      </w:r>
      <w:r w:rsidRPr="00843339">
        <w:t xml:space="preserve"> professional knowledge and practice, engagement and collaboration, quality processes and compliance, creating inclusive and safe learning environment, continuous professional development, general skills and professional values</w:t>
      </w:r>
      <w:r w:rsidRPr="00C82FD8">
        <w:t xml:space="preserve">. Emerging areas such as digital literacy, innovation, and </w:t>
      </w:r>
      <w:r w:rsidRPr="00B4623F">
        <w:t>entrepreneurship</w:t>
      </w:r>
      <w:r w:rsidRPr="00C82FD8">
        <w:t xml:space="preserve"> are also featured</w:t>
      </w:r>
      <w:r>
        <w:t xml:space="preserve"> in some</w:t>
      </w:r>
      <w:r w:rsidRPr="00C82FD8">
        <w:t>, reflecting shifts in the teaching landscape. The authors argue for developing a flexible ‘core’ set of capabilities to cater for diverse needs, while acknowledging that an update of existing frameworks may be required to remain relevant in a rapidly evolving VET environment.</w:t>
      </w:r>
      <w:r>
        <w:t xml:space="preserve"> </w:t>
      </w:r>
    </w:p>
    <w:p w14:paraId="3AA4B7F5" w14:textId="77777777" w:rsidR="0092765D" w:rsidRPr="009C6D3D" w:rsidRDefault="0092765D" w:rsidP="0092765D">
      <w:pPr>
        <w:pStyle w:val="Text"/>
      </w:pPr>
      <w:r>
        <w:t xml:space="preserve">These </w:t>
      </w:r>
      <w:r w:rsidRPr="009C6D3D">
        <w:t>frameworks within the VET sector recognise that teacher capabilities vary according to the levels of teacher roles</w:t>
      </w:r>
      <w:r>
        <w:t xml:space="preserve"> reflecting the influence of experience on teaching practice</w:t>
      </w:r>
      <w:r w:rsidRPr="009C6D3D">
        <w:t>. Several frameworks adopt a graduated or hierarchical approach to defining capabilities, articulating differentiated standards that correspond to distinct career stages usually identified as initial, proficient</w:t>
      </w:r>
      <w:r>
        <w:t>,</w:t>
      </w:r>
      <w:r w:rsidRPr="009C6D3D">
        <w:t xml:space="preserve"> advanced </w:t>
      </w:r>
      <w:r>
        <w:t xml:space="preserve">and leadership stages </w:t>
      </w:r>
      <w:r w:rsidRPr="009C6D3D">
        <w:t>(Misko, Guthrie &amp; Waters 2021). These stages encompass a range of descriptors, from beginner roles such as graduate or new lecturer, through proficient levels including tenured or advanced skill lecturers, to advanced roles such as program directors or educational managers.</w:t>
      </w:r>
    </w:p>
    <w:p w14:paraId="5C31FD01" w14:textId="77777777" w:rsidR="0092765D" w:rsidRDefault="0092765D" w:rsidP="0092765D">
      <w:pPr>
        <w:pStyle w:val="Text"/>
        <w:rPr>
          <w:rFonts w:eastAsia="Arial"/>
        </w:rPr>
      </w:pPr>
      <w:r w:rsidRPr="009C6D3D">
        <w:t>Importantly, these frameworks function not only as descriptive standards but as diagnostic tools, supporting teachers to critically self-assess their knowledge, skills, behaviours, and practices (Misko, Guthrie &amp; Waters 2021). This perspective underscores the importance of career stage appropriate professional development that responds to teachers’ changing needs, enabling continuous growth in teaching practices aligned with both individual progression and the dynamic demands of the VET sector</w:t>
      </w:r>
      <w:r>
        <w:t xml:space="preserve"> (this is further elaborated in the teacher training section)</w:t>
      </w:r>
      <w:r w:rsidRPr="009C6D3D">
        <w:t>.</w:t>
      </w:r>
    </w:p>
    <w:p w14:paraId="04C408C0" w14:textId="77777777" w:rsidR="0092765D" w:rsidRPr="00340784" w:rsidRDefault="0092765D" w:rsidP="0055572F">
      <w:pPr>
        <w:pStyle w:val="Heading4"/>
        <w:rPr>
          <w:rFonts w:eastAsia="Arial"/>
        </w:rPr>
      </w:pPr>
      <w:r w:rsidRPr="00340784">
        <w:rPr>
          <w:rFonts w:eastAsia="Arial"/>
        </w:rPr>
        <w:lastRenderedPageBreak/>
        <w:t>Characteristics of effective teaching practices</w:t>
      </w:r>
    </w:p>
    <w:p w14:paraId="6F906B1D" w14:textId="6D42D4A0" w:rsidR="0092765D" w:rsidRDefault="0092765D" w:rsidP="0092765D">
      <w:pPr>
        <w:pStyle w:val="Text"/>
        <w:rPr>
          <w:rFonts w:eastAsia="Arial"/>
        </w:rPr>
      </w:pPr>
      <w:r w:rsidRPr="0002544B">
        <w:rPr>
          <w:rFonts w:eastAsia="Arial"/>
        </w:rPr>
        <w:t xml:space="preserve">It is evident from the research and policy literature that effective teaching practices in VET are shaped by interactions of many domains </w:t>
      </w:r>
      <w:r>
        <w:rPr>
          <w:rFonts w:eastAsia="Arial"/>
        </w:rPr>
        <w:t xml:space="preserve">in </w:t>
      </w:r>
      <w:r w:rsidRPr="0002544B">
        <w:rPr>
          <w:rFonts w:eastAsia="Arial"/>
        </w:rPr>
        <w:t>the complex VET landscape.</w:t>
      </w:r>
      <w:r>
        <w:rPr>
          <w:rFonts w:eastAsia="Arial"/>
        </w:rPr>
        <w:t xml:space="preserve"> These include leaner-centred and inclusive pedagogy, flexible teaching and assessment practices, effective use of technology, industry and community engagement, mentorship and learner support, and the capacity to respond to the needs of diverse learner cohorts. Effective teaching also requires teachers to balance pedagogical expertise with industry currency while adapting their practice to different delivery modes, learner characteristics and organisational contexts.</w:t>
      </w:r>
      <w:r w:rsidRPr="0002544B">
        <w:rPr>
          <w:rFonts w:eastAsia="Arial"/>
        </w:rPr>
        <w:t xml:space="preserve"> Core themes emerging from the recent literature are summarised in table </w:t>
      </w:r>
      <w:r w:rsidR="00D903D7">
        <w:rPr>
          <w:rFonts w:eastAsia="Arial"/>
        </w:rPr>
        <w:t>2</w:t>
      </w:r>
      <w:r w:rsidRPr="0002544B">
        <w:rPr>
          <w:rFonts w:eastAsia="Arial"/>
        </w:rPr>
        <w:t>.</w:t>
      </w:r>
    </w:p>
    <w:p w14:paraId="4D540CD0" w14:textId="25DD3A43" w:rsidR="00625850" w:rsidRDefault="00625850" w:rsidP="00625850">
      <w:pPr>
        <w:pStyle w:val="Text"/>
        <w:rPr>
          <w:rFonts w:eastAsia="Arial"/>
        </w:rPr>
      </w:pPr>
      <w:r>
        <w:rPr>
          <w:rFonts w:eastAsia="Arial"/>
        </w:rPr>
        <w:t xml:space="preserve">As presented in table </w:t>
      </w:r>
      <w:r w:rsidR="00D903D7">
        <w:rPr>
          <w:rFonts w:eastAsia="Arial"/>
        </w:rPr>
        <w:t>2</w:t>
      </w:r>
      <w:r>
        <w:rPr>
          <w:rFonts w:eastAsia="Arial"/>
        </w:rPr>
        <w:t>,</w:t>
      </w:r>
      <w:r w:rsidRPr="0049680A">
        <w:rPr>
          <w:rFonts w:eastAsia="Arial"/>
        </w:rPr>
        <w:t xml:space="preserve"> certain approaches such as learner-centred and inclusive pedagogy, proactive identification and support of individual learning needs, authentic student engagement,</w:t>
      </w:r>
      <w:r>
        <w:rPr>
          <w:rFonts w:eastAsia="Arial"/>
        </w:rPr>
        <w:t xml:space="preserve"> </w:t>
      </w:r>
      <w:r w:rsidRPr="0049680A">
        <w:rPr>
          <w:rFonts w:eastAsia="Arial"/>
        </w:rPr>
        <w:t>tailored adjustments to teaching and assess</w:t>
      </w:r>
      <w:r>
        <w:rPr>
          <w:rFonts w:eastAsia="Arial"/>
        </w:rPr>
        <w:t>ment</w:t>
      </w:r>
      <w:r w:rsidRPr="0049680A">
        <w:rPr>
          <w:rFonts w:eastAsia="Arial"/>
        </w:rPr>
        <w:t xml:space="preserve">, technology integration and innovation, and mentorship are widely recognised across </w:t>
      </w:r>
      <w:r>
        <w:rPr>
          <w:rFonts w:eastAsia="Arial"/>
        </w:rPr>
        <w:t>all</w:t>
      </w:r>
      <w:r w:rsidRPr="0049680A">
        <w:rPr>
          <w:rFonts w:eastAsia="Arial"/>
        </w:rPr>
        <w:t xml:space="preserve"> VET contexts. </w:t>
      </w:r>
    </w:p>
    <w:p w14:paraId="2C7C6586" w14:textId="77777777" w:rsidR="00625850" w:rsidRDefault="00625850" w:rsidP="00625850">
      <w:pPr>
        <w:pStyle w:val="Text"/>
        <w:rPr>
          <w:rFonts w:eastAsia="Arial"/>
        </w:rPr>
      </w:pPr>
      <w:r w:rsidRPr="0049680A">
        <w:rPr>
          <w:rFonts w:eastAsia="Arial"/>
        </w:rPr>
        <w:t xml:space="preserve">Alongside these, the table highlights targeted pedagogical strategies developed for priority cohorts, including First Nations learners, learners with disability, and culturally and linguistically diverse students, reflecting the necessity for nuanced and responsive practices. These examples illustrate that a ‘one size fits all’ approach is inadequate for the diversity found within VET. </w:t>
      </w:r>
      <w:r w:rsidRPr="00BA3098">
        <w:rPr>
          <w:rFonts w:eastAsia="Arial"/>
        </w:rPr>
        <w:t xml:space="preserve">However, it is evident from the literature review that significant gaps still exist as research </w:t>
      </w:r>
      <w:r>
        <w:rPr>
          <w:rFonts w:eastAsia="Arial"/>
        </w:rPr>
        <w:t>addressing</w:t>
      </w:r>
      <w:r w:rsidRPr="00BA3098">
        <w:rPr>
          <w:rFonts w:eastAsia="Arial"/>
        </w:rPr>
        <w:t xml:space="preserve"> effective teaching practices for priority learner groups</w:t>
      </w:r>
      <w:r>
        <w:rPr>
          <w:rFonts w:eastAsia="Arial"/>
        </w:rPr>
        <w:t xml:space="preserve"> is scarcer than general teaching investigation. </w:t>
      </w:r>
    </w:p>
    <w:p w14:paraId="20949F9B" w14:textId="4B75068D" w:rsidR="004741D0" w:rsidRDefault="004741D0" w:rsidP="004741D0">
      <w:pPr>
        <w:pStyle w:val="Text"/>
        <w:rPr>
          <w:rFonts w:eastAsia="Arial"/>
        </w:rPr>
      </w:pPr>
      <w:r w:rsidRPr="003E1625">
        <w:rPr>
          <w:rFonts w:eastAsia="Arial"/>
        </w:rPr>
        <w:t xml:space="preserve">Most of </w:t>
      </w:r>
      <w:r>
        <w:rPr>
          <w:rFonts w:eastAsia="Arial"/>
        </w:rPr>
        <w:t>the reviewed</w:t>
      </w:r>
      <w:r w:rsidRPr="003E1625">
        <w:rPr>
          <w:rFonts w:eastAsia="Arial"/>
        </w:rPr>
        <w:t xml:space="preserve"> literature continues to frame effective teaching in general terms, with limited differentiation regarding how excellence is enacted across the sector’s complex and varied environments.</w:t>
      </w:r>
      <w:r>
        <w:rPr>
          <w:rFonts w:eastAsia="Arial"/>
        </w:rPr>
        <w:t xml:space="preserve"> There</w:t>
      </w:r>
      <w:r w:rsidRPr="0049680A">
        <w:rPr>
          <w:rFonts w:eastAsia="Arial"/>
        </w:rPr>
        <w:t xml:space="preserve"> remains a need for more contextualised guidance and professional development </w:t>
      </w:r>
      <w:r>
        <w:rPr>
          <w:rFonts w:eastAsia="Arial"/>
        </w:rPr>
        <w:t>opportunities</w:t>
      </w:r>
      <w:r w:rsidRPr="0049680A">
        <w:rPr>
          <w:rFonts w:eastAsia="Arial"/>
        </w:rPr>
        <w:t xml:space="preserve"> to equip VET teachers to adapt their methods effectively to varied learner groups and settings. </w:t>
      </w:r>
      <w:r w:rsidRPr="002C3568">
        <w:rPr>
          <w:rFonts w:eastAsia="Arial"/>
        </w:rPr>
        <w:t xml:space="preserve">Furthermore, addressing these gaps requires careful consideration of the </w:t>
      </w:r>
      <w:r w:rsidRPr="0049680A">
        <w:rPr>
          <w:rFonts w:eastAsia="Arial"/>
        </w:rPr>
        <w:t xml:space="preserve">diversity </w:t>
      </w:r>
      <w:r w:rsidRPr="002C3568">
        <w:rPr>
          <w:rFonts w:eastAsia="Arial"/>
        </w:rPr>
        <w:t>within</w:t>
      </w:r>
      <w:r w:rsidRPr="0049680A">
        <w:rPr>
          <w:rFonts w:eastAsia="Arial"/>
        </w:rPr>
        <w:t xml:space="preserve"> the VET </w:t>
      </w:r>
      <w:r w:rsidRPr="002C3568">
        <w:rPr>
          <w:rFonts w:eastAsia="Arial"/>
        </w:rPr>
        <w:t xml:space="preserve">teaching </w:t>
      </w:r>
      <w:r w:rsidRPr="0049680A">
        <w:rPr>
          <w:rFonts w:eastAsia="Arial"/>
        </w:rPr>
        <w:t xml:space="preserve">workforce itself, </w:t>
      </w:r>
      <w:r w:rsidRPr="002C3568">
        <w:rPr>
          <w:rFonts w:eastAsia="Arial"/>
        </w:rPr>
        <w:t>including teachers’</w:t>
      </w:r>
      <w:r w:rsidRPr="0049680A">
        <w:rPr>
          <w:rFonts w:eastAsia="Arial"/>
        </w:rPr>
        <w:t xml:space="preserve"> demographic </w:t>
      </w:r>
      <w:r w:rsidRPr="002C3568">
        <w:rPr>
          <w:rFonts w:eastAsia="Arial"/>
        </w:rPr>
        <w:t>backgrounds</w:t>
      </w:r>
      <w:r w:rsidRPr="0049680A">
        <w:rPr>
          <w:rFonts w:eastAsia="Arial"/>
        </w:rPr>
        <w:t xml:space="preserve"> and the </w:t>
      </w:r>
      <w:r w:rsidRPr="002C3568">
        <w:rPr>
          <w:rFonts w:eastAsia="Arial"/>
        </w:rPr>
        <w:t>varied</w:t>
      </w:r>
      <w:r w:rsidRPr="0049680A">
        <w:rPr>
          <w:rFonts w:eastAsia="Arial"/>
        </w:rPr>
        <w:t xml:space="preserve"> contexts in which </w:t>
      </w:r>
      <w:r w:rsidRPr="002C3568">
        <w:rPr>
          <w:rFonts w:eastAsia="Arial"/>
        </w:rPr>
        <w:t>they</w:t>
      </w:r>
      <w:r w:rsidRPr="0049680A">
        <w:rPr>
          <w:rFonts w:eastAsia="Arial"/>
        </w:rPr>
        <w:t xml:space="preserve"> work, when </w:t>
      </w:r>
      <w:r w:rsidRPr="002C3568">
        <w:rPr>
          <w:rFonts w:eastAsia="Arial"/>
        </w:rPr>
        <w:t>developing</w:t>
      </w:r>
      <w:r w:rsidRPr="0049680A">
        <w:rPr>
          <w:rFonts w:eastAsia="Arial"/>
        </w:rPr>
        <w:t xml:space="preserve"> and implementing strategies for effective teaching practices.</w:t>
      </w:r>
    </w:p>
    <w:p w14:paraId="4FF23E8C" w14:textId="1AE2DED2" w:rsidR="004741D0" w:rsidRDefault="004741D0">
      <w:pPr>
        <w:spacing w:before="0" w:line="240" w:lineRule="auto"/>
        <w:rPr>
          <w:rFonts w:ascii="Arial" w:eastAsia="Arial" w:hAnsi="Arial"/>
          <w:b/>
          <w:sz w:val="17"/>
          <w:highlight w:val="cyan"/>
        </w:rPr>
      </w:pPr>
    </w:p>
    <w:p w14:paraId="126A2EAD" w14:textId="3700E6AE" w:rsidR="0092765D" w:rsidRPr="00082639" w:rsidRDefault="0092765D" w:rsidP="00023A13">
      <w:pPr>
        <w:pStyle w:val="Tabletitle0"/>
      </w:pPr>
      <w:bookmarkStart w:id="27" w:name="_Toc241744007"/>
      <w:r w:rsidRPr="00082639">
        <w:t xml:space="preserve">Table </w:t>
      </w:r>
      <w:r w:rsidR="00D903D7" w:rsidRPr="00082639">
        <w:t>2</w:t>
      </w:r>
      <w:r w:rsidRPr="00082639">
        <w:t xml:space="preserve"> Examples of effective teaching practices and associated strategies</w:t>
      </w:r>
      <w:bookmarkEnd w:id="27"/>
      <w:r w:rsidRPr="00082639">
        <w:t xml:space="preserve"> </w:t>
      </w:r>
    </w:p>
    <w:tbl>
      <w:tblPr>
        <w:tblStyle w:val="NCVERTable"/>
        <w:tblW w:w="0" w:type="auto"/>
        <w:tblLook w:val="04A0" w:firstRow="1" w:lastRow="0" w:firstColumn="1" w:lastColumn="0" w:noHBand="0" w:noVBand="1"/>
      </w:tblPr>
      <w:tblGrid>
        <w:gridCol w:w="2835"/>
        <w:gridCol w:w="6191"/>
      </w:tblGrid>
      <w:tr w:rsidR="0092765D" w14:paraId="480DE58A" w14:textId="77777777" w:rsidTr="0001297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0E8D4F22" w14:textId="77777777" w:rsidR="0092765D" w:rsidRPr="003145FC" w:rsidRDefault="0092765D" w:rsidP="00012970">
            <w:pPr>
              <w:pStyle w:val="Tablehead1"/>
            </w:pPr>
            <w:r w:rsidRPr="003145FC">
              <w:t>Effective teaching practices</w:t>
            </w:r>
          </w:p>
        </w:tc>
        <w:tc>
          <w:tcPr>
            <w:tcW w:w="6191" w:type="dxa"/>
          </w:tcPr>
          <w:p w14:paraId="5E218C3D" w14:textId="77777777" w:rsidR="0092765D" w:rsidRPr="003145FC" w:rsidRDefault="0092765D" w:rsidP="00012970">
            <w:pPr>
              <w:pStyle w:val="Tablehead1"/>
              <w:cnfStyle w:val="100000000000" w:firstRow="1" w:lastRow="0" w:firstColumn="0" w:lastColumn="0" w:oddVBand="0" w:evenVBand="0" w:oddHBand="0" w:evenHBand="0" w:firstRowFirstColumn="0" w:firstRowLastColumn="0" w:lastRowFirstColumn="0" w:lastRowLastColumn="0"/>
            </w:pPr>
            <w:r w:rsidRPr="003145FC">
              <w:t>Strategies with representative references</w:t>
            </w:r>
          </w:p>
        </w:tc>
      </w:tr>
      <w:tr w:rsidR="0092765D" w:rsidRPr="002401D1" w14:paraId="186F8FFD" w14:textId="77777777" w:rsidTr="000129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582BAFC1" w14:textId="77777777" w:rsidR="0092765D" w:rsidRPr="002401D1" w:rsidRDefault="0092765D" w:rsidP="00012970">
            <w:pPr>
              <w:pStyle w:val="Tabletext"/>
              <w:jc w:val="left"/>
              <w:rPr>
                <w:b w:val="0"/>
                <w:bCs/>
              </w:rPr>
            </w:pPr>
            <w:r w:rsidRPr="002401D1">
              <w:rPr>
                <w:b w:val="0"/>
                <w:bCs/>
              </w:rPr>
              <w:t>Learner-centred and inclusive pedagogy</w:t>
            </w:r>
          </w:p>
          <w:p w14:paraId="1F026A0A" w14:textId="77777777" w:rsidR="0092765D" w:rsidRPr="002401D1" w:rsidRDefault="0092765D" w:rsidP="00012970">
            <w:pPr>
              <w:pStyle w:val="Tabletext"/>
              <w:jc w:val="left"/>
              <w:rPr>
                <w:b w:val="0"/>
                <w:bCs/>
              </w:rPr>
            </w:pPr>
          </w:p>
        </w:tc>
        <w:tc>
          <w:tcPr>
            <w:tcW w:w="6191" w:type="dxa"/>
          </w:tcPr>
          <w:p w14:paraId="08485451" w14:textId="068D0B23" w:rsidR="00D7122C" w:rsidRDefault="00D7122C" w:rsidP="00F91B5E">
            <w:pPr>
              <w:pStyle w:val="Tabletext"/>
              <w:numPr>
                <w:ilvl w:val="0"/>
                <w:numId w:val="8"/>
              </w:numPr>
              <w:tabs>
                <w:tab w:val="clear" w:pos="559"/>
              </w:tabs>
              <w:spacing w:line="240" w:lineRule="auto"/>
              <w:jc w:val="left"/>
              <w:cnfStyle w:val="000000100000" w:firstRow="0" w:lastRow="0" w:firstColumn="0" w:lastColumn="0" w:oddVBand="0" w:evenVBand="0" w:oddHBand="1" w:evenHBand="0" w:firstRowFirstColumn="0" w:firstRowLastColumn="0" w:lastRowFirstColumn="0" w:lastRowLastColumn="0"/>
              <w:rPr>
                <w:bCs/>
              </w:rPr>
            </w:pPr>
            <w:r w:rsidRPr="00173C45">
              <w:t>Active and authentic student engagement</w:t>
            </w:r>
            <w:r>
              <w:t xml:space="preserve">, </w:t>
            </w:r>
            <w:r w:rsidRPr="003D5E3A">
              <w:t>building trust through strong and genuine relationships</w:t>
            </w:r>
          </w:p>
          <w:p w14:paraId="3AAABCD4" w14:textId="5C92D6D3" w:rsidR="0092765D" w:rsidRDefault="0092765D" w:rsidP="00F91B5E">
            <w:pPr>
              <w:pStyle w:val="Tabletext"/>
              <w:numPr>
                <w:ilvl w:val="0"/>
                <w:numId w:val="8"/>
              </w:numPr>
              <w:tabs>
                <w:tab w:val="clear" w:pos="559"/>
              </w:tabs>
              <w:spacing w:line="240" w:lineRule="auto"/>
              <w:jc w:val="left"/>
              <w:cnfStyle w:val="000000100000" w:firstRow="0" w:lastRow="0" w:firstColumn="0" w:lastColumn="0" w:oddVBand="0" w:evenVBand="0" w:oddHBand="1" w:evenHBand="0" w:firstRowFirstColumn="0" w:firstRowLastColumn="0" w:lastRowFirstColumn="0" w:lastRowLastColumn="0"/>
              <w:rPr>
                <w:bCs/>
              </w:rPr>
            </w:pPr>
            <w:r w:rsidRPr="002401D1">
              <w:rPr>
                <w:bCs/>
              </w:rPr>
              <w:t>Universal Design for Learning (UDL) (Griffin &amp; Davidson 2025</w:t>
            </w:r>
            <w:r>
              <w:rPr>
                <w:bCs/>
              </w:rPr>
              <w:t>;</w:t>
            </w:r>
            <w:r w:rsidRPr="002401D1">
              <w:rPr>
                <w:bCs/>
              </w:rPr>
              <w:t xml:space="preserve"> Collins 2024</w:t>
            </w:r>
            <w:r>
              <w:rPr>
                <w:bCs/>
              </w:rPr>
              <w:t>;</w:t>
            </w:r>
            <w:r w:rsidRPr="002401D1">
              <w:rPr>
                <w:bCs/>
              </w:rPr>
              <w:t xml:space="preserve"> Quirke &amp; McCarthy 2020</w:t>
            </w:r>
            <w:r>
              <w:rPr>
                <w:bCs/>
              </w:rPr>
              <w:t>;</w:t>
            </w:r>
            <w:r w:rsidRPr="002401D1">
              <w:rPr>
                <w:bCs/>
              </w:rPr>
              <w:t xml:space="preserve"> </w:t>
            </w:r>
            <w:proofErr w:type="spellStart"/>
            <w:r w:rsidRPr="002401D1">
              <w:rPr>
                <w:bCs/>
              </w:rPr>
              <w:t>Nadaillac</w:t>
            </w:r>
            <w:proofErr w:type="spellEnd"/>
            <w:r w:rsidRPr="002401D1">
              <w:rPr>
                <w:bCs/>
              </w:rPr>
              <w:t xml:space="preserve"> 2023)</w:t>
            </w:r>
          </w:p>
          <w:p w14:paraId="431AD786" w14:textId="77777777" w:rsidR="0092765D" w:rsidRDefault="0092765D" w:rsidP="00F91B5E">
            <w:pPr>
              <w:pStyle w:val="Tabletext"/>
              <w:numPr>
                <w:ilvl w:val="0"/>
                <w:numId w:val="8"/>
              </w:numPr>
              <w:tabs>
                <w:tab w:val="clear" w:pos="559"/>
              </w:tabs>
              <w:spacing w:line="240" w:lineRule="auto"/>
              <w:jc w:val="left"/>
              <w:cnfStyle w:val="000000100000" w:firstRow="0" w:lastRow="0" w:firstColumn="0" w:lastColumn="0" w:oddVBand="0" w:evenVBand="0" w:oddHBand="1" w:evenHBand="0" w:firstRowFirstColumn="0" w:firstRowLastColumn="0" w:lastRowFirstColumn="0" w:lastRowLastColumn="0"/>
              <w:rPr>
                <w:bCs/>
              </w:rPr>
            </w:pPr>
            <w:r w:rsidRPr="002401D1">
              <w:rPr>
                <w:bCs/>
              </w:rPr>
              <w:t>Strengths-based and trauma-informed methods (Goetze-Thies 2024</w:t>
            </w:r>
            <w:r>
              <w:rPr>
                <w:bCs/>
              </w:rPr>
              <w:t>;</w:t>
            </w:r>
            <w:r w:rsidRPr="002401D1">
              <w:rPr>
                <w:bCs/>
              </w:rPr>
              <w:t xml:space="preserve"> Skiba 2020)</w:t>
            </w:r>
          </w:p>
          <w:p w14:paraId="42C8EA08" w14:textId="5F478E3D" w:rsidR="0092765D" w:rsidRPr="00280FBF" w:rsidRDefault="0092765D" w:rsidP="00280FBF">
            <w:pPr>
              <w:pStyle w:val="Tabletext"/>
              <w:numPr>
                <w:ilvl w:val="0"/>
                <w:numId w:val="8"/>
              </w:numPr>
              <w:tabs>
                <w:tab w:val="clear" w:pos="559"/>
              </w:tabs>
              <w:spacing w:line="240" w:lineRule="auto"/>
              <w:jc w:val="left"/>
              <w:cnfStyle w:val="000000100000" w:firstRow="0" w:lastRow="0" w:firstColumn="0" w:lastColumn="0" w:oddVBand="0" w:evenVBand="0" w:oddHBand="1" w:evenHBand="0" w:firstRowFirstColumn="0" w:firstRowLastColumn="0" w:lastRowFirstColumn="0" w:lastRowLastColumn="0"/>
              <w:rPr>
                <w:bCs/>
              </w:rPr>
            </w:pPr>
            <w:r w:rsidRPr="002401D1">
              <w:rPr>
                <w:bCs/>
              </w:rPr>
              <w:t>Culturally responsive and socially inclusive teaching (Bowman &amp; Callan 2012</w:t>
            </w:r>
            <w:r w:rsidR="00280FBF">
              <w:rPr>
                <w:bCs/>
              </w:rPr>
              <w:t xml:space="preserve">, </w:t>
            </w:r>
            <w:r w:rsidRPr="00280FBF">
              <w:rPr>
                <w:bCs/>
              </w:rPr>
              <w:t>London et al. 2019; Subrahmanyam &amp; Law 2020; Tran &amp; Le 2017; Wallwork 2024)</w:t>
            </w:r>
          </w:p>
          <w:p w14:paraId="30C715A4" w14:textId="77777777" w:rsidR="0092765D" w:rsidRDefault="0092765D" w:rsidP="00F91B5E">
            <w:pPr>
              <w:pStyle w:val="Tabletext"/>
              <w:numPr>
                <w:ilvl w:val="0"/>
                <w:numId w:val="8"/>
              </w:numPr>
              <w:tabs>
                <w:tab w:val="clear" w:pos="559"/>
              </w:tabs>
              <w:spacing w:line="240" w:lineRule="auto"/>
              <w:jc w:val="left"/>
              <w:cnfStyle w:val="000000100000" w:firstRow="0" w:lastRow="0" w:firstColumn="0" w:lastColumn="0" w:oddVBand="0" w:evenVBand="0" w:oddHBand="1" w:evenHBand="0" w:firstRowFirstColumn="0" w:firstRowLastColumn="0" w:lastRowFirstColumn="0" w:lastRowLastColumn="0"/>
              <w:rPr>
                <w:bCs/>
              </w:rPr>
            </w:pPr>
            <w:r w:rsidRPr="002401D1">
              <w:rPr>
                <w:bCs/>
              </w:rPr>
              <w:t>Targeted autism spectrum disorder (ASD) support strategies (Collins 2024)</w:t>
            </w:r>
          </w:p>
          <w:p w14:paraId="74D131C7" w14:textId="04C90BCB" w:rsidR="0092765D" w:rsidRPr="00D7122C" w:rsidRDefault="0092765D" w:rsidP="00D7122C">
            <w:pPr>
              <w:pStyle w:val="Tabletext"/>
              <w:numPr>
                <w:ilvl w:val="0"/>
                <w:numId w:val="8"/>
              </w:numPr>
              <w:tabs>
                <w:tab w:val="clear" w:pos="559"/>
              </w:tabs>
              <w:spacing w:line="240" w:lineRule="auto"/>
              <w:cnfStyle w:val="000000100000" w:firstRow="0" w:lastRow="0" w:firstColumn="0" w:lastColumn="0" w:oddVBand="0" w:evenVBand="0" w:oddHBand="1" w:evenHBand="0" w:firstRowFirstColumn="0" w:firstRowLastColumn="0" w:lastRowFirstColumn="0" w:lastRowLastColumn="0"/>
            </w:pPr>
            <w:r w:rsidRPr="00613B8F">
              <w:t>Identifying and addressing learning and support needs</w:t>
            </w:r>
            <w:r>
              <w:t>, individualised and holistic support (</w:t>
            </w:r>
            <w:proofErr w:type="spellStart"/>
            <w:r>
              <w:t>Andrahannadi</w:t>
            </w:r>
            <w:proofErr w:type="spellEnd"/>
            <w:r>
              <w:t xml:space="preserve"> &amp; Griffin 2025)</w:t>
            </w:r>
          </w:p>
        </w:tc>
      </w:tr>
      <w:tr w:rsidR="0092765D" w14:paraId="43EEB71C" w14:textId="77777777" w:rsidTr="00012970">
        <w:tc>
          <w:tcPr>
            <w:cnfStyle w:val="001000000000" w:firstRow="0" w:lastRow="0" w:firstColumn="1" w:lastColumn="0" w:oddVBand="0" w:evenVBand="0" w:oddHBand="0" w:evenHBand="0" w:firstRowFirstColumn="0" w:firstRowLastColumn="0" w:lastRowFirstColumn="0" w:lastRowLastColumn="0"/>
            <w:tcW w:w="2835" w:type="dxa"/>
          </w:tcPr>
          <w:p w14:paraId="0AF39795" w14:textId="77777777" w:rsidR="0092765D" w:rsidRPr="003145FC" w:rsidRDefault="0092765D" w:rsidP="00012970">
            <w:pPr>
              <w:pStyle w:val="Tabletext"/>
              <w:jc w:val="left"/>
              <w:rPr>
                <w:b w:val="0"/>
                <w:bCs/>
              </w:rPr>
            </w:pPr>
            <w:r w:rsidRPr="003145FC">
              <w:rPr>
                <w:b w:val="0"/>
                <w:bCs/>
              </w:rPr>
              <w:lastRenderedPageBreak/>
              <w:t xml:space="preserve">Flexible and adaptive teaching and assessment </w:t>
            </w:r>
          </w:p>
        </w:tc>
        <w:tc>
          <w:tcPr>
            <w:tcW w:w="6191" w:type="dxa"/>
          </w:tcPr>
          <w:p w14:paraId="3E0AEB39" w14:textId="77777777" w:rsidR="0092765D" w:rsidRPr="003145FC" w:rsidRDefault="0092765D" w:rsidP="00F91B5E">
            <w:pPr>
              <w:pStyle w:val="Tabletext"/>
              <w:numPr>
                <w:ilvl w:val="0"/>
                <w:numId w:val="9"/>
              </w:numPr>
              <w:tabs>
                <w:tab w:val="clear" w:pos="559"/>
              </w:tabs>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bCs/>
              </w:rPr>
            </w:pPr>
            <w:r w:rsidRPr="00A442D2">
              <w:rPr>
                <w:bCs/>
              </w:rPr>
              <w:t>Tailoring strategies to fit face-to-face, online, blended, and workplace delivery; context-sensitive, technology-enhanced approaches</w:t>
            </w:r>
          </w:p>
        </w:tc>
      </w:tr>
      <w:tr w:rsidR="0092765D" w14:paraId="3223A0BE" w14:textId="77777777" w:rsidTr="000129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37F37900" w14:textId="77777777" w:rsidR="0092765D" w:rsidRPr="003145FC" w:rsidRDefault="0092765D" w:rsidP="00012970">
            <w:pPr>
              <w:pStyle w:val="Tabletext"/>
              <w:jc w:val="left"/>
              <w:rPr>
                <w:b w:val="0"/>
                <w:bCs/>
              </w:rPr>
            </w:pPr>
            <w:r w:rsidRPr="003145FC">
              <w:rPr>
                <w:b w:val="0"/>
                <w:bCs/>
              </w:rPr>
              <w:t>Effective blended and online teaching</w:t>
            </w:r>
          </w:p>
        </w:tc>
        <w:tc>
          <w:tcPr>
            <w:tcW w:w="6191" w:type="dxa"/>
          </w:tcPr>
          <w:p w14:paraId="4AFCAFB4" w14:textId="77777777" w:rsidR="00FA6F67" w:rsidRDefault="00FA6F67" w:rsidP="00F91B5E">
            <w:pPr>
              <w:pStyle w:val="Tabletext"/>
              <w:numPr>
                <w:ilvl w:val="0"/>
                <w:numId w:val="9"/>
              </w:numPr>
              <w:tabs>
                <w:tab w:val="clear" w:pos="559"/>
              </w:tabs>
              <w:spacing w:line="240" w:lineRule="auto"/>
              <w:jc w:val="left"/>
              <w:cnfStyle w:val="000000100000" w:firstRow="0" w:lastRow="0" w:firstColumn="0" w:lastColumn="0" w:oddVBand="0" w:evenVBand="0" w:oddHBand="1" w:evenHBand="0" w:firstRowFirstColumn="0" w:firstRowLastColumn="0" w:lastRowFirstColumn="0" w:lastRowLastColumn="0"/>
              <w:rPr>
                <w:bCs/>
              </w:rPr>
            </w:pPr>
            <w:r w:rsidRPr="003145FC">
              <w:rPr>
                <w:bCs/>
              </w:rPr>
              <w:t>Research on effective blended and online delivery highlight that the characteristics of high-quality online pedagogy are not fundamentally different from those in more conventional forms such as face-to-face teaching.</w:t>
            </w:r>
          </w:p>
          <w:p w14:paraId="4B846BAD" w14:textId="663407B4" w:rsidR="0092765D" w:rsidRPr="00FA6F67" w:rsidRDefault="0092765D" w:rsidP="00FA6F67">
            <w:pPr>
              <w:pStyle w:val="Tabletext"/>
              <w:numPr>
                <w:ilvl w:val="0"/>
                <w:numId w:val="9"/>
              </w:numPr>
              <w:tabs>
                <w:tab w:val="clear" w:pos="559"/>
              </w:tabs>
              <w:spacing w:line="240" w:lineRule="auto"/>
              <w:jc w:val="left"/>
              <w:cnfStyle w:val="000000100000" w:firstRow="0" w:lastRow="0" w:firstColumn="0" w:lastColumn="0" w:oddVBand="0" w:evenVBand="0" w:oddHBand="1" w:evenHBand="0" w:firstRowFirstColumn="0" w:firstRowLastColumn="0" w:lastRowFirstColumn="0" w:lastRowLastColumn="0"/>
              <w:rPr>
                <w:bCs/>
              </w:rPr>
            </w:pPr>
            <w:r w:rsidRPr="000E6C49">
              <w:rPr>
                <w:bCs/>
              </w:rPr>
              <w:t>Varied and eng</w:t>
            </w:r>
            <w:r>
              <w:rPr>
                <w:bCs/>
              </w:rPr>
              <w:t>aging</w:t>
            </w:r>
            <w:r w:rsidRPr="000E6C49">
              <w:rPr>
                <w:bCs/>
              </w:rPr>
              <w:t xml:space="preserve"> materials, flexibility, simplicity, clarity and consistency in delivery, clear communication, student support; technology to promote collaborative learning and to transform assessment practices to be more transparent, adaptive, authentic and accessible to all learners (Cox &amp; Prestridge 2020</w:t>
            </w:r>
            <w:r>
              <w:rPr>
                <w:bCs/>
              </w:rPr>
              <w:t>;</w:t>
            </w:r>
            <w:r w:rsidRPr="000E6C49">
              <w:rPr>
                <w:bCs/>
              </w:rPr>
              <w:t xml:space="preserve"> Hume, Griffin &amp; </w:t>
            </w:r>
            <w:proofErr w:type="spellStart"/>
            <w:r w:rsidRPr="000E6C49">
              <w:rPr>
                <w:bCs/>
              </w:rPr>
              <w:t>Andrahannadi</w:t>
            </w:r>
            <w:proofErr w:type="spellEnd"/>
            <w:r w:rsidRPr="000E6C49">
              <w:rPr>
                <w:bCs/>
              </w:rPr>
              <w:t xml:space="preserve"> 2023</w:t>
            </w:r>
            <w:r>
              <w:rPr>
                <w:bCs/>
              </w:rPr>
              <w:t>;</w:t>
            </w:r>
            <w:r w:rsidRPr="000E6C49">
              <w:rPr>
                <w:bCs/>
              </w:rPr>
              <w:t xml:space="preserve"> Kyle 2023</w:t>
            </w:r>
            <w:r>
              <w:rPr>
                <w:bCs/>
              </w:rPr>
              <w:t>;</w:t>
            </w:r>
            <w:r w:rsidRPr="000E6C49">
              <w:rPr>
                <w:bCs/>
              </w:rPr>
              <w:t xml:space="preserve"> Hamer &amp; Smith 2021</w:t>
            </w:r>
            <w:r>
              <w:rPr>
                <w:bCs/>
              </w:rPr>
              <w:t>;</w:t>
            </w:r>
            <w:r w:rsidRPr="000E6C49">
              <w:rPr>
                <w:bCs/>
              </w:rPr>
              <w:t xml:space="preserve"> </w:t>
            </w:r>
            <w:proofErr w:type="spellStart"/>
            <w:r w:rsidRPr="000E6C49">
              <w:rPr>
                <w:bCs/>
              </w:rPr>
              <w:t>Wibrow</w:t>
            </w:r>
            <w:proofErr w:type="spellEnd"/>
            <w:r w:rsidRPr="000E6C49">
              <w:rPr>
                <w:bCs/>
              </w:rPr>
              <w:t>, Circelli &amp; Korbel 2020)</w:t>
            </w:r>
          </w:p>
        </w:tc>
      </w:tr>
      <w:tr w:rsidR="0092765D" w14:paraId="20B44AA8" w14:textId="77777777" w:rsidTr="00012970">
        <w:tc>
          <w:tcPr>
            <w:cnfStyle w:val="001000000000" w:firstRow="0" w:lastRow="0" w:firstColumn="1" w:lastColumn="0" w:oddVBand="0" w:evenVBand="0" w:oddHBand="0" w:evenHBand="0" w:firstRowFirstColumn="0" w:firstRowLastColumn="0" w:lastRowFirstColumn="0" w:lastRowLastColumn="0"/>
            <w:tcW w:w="2835" w:type="dxa"/>
          </w:tcPr>
          <w:p w14:paraId="1BDA6B26" w14:textId="77777777" w:rsidR="0092765D" w:rsidRPr="003145FC" w:rsidRDefault="0092765D" w:rsidP="00012970">
            <w:pPr>
              <w:pStyle w:val="Tabletext"/>
              <w:jc w:val="left"/>
              <w:rPr>
                <w:b w:val="0"/>
                <w:bCs/>
              </w:rPr>
            </w:pPr>
            <w:r w:rsidRPr="003145FC">
              <w:rPr>
                <w:b w:val="0"/>
                <w:bCs/>
              </w:rPr>
              <w:t>Adjustments to assessment to accommodate learner needs, abilities and preferences</w:t>
            </w:r>
          </w:p>
        </w:tc>
        <w:tc>
          <w:tcPr>
            <w:tcW w:w="6191" w:type="dxa"/>
          </w:tcPr>
          <w:p w14:paraId="254D4748" w14:textId="77777777" w:rsidR="0092765D" w:rsidRPr="003145FC" w:rsidRDefault="0092765D" w:rsidP="00F91B5E">
            <w:pPr>
              <w:pStyle w:val="Tabletext"/>
              <w:numPr>
                <w:ilvl w:val="0"/>
                <w:numId w:val="10"/>
              </w:numPr>
              <w:tabs>
                <w:tab w:val="clear" w:pos="559"/>
              </w:tabs>
              <w:spacing w:line="240" w:lineRule="auto"/>
              <w:jc w:val="left"/>
              <w:cnfStyle w:val="000000000000" w:firstRow="0" w:lastRow="0" w:firstColumn="0" w:lastColumn="0" w:oddVBand="0" w:evenVBand="0" w:oddHBand="0" w:evenHBand="0" w:firstRowFirstColumn="0" w:firstRowLastColumn="0" w:lastRowFirstColumn="0" w:lastRowLastColumn="0"/>
              <w:rPr>
                <w:bCs/>
              </w:rPr>
            </w:pPr>
            <w:r w:rsidRPr="003145FC">
              <w:rPr>
                <w:bCs/>
              </w:rPr>
              <w:t>Verbal assessment</w:t>
            </w:r>
            <w:r>
              <w:rPr>
                <w:bCs/>
              </w:rPr>
              <w:t xml:space="preserve"> </w:t>
            </w:r>
            <w:r w:rsidRPr="003145FC">
              <w:rPr>
                <w:bCs/>
              </w:rPr>
              <w:t xml:space="preserve">rather than written, mixing up assessment methods, enabling students to shape assessment, </w:t>
            </w:r>
            <w:r>
              <w:rPr>
                <w:bCs/>
              </w:rPr>
              <w:t>s</w:t>
            </w:r>
            <w:r w:rsidRPr="003145FC">
              <w:rPr>
                <w:bCs/>
              </w:rPr>
              <w:t xml:space="preserve">imilar practice and assessment conditions, </w:t>
            </w:r>
            <w:r>
              <w:rPr>
                <w:bCs/>
              </w:rPr>
              <w:t>r</w:t>
            </w:r>
            <w:r w:rsidRPr="003145FC">
              <w:rPr>
                <w:bCs/>
              </w:rPr>
              <w:t xml:space="preserve">eview of progress through assessment tasks, </w:t>
            </w:r>
            <w:r>
              <w:rPr>
                <w:bCs/>
              </w:rPr>
              <w:t>u</w:t>
            </w:r>
            <w:r w:rsidRPr="003145FC">
              <w:rPr>
                <w:bCs/>
              </w:rPr>
              <w:t xml:space="preserve">se of authentic, workplace-relevant assessment tasks, </w:t>
            </w:r>
            <w:r>
              <w:rPr>
                <w:bCs/>
              </w:rPr>
              <w:t>e</w:t>
            </w:r>
            <w:r w:rsidRPr="003145FC">
              <w:rPr>
                <w:bCs/>
              </w:rPr>
              <w:t>ffective integration of technology for flexible, continuous, and transparent assessment processes.</w:t>
            </w:r>
          </w:p>
        </w:tc>
      </w:tr>
      <w:tr w:rsidR="0092765D" w14:paraId="24F37FEC" w14:textId="77777777" w:rsidTr="000129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3FA0DD08" w14:textId="28CE2289" w:rsidR="0092765D" w:rsidRPr="003145FC" w:rsidRDefault="0092765D" w:rsidP="00012970">
            <w:pPr>
              <w:pStyle w:val="Tabletext"/>
              <w:jc w:val="left"/>
              <w:rPr>
                <w:b w:val="0"/>
                <w:bCs/>
              </w:rPr>
            </w:pPr>
            <w:r w:rsidRPr="003145FC">
              <w:rPr>
                <w:b w:val="0"/>
                <w:bCs/>
              </w:rPr>
              <w:t xml:space="preserve">Technology </w:t>
            </w:r>
            <w:r w:rsidR="00CE0857">
              <w:rPr>
                <w:b w:val="0"/>
                <w:bCs/>
              </w:rPr>
              <w:t>i</w:t>
            </w:r>
            <w:r w:rsidRPr="003145FC">
              <w:rPr>
                <w:b w:val="0"/>
                <w:bCs/>
              </w:rPr>
              <w:t xml:space="preserve">ntegration and </w:t>
            </w:r>
            <w:r w:rsidR="00742844">
              <w:rPr>
                <w:b w:val="0"/>
                <w:bCs/>
              </w:rPr>
              <w:t>i</w:t>
            </w:r>
            <w:r w:rsidRPr="003145FC">
              <w:rPr>
                <w:b w:val="0"/>
                <w:bCs/>
              </w:rPr>
              <w:t>nnovation</w:t>
            </w:r>
          </w:p>
        </w:tc>
        <w:tc>
          <w:tcPr>
            <w:tcW w:w="6191" w:type="dxa"/>
          </w:tcPr>
          <w:p w14:paraId="194C591F" w14:textId="77777777" w:rsidR="0092765D" w:rsidRPr="003145FC" w:rsidRDefault="0092765D" w:rsidP="00F91B5E">
            <w:pPr>
              <w:pStyle w:val="Tabletext"/>
              <w:numPr>
                <w:ilvl w:val="0"/>
                <w:numId w:val="10"/>
              </w:numPr>
              <w:tabs>
                <w:tab w:val="clear" w:pos="559"/>
              </w:tabs>
              <w:spacing w:line="240" w:lineRule="auto"/>
              <w:jc w:val="left"/>
              <w:cnfStyle w:val="000000100000" w:firstRow="0" w:lastRow="0" w:firstColumn="0" w:lastColumn="0" w:oddVBand="0" w:evenVBand="0" w:oddHBand="1" w:evenHBand="0" w:firstRowFirstColumn="0" w:firstRowLastColumn="0" w:lastRowFirstColumn="0" w:lastRowLastColumn="0"/>
              <w:rPr>
                <w:bCs/>
              </w:rPr>
            </w:pPr>
            <w:r w:rsidRPr="003145FC">
              <w:rPr>
                <w:bCs/>
              </w:rPr>
              <w:t xml:space="preserve">Integration of new technologies such as virtual reality </w:t>
            </w:r>
          </w:p>
          <w:p w14:paraId="2103AC3E" w14:textId="77777777" w:rsidR="0092765D" w:rsidRPr="003145FC" w:rsidRDefault="0092765D" w:rsidP="00F91B5E">
            <w:pPr>
              <w:pStyle w:val="Tabletext"/>
              <w:numPr>
                <w:ilvl w:val="0"/>
                <w:numId w:val="10"/>
              </w:numPr>
              <w:tabs>
                <w:tab w:val="clear" w:pos="559"/>
              </w:tabs>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rPr>
            </w:pPr>
            <w:r>
              <w:rPr>
                <w:bCs/>
              </w:rPr>
              <w:t>p</w:t>
            </w:r>
            <w:r w:rsidRPr="003145FC">
              <w:rPr>
                <w:bCs/>
              </w:rPr>
              <w:t>romoting student access to digital tools and learning materials</w:t>
            </w:r>
            <w:r>
              <w:rPr>
                <w:bCs/>
              </w:rPr>
              <w:t xml:space="preserve"> </w:t>
            </w:r>
            <w:r>
              <w:rPr>
                <w:bCs/>
              </w:rPr>
              <w:br/>
            </w:r>
            <w:r w:rsidRPr="009D7034">
              <w:rPr>
                <w:bCs/>
              </w:rPr>
              <w:t xml:space="preserve">(Petridou &amp; Lao 2024; </w:t>
            </w:r>
            <w:proofErr w:type="spellStart"/>
            <w:r w:rsidRPr="009D7034">
              <w:rPr>
                <w:bCs/>
              </w:rPr>
              <w:t>Wibrow</w:t>
            </w:r>
            <w:proofErr w:type="spellEnd"/>
            <w:r w:rsidRPr="009D7034">
              <w:rPr>
                <w:bCs/>
              </w:rPr>
              <w:t>, Circelli &amp; Korbel 2020)</w:t>
            </w:r>
          </w:p>
        </w:tc>
      </w:tr>
      <w:tr w:rsidR="0092765D" w14:paraId="0CD35EDA" w14:textId="77777777" w:rsidTr="00012970">
        <w:tc>
          <w:tcPr>
            <w:cnfStyle w:val="001000000000" w:firstRow="0" w:lastRow="0" w:firstColumn="1" w:lastColumn="0" w:oddVBand="0" w:evenVBand="0" w:oddHBand="0" w:evenHBand="0" w:firstRowFirstColumn="0" w:firstRowLastColumn="0" w:lastRowFirstColumn="0" w:lastRowLastColumn="0"/>
            <w:tcW w:w="2835" w:type="dxa"/>
          </w:tcPr>
          <w:p w14:paraId="2C7F3975" w14:textId="657912A9" w:rsidR="0092765D" w:rsidRPr="003145FC" w:rsidRDefault="0092765D" w:rsidP="00012970">
            <w:pPr>
              <w:pStyle w:val="Tabletext"/>
              <w:jc w:val="left"/>
              <w:rPr>
                <w:b w:val="0"/>
                <w:bCs/>
              </w:rPr>
            </w:pPr>
            <w:r w:rsidRPr="003145FC">
              <w:rPr>
                <w:b w:val="0"/>
                <w:bCs/>
              </w:rPr>
              <w:t xml:space="preserve">Industry and </w:t>
            </w:r>
            <w:r w:rsidR="00CE0857">
              <w:rPr>
                <w:b w:val="0"/>
                <w:bCs/>
              </w:rPr>
              <w:t>c</w:t>
            </w:r>
            <w:r w:rsidRPr="003145FC">
              <w:rPr>
                <w:b w:val="0"/>
                <w:bCs/>
              </w:rPr>
              <w:t xml:space="preserve">ommunity </w:t>
            </w:r>
            <w:r w:rsidR="00CE0857">
              <w:rPr>
                <w:b w:val="0"/>
                <w:bCs/>
              </w:rPr>
              <w:t>e</w:t>
            </w:r>
            <w:r w:rsidRPr="003145FC">
              <w:rPr>
                <w:b w:val="0"/>
                <w:bCs/>
              </w:rPr>
              <w:t>ngagement</w:t>
            </w:r>
          </w:p>
        </w:tc>
        <w:tc>
          <w:tcPr>
            <w:tcW w:w="6191" w:type="dxa"/>
          </w:tcPr>
          <w:p w14:paraId="27CC043D" w14:textId="77777777" w:rsidR="0092765D" w:rsidRPr="003145FC" w:rsidRDefault="0092765D" w:rsidP="00F91B5E">
            <w:pPr>
              <w:pStyle w:val="Tabletext"/>
              <w:numPr>
                <w:ilvl w:val="0"/>
                <w:numId w:val="11"/>
              </w:numPr>
              <w:tabs>
                <w:tab w:val="clear" w:pos="559"/>
              </w:tabs>
              <w:spacing w:line="240" w:lineRule="auto"/>
              <w:jc w:val="left"/>
              <w:cnfStyle w:val="000000000000" w:firstRow="0" w:lastRow="0" w:firstColumn="0" w:lastColumn="0" w:oddVBand="0" w:evenVBand="0" w:oddHBand="0" w:evenHBand="0" w:firstRowFirstColumn="0" w:firstRowLastColumn="0" w:lastRowFirstColumn="0" w:lastRowLastColumn="0"/>
              <w:rPr>
                <w:bCs/>
              </w:rPr>
            </w:pPr>
            <w:r w:rsidRPr="003145FC">
              <w:rPr>
                <w:bCs/>
              </w:rPr>
              <w:t>Co-designed programs with industry to ensure currency and practical applicatio</w:t>
            </w:r>
            <w:r>
              <w:rPr>
                <w:bCs/>
              </w:rPr>
              <w:t>n</w:t>
            </w:r>
          </w:p>
          <w:p w14:paraId="58CB5D9E" w14:textId="77777777" w:rsidR="0092765D" w:rsidRPr="003145FC" w:rsidRDefault="0092765D" w:rsidP="00F91B5E">
            <w:pPr>
              <w:pStyle w:val="Tabletext"/>
              <w:numPr>
                <w:ilvl w:val="0"/>
                <w:numId w:val="11"/>
              </w:numPr>
              <w:tabs>
                <w:tab w:val="clear" w:pos="559"/>
              </w:tabs>
              <w:spacing w:line="240" w:lineRule="auto"/>
              <w:jc w:val="left"/>
              <w:cnfStyle w:val="000000000000" w:firstRow="0" w:lastRow="0" w:firstColumn="0" w:lastColumn="0" w:oddVBand="0" w:evenVBand="0" w:oddHBand="0" w:evenHBand="0" w:firstRowFirstColumn="0" w:firstRowLastColumn="0" w:lastRowFirstColumn="0" w:lastRowLastColumn="0"/>
              <w:rPr>
                <w:bCs/>
              </w:rPr>
            </w:pPr>
            <w:r w:rsidRPr="003145FC">
              <w:rPr>
                <w:bCs/>
              </w:rPr>
              <w:t>Facilitating workplace-based learning for students</w:t>
            </w:r>
            <w:r>
              <w:rPr>
                <w:bCs/>
              </w:rPr>
              <w:t>, employer informed</w:t>
            </w:r>
            <w:r w:rsidRPr="003145FC">
              <w:rPr>
                <w:bCs/>
              </w:rPr>
              <w:t xml:space="preserve"> curriculum </w:t>
            </w:r>
          </w:p>
        </w:tc>
      </w:tr>
      <w:tr w:rsidR="0092765D" w14:paraId="2E658C55" w14:textId="77777777" w:rsidTr="000129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23EA8C9E" w14:textId="77777777" w:rsidR="0092765D" w:rsidRPr="003145FC" w:rsidRDefault="0092765D" w:rsidP="00012970">
            <w:pPr>
              <w:pStyle w:val="Tabletext"/>
              <w:jc w:val="left"/>
              <w:rPr>
                <w:b w:val="0"/>
                <w:bCs/>
              </w:rPr>
            </w:pPr>
            <w:r w:rsidRPr="003145FC">
              <w:rPr>
                <w:b w:val="0"/>
                <w:bCs/>
              </w:rPr>
              <w:t>Mentorship and motivation</w:t>
            </w:r>
          </w:p>
        </w:tc>
        <w:tc>
          <w:tcPr>
            <w:tcW w:w="6191" w:type="dxa"/>
          </w:tcPr>
          <w:p w14:paraId="78213E72" w14:textId="77777777" w:rsidR="0092765D" w:rsidRPr="003145FC" w:rsidRDefault="0092765D" w:rsidP="00F91B5E">
            <w:pPr>
              <w:pStyle w:val="Tabletext"/>
              <w:numPr>
                <w:ilvl w:val="0"/>
                <w:numId w:val="12"/>
              </w:numPr>
              <w:tabs>
                <w:tab w:val="clear" w:pos="559"/>
              </w:tabs>
              <w:spacing w:line="240" w:lineRule="auto"/>
              <w:jc w:val="left"/>
              <w:cnfStyle w:val="000000100000" w:firstRow="0" w:lastRow="0" w:firstColumn="0" w:lastColumn="0" w:oddVBand="0" w:evenVBand="0" w:oddHBand="1" w:evenHBand="0" w:firstRowFirstColumn="0" w:firstRowLastColumn="0" w:lastRowFirstColumn="0" w:lastRowLastColumn="0"/>
              <w:rPr>
                <w:bCs/>
              </w:rPr>
            </w:pPr>
            <w:r w:rsidRPr="003145FC">
              <w:rPr>
                <w:bCs/>
              </w:rPr>
              <w:t>Teachers as motivators, mentors, and facilitators</w:t>
            </w:r>
          </w:p>
        </w:tc>
      </w:tr>
      <w:tr w:rsidR="0092765D" w14:paraId="3722BE13" w14:textId="77777777" w:rsidTr="00012970">
        <w:tc>
          <w:tcPr>
            <w:cnfStyle w:val="001000000000" w:firstRow="0" w:lastRow="0" w:firstColumn="1" w:lastColumn="0" w:oddVBand="0" w:evenVBand="0" w:oddHBand="0" w:evenHBand="0" w:firstRowFirstColumn="0" w:firstRowLastColumn="0" w:lastRowFirstColumn="0" w:lastRowLastColumn="0"/>
            <w:tcW w:w="2835" w:type="dxa"/>
          </w:tcPr>
          <w:p w14:paraId="08C56888" w14:textId="77777777" w:rsidR="0092765D" w:rsidRPr="003145FC" w:rsidRDefault="0092765D" w:rsidP="00012970">
            <w:pPr>
              <w:pStyle w:val="Tabletext"/>
              <w:jc w:val="left"/>
              <w:rPr>
                <w:b w:val="0"/>
                <w:bCs/>
              </w:rPr>
            </w:pPr>
            <w:r>
              <w:rPr>
                <w:b w:val="0"/>
                <w:bCs/>
              </w:rPr>
              <w:t>T</w:t>
            </w:r>
            <w:r w:rsidRPr="003145FC">
              <w:rPr>
                <w:b w:val="0"/>
                <w:bCs/>
              </w:rPr>
              <w:t xml:space="preserve">ransformative and meaningful learning experiences </w:t>
            </w:r>
          </w:p>
        </w:tc>
        <w:tc>
          <w:tcPr>
            <w:tcW w:w="6191" w:type="dxa"/>
          </w:tcPr>
          <w:p w14:paraId="1847E01B" w14:textId="77777777" w:rsidR="0092765D" w:rsidRDefault="0092765D" w:rsidP="00F91B5E">
            <w:pPr>
              <w:pStyle w:val="Tabletext"/>
              <w:numPr>
                <w:ilvl w:val="0"/>
                <w:numId w:val="12"/>
              </w:numPr>
              <w:tabs>
                <w:tab w:val="clear" w:pos="559"/>
              </w:tabs>
              <w:spacing w:line="240" w:lineRule="auto"/>
              <w:jc w:val="left"/>
              <w:cnfStyle w:val="000000000000" w:firstRow="0" w:lastRow="0" w:firstColumn="0" w:lastColumn="0" w:oddVBand="0" w:evenVBand="0" w:oddHBand="0" w:evenHBand="0" w:firstRowFirstColumn="0" w:firstRowLastColumn="0" w:lastRowFirstColumn="0" w:lastRowLastColumn="0"/>
              <w:rPr>
                <w:bCs/>
              </w:rPr>
            </w:pPr>
            <w:r w:rsidRPr="003145FC">
              <w:rPr>
                <w:bCs/>
              </w:rPr>
              <w:t>Teaching skills for work and life, prioritising not just technical proficiency, but resourcefulness, employability and lifelong learning</w:t>
            </w:r>
          </w:p>
          <w:p w14:paraId="186D3637" w14:textId="77777777" w:rsidR="0092765D" w:rsidRPr="003145FC" w:rsidRDefault="0092765D" w:rsidP="00F91B5E">
            <w:pPr>
              <w:pStyle w:val="Tabletext"/>
              <w:numPr>
                <w:ilvl w:val="0"/>
                <w:numId w:val="12"/>
              </w:numPr>
              <w:tabs>
                <w:tab w:val="clear" w:pos="559"/>
              </w:tabs>
              <w:spacing w:line="240" w:lineRule="auto"/>
              <w:jc w:val="left"/>
              <w:cnfStyle w:val="000000000000" w:firstRow="0" w:lastRow="0" w:firstColumn="0" w:lastColumn="0" w:oddVBand="0" w:evenVBand="0" w:oddHBand="0" w:evenHBand="0" w:firstRowFirstColumn="0" w:firstRowLastColumn="0" w:lastRowFirstColumn="0" w:lastRowLastColumn="0"/>
              <w:rPr>
                <w:bCs/>
              </w:rPr>
            </w:pPr>
            <w:r w:rsidRPr="003145FC">
              <w:rPr>
                <w:bCs/>
              </w:rPr>
              <w:t>Supporting student empowerment and personal development, not just qualification completion (a transformational view) (Guthrie &amp; Waters 2021)</w:t>
            </w:r>
          </w:p>
          <w:p w14:paraId="30C59D9E" w14:textId="77777777" w:rsidR="0092765D" w:rsidRPr="003145FC" w:rsidRDefault="0092765D" w:rsidP="00F91B5E">
            <w:pPr>
              <w:pStyle w:val="Tabletext"/>
              <w:numPr>
                <w:ilvl w:val="0"/>
                <w:numId w:val="12"/>
              </w:numPr>
              <w:tabs>
                <w:tab w:val="clear" w:pos="559"/>
              </w:tabs>
              <w:spacing w:line="240" w:lineRule="auto"/>
              <w:cnfStyle w:val="000000000000" w:firstRow="0" w:lastRow="0" w:firstColumn="0" w:lastColumn="0" w:oddVBand="0" w:evenVBand="0" w:oddHBand="0" w:evenHBand="0" w:firstRowFirstColumn="0" w:firstRowLastColumn="0" w:lastRowFirstColumn="0" w:lastRowLastColumn="0"/>
              <w:rPr>
                <w:bCs/>
              </w:rPr>
            </w:pPr>
            <w:r w:rsidRPr="003145FC">
              <w:rPr>
                <w:bCs/>
              </w:rPr>
              <w:t>Adoption of Education for Sustainability (</w:t>
            </w:r>
            <w:proofErr w:type="spellStart"/>
            <w:r w:rsidRPr="003145FC">
              <w:rPr>
                <w:bCs/>
              </w:rPr>
              <w:t>EfS</w:t>
            </w:r>
            <w:proofErr w:type="spellEnd"/>
            <w:r w:rsidRPr="003145FC">
              <w:rPr>
                <w:bCs/>
              </w:rPr>
              <w:t>) pedagogical approaches</w:t>
            </w:r>
            <w:r>
              <w:rPr>
                <w:bCs/>
              </w:rPr>
              <w:t xml:space="preserve"> </w:t>
            </w:r>
            <w:r w:rsidRPr="003145FC">
              <w:rPr>
                <w:bCs/>
              </w:rPr>
              <w:t xml:space="preserve">(Bedi &amp; </w:t>
            </w:r>
            <w:proofErr w:type="spellStart"/>
            <w:r w:rsidRPr="003145FC">
              <w:rPr>
                <w:bCs/>
              </w:rPr>
              <w:t>Germein</w:t>
            </w:r>
            <w:proofErr w:type="spellEnd"/>
            <w:r w:rsidRPr="003145FC">
              <w:rPr>
                <w:bCs/>
              </w:rPr>
              <w:t xml:space="preserve"> 2014)</w:t>
            </w:r>
          </w:p>
          <w:p w14:paraId="283C94BC" w14:textId="77777777" w:rsidR="0092765D" w:rsidRPr="003145FC" w:rsidRDefault="0092765D" w:rsidP="00F91B5E">
            <w:pPr>
              <w:pStyle w:val="Tabletext"/>
              <w:numPr>
                <w:ilvl w:val="0"/>
                <w:numId w:val="12"/>
              </w:numPr>
              <w:tabs>
                <w:tab w:val="clear" w:pos="559"/>
              </w:tabs>
              <w:spacing w:line="240" w:lineRule="auto"/>
              <w:jc w:val="left"/>
              <w:cnfStyle w:val="000000000000" w:firstRow="0" w:lastRow="0" w:firstColumn="0" w:lastColumn="0" w:oddVBand="0" w:evenVBand="0" w:oddHBand="0" w:evenHBand="0" w:firstRowFirstColumn="0" w:firstRowLastColumn="0" w:lastRowFirstColumn="0" w:lastRowLastColumn="0"/>
              <w:rPr>
                <w:bCs/>
              </w:rPr>
            </w:pPr>
            <w:r w:rsidRPr="003145FC">
              <w:rPr>
                <w:bCs/>
              </w:rPr>
              <w:t>Fostering entrepreneurial skills (</w:t>
            </w:r>
            <w:proofErr w:type="spellStart"/>
            <w:r w:rsidRPr="003145FC">
              <w:rPr>
                <w:bCs/>
              </w:rPr>
              <w:t>Kolho</w:t>
            </w:r>
            <w:proofErr w:type="spellEnd"/>
            <w:r w:rsidRPr="003145FC">
              <w:rPr>
                <w:bCs/>
              </w:rPr>
              <w:t xml:space="preserve"> 2024)</w:t>
            </w:r>
          </w:p>
        </w:tc>
      </w:tr>
      <w:tr w:rsidR="0092765D" w14:paraId="43A115A3" w14:textId="77777777" w:rsidTr="000129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4AE2A735" w14:textId="77777777" w:rsidR="0092765D" w:rsidRPr="003145FC" w:rsidRDefault="0092765D" w:rsidP="00012970">
            <w:pPr>
              <w:pStyle w:val="Tabletext"/>
              <w:jc w:val="left"/>
              <w:rPr>
                <w:b w:val="0"/>
                <w:bCs/>
              </w:rPr>
            </w:pPr>
            <w:r w:rsidRPr="003145FC">
              <w:rPr>
                <w:b w:val="0"/>
                <w:bCs/>
              </w:rPr>
              <w:t>Effective pedagogic principles for disadvantaged learners</w:t>
            </w:r>
          </w:p>
        </w:tc>
        <w:tc>
          <w:tcPr>
            <w:tcW w:w="6191" w:type="dxa"/>
          </w:tcPr>
          <w:p w14:paraId="743580F4" w14:textId="77777777" w:rsidR="0092765D" w:rsidRPr="003145FC" w:rsidRDefault="0092765D" w:rsidP="00F91B5E">
            <w:pPr>
              <w:pStyle w:val="Tabletext"/>
              <w:numPr>
                <w:ilvl w:val="0"/>
                <w:numId w:val="13"/>
              </w:numPr>
              <w:tabs>
                <w:tab w:val="clear" w:pos="559"/>
              </w:tabs>
              <w:spacing w:line="240" w:lineRule="auto"/>
              <w:jc w:val="left"/>
              <w:cnfStyle w:val="000000100000" w:firstRow="0" w:lastRow="0" w:firstColumn="0" w:lastColumn="0" w:oddVBand="0" w:evenVBand="0" w:oddHBand="1" w:evenHBand="0" w:firstRowFirstColumn="0" w:firstRowLastColumn="0" w:lastRowFirstColumn="0" w:lastRowLastColumn="0"/>
              <w:rPr>
                <w:bCs/>
              </w:rPr>
            </w:pPr>
            <w:r>
              <w:rPr>
                <w:bCs/>
              </w:rPr>
              <w:t>L</w:t>
            </w:r>
            <w:r w:rsidRPr="003145FC">
              <w:rPr>
                <w:bCs/>
              </w:rPr>
              <w:t>earner-centred</w:t>
            </w:r>
            <w:r>
              <w:rPr>
                <w:bCs/>
              </w:rPr>
              <w:t>,</w:t>
            </w:r>
            <w:r w:rsidRPr="003145FC">
              <w:rPr>
                <w:bCs/>
              </w:rPr>
              <w:t xml:space="preserve"> strength-based approach</w:t>
            </w:r>
            <w:r>
              <w:rPr>
                <w:bCs/>
              </w:rPr>
              <w:t xml:space="preserve">es, </w:t>
            </w:r>
            <w:r w:rsidRPr="003145FC">
              <w:rPr>
                <w:bCs/>
              </w:rPr>
              <w:t>real world, goal-oriented learning</w:t>
            </w:r>
            <w:r>
              <w:rPr>
                <w:bCs/>
              </w:rPr>
              <w:t>, i</w:t>
            </w:r>
            <w:r w:rsidRPr="003145FC">
              <w:rPr>
                <w:bCs/>
              </w:rPr>
              <w:t>ntegrate learner support services with study</w:t>
            </w:r>
            <w:r>
              <w:rPr>
                <w:bCs/>
              </w:rPr>
              <w:t>, i</w:t>
            </w:r>
            <w:r w:rsidRPr="003145FC">
              <w:rPr>
                <w:bCs/>
              </w:rPr>
              <w:t>mplement flexible learning and assessment processes</w:t>
            </w:r>
            <w:r>
              <w:rPr>
                <w:bCs/>
              </w:rPr>
              <w:t>, p</w:t>
            </w:r>
            <w:r w:rsidRPr="003145FC">
              <w:rPr>
                <w:bCs/>
              </w:rPr>
              <w:t>lan for sustainable learning through regular review</w:t>
            </w:r>
            <w:r>
              <w:rPr>
                <w:bCs/>
              </w:rPr>
              <w:t xml:space="preserve">, </w:t>
            </w:r>
            <w:r w:rsidRPr="003145FC">
              <w:rPr>
                <w:bCs/>
              </w:rPr>
              <w:t>a positive fit between the curriculum and the students</w:t>
            </w:r>
            <w:r>
              <w:rPr>
                <w:bCs/>
              </w:rPr>
              <w:t>, u</w:t>
            </w:r>
            <w:r w:rsidRPr="003145FC">
              <w:rPr>
                <w:bCs/>
              </w:rPr>
              <w:t>se of blended learning and interactive educational tools (Bowman &amp; Callan 2012</w:t>
            </w:r>
            <w:r>
              <w:rPr>
                <w:bCs/>
              </w:rPr>
              <w:t xml:space="preserve">; </w:t>
            </w:r>
            <w:r w:rsidRPr="003145FC">
              <w:rPr>
                <w:bCs/>
              </w:rPr>
              <w:t>Quirke &amp; McCarthy 2020</w:t>
            </w:r>
            <w:r>
              <w:rPr>
                <w:bCs/>
              </w:rPr>
              <w:t xml:space="preserve">; </w:t>
            </w:r>
            <w:r w:rsidRPr="003145FC">
              <w:rPr>
                <w:bCs/>
              </w:rPr>
              <w:t>Kyle 2023)</w:t>
            </w:r>
          </w:p>
        </w:tc>
      </w:tr>
      <w:tr w:rsidR="0092765D" w14:paraId="40DDC6B0" w14:textId="77777777" w:rsidTr="00012970">
        <w:tc>
          <w:tcPr>
            <w:cnfStyle w:val="001000000000" w:firstRow="0" w:lastRow="0" w:firstColumn="1" w:lastColumn="0" w:oddVBand="0" w:evenVBand="0" w:oddHBand="0" w:evenHBand="0" w:firstRowFirstColumn="0" w:firstRowLastColumn="0" w:lastRowFirstColumn="0" w:lastRowLastColumn="0"/>
            <w:tcW w:w="2835" w:type="dxa"/>
          </w:tcPr>
          <w:p w14:paraId="15C7F7F1" w14:textId="77777777" w:rsidR="0092765D" w:rsidRPr="003145FC" w:rsidRDefault="0092765D" w:rsidP="00012970">
            <w:pPr>
              <w:pStyle w:val="Tabletext"/>
              <w:jc w:val="left"/>
              <w:rPr>
                <w:b w:val="0"/>
                <w:bCs/>
              </w:rPr>
            </w:pPr>
            <w:r w:rsidRPr="003145FC">
              <w:rPr>
                <w:b w:val="0"/>
                <w:bCs/>
              </w:rPr>
              <w:t>Effective teaching practices for First Nations learners</w:t>
            </w:r>
          </w:p>
        </w:tc>
        <w:tc>
          <w:tcPr>
            <w:tcW w:w="6191" w:type="dxa"/>
          </w:tcPr>
          <w:p w14:paraId="337F9757" w14:textId="77777777" w:rsidR="0092765D" w:rsidRPr="003145FC" w:rsidRDefault="0092765D" w:rsidP="00F91B5E">
            <w:pPr>
              <w:pStyle w:val="Tabletext"/>
              <w:numPr>
                <w:ilvl w:val="0"/>
                <w:numId w:val="13"/>
              </w:numPr>
              <w:tabs>
                <w:tab w:val="clear" w:pos="559"/>
              </w:tabs>
              <w:spacing w:line="240" w:lineRule="auto"/>
              <w:jc w:val="left"/>
              <w:cnfStyle w:val="000000000000" w:firstRow="0" w:lastRow="0" w:firstColumn="0" w:lastColumn="0" w:oddVBand="0" w:evenVBand="0" w:oddHBand="0" w:evenHBand="0" w:firstRowFirstColumn="0" w:firstRowLastColumn="0" w:lastRowFirstColumn="0" w:lastRowLastColumn="0"/>
              <w:rPr>
                <w:bCs/>
              </w:rPr>
            </w:pPr>
            <w:r w:rsidRPr="003145FC">
              <w:rPr>
                <w:bCs/>
              </w:rPr>
              <w:t>Use of culturally responsive pedagogy and reflective practices, one-on-one coaching, teaching through building strong relationships and mentoring</w:t>
            </w:r>
            <w:r>
              <w:rPr>
                <w:bCs/>
              </w:rPr>
              <w:t>,</w:t>
            </w:r>
            <w:r w:rsidRPr="003145FC">
              <w:rPr>
                <w:bCs/>
              </w:rPr>
              <w:t xml:space="preserve"> identifying creative ways to help learners to find what is important to them in their training (Wallwork 2024</w:t>
            </w:r>
            <w:r>
              <w:rPr>
                <w:bCs/>
              </w:rPr>
              <w:t>;</w:t>
            </w:r>
            <w:r w:rsidRPr="003145FC">
              <w:rPr>
                <w:bCs/>
              </w:rPr>
              <w:t xml:space="preserve"> Griffin &amp; </w:t>
            </w:r>
            <w:proofErr w:type="spellStart"/>
            <w:r w:rsidRPr="003145FC">
              <w:rPr>
                <w:bCs/>
              </w:rPr>
              <w:t>Andrahannadi</w:t>
            </w:r>
            <w:proofErr w:type="spellEnd"/>
            <w:r w:rsidRPr="003145FC">
              <w:rPr>
                <w:bCs/>
              </w:rPr>
              <w:t xml:space="preserve"> 2025</w:t>
            </w:r>
            <w:r>
              <w:rPr>
                <w:bCs/>
              </w:rPr>
              <w:t>)</w:t>
            </w:r>
            <w:r w:rsidRPr="003145FC">
              <w:rPr>
                <w:bCs/>
              </w:rPr>
              <w:t xml:space="preserve"> </w:t>
            </w:r>
          </w:p>
        </w:tc>
      </w:tr>
      <w:tr w:rsidR="0092765D" w14:paraId="120B7A22" w14:textId="77777777" w:rsidTr="000129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171C1EDD" w14:textId="77777777" w:rsidR="0092765D" w:rsidRPr="003145FC" w:rsidRDefault="0092765D" w:rsidP="00012970">
            <w:pPr>
              <w:pStyle w:val="Tabletext"/>
              <w:jc w:val="left"/>
              <w:rPr>
                <w:b w:val="0"/>
                <w:bCs/>
              </w:rPr>
            </w:pPr>
            <w:r w:rsidRPr="003145FC">
              <w:rPr>
                <w:b w:val="0"/>
                <w:bCs/>
              </w:rPr>
              <w:t>Effective teaching practices for learners with disability</w:t>
            </w:r>
          </w:p>
        </w:tc>
        <w:tc>
          <w:tcPr>
            <w:tcW w:w="6191" w:type="dxa"/>
          </w:tcPr>
          <w:p w14:paraId="2CD8BE5B" w14:textId="77777777" w:rsidR="0092765D" w:rsidRPr="003145FC" w:rsidRDefault="0092765D" w:rsidP="00F91B5E">
            <w:pPr>
              <w:pStyle w:val="Tabletext"/>
              <w:numPr>
                <w:ilvl w:val="0"/>
                <w:numId w:val="13"/>
              </w:numPr>
              <w:tabs>
                <w:tab w:val="clear" w:pos="559"/>
              </w:tabs>
              <w:spacing w:line="240" w:lineRule="auto"/>
              <w:jc w:val="left"/>
              <w:cnfStyle w:val="000000100000" w:firstRow="0" w:lastRow="0" w:firstColumn="0" w:lastColumn="0" w:oddVBand="0" w:evenVBand="0" w:oddHBand="1" w:evenHBand="0" w:firstRowFirstColumn="0" w:firstRowLastColumn="0" w:lastRowFirstColumn="0" w:lastRowLastColumn="0"/>
              <w:rPr>
                <w:bCs/>
              </w:rPr>
            </w:pPr>
            <w:r w:rsidRPr="003145FC">
              <w:rPr>
                <w:bCs/>
              </w:rPr>
              <w:t>Face-to-face, interactive and hands-on training by experienced and qualified trainers, offer trial sessions before enrolment, provide additional breaks in training, one-on-one coaching, providing extra time, or other reasonable adjustments, to complete assessments, use of UDL principles, voice over recordings, QR codes outlining main points of training (Collin 2024</w:t>
            </w:r>
            <w:r>
              <w:rPr>
                <w:bCs/>
              </w:rPr>
              <w:t>;</w:t>
            </w:r>
            <w:r w:rsidRPr="003145FC">
              <w:rPr>
                <w:bCs/>
              </w:rPr>
              <w:t xml:space="preserve"> Griffin &amp; </w:t>
            </w:r>
            <w:proofErr w:type="spellStart"/>
            <w:r w:rsidRPr="003145FC">
              <w:rPr>
                <w:bCs/>
              </w:rPr>
              <w:t>Andrahannadi</w:t>
            </w:r>
            <w:proofErr w:type="spellEnd"/>
            <w:r w:rsidRPr="003145FC">
              <w:rPr>
                <w:bCs/>
              </w:rPr>
              <w:t xml:space="preserve"> 2025</w:t>
            </w:r>
            <w:r>
              <w:rPr>
                <w:bCs/>
              </w:rPr>
              <w:t xml:space="preserve">; </w:t>
            </w:r>
            <w:r w:rsidRPr="003145FC">
              <w:rPr>
                <w:bCs/>
              </w:rPr>
              <w:t>Kennedy et al. 2020)</w:t>
            </w:r>
          </w:p>
        </w:tc>
      </w:tr>
      <w:tr w:rsidR="0092765D" w14:paraId="585BD25E" w14:textId="77777777" w:rsidTr="00012970">
        <w:tc>
          <w:tcPr>
            <w:cnfStyle w:val="001000000000" w:firstRow="0" w:lastRow="0" w:firstColumn="1" w:lastColumn="0" w:oddVBand="0" w:evenVBand="0" w:oddHBand="0" w:evenHBand="0" w:firstRowFirstColumn="0" w:firstRowLastColumn="0" w:lastRowFirstColumn="0" w:lastRowLastColumn="0"/>
            <w:tcW w:w="2835" w:type="dxa"/>
          </w:tcPr>
          <w:p w14:paraId="5D59325B" w14:textId="5CBF4866" w:rsidR="0092765D" w:rsidRPr="003145FC" w:rsidRDefault="0092765D" w:rsidP="00012970">
            <w:pPr>
              <w:pStyle w:val="Tabletext"/>
              <w:jc w:val="left"/>
              <w:rPr>
                <w:b w:val="0"/>
                <w:bCs/>
              </w:rPr>
            </w:pPr>
            <w:r w:rsidRPr="003145FC">
              <w:rPr>
                <w:b w:val="0"/>
                <w:bCs/>
              </w:rPr>
              <w:t xml:space="preserve">Effective teaching practices for international students and </w:t>
            </w:r>
            <w:r w:rsidR="00E80F6B">
              <w:rPr>
                <w:b w:val="0"/>
                <w:bCs/>
              </w:rPr>
              <w:t xml:space="preserve">learners with </w:t>
            </w:r>
            <w:r w:rsidRPr="003145FC">
              <w:rPr>
                <w:b w:val="0"/>
                <w:bCs/>
              </w:rPr>
              <w:t xml:space="preserve">CALD </w:t>
            </w:r>
            <w:r w:rsidR="00E80F6B">
              <w:rPr>
                <w:b w:val="0"/>
                <w:bCs/>
              </w:rPr>
              <w:t>backgrounds</w:t>
            </w:r>
          </w:p>
        </w:tc>
        <w:tc>
          <w:tcPr>
            <w:tcW w:w="6191" w:type="dxa"/>
          </w:tcPr>
          <w:p w14:paraId="41EDBC41" w14:textId="44B7F0EF" w:rsidR="0092765D" w:rsidRPr="007C002B" w:rsidRDefault="0092765D" w:rsidP="00F91B5E">
            <w:pPr>
              <w:pStyle w:val="Tabletext"/>
              <w:numPr>
                <w:ilvl w:val="0"/>
                <w:numId w:val="13"/>
              </w:numPr>
              <w:tabs>
                <w:tab w:val="clear" w:pos="559"/>
              </w:tabs>
              <w:spacing w:line="240" w:lineRule="auto"/>
              <w:jc w:val="left"/>
              <w:cnfStyle w:val="000000000000" w:firstRow="0" w:lastRow="0" w:firstColumn="0" w:lastColumn="0" w:oddVBand="0" w:evenVBand="0" w:oddHBand="0" w:evenHBand="0" w:firstRowFirstColumn="0" w:firstRowLastColumn="0" w:lastRowFirstColumn="0" w:lastRowLastColumn="0"/>
              <w:rPr>
                <w:bCs/>
              </w:rPr>
            </w:pPr>
            <w:r>
              <w:rPr>
                <w:bCs/>
              </w:rPr>
              <w:t>Pedagogy responsive to language and cultural needs</w:t>
            </w:r>
            <w:r w:rsidRPr="003145FC">
              <w:rPr>
                <w:bCs/>
              </w:rPr>
              <w:t xml:space="preserve">, </w:t>
            </w:r>
            <w:r>
              <w:rPr>
                <w:bCs/>
              </w:rPr>
              <w:t>i</w:t>
            </w:r>
            <w:r w:rsidRPr="003145FC">
              <w:rPr>
                <w:bCs/>
              </w:rPr>
              <w:t xml:space="preserve">mmersive learning </w:t>
            </w:r>
            <w:r>
              <w:rPr>
                <w:bCs/>
              </w:rPr>
              <w:t xml:space="preserve">tools, </w:t>
            </w:r>
            <w:r w:rsidRPr="003145FC">
              <w:rPr>
                <w:bCs/>
              </w:rPr>
              <w:t xml:space="preserve">AI to help clarify assessment requirements, </w:t>
            </w:r>
            <w:r w:rsidR="002E0CDA">
              <w:rPr>
                <w:bCs/>
              </w:rPr>
              <w:t>o</w:t>
            </w:r>
            <w:r w:rsidRPr="003145FC">
              <w:rPr>
                <w:bCs/>
              </w:rPr>
              <w:t>ne-on-one coaching</w:t>
            </w:r>
            <w:r>
              <w:rPr>
                <w:bCs/>
              </w:rPr>
              <w:br/>
            </w:r>
            <w:r w:rsidRPr="007C002B">
              <w:rPr>
                <w:bCs/>
              </w:rPr>
              <w:t xml:space="preserve">(Tran &amp; Le 2017; Griffin &amp; </w:t>
            </w:r>
            <w:proofErr w:type="spellStart"/>
            <w:r w:rsidRPr="007C002B">
              <w:rPr>
                <w:bCs/>
              </w:rPr>
              <w:t>Andrahannadi</w:t>
            </w:r>
            <w:proofErr w:type="spellEnd"/>
            <w:r w:rsidRPr="007C002B">
              <w:rPr>
                <w:bCs/>
              </w:rPr>
              <w:t xml:space="preserve"> 2025)</w:t>
            </w:r>
          </w:p>
        </w:tc>
      </w:tr>
    </w:tbl>
    <w:p w14:paraId="45F42E7C" w14:textId="77777777" w:rsidR="004741D0" w:rsidRDefault="004741D0" w:rsidP="0055572F">
      <w:pPr>
        <w:pStyle w:val="Heading4"/>
        <w:rPr>
          <w:rFonts w:eastAsia="Arial"/>
        </w:rPr>
      </w:pPr>
    </w:p>
    <w:p w14:paraId="5D1CDC45" w14:textId="6AAD3152" w:rsidR="0092765D" w:rsidRDefault="004741D0" w:rsidP="0055572F">
      <w:pPr>
        <w:pStyle w:val="Heading4"/>
        <w:rPr>
          <w:rFonts w:eastAsia="Arial"/>
        </w:rPr>
      </w:pPr>
      <w:r>
        <w:rPr>
          <w:rFonts w:eastAsia="Arial"/>
        </w:rPr>
        <w:lastRenderedPageBreak/>
        <w:t>G</w:t>
      </w:r>
      <w:r w:rsidR="0092765D">
        <w:rPr>
          <w:rFonts w:eastAsia="Arial"/>
        </w:rPr>
        <w:t>ood VET teaching: personal characteristics and enablers</w:t>
      </w:r>
    </w:p>
    <w:p w14:paraId="373B20BA" w14:textId="0407BBA1" w:rsidR="0092765D" w:rsidRDefault="0092765D" w:rsidP="0092765D">
      <w:pPr>
        <w:pStyle w:val="Text"/>
        <w:rPr>
          <w:rFonts w:eastAsia="Arial"/>
        </w:rPr>
      </w:pPr>
      <w:r w:rsidRPr="005A1123">
        <w:rPr>
          <w:rFonts w:eastAsia="Arial"/>
        </w:rPr>
        <w:t>Good VET t</w:t>
      </w:r>
      <w:r>
        <w:rPr>
          <w:rFonts w:eastAsia="Arial"/>
        </w:rPr>
        <w:t>eaching is grounded in a combination of</w:t>
      </w:r>
      <w:r w:rsidRPr="005A1123">
        <w:rPr>
          <w:rFonts w:eastAsia="Arial"/>
        </w:rPr>
        <w:t xml:space="preserve"> industry and pedagogical expertise, continuous professional development, and </w:t>
      </w:r>
      <w:r w:rsidR="00F833FD">
        <w:rPr>
          <w:rFonts w:eastAsia="Arial"/>
        </w:rPr>
        <w:t xml:space="preserve">the </w:t>
      </w:r>
      <w:r w:rsidRPr="005A1123">
        <w:rPr>
          <w:rFonts w:eastAsia="Arial"/>
        </w:rPr>
        <w:t>personal attributes</w:t>
      </w:r>
      <w:r w:rsidR="00F833FD">
        <w:rPr>
          <w:rFonts w:eastAsia="Arial"/>
        </w:rPr>
        <w:t xml:space="preserve"> of teachers</w:t>
      </w:r>
      <w:r>
        <w:rPr>
          <w:rFonts w:eastAsia="Arial"/>
        </w:rPr>
        <w:t xml:space="preserve"> that support effective relationships with learners</w:t>
      </w:r>
      <w:r w:rsidRPr="005A1123">
        <w:rPr>
          <w:rFonts w:eastAsia="Arial"/>
        </w:rPr>
        <w:t xml:space="preserve">. </w:t>
      </w:r>
      <w:r>
        <w:rPr>
          <w:rFonts w:eastAsia="Arial"/>
        </w:rPr>
        <w:t>Across different roles and stages of career development, good VET teachers may demonstrate</w:t>
      </w:r>
      <w:r w:rsidRPr="005A1123">
        <w:rPr>
          <w:rFonts w:eastAsia="Arial"/>
        </w:rPr>
        <w:t xml:space="preserve"> empathy,</w:t>
      </w:r>
      <w:r>
        <w:rPr>
          <w:rFonts w:eastAsia="Arial"/>
        </w:rPr>
        <w:t xml:space="preserve"> genuine care,</w:t>
      </w:r>
      <w:r w:rsidRPr="005A1123">
        <w:rPr>
          <w:rFonts w:eastAsia="Arial"/>
        </w:rPr>
        <w:t xml:space="preserve"> adaptability, and cultural sensitivity (Griffin &amp; Davidson 2025; </w:t>
      </w:r>
      <w:proofErr w:type="spellStart"/>
      <w:r>
        <w:rPr>
          <w:rFonts w:eastAsia="Arial"/>
        </w:rPr>
        <w:t>Andrahannadi</w:t>
      </w:r>
      <w:proofErr w:type="spellEnd"/>
      <w:r>
        <w:rPr>
          <w:rFonts w:eastAsia="Arial"/>
        </w:rPr>
        <w:t xml:space="preserve"> &amp; Griffin 2025, </w:t>
      </w:r>
      <w:r w:rsidRPr="005A1123">
        <w:rPr>
          <w:rFonts w:eastAsia="Arial"/>
        </w:rPr>
        <w:t xml:space="preserve">Smith </w:t>
      </w:r>
      <w:r>
        <w:rPr>
          <w:rFonts w:eastAsia="Arial"/>
        </w:rPr>
        <w:t>&amp; Yasukawa 2017</w:t>
      </w:r>
      <w:r w:rsidRPr="005A1123">
        <w:rPr>
          <w:rFonts w:eastAsia="Arial"/>
        </w:rPr>
        <w:t>; Schmidt 2019; Corben &amp; Thomson 2001).</w:t>
      </w:r>
      <w:r>
        <w:rPr>
          <w:rFonts w:eastAsia="Arial"/>
        </w:rPr>
        <w:t xml:space="preserve"> Some teachers will show these qualities through highly developed expertise and experience, while others, particularly early-career teachers</w:t>
      </w:r>
      <w:r w:rsidR="00C10F55">
        <w:rPr>
          <w:rFonts w:eastAsia="Arial"/>
        </w:rPr>
        <w:t>,</w:t>
      </w:r>
      <w:r>
        <w:rPr>
          <w:rFonts w:eastAsia="Arial"/>
        </w:rPr>
        <w:t xml:space="preserve"> may demonstrate them through </w:t>
      </w:r>
      <w:r w:rsidR="00855C46">
        <w:rPr>
          <w:rFonts w:eastAsia="Arial"/>
        </w:rPr>
        <w:t xml:space="preserve">a </w:t>
      </w:r>
      <w:r>
        <w:rPr>
          <w:rFonts w:eastAsia="Arial"/>
        </w:rPr>
        <w:t>willingness to learn and engag</w:t>
      </w:r>
      <w:r w:rsidR="00855C46">
        <w:rPr>
          <w:rFonts w:eastAsia="Arial"/>
        </w:rPr>
        <w:t xml:space="preserve">ing </w:t>
      </w:r>
      <w:r>
        <w:rPr>
          <w:rFonts w:eastAsia="Arial"/>
        </w:rPr>
        <w:t xml:space="preserve">in reflective practice. </w:t>
      </w:r>
      <w:r w:rsidRPr="005A1123">
        <w:rPr>
          <w:rFonts w:eastAsia="Arial"/>
        </w:rPr>
        <w:t xml:space="preserve"> Moreover, </w:t>
      </w:r>
      <w:r>
        <w:rPr>
          <w:rFonts w:eastAsia="Arial"/>
        </w:rPr>
        <w:t>good</w:t>
      </w:r>
      <w:r w:rsidRPr="005A1123">
        <w:rPr>
          <w:rFonts w:eastAsia="Arial"/>
        </w:rPr>
        <w:t xml:space="preserve"> </w:t>
      </w:r>
      <w:r>
        <w:rPr>
          <w:rFonts w:eastAsia="Arial"/>
        </w:rPr>
        <w:t xml:space="preserve">educators often </w:t>
      </w:r>
      <w:r w:rsidRPr="00992665">
        <w:rPr>
          <w:rFonts w:eastAsia="Arial"/>
        </w:rPr>
        <w:t xml:space="preserve">teach </w:t>
      </w:r>
      <w:r w:rsidRPr="001A0E53">
        <w:rPr>
          <w:rFonts w:eastAsia="Arial"/>
        </w:rPr>
        <w:t xml:space="preserve">with passion, show flexibility and resilience, and establish meaningful relationships, building a culture where all learners feel supported. Good </w:t>
      </w:r>
      <w:r>
        <w:rPr>
          <w:rFonts w:eastAsia="Arial"/>
        </w:rPr>
        <w:t xml:space="preserve">VET teaching involves the creation of </w:t>
      </w:r>
      <w:r w:rsidRPr="001A0E53">
        <w:rPr>
          <w:rFonts w:eastAsia="Arial"/>
        </w:rPr>
        <w:t xml:space="preserve">safe, motivating, and inclusive environments. As demonstrated in effective teaching practices, good teachers </w:t>
      </w:r>
      <w:r>
        <w:rPr>
          <w:rFonts w:eastAsia="Arial"/>
        </w:rPr>
        <w:t>are responsive</w:t>
      </w:r>
      <w:r w:rsidRPr="001A0E53">
        <w:rPr>
          <w:rFonts w:eastAsia="Arial"/>
        </w:rPr>
        <w:t xml:space="preserve"> to diverse learner needs, able to individualise the delivery, and </w:t>
      </w:r>
      <w:r w:rsidR="00F162AC">
        <w:rPr>
          <w:rFonts w:eastAsia="Arial"/>
        </w:rPr>
        <w:t xml:space="preserve">are </w:t>
      </w:r>
      <w:r w:rsidRPr="001A0E53">
        <w:rPr>
          <w:rFonts w:eastAsia="Arial"/>
        </w:rPr>
        <w:t xml:space="preserve">committed to student success through active engagement and scaffolding </w:t>
      </w:r>
      <w:r w:rsidRPr="00BF22F9">
        <w:rPr>
          <w:rFonts w:eastAsia="Arial"/>
        </w:rPr>
        <w:t>(Griffin &amp; Davidson 2025</w:t>
      </w:r>
      <w:r>
        <w:rPr>
          <w:rFonts w:eastAsia="Arial"/>
        </w:rPr>
        <w:t>;</w:t>
      </w:r>
      <w:r w:rsidRPr="00BF22F9">
        <w:rPr>
          <w:rFonts w:eastAsia="Arial"/>
        </w:rPr>
        <w:t xml:space="preserve"> Smith &amp; Yasukawa 2017; Wallwork 2024; Corben &amp; Thomson 2001). </w:t>
      </w:r>
      <w:r w:rsidR="00CD2D3B">
        <w:rPr>
          <w:rFonts w:eastAsia="Arial"/>
        </w:rPr>
        <w:t>They also</w:t>
      </w:r>
      <w:r w:rsidRPr="00BF22F9">
        <w:rPr>
          <w:rFonts w:eastAsia="Arial"/>
        </w:rPr>
        <w:t xml:space="preserve"> engage in reflective practices such as continuous self-assessment, seeking feedback and eng</w:t>
      </w:r>
      <w:r>
        <w:rPr>
          <w:rFonts w:eastAsia="Arial"/>
        </w:rPr>
        <w:t>aging</w:t>
      </w:r>
      <w:r w:rsidRPr="00BF22F9">
        <w:rPr>
          <w:rFonts w:eastAsia="Arial"/>
        </w:rPr>
        <w:t xml:space="preserve"> in peer review</w:t>
      </w:r>
      <w:r w:rsidR="0072157B">
        <w:rPr>
          <w:rFonts w:eastAsia="Arial"/>
        </w:rPr>
        <w:t>, enabling</w:t>
      </w:r>
      <w:r w:rsidRPr="00BF22F9">
        <w:rPr>
          <w:rFonts w:eastAsia="Arial"/>
        </w:rPr>
        <w:t xml:space="preserve"> them to adapt to changing student and industry demands</w:t>
      </w:r>
      <w:r>
        <w:rPr>
          <w:rFonts w:eastAsia="Arial"/>
        </w:rPr>
        <w:t>, particularly when developing their teaching expertise</w:t>
      </w:r>
      <w:r w:rsidRPr="00BF22F9">
        <w:rPr>
          <w:rFonts w:eastAsia="Arial"/>
        </w:rPr>
        <w:t>.</w:t>
      </w:r>
      <w:r>
        <w:rPr>
          <w:rFonts w:eastAsia="Arial"/>
        </w:rPr>
        <w:t xml:space="preserve"> </w:t>
      </w:r>
    </w:p>
    <w:p w14:paraId="72635B5B" w14:textId="2918ECC0" w:rsidR="0092765D" w:rsidRDefault="0092765D" w:rsidP="0092765D">
      <w:pPr>
        <w:pStyle w:val="Text"/>
        <w:rPr>
          <w:rFonts w:eastAsia="Arial"/>
        </w:rPr>
      </w:pPr>
      <w:r w:rsidRPr="00F44F3E">
        <w:rPr>
          <w:rFonts w:eastAsia="Arial"/>
        </w:rPr>
        <w:t xml:space="preserve">Cultural </w:t>
      </w:r>
      <w:r>
        <w:rPr>
          <w:rFonts w:eastAsia="Arial"/>
        </w:rPr>
        <w:t xml:space="preserve">awareness and </w:t>
      </w:r>
      <w:r w:rsidRPr="00F44F3E">
        <w:rPr>
          <w:rFonts w:eastAsia="Arial"/>
        </w:rPr>
        <w:t xml:space="preserve">responsiveness </w:t>
      </w:r>
      <w:r>
        <w:rPr>
          <w:rFonts w:eastAsia="Arial"/>
        </w:rPr>
        <w:t>are</w:t>
      </w:r>
      <w:r w:rsidRPr="00F44F3E">
        <w:rPr>
          <w:rFonts w:eastAsia="Arial"/>
        </w:rPr>
        <w:t xml:space="preserve"> also key </w:t>
      </w:r>
      <w:r>
        <w:rPr>
          <w:rFonts w:eastAsia="Arial"/>
        </w:rPr>
        <w:t>enablers of good teaching in</w:t>
      </w:r>
      <w:r w:rsidRPr="00F44F3E">
        <w:rPr>
          <w:rFonts w:eastAsia="Arial"/>
        </w:rPr>
        <w:t xml:space="preserve"> VET</w:t>
      </w:r>
      <w:r>
        <w:rPr>
          <w:rFonts w:eastAsia="Arial"/>
        </w:rPr>
        <w:t xml:space="preserve">. </w:t>
      </w:r>
      <w:r w:rsidRPr="00F44F3E">
        <w:rPr>
          <w:rFonts w:eastAsia="Arial"/>
        </w:rPr>
        <w:t xml:space="preserve"> To do this, the teachers must be able to incorporate cultural perspectives and facilitate culturally </w:t>
      </w:r>
      <w:proofErr w:type="gramStart"/>
      <w:r w:rsidRPr="00F44F3E">
        <w:rPr>
          <w:rFonts w:eastAsia="Arial"/>
        </w:rPr>
        <w:t xml:space="preserve">safe </w:t>
      </w:r>
      <w:r w:rsidR="00171888">
        <w:rPr>
          <w:rFonts w:eastAsia="Arial"/>
        </w:rPr>
        <w:t xml:space="preserve"> and</w:t>
      </w:r>
      <w:proofErr w:type="gramEnd"/>
      <w:r w:rsidR="00171888">
        <w:rPr>
          <w:rFonts w:eastAsia="Arial"/>
        </w:rPr>
        <w:t xml:space="preserve"> responsive </w:t>
      </w:r>
      <w:r w:rsidRPr="00F44F3E">
        <w:rPr>
          <w:rFonts w:eastAsia="Arial"/>
        </w:rPr>
        <w:t>practices in their delivery. Structured support</w:t>
      </w:r>
      <w:r w:rsidR="00721DE3">
        <w:rPr>
          <w:rFonts w:eastAsia="Arial"/>
        </w:rPr>
        <w:t xml:space="preserve"> for teachers</w:t>
      </w:r>
      <w:r w:rsidRPr="00F44F3E">
        <w:rPr>
          <w:rFonts w:eastAsia="Arial"/>
        </w:rPr>
        <w:t>, such as ongoing cultural training, induction, and communities of practice, are essential for building teacher capacity and confidence in this area (Wallwork 2024).</w:t>
      </w:r>
      <w:r>
        <w:rPr>
          <w:rFonts w:eastAsia="Arial"/>
        </w:rPr>
        <w:t xml:space="preserve"> These supports are particularly important for early career teachers and those building their practice, because they help develop confidence and capacity over time. </w:t>
      </w:r>
    </w:p>
    <w:p w14:paraId="68B49F74" w14:textId="77777777" w:rsidR="0092765D" w:rsidRDefault="0092765D" w:rsidP="0092765D">
      <w:pPr>
        <w:pStyle w:val="Text"/>
        <w:rPr>
          <w:rFonts w:eastAsia="Arial"/>
        </w:rPr>
      </w:pPr>
      <w:r>
        <w:rPr>
          <w:rFonts w:eastAsia="Arial"/>
        </w:rPr>
        <w:t>D</w:t>
      </w:r>
      <w:r w:rsidRPr="002D6489">
        <w:rPr>
          <w:rFonts w:eastAsia="Arial"/>
        </w:rPr>
        <w:t>igital competence</w:t>
      </w:r>
      <w:r>
        <w:rPr>
          <w:rFonts w:eastAsia="Arial"/>
        </w:rPr>
        <w:t xml:space="preserve"> has become an important part of good VET teaching</w:t>
      </w:r>
      <w:r w:rsidRPr="002D6489">
        <w:rPr>
          <w:rFonts w:eastAsia="Arial"/>
        </w:rPr>
        <w:t xml:space="preserve">, including keeping up with developments </w:t>
      </w:r>
      <w:r>
        <w:rPr>
          <w:rFonts w:eastAsia="Arial"/>
        </w:rPr>
        <w:t xml:space="preserve">in </w:t>
      </w:r>
      <w:r w:rsidRPr="002D6489">
        <w:rPr>
          <w:rFonts w:eastAsia="Arial"/>
        </w:rPr>
        <w:t>AI</w:t>
      </w:r>
      <w:r>
        <w:rPr>
          <w:rFonts w:eastAsia="Arial"/>
        </w:rPr>
        <w:t>.</w:t>
      </w:r>
      <w:r w:rsidRPr="002D6489">
        <w:rPr>
          <w:rFonts w:eastAsia="Arial"/>
        </w:rPr>
        <w:t xml:space="preserve"> </w:t>
      </w:r>
      <w:r>
        <w:rPr>
          <w:rFonts w:eastAsia="Arial"/>
        </w:rPr>
        <w:t xml:space="preserve">Quality teaching increasingly requires teachers to be </w:t>
      </w:r>
      <w:r w:rsidRPr="002D6489">
        <w:rPr>
          <w:rFonts w:eastAsia="Arial"/>
        </w:rPr>
        <w:t>adaptab</w:t>
      </w:r>
      <w:r>
        <w:rPr>
          <w:rFonts w:eastAsia="Arial"/>
        </w:rPr>
        <w:t xml:space="preserve">le </w:t>
      </w:r>
      <w:r w:rsidRPr="002D6489">
        <w:rPr>
          <w:rFonts w:eastAsia="Arial"/>
        </w:rPr>
        <w:t>and confiden</w:t>
      </w:r>
      <w:r>
        <w:rPr>
          <w:rFonts w:eastAsia="Arial"/>
        </w:rPr>
        <w:t>t</w:t>
      </w:r>
      <w:r w:rsidRPr="002D6489">
        <w:rPr>
          <w:rFonts w:eastAsia="Arial"/>
        </w:rPr>
        <w:t xml:space="preserve"> </w:t>
      </w:r>
      <w:r>
        <w:rPr>
          <w:rFonts w:eastAsia="Arial"/>
        </w:rPr>
        <w:t xml:space="preserve">in </w:t>
      </w:r>
      <w:r w:rsidRPr="002D6489">
        <w:rPr>
          <w:rFonts w:eastAsia="Arial"/>
        </w:rPr>
        <w:t>implement</w:t>
      </w:r>
      <w:r>
        <w:rPr>
          <w:rFonts w:eastAsia="Arial"/>
        </w:rPr>
        <w:t>ing</w:t>
      </w:r>
      <w:r w:rsidRPr="002D6489">
        <w:rPr>
          <w:rFonts w:eastAsia="Arial"/>
        </w:rPr>
        <w:t xml:space="preserve"> technology-enhanced </w:t>
      </w:r>
      <w:r>
        <w:rPr>
          <w:rFonts w:eastAsia="Arial"/>
        </w:rPr>
        <w:t>approaches where appropriate</w:t>
      </w:r>
      <w:r w:rsidRPr="002D6489">
        <w:rPr>
          <w:rFonts w:eastAsia="Arial"/>
        </w:rPr>
        <w:t xml:space="preserve"> (Wibrow</w:t>
      </w:r>
      <w:r w:rsidRPr="00F14F1D">
        <w:rPr>
          <w:rFonts w:eastAsia="Arial"/>
        </w:rPr>
        <w:t>, Circelli &amp; Korbel</w:t>
      </w:r>
      <w:r w:rsidRPr="002D6489">
        <w:rPr>
          <w:rFonts w:eastAsia="Arial"/>
        </w:rPr>
        <w:t xml:space="preserve"> 2020; Kyle 2023). </w:t>
      </w:r>
    </w:p>
    <w:p w14:paraId="74560678" w14:textId="7E3F44BA" w:rsidR="0092765D" w:rsidRDefault="0092765D" w:rsidP="0092765D">
      <w:pPr>
        <w:pStyle w:val="Text"/>
        <w:rPr>
          <w:rFonts w:eastAsia="Arial"/>
        </w:rPr>
      </w:pPr>
      <w:r w:rsidRPr="00002552">
        <w:rPr>
          <w:rFonts w:eastAsia="Arial"/>
        </w:rPr>
        <w:t xml:space="preserve">The ability to </w:t>
      </w:r>
      <w:r>
        <w:rPr>
          <w:rFonts w:eastAsia="Arial"/>
        </w:rPr>
        <w:t xml:space="preserve">build </w:t>
      </w:r>
      <w:r w:rsidRPr="00002552">
        <w:rPr>
          <w:rFonts w:eastAsia="Arial"/>
        </w:rPr>
        <w:t xml:space="preserve">trust, foster motivation, and adapt approaches for individual learners </w:t>
      </w:r>
      <w:r>
        <w:rPr>
          <w:rFonts w:eastAsia="Arial"/>
        </w:rPr>
        <w:t xml:space="preserve">is shaped by interpersonal skills, pedagogical knowledge and professional expertise. </w:t>
      </w:r>
      <w:r w:rsidRPr="00002552">
        <w:rPr>
          <w:rFonts w:eastAsia="Arial"/>
        </w:rPr>
        <w:t xml:space="preserve">In essence, the enactment of effective practices depends on teachers drawing on their own values and relationships with learners, </w:t>
      </w:r>
      <w:r w:rsidRPr="00AE18CB">
        <w:rPr>
          <w:rFonts w:eastAsia="Arial"/>
        </w:rPr>
        <w:t xml:space="preserve">ensuring that teaching strategies are supportive and transformative. Even where teaching practice is still developing, these qualities can make a meaningful difference to </w:t>
      </w:r>
      <w:r w:rsidR="00AE18CB" w:rsidRPr="00AE18CB">
        <w:rPr>
          <w:rFonts w:eastAsia="Arial"/>
        </w:rPr>
        <w:t xml:space="preserve">the </w:t>
      </w:r>
      <w:r w:rsidRPr="00AE18CB">
        <w:rPr>
          <w:rFonts w:eastAsia="Arial"/>
        </w:rPr>
        <w:t>learner</w:t>
      </w:r>
      <w:r w:rsidR="00AE18CB" w:rsidRPr="00AE18CB">
        <w:rPr>
          <w:rFonts w:eastAsia="Arial"/>
        </w:rPr>
        <w:t xml:space="preserve"> experience</w:t>
      </w:r>
      <w:r w:rsidRPr="00AE18CB">
        <w:rPr>
          <w:rFonts w:eastAsia="Arial"/>
        </w:rPr>
        <w:t>.</w:t>
      </w:r>
      <w:r>
        <w:rPr>
          <w:rFonts w:eastAsia="Arial"/>
        </w:rPr>
        <w:t xml:space="preserve"> </w:t>
      </w:r>
    </w:p>
    <w:p w14:paraId="234327ED" w14:textId="6149B318" w:rsidR="0092765D" w:rsidRPr="009A16C4" w:rsidRDefault="0092765D" w:rsidP="0092765D">
      <w:pPr>
        <w:pStyle w:val="Text"/>
        <w:rPr>
          <w:rFonts w:eastAsia="Arial"/>
        </w:rPr>
      </w:pPr>
      <w:r>
        <w:rPr>
          <w:rFonts w:eastAsia="Arial"/>
        </w:rPr>
        <w:t xml:space="preserve">RTOs play a pivotal role in enabling teachers to fully leverage their personal characteristics and strengths by creating environments where these qualities are valued and developed. Providing structured induction and mentoring programs for new staff, ongoing professional development, and ensuring that teachers have dedicated time and space to further their skills and reflect on their teaching practice will complement individual teachers’ ways of working (Griffin &amp; Davidson 2025). </w:t>
      </w:r>
      <w:r w:rsidRPr="006D5589">
        <w:rPr>
          <w:rFonts w:eastAsia="Arial"/>
        </w:rPr>
        <w:t>Organisational cultures that recognis</w:t>
      </w:r>
      <w:r>
        <w:rPr>
          <w:rFonts w:eastAsia="Arial"/>
        </w:rPr>
        <w:t>e</w:t>
      </w:r>
      <w:r w:rsidRPr="006D5589">
        <w:rPr>
          <w:rFonts w:eastAsia="Arial"/>
        </w:rPr>
        <w:t xml:space="preserve"> the skills and human element </w:t>
      </w:r>
      <w:r w:rsidRPr="006D5589">
        <w:rPr>
          <w:rFonts w:eastAsia="Arial"/>
        </w:rPr>
        <w:lastRenderedPageBreak/>
        <w:t>of good teaching</w:t>
      </w:r>
      <w:r>
        <w:rPr>
          <w:rFonts w:eastAsia="Arial"/>
        </w:rPr>
        <w:t>,</w:t>
      </w:r>
      <w:r w:rsidRPr="006D5589">
        <w:rPr>
          <w:rFonts w:eastAsia="Arial"/>
        </w:rPr>
        <w:t xml:space="preserve"> reward excellence</w:t>
      </w:r>
      <w:r>
        <w:rPr>
          <w:rFonts w:eastAsia="Arial"/>
        </w:rPr>
        <w:t xml:space="preserve">, </w:t>
      </w:r>
      <w:r w:rsidRPr="006D5589">
        <w:rPr>
          <w:rFonts w:eastAsia="Arial"/>
        </w:rPr>
        <w:t>nurture collaboration, innovation, and leadership allow VET educators to flourish and drive long-term sector improvement (</w:t>
      </w:r>
      <w:r w:rsidR="001434D3" w:rsidRPr="006D5589">
        <w:rPr>
          <w:rFonts w:eastAsia="Arial"/>
        </w:rPr>
        <w:t>Francisco 2019</w:t>
      </w:r>
      <w:r w:rsidR="00E65F7F">
        <w:rPr>
          <w:rFonts w:eastAsia="Arial"/>
        </w:rPr>
        <w:t xml:space="preserve">; </w:t>
      </w:r>
      <w:r w:rsidR="00E65F7F" w:rsidRPr="006D5589">
        <w:rPr>
          <w:rFonts w:eastAsia="Arial"/>
        </w:rPr>
        <w:t>Skills and Workforce Ministerial Council 2024</w:t>
      </w:r>
      <w:r w:rsidR="00E65F7F">
        <w:rPr>
          <w:rFonts w:eastAsia="Arial"/>
        </w:rPr>
        <w:t xml:space="preserve">; </w:t>
      </w:r>
      <w:r w:rsidR="00E65F7F" w:rsidRPr="006D5589">
        <w:rPr>
          <w:rFonts w:eastAsia="Arial"/>
        </w:rPr>
        <w:t>Relly 2021</w:t>
      </w:r>
      <w:r w:rsidR="00E65F7F">
        <w:rPr>
          <w:rFonts w:eastAsia="Arial"/>
        </w:rPr>
        <w:t xml:space="preserve">; </w:t>
      </w:r>
      <w:r w:rsidRPr="006D5589">
        <w:rPr>
          <w:rFonts w:eastAsia="Arial"/>
        </w:rPr>
        <w:t xml:space="preserve">Griffin &amp; Davidson 2025). </w:t>
      </w:r>
    </w:p>
    <w:p w14:paraId="625F6C2A" w14:textId="1AB01A95" w:rsidR="0092765D" w:rsidRDefault="0092765D" w:rsidP="0055572F">
      <w:pPr>
        <w:pStyle w:val="Heading4"/>
        <w:rPr>
          <w:rFonts w:eastAsia="Arial"/>
        </w:rPr>
      </w:pPr>
      <w:r w:rsidRPr="004074C5">
        <w:rPr>
          <w:rFonts w:eastAsia="Arial"/>
        </w:rPr>
        <w:t xml:space="preserve">Conception of </w:t>
      </w:r>
      <w:r>
        <w:rPr>
          <w:rFonts w:eastAsia="Arial"/>
        </w:rPr>
        <w:t xml:space="preserve">quality in </w:t>
      </w:r>
      <w:r w:rsidRPr="004074C5">
        <w:rPr>
          <w:rFonts w:eastAsia="Arial"/>
        </w:rPr>
        <w:t xml:space="preserve">teaching </w:t>
      </w:r>
      <w:r w:rsidR="00335BDF">
        <w:rPr>
          <w:rFonts w:eastAsia="Arial"/>
        </w:rPr>
        <w:t>versus</w:t>
      </w:r>
      <w:r w:rsidRPr="004074C5">
        <w:rPr>
          <w:rFonts w:eastAsia="Arial"/>
        </w:rPr>
        <w:t xml:space="preserve"> enacted practice</w:t>
      </w:r>
    </w:p>
    <w:p w14:paraId="01C56286" w14:textId="315B25D6" w:rsidR="0092765D" w:rsidRPr="00757A39" w:rsidRDefault="0092765D" w:rsidP="0092765D">
      <w:pPr>
        <w:pStyle w:val="Text"/>
      </w:pPr>
      <w:r w:rsidRPr="001F17E4">
        <w:t xml:space="preserve">When examining excellence in teaching, it is </w:t>
      </w:r>
      <w:r>
        <w:t>informative</w:t>
      </w:r>
      <w:r w:rsidRPr="001F17E4">
        <w:t xml:space="preserve"> to consider teachers’ conceptions of </w:t>
      </w:r>
      <w:r>
        <w:t xml:space="preserve">quality </w:t>
      </w:r>
      <w:r w:rsidRPr="001F17E4">
        <w:t>teaching</w:t>
      </w:r>
      <w:r>
        <w:t xml:space="preserve"> and how that compares to </w:t>
      </w:r>
      <w:r w:rsidRPr="001F17E4">
        <w:t>their enacted practices</w:t>
      </w:r>
      <w:r w:rsidRPr="007C00BF">
        <w:t xml:space="preserve"> </w:t>
      </w:r>
      <w:r>
        <w:t>within</w:t>
      </w:r>
      <w:r w:rsidRPr="007C00BF">
        <w:t xml:space="preserve"> diverse teaching contexts (</w:t>
      </w:r>
      <w:r w:rsidR="00E65F7F" w:rsidRPr="007C00BF">
        <w:t>Cox &amp; Prestige 2020</w:t>
      </w:r>
      <w:r w:rsidR="00E65F7F">
        <w:t xml:space="preserve">; </w:t>
      </w:r>
      <w:r>
        <w:t>Smith &amp; Tuck 2023</w:t>
      </w:r>
      <w:r w:rsidRPr="007C00BF">
        <w:t>).</w:t>
      </w:r>
      <w:r w:rsidRPr="001F17E4">
        <w:t xml:space="preserve"> </w:t>
      </w:r>
      <w:r w:rsidRPr="00757A39">
        <w:t>Perceptions of teaching or teachers’ beliefs about pedagogy represent what they believe high-quality teaching is and the way a teacher would prefer to teach within a particular teaching context. In contrast, the enacted practices of teaching refer to the real-world teaching actions and interactions undertaken by the teacher (</w:t>
      </w:r>
      <w:r w:rsidRPr="007C00BF">
        <w:t>Cox &amp; Prestige 2020</w:t>
      </w:r>
      <w:r>
        <w:t xml:space="preserve">; </w:t>
      </w:r>
      <w:r w:rsidRPr="00757A39">
        <w:t xml:space="preserve">Westbrook et al. 2013). </w:t>
      </w:r>
    </w:p>
    <w:p w14:paraId="0C616B4D" w14:textId="77777777" w:rsidR="0092765D" w:rsidRDefault="0092765D" w:rsidP="0092765D">
      <w:pPr>
        <w:pStyle w:val="Text"/>
        <w:rPr>
          <w:rFonts w:eastAsia="Arial"/>
        </w:rPr>
      </w:pPr>
      <w:r w:rsidRPr="001F17E4">
        <w:t xml:space="preserve">The literature suggests that there is often a gap between </w:t>
      </w:r>
      <w:r>
        <w:t xml:space="preserve">what a teacher believes to be quality teaching </w:t>
      </w:r>
      <w:r w:rsidRPr="001F17E4">
        <w:t xml:space="preserve">and their enacted practices due to the influence of </w:t>
      </w:r>
      <w:r w:rsidRPr="007C00BF">
        <w:t>the</w:t>
      </w:r>
      <w:r w:rsidRPr="001F17E4">
        <w:t xml:space="preserve"> environment</w:t>
      </w:r>
      <w:r w:rsidRPr="007C00BF">
        <w:t xml:space="preserve"> VET operates</w:t>
      </w:r>
      <w:r>
        <w:t xml:space="preserve"> in, i</w:t>
      </w:r>
      <w:r w:rsidRPr="00C35F57">
        <w:t xml:space="preserve">ncluding, varied pedagogical practices required across different contexts and delivery modes, the experience, confidence and knowledge levels of teachers, and the diverse academic and social backgrounds of learners. Additionally, institutional priorities, organisational cultures, and policy requirements (such as compliance), as well as industry and employer expectations, can also influence </w:t>
      </w:r>
      <w:r>
        <w:t>their enacted teaching</w:t>
      </w:r>
      <w:r w:rsidRPr="00C35F57">
        <w:t xml:space="preserve"> practice</w:t>
      </w:r>
      <w:r w:rsidRPr="007C00BF">
        <w:t>.</w:t>
      </w:r>
      <w:r>
        <w:t xml:space="preserve"> This means that even when VET teachers know what ‘quality teaching’ should look like, translating this into day-to-day teaching is challenged by the realities of working within the constraints</w:t>
      </w:r>
      <w:r>
        <w:rPr>
          <w:rFonts w:eastAsia="Arial"/>
        </w:rPr>
        <w:t xml:space="preserve"> of </w:t>
      </w:r>
      <w:r>
        <w:t>their classroom, institution</w:t>
      </w:r>
      <w:r>
        <w:rPr>
          <w:rFonts w:eastAsia="Arial"/>
        </w:rPr>
        <w:t xml:space="preserve">, regulatory </w:t>
      </w:r>
      <w:r>
        <w:t>environment, budget</w:t>
      </w:r>
      <w:r>
        <w:rPr>
          <w:rFonts w:eastAsia="Arial"/>
        </w:rPr>
        <w:t xml:space="preserve"> and other systemic and contextual </w:t>
      </w:r>
      <w:r>
        <w:t xml:space="preserve">confines. </w:t>
      </w:r>
    </w:p>
    <w:p w14:paraId="105E1A6E" w14:textId="77777777" w:rsidR="0092765D" w:rsidRPr="009E7A82" w:rsidRDefault="0092765D" w:rsidP="0055572F">
      <w:pPr>
        <w:pStyle w:val="Heading3"/>
        <w:rPr>
          <w:rFonts w:eastAsia="Arial"/>
        </w:rPr>
      </w:pPr>
      <w:bookmarkStart w:id="28" w:name="_Toc207377780"/>
      <w:r>
        <w:rPr>
          <w:rFonts w:eastAsia="Arial"/>
        </w:rPr>
        <w:t>What are the challenges to implementing excellence in teaching practices?</w:t>
      </w:r>
      <w:bookmarkEnd w:id="28"/>
    </w:p>
    <w:p w14:paraId="0528B3F0" w14:textId="77777777" w:rsidR="0092765D" w:rsidRPr="00B8009F" w:rsidRDefault="0092765D" w:rsidP="0055572F">
      <w:pPr>
        <w:pStyle w:val="Heading4"/>
        <w:rPr>
          <w:rFonts w:eastAsia="Arial"/>
        </w:rPr>
      </w:pPr>
      <w:r w:rsidRPr="00B8009F">
        <w:rPr>
          <w:rFonts w:eastAsia="Arial"/>
        </w:rPr>
        <w:t>Quality and appropriateness of initial teacher qualifications and professional development</w:t>
      </w:r>
    </w:p>
    <w:p w14:paraId="058BBB72" w14:textId="77777777" w:rsidR="0092765D" w:rsidRDefault="0092765D" w:rsidP="0092765D">
      <w:pPr>
        <w:pStyle w:val="Text"/>
        <w:rPr>
          <w:rFonts w:eastAsia="Arial"/>
        </w:rPr>
      </w:pPr>
      <w:r w:rsidRPr="0054720C">
        <w:rPr>
          <w:rFonts w:eastAsia="Arial"/>
        </w:rPr>
        <w:t xml:space="preserve">The suitability of the Certificate IV in </w:t>
      </w:r>
      <w:r>
        <w:rPr>
          <w:rFonts w:eastAsia="Arial"/>
        </w:rPr>
        <w:t>Training and Assessment</w:t>
      </w:r>
      <w:r w:rsidRPr="0054720C">
        <w:rPr>
          <w:rFonts w:eastAsia="Arial"/>
        </w:rPr>
        <w:t xml:space="preserve"> in preparing individuals to deliver VET has long been debated, as described in the </w:t>
      </w:r>
      <w:r>
        <w:rPr>
          <w:rFonts w:eastAsia="Arial"/>
        </w:rPr>
        <w:t>teacher training</w:t>
      </w:r>
      <w:r w:rsidRPr="0054720C">
        <w:rPr>
          <w:rFonts w:eastAsia="Arial"/>
        </w:rPr>
        <w:t xml:space="preserve"> </w:t>
      </w:r>
      <w:r>
        <w:rPr>
          <w:rFonts w:eastAsia="Arial"/>
        </w:rPr>
        <w:t>section of this report</w:t>
      </w:r>
      <w:r w:rsidRPr="0054720C">
        <w:rPr>
          <w:rFonts w:eastAsia="Arial"/>
        </w:rPr>
        <w:t xml:space="preserve">. </w:t>
      </w:r>
    </w:p>
    <w:p w14:paraId="5CA2B78D" w14:textId="435CE3A6" w:rsidR="0092765D" w:rsidRDefault="0092765D" w:rsidP="0092765D">
      <w:pPr>
        <w:pStyle w:val="Text"/>
        <w:rPr>
          <w:rFonts w:eastAsia="Arial"/>
        </w:rPr>
      </w:pPr>
      <w:r>
        <w:rPr>
          <w:rFonts w:eastAsia="Arial"/>
        </w:rPr>
        <w:t xml:space="preserve">A lack in </w:t>
      </w:r>
      <w:r w:rsidR="00E723E2">
        <w:rPr>
          <w:rFonts w:eastAsia="Arial"/>
        </w:rPr>
        <w:t xml:space="preserve">the </w:t>
      </w:r>
      <w:r>
        <w:rPr>
          <w:rFonts w:eastAsia="Arial"/>
        </w:rPr>
        <w:t xml:space="preserve">availability, accessibility and use of suitable professional development resources and activities can also challenge the development of higher-level teaching practices. These challenges are often compounded by the cost of professional learning itself, as well as the additional costs associated with staff time release and backfilling teaching responsibilities while educators participate in professional development activities. This is also discussed in more detail in the teacher training section. </w:t>
      </w:r>
    </w:p>
    <w:p w14:paraId="69688814" w14:textId="77777777" w:rsidR="0092765D" w:rsidRPr="00B8009F" w:rsidRDefault="0092765D" w:rsidP="0055572F">
      <w:pPr>
        <w:pStyle w:val="Heading4"/>
        <w:rPr>
          <w:rFonts w:eastAsia="Arial"/>
          <w:lang w:val="en-US"/>
        </w:rPr>
      </w:pPr>
      <w:r w:rsidRPr="00B8009F">
        <w:rPr>
          <w:lang w:val="en-US"/>
        </w:rPr>
        <w:t>A national shortage of VET teachers</w:t>
      </w:r>
    </w:p>
    <w:p w14:paraId="6A396657" w14:textId="16FB909B" w:rsidR="0092765D" w:rsidRPr="00B3574B" w:rsidRDefault="0092765D" w:rsidP="0092765D">
      <w:pPr>
        <w:pStyle w:val="Text"/>
        <w:rPr>
          <w:rFonts w:eastAsia="Arial"/>
        </w:rPr>
      </w:pPr>
      <w:r w:rsidRPr="00D57EA9">
        <w:rPr>
          <w:rFonts w:eastAsia="Arial"/>
        </w:rPr>
        <w:t xml:space="preserve">As the VET sector plays a critical role in developing the skilled workforce, attracting, developing and retaining a capable teaching workforce remains an ongoing focus for the sector (Skills and Workforce Ministerial Council 2024). Research has identified a range of factors that can influence workforce attraction and retention, including perceptions of the sector, qualification and entry requirements, employment conditions, career progression opportunities, </w:t>
      </w:r>
      <w:r w:rsidRPr="00D57EA9">
        <w:rPr>
          <w:rFonts w:eastAsia="Arial"/>
        </w:rPr>
        <w:lastRenderedPageBreak/>
        <w:t>professional learning and pathways, workload and administrative demands, and the level of organisational support available to teachers (</w:t>
      </w:r>
      <w:r w:rsidR="000C28F5" w:rsidRPr="00D57EA9">
        <w:rPr>
          <w:rFonts w:eastAsia="Arial"/>
        </w:rPr>
        <w:t>Tyler &amp; Dymock 2017</w:t>
      </w:r>
      <w:r w:rsidR="000C28F5">
        <w:rPr>
          <w:rFonts w:eastAsia="Arial"/>
        </w:rPr>
        <w:t xml:space="preserve">; </w:t>
      </w:r>
      <w:r w:rsidR="000C28F5" w:rsidRPr="00D57EA9">
        <w:rPr>
          <w:rFonts w:eastAsia="Arial"/>
        </w:rPr>
        <w:t>Misko, Guthrie and Waters 2021</w:t>
      </w:r>
      <w:r w:rsidR="000C28F5">
        <w:rPr>
          <w:rFonts w:eastAsia="Arial"/>
        </w:rPr>
        <w:t xml:space="preserve">; </w:t>
      </w:r>
      <w:r w:rsidRPr="00D57EA9">
        <w:rPr>
          <w:rFonts w:eastAsia="Arial"/>
        </w:rPr>
        <w:t xml:space="preserve">Skills and Workforce Ministerial Council 2024; Griffin &amp; Davidson 2025). As teacher expertise develops over time through experience, mentoring and ongoing professional learning, retaining skilled educators is important for building workforce capability and supporting high-quality teaching and learning outcomes across the sector. </w:t>
      </w:r>
    </w:p>
    <w:p w14:paraId="37181A35" w14:textId="3DC6DF55" w:rsidR="0092765D" w:rsidRDefault="0092765D" w:rsidP="0092765D">
      <w:pPr>
        <w:pStyle w:val="Text"/>
        <w:rPr>
          <w:rFonts w:eastAsia="Arial"/>
        </w:rPr>
      </w:pPr>
      <w:r>
        <w:rPr>
          <w:rFonts w:eastAsia="Arial"/>
        </w:rPr>
        <w:t xml:space="preserve">The VET workforce also comprises </w:t>
      </w:r>
      <w:r w:rsidRPr="00FB458A">
        <w:rPr>
          <w:rFonts w:eastAsia="Arial"/>
        </w:rPr>
        <w:t>a relatively older age profile than the broader workforce, reflecting the sector’s reliance on experienced industry practitioners transitioning into teaching roles</w:t>
      </w:r>
      <w:r>
        <w:rPr>
          <w:rFonts w:eastAsia="Arial"/>
        </w:rPr>
        <w:t xml:space="preserve">, presenting </w:t>
      </w:r>
      <w:r w:rsidRPr="009345BB">
        <w:rPr>
          <w:rFonts w:eastAsia="Arial"/>
        </w:rPr>
        <w:t>risk</w:t>
      </w:r>
      <w:r>
        <w:rPr>
          <w:rFonts w:eastAsia="Arial"/>
        </w:rPr>
        <w:t xml:space="preserve"> of</w:t>
      </w:r>
      <w:r w:rsidRPr="009345BB" w:rsidDel="00F55AA8">
        <w:rPr>
          <w:rFonts w:eastAsia="Arial"/>
        </w:rPr>
        <w:t xml:space="preserve"> </w:t>
      </w:r>
      <w:r>
        <w:rPr>
          <w:rFonts w:eastAsia="Arial"/>
        </w:rPr>
        <w:t>a</w:t>
      </w:r>
      <w:r w:rsidRPr="009345BB">
        <w:rPr>
          <w:rFonts w:eastAsia="Arial"/>
        </w:rPr>
        <w:t xml:space="preserve"> loss of expertise and knowledge </w:t>
      </w:r>
      <w:r>
        <w:rPr>
          <w:rFonts w:eastAsia="Arial"/>
        </w:rPr>
        <w:t>going forward. Additionally,</w:t>
      </w:r>
      <w:r w:rsidRPr="009345BB">
        <w:rPr>
          <w:rFonts w:eastAsia="Arial"/>
        </w:rPr>
        <w:t xml:space="preserve"> </w:t>
      </w:r>
      <w:r>
        <w:rPr>
          <w:rFonts w:eastAsia="Arial"/>
        </w:rPr>
        <w:t>ageing</w:t>
      </w:r>
      <w:r w:rsidRPr="009345BB">
        <w:rPr>
          <w:rFonts w:eastAsia="Arial"/>
        </w:rPr>
        <w:t xml:space="preserve"> staff </w:t>
      </w:r>
      <w:r>
        <w:rPr>
          <w:rFonts w:eastAsia="Arial"/>
        </w:rPr>
        <w:t xml:space="preserve">can </w:t>
      </w:r>
      <w:r w:rsidRPr="009345BB">
        <w:rPr>
          <w:rFonts w:eastAsia="Arial"/>
        </w:rPr>
        <w:t xml:space="preserve">face </w:t>
      </w:r>
      <w:r>
        <w:rPr>
          <w:rFonts w:eastAsia="Arial"/>
        </w:rPr>
        <w:t xml:space="preserve">additional </w:t>
      </w:r>
      <w:r w:rsidRPr="009345BB">
        <w:rPr>
          <w:rFonts w:eastAsia="Arial"/>
        </w:rPr>
        <w:t xml:space="preserve">challenges keeping pace with technology advancements, digital literacy </w:t>
      </w:r>
      <w:r>
        <w:rPr>
          <w:rFonts w:eastAsia="Arial"/>
        </w:rPr>
        <w:t>needs</w:t>
      </w:r>
      <w:r w:rsidRPr="009345BB">
        <w:rPr>
          <w:rFonts w:eastAsia="Arial"/>
        </w:rPr>
        <w:t xml:space="preserve"> and </w:t>
      </w:r>
      <w:r>
        <w:rPr>
          <w:rFonts w:eastAsia="Arial"/>
        </w:rPr>
        <w:t>create</w:t>
      </w:r>
      <w:r w:rsidRPr="009345BB">
        <w:rPr>
          <w:rFonts w:eastAsia="Arial"/>
        </w:rPr>
        <w:t xml:space="preserve"> </w:t>
      </w:r>
      <w:r>
        <w:rPr>
          <w:rFonts w:eastAsia="Arial"/>
        </w:rPr>
        <w:t>generational</w:t>
      </w:r>
      <w:r w:rsidRPr="009345BB">
        <w:rPr>
          <w:rFonts w:eastAsia="Arial"/>
        </w:rPr>
        <w:t xml:space="preserve"> gaps in understanding (</w:t>
      </w:r>
      <w:r w:rsidR="00496C0F" w:rsidRPr="009345BB">
        <w:rPr>
          <w:rFonts w:eastAsia="Arial"/>
        </w:rPr>
        <w:t>Knight, White &amp; Granfield 2020</w:t>
      </w:r>
      <w:r w:rsidR="00496C0F">
        <w:rPr>
          <w:rFonts w:eastAsia="Arial"/>
        </w:rPr>
        <w:t xml:space="preserve">; </w:t>
      </w:r>
      <w:r w:rsidRPr="009345BB">
        <w:rPr>
          <w:rFonts w:eastAsia="Arial"/>
        </w:rPr>
        <w:t>Skills and Workforce Ministerial Council 2024).</w:t>
      </w:r>
    </w:p>
    <w:p w14:paraId="32B22DBC" w14:textId="77777777" w:rsidR="0092765D" w:rsidRPr="00B3574B" w:rsidRDefault="0092765D" w:rsidP="0092765D">
      <w:pPr>
        <w:pStyle w:val="Text"/>
        <w:rPr>
          <w:rFonts w:eastAsia="Arial"/>
        </w:rPr>
      </w:pPr>
      <w:r w:rsidRPr="002602A5">
        <w:rPr>
          <w:rFonts w:eastAsia="Arial"/>
        </w:rPr>
        <w:t xml:space="preserve">Teachers from diverse backgrounds including First Nations Peoples, culturally and linguistically diverse (CALD) teachers, and those with disabilities remain significantly underrepresented in the VET workforce. This lack of diversity limits the inclusiveness and effectiveness of teaching in the sector. Notably, First Nations teachers, trainers, and assessors are underrepresented both in the current workforce and among graduates of the Certificate IV </w:t>
      </w:r>
      <w:r>
        <w:rPr>
          <w:rFonts w:eastAsia="Arial"/>
        </w:rPr>
        <w:t>in Training and Assessment</w:t>
      </w:r>
      <w:r w:rsidRPr="002602A5">
        <w:rPr>
          <w:rFonts w:eastAsia="Arial"/>
        </w:rPr>
        <w:t xml:space="preserve">, </w:t>
      </w:r>
      <w:r>
        <w:rPr>
          <w:rFonts w:eastAsia="Arial"/>
        </w:rPr>
        <w:t xml:space="preserve">which is </w:t>
      </w:r>
      <w:r w:rsidRPr="002602A5">
        <w:rPr>
          <w:rFonts w:eastAsia="Arial"/>
        </w:rPr>
        <w:t xml:space="preserve">the </w:t>
      </w:r>
      <w:r>
        <w:rPr>
          <w:rFonts w:eastAsia="Arial"/>
        </w:rPr>
        <w:t>minimum required</w:t>
      </w:r>
      <w:r w:rsidRPr="002602A5">
        <w:rPr>
          <w:rFonts w:eastAsia="Arial"/>
        </w:rPr>
        <w:t xml:space="preserve"> VET teaching qualification (Skills and Workforce Ministerial Council 2024).</w:t>
      </w:r>
    </w:p>
    <w:p w14:paraId="78914DE6" w14:textId="77777777" w:rsidR="0092765D" w:rsidRPr="005D1E94" w:rsidRDefault="0092765D" w:rsidP="0055572F">
      <w:pPr>
        <w:pStyle w:val="Heading4"/>
        <w:rPr>
          <w:rFonts w:eastAsia="Arial"/>
        </w:rPr>
      </w:pPr>
      <w:r w:rsidRPr="005D1E94">
        <w:rPr>
          <w:rFonts w:eastAsia="Arial"/>
        </w:rPr>
        <w:t>Teaching context constraints</w:t>
      </w:r>
    </w:p>
    <w:p w14:paraId="79667121" w14:textId="6EFC11D1" w:rsidR="0092765D" w:rsidRDefault="0092765D" w:rsidP="0092765D">
      <w:pPr>
        <w:pStyle w:val="Text"/>
        <w:rPr>
          <w:rFonts w:eastAsia="Arial"/>
        </w:rPr>
      </w:pPr>
      <w:r w:rsidRPr="00341F64">
        <w:rPr>
          <w:rFonts w:eastAsia="Arial"/>
        </w:rPr>
        <w:t>Factors such as large class sizes, teaching theor</w:t>
      </w:r>
      <w:r w:rsidR="00847950">
        <w:rPr>
          <w:rFonts w:eastAsia="Arial"/>
        </w:rPr>
        <w:t>etical concepts</w:t>
      </w:r>
      <w:r w:rsidRPr="00341F64">
        <w:rPr>
          <w:rFonts w:eastAsia="Arial"/>
        </w:rPr>
        <w:t xml:space="preserve"> versus practical skills and the nature of the delivery (face-to-face, online, classroom based, workplace based)</w:t>
      </w:r>
      <w:r>
        <w:rPr>
          <w:rFonts w:eastAsia="Arial"/>
        </w:rPr>
        <w:t xml:space="preserve"> can</w:t>
      </w:r>
      <w:r w:rsidRPr="00341F64">
        <w:rPr>
          <w:rFonts w:eastAsia="Arial"/>
        </w:rPr>
        <w:t xml:space="preserve"> shift </w:t>
      </w:r>
      <w:proofErr w:type="gramStart"/>
      <w:r w:rsidRPr="00341F64">
        <w:rPr>
          <w:rFonts w:eastAsia="Arial"/>
        </w:rPr>
        <w:t>teachers</w:t>
      </w:r>
      <w:r>
        <w:rPr>
          <w:rFonts w:eastAsia="Arial"/>
        </w:rPr>
        <w:t>’</w:t>
      </w:r>
      <w:proofErr w:type="gramEnd"/>
      <w:r w:rsidRPr="00341F64">
        <w:rPr>
          <w:rFonts w:eastAsia="Arial"/>
        </w:rPr>
        <w:t xml:space="preserve"> enacted practices away from ideal or perceived practices of high-quality teaching</w:t>
      </w:r>
      <w:r>
        <w:rPr>
          <w:rFonts w:eastAsia="Arial"/>
        </w:rPr>
        <w:t xml:space="preserve"> </w:t>
      </w:r>
      <w:r w:rsidRPr="00341F64">
        <w:rPr>
          <w:rFonts w:eastAsia="Arial"/>
        </w:rPr>
        <w:t>(</w:t>
      </w:r>
      <w:r w:rsidR="00E3301F" w:rsidRPr="00341F64">
        <w:rPr>
          <w:rFonts w:eastAsia="Arial"/>
        </w:rPr>
        <w:t>Cox &amp; Prestridge 2020</w:t>
      </w:r>
      <w:r w:rsidR="00E3301F">
        <w:rPr>
          <w:rFonts w:eastAsia="Arial"/>
        </w:rPr>
        <w:t xml:space="preserve">; </w:t>
      </w:r>
      <w:r w:rsidRPr="00341F64">
        <w:rPr>
          <w:rFonts w:eastAsia="Arial"/>
        </w:rPr>
        <w:t>Griffin &amp; Davidson 2025).</w:t>
      </w:r>
      <w:r>
        <w:rPr>
          <w:rFonts w:eastAsia="Arial"/>
        </w:rPr>
        <w:t xml:space="preserve"> These variations can be further shaped by the diversity of learner cohorts</w:t>
      </w:r>
      <w:r w:rsidRPr="00341F64">
        <w:rPr>
          <w:rFonts w:eastAsia="Arial"/>
        </w:rPr>
        <w:t xml:space="preserve"> </w:t>
      </w:r>
      <w:r>
        <w:rPr>
          <w:rFonts w:eastAsia="Arial"/>
        </w:rPr>
        <w:t>suc</w:t>
      </w:r>
      <w:r w:rsidRPr="00341F64">
        <w:rPr>
          <w:rFonts w:eastAsia="Arial"/>
        </w:rPr>
        <w:t xml:space="preserve">h as First Nations learners, learners with a disability, learners in regional, rural and remote areas and </w:t>
      </w:r>
      <w:r w:rsidR="00A06CE2">
        <w:rPr>
          <w:rFonts w:eastAsia="Arial"/>
        </w:rPr>
        <w:t xml:space="preserve">learners with </w:t>
      </w:r>
      <w:r w:rsidRPr="00341F64">
        <w:rPr>
          <w:rFonts w:eastAsia="Arial"/>
        </w:rPr>
        <w:t xml:space="preserve">CALD </w:t>
      </w:r>
      <w:r w:rsidR="00A06CE2">
        <w:rPr>
          <w:rFonts w:eastAsia="Arial"/>
        </w:rPr>
        <w:t xml:space="preserve">backgrounds, </w:t>
      </w:r>
      <w:r>
        <w:rPr>
          <w:rFonts w:eastAsia="Arial"/>
        </w:rPr>
        <w:t>all with distinct support needs (</w:t>
      </w:r>
      <w:proofErr w:type="spellStart"/>
      <w:r>
        <w:rPr>
          <w:rFonts w:eastAsia="Arial"/>
        </w:rPr>
        <w:t>Andrahannadi</w:t>
      </w:r>
      <w:proofErr w:type="spellEnd"/>
      <w:r>
        <w:rPr>
          <w:rFonts w:eastAsia="Arial"/>
        </w:rPr>
        <w:t xml:space="preserve"> &amp; Griffin 2025</w:t>
      </w:r>
      <w:r w:rsidRPr="00341F64">
        <w:rPr>
          <w:rFonts w:eastAsia="Arial"/>
        </w:rPr>
        <w:t>).</w:t>
      </w:r>
    </w:p>
    <w:p w14:paraId="6A0EF380" w14:textId="77777777" w:rsidR="0092765D" w:rsidRPr="00D16DA7" w:rsidRDefault="0092765D" w:rsidP="0055572F">
      <w:pPr>
        <w:pStyle w:val="Heading4"/>
        <w:rPr>
          <w:rFonts w:eastAsia="Arial"/>
        </w:rPr>
      </w:pPr>
      <w:r w:rsidRPr="00D16DA7">
        <w:rPr>
          <w:rFonts w:eastAsia="Arial"/>
        </w:rPr>
        <w:t xml:space="preserve">Technology and digital capability gaps of teachers </w:t>
      </w:r>
    </w:p>
    <w:p w14:paraId="68509DC8" w14:textId="77777777" w:rsidR="0053772E" w:rsidRPr="0053772E" w:rsidRDefault="0092765D" w:rsidP="0053772E">
      <w:pPr>
        <w:pStyle w:val="Text"/>
        <w:rPr>
          <w:rFonts w:eastAsia="Arial"/>
        </w:rPr>
      </w:pPr>
      <w:r>
        <w:rPr>
          <w:rFonts w:eastAsia="Arial"/>
        </w:rPr>
        <w:t>T</w:t>
      </w:r>
      <w:r w:rsidRPr="00C21D6D">
        <w:rPr>
          <w:rFonts w:eastAsia="Arial"/>
        </w:rPr>
        <w:t xml:space="preserve">eachers may face difficulties in keeping up with AI and other technological developments, particularly with an </w:t>
      </w:r>
      <w:r>
        <w:rPr>
          <w:rFonts w:eastAsia="Arial"/>
        </w:rPr>
        <w:t>ageing</w:t>
      </w:r>
      <w:r w:rsidRPr="00C21D6D">
        <w:rPr>
          <w:rFonts w:eastAsia="Arial"/>
        </w:rPr>
        <w:t xml:space="preserve"> and often casualised workforce (Skills and Workforce Ministerial Council 2024)</w:t>
      </w:r>
      <w:r>
        <w:rPr>
          <w:rFonts w:eastAsia="Arial"/>
        </w:rPr>
        <w:t xml:space="preserve">. </w:t>
      </w:r>
      <w:r w:rsidR="0053772E" w:rsidRPr="0053772E">
        <w:rPr>
          <w:rFonts w:eastAsia="Arial"/>
        </w:rPr>
        <w:t xml:space="preserve">Furthermore, while teachers may be confident in their understanding of and ability to learn new technologies, they may lack the skills or confidence needed to integrate these technologies effectively into their teaching practice. This can be particularly challenging when teaching complex concepts or assessing student learning in online and blended learning environments (Vanderburg, Cowling &amp; </w:t>
      </w:r>
      <w:proofErr w:type="spellStart"/>
      <w:r w:rsidR="0053772E" w:rsidRPr="0053772E">
        <w:rPr>
          <w:rFonts w:eastAsia="Arial"/>
        </w:rPr>
        <w:t>Dargusch</w:t>
      </w:r>
      <w:proofErr w:type="spellEnd"/>
      <w:r w:rsidR="0053772E" w:rsidRPr="0053772E">
        <w:rPr>
          <w:rFonts w:eastAsia="Arial"/>
        </w:rPr>
        <w:t xml:space="preserve"> 2021).</w:t>
      </w:r>
    </w:p>
    <w:p w14:paraId="55AB7046" w14:textId="77777777" w:rsidR="0092765D" w:rsidRPr="00A95420" w:rsidRDefault="0092765D" w:rsidP="0055572F">
      <w:pPr>
        <w:pStyle w:val="Heading3"/>
      </w:pPr>
      <w:bookmarkStart w:id="29" w:name="_Toc207377781"/>
      <w:r>
        <w:t xml:space="preserve">Gaps </w:t>
      </w:r>
      <w:bookmarkEnd w:id="29"/>
      <w:r>
        <w:t>in the evidence</w:t>
      </w:r>
    </w:p>
    <w:p w14:paraId="2CFF09D1" w14:textId="1AFED89C" w:rsidR="0092765D" w:rsidRDefault="0092765D" w:rsidP="0092765D">
      <w:pPr>
        <w:pStyle w:val="Text"/>
      </w:pPr>
      <w:r>
        <w:t xml:space="preserve">This, and the preceding </w:t>
      </w:r>
      <w:r w:rsidR="00E458C9">
        <w:t>section</w:t>
      </w:r>
      <w:r>
        <w:t>, has highlighted the diversity in the VET teacher workforce, due both to teachers’ personal and professional characteristics as well as the varied contexts in which they teach. This diversity includes, but is not necessarily limited to:</w:t>
      </w:r>
    </w:p>
    <w:p w14:paraId="4F286F57" w14:textId="77777777" w:rsidR="0092765D" w:rsidRPr="00F96B9D" w:rsidRDefault="0092765D" w:rsidP="0092765D">
      <w:pPr>
        <w:pStyle w:val="Dotpoint1"/>
        <w:tabs>
          <w:tab w:val="clear" w:pos="567"/>
          <w:tab w:val="left" w:pos="284"/>
        </w:tabs>
        <w:ind w:left="284"/>
        <w:rPr>
          <w:lang w:val="en-US"/>
        </w:rPr>
      </w:pPr>
      <w:r>
        <w:rPr>
          <w:lang w:val="en-US"/>
        </w:rPr>
        <w:lastRenderedPageBreak/>
        <w:t>p</w:t>
      </w:r>
      <w:r w:rsidRPr="00F96B9D">
        <w:rPr>
          <w:lang w:val="en-US"/>
        </w:rPr>
        <w:t>ersonal characteristics of the teachers, e.g. First Nations, disability, CALD background, gender, age</w:t>
      </w:r>
    </w:p>
    <w:p w14:paraId="5D444355" w14:textId="77777777" w:rsidR="0092765D" w:rsidRDefault="0092765D" w:rsidP="0092765D">
      <w:pPr>
        <w:pStyle w:val="Dotpoint1"/>
        <w:tabs>
          <w:tab w:val="clear" w:pos="567"/>
          <w:tab w:val="left" w:pos="284"/>
        </w:tabs>
        <w:ind w:left="284"/>
        <w:rPr>
          <w:lang w:val="en-US"/>
        </w:rPr>
      </w:pPr>
      <w:r>
        <w:rPr>
          <w:lang w:val="en-US"/>
        </w:rPr>
        <w:t>qualifications held (teaching and vocational) and other skills (e.g. LLND)</w:t>
      </w:r>
    </w:p>
    <w:p w14:paraId="1ED7EED8" w14:textId="77777777" w:rsidR="0092765D" w:rsidRPr="00F96B9D" w:rsidRDefault="0092765D" w:rsidP="0092765D">
      <w:pPr>
        <w:pStyle w:val="Dotpoint1"/>
        <w:tabs>
          <w:tab w:val="clear" w:pos="567"/>
          <w:tab w:val="left" w:pos="284"/>
        </w:tabs>
        <w:ind w:left="284"/>
        <w:rPr>
          <w:lang w:val="en-US"/>
        </w:rPr>
      </w:pPr>
      <w:r>
        <w:rPr>
          <w:lang w:val="en-US"/>
        </w:rPr>
        <w:t>experience, e.g. years of teaching</w:t>
      </w:r>
    </w:p>
    <w:p w14:paraId="5CF29B93" w14:textId="77777777" w:rsidR="0092765D" w:rsidRPr="00F96B9D" w:rsidRDefault="0092765D" w:rsidP="0092765D">
      <w:pPr>
        <w:pStyle w:val="Dotpoint1"/>
        <w:tabs>
          <w:tab w:val="clear" w:pos="567"/>
          <w:tab w:val="left" w:pos="284"/>
        </w:tabs>
        <w:ind w:left="284"/>
        <w:rPr>
          <w:lang w:val="en-US"/>
        </w:rPr>
      </w:pPr>
      <w:r>
        <w:rPr>
          <w:lang w:val="en-US"/>
        </w:rPr>
        <w:t>t</w:t>
      </w:r>
      <w:r w:rsidRPr="00F96B9D">
        <w:rPr>
          <w:lang w:val="en-US"/>
        </w:rPr>
        <w:t>eaching role held (</w:t>
      </w:r>
      <w:r>
        <w:rPr>
          <w:lang w:val="en-US"/>
        </w:rPr>
        <w:t>Jobs and Skills Australia</w:t>
      </w:r>
      <w:r w:rsidRPr="00F96B9D">
        <w:rPr>
          <w:lang w:val="en-US"/>
        </w:rPr>
        <w:t xml:space="preserve"> </w:t>
      </w:r>
      <w:r>
        <w:rPr>
          <w:lang w:val="en-US"/>
        </w:rPr>
        <w:t>2024</w:t>
      </w:r>
      <w:r w:rsidRPr="00F96B9D">
        <w:rPr>
          <w:lang w:val="en-US"/>
        </w:rPr>
        <w:t>)</w:t>
      </w:r>
    </w:p>
    <w:p w14:paraId="62473EB3" w14:textId="77777777" w:rsidR="0092765D" w:rsidRPr="00F96B9D" w:rsidRDefault="0092765D" w:rsidP="0092765D">
      <w:pPr>
        <w:pStyle w:val="Dotpoint1"/>
        <w:tabs>
          <w:tab w:val="clear" w:pos="567"/>
          <w:tab w:val="left" w:pos="284"/>
        </w:tabs>
        <w:ind w:left="284"/>
        <w:rPr>
          <w:lang w:val="en-US"/>
        </w:rPr>
      </w:pPr>
      <w:r>
        <w:rPr>
          <w:lang w:val="en-US"/>
        </w:rPr>
        <w:t>e</w:t>
      </w:r>
      <w:r w:rsidRPr="00F96B9D">
        <w:rPr>
          <w:lang w:val="en-US"/>
        </w:rPr>
        <w:t>mployment conditions, e.g. full</w:t>
      </w:r>
      <w:r>
        <w:rPr>
          <w:lang w:val="en-US"/>
        </w:rPr>
        <w:t>-</w:t>
      </w:r>
      <w:r w:rsidRPr="00F96B9D">
        <w:rPr>
          <w:lang w:val="en-US"/>
        </w:rPr>
        <w:t>time, part</w:t>
      </w:r>
      <w:r>
        <w:rPr>
          <w:lang w:val="en-US"/>
        </w:rPr>
        <w:t>-</w:t>
      </w:r>
      <w:r w:rsidRPr="00F96B9D">
        <w:rPr>
          <w:lang w:val="en-US"/>
        </w:rPr>
        <w:t>time, casual, working for multiple RTOs, working in industry and teaching simultaneously</w:t>
      </w:r>
    </w:p>
    <w:p w14:paraId="623D533C" w14:textId="77777777" w:rsidR="0092765D" w:rsidRPr="00F96B9D" w:rsidRDefault="0092765D" w:rsidP="0092765D">
      <w:pPr>
        <w:pStyle w:val="Dotpoint1"/>
        <w:tabs>
          <w:tab w:val="clear" w:pos="567"/>
          <w:tab w:val="left" w:pos="284"/>
        </w:tabs>
        <w:ind w:left="284"/>
        <w:rPr>
          <w:lang w:val="en-US"/>
        </w:rPr>
      </w:pPr>
      <w:r>
        <w:rPr>
          <w:lang w:val="en-US"/>
        </w:rPr>
        <w:t>RTO characteristics</w:t>
      </w:r>
      <w:r w:rsidRPr="00F96B9D">
        <w:rPr>
          <w:lang w:val="en-US"/>
        </w:rPr>
        <w:t xml:space="preserve"> </w:t>
      </w:r>
      <w:r>
        <w:rPr>
          <w:lang w:val="en-US"/>
        </w:rPr>
        <w:t>(e.g. RTO typology, Jobs and Skills Australia 2024</w:t>
      </w:r>
      <w:r w:rsidRPr="00465D24">
        <w:rPr>
          <w:lang w:val="en-US"/>
        </w:rPr>
        <w:t>b</w:t>
      </w:r>
      <w:r>
        <w:rPr>
          <w:lang w:val="en-US"/>
        </w:rPr>
        <w:t>)</w:t>
      </w:r>
    </w:p>
    <w:p w14:paraId="65AF0873" w14:textId="77777777" w:rsidR="0092765D" w:rsidRPr="00F96B9D" w:rsidRDefault="0092765D" w:rsidP="0092765D">
      <w:pPr>
        <w:pStyle w:val="Dotpoint1"/>
        <w:tabs>
          <w:tab w:val="clear" w:pos="567"/>
          <w:tab w:val="left" w:pos="284"/>
        </w:tabs>
        <w:ind w:left="284"/>
        <w:rPr>
          <w:lang w:val="en-US"/>
        </w:rPr>
      </w:pPr>
      <w:r>
        <w:rPr>
          <w:lang w:val="en-US"/>
        </w:rPr>
        <w:t>t</w:t>
      </w:r>
      <w:r w:rsidRPr="00F96B9D">
        <w:rPr>
          <w:lang w:val="en-US"/>
        </w:rPr>
        <w:t>he industry they are delivering in</w:t>
      </w:r>
    </w:p>
    <w:p w14:paraId="06E413F3" w14:textId="77777777" w:rsidR="0092765D" w:rsidRPr="00F96B9D" w:rsidRDefault="0092765D" w:rsidP="0092765D">
      <w:pPr>
        <w:pStyle w:val="Dotpoint1"/>
        <w:tabs>
          <w:tab w:val="clear" w:pos="567"/>
          <w:tab w:val="left" w:pos="284"/>
        </w:tabs>
        <w:ind w:left="284"/>
        <w:rPr>
          <w:lang w:val="en-US"/>
        </w:rPr>
      </w:pPr>
      <w:r>
        <w:rPr>
          <w:lang w:val="en-US"/>
        </w:rPr>
        <w:t>the</w:t>
      </w:r>
      <w:r w:rsidRPr="00F96B9D">
        <w:rPr>
          <w:lang w:val="en-US"/>
        </w:rPr>
        <w:t xml:space="preserve"> student cohort</w:t>
      </w:r>
      <w:r>
        <w:rPr>
          <w:lang w:val="en-US"/>
        </w:rPr>
        <w:t xml:space="preserve"> </w:t>
      </w:r>
    </w:p>
    <w:p w14:paraId="76DE0187" w14:textId="22D3AC86" w:rsidR="0092765D" w:rsidRPr="00F96B9D" w:rsidRDefault="0092765D" w:rsidP="0092765D">
      <w:pPr>
        <w:pStyle w:val="Dotpoint1"/>
        <w:tabs>
          <w:tab w:val="clear" w:pos="567"/>
          <w:tab w:val="left" w:pos="284"/>
        </w:tabs>
        <w:ind w:left="284"/>
        <w:rPr>
          <w:lang w:val="en-US"/>
        </w:rPr>
      </w:pPr>
      <w:r>
        <w:rPr>
          <w:lang w:val="en-US"/>
        </w:rPr>
        <w:t>t</w:t>
      </w:r>
      <w:r w:rsidRPr="00F96B9D">
        <w:rPr>
          <w:lang w:val="en-US"/>
        </w:rPr>
        <w:t>he delivery mode</w:t>
      </w:r>
      <w:r w:rsidRPr="00F96B9D">
        <w:t xml:space="preserve"> and location e.g. regional </w:t>
      </w:r>
      <w:r>
        <w:t>versus</w:t>
      </w:r>
      <w:r w:rsidRPr="00F96B9D">
        <w:t xml:space="preserve"> metro, classroom </w:t>
      </w:r>
      <w:r>
        <w:t>versus</w:t>
      </w:r>
      <w:r w:rsidRPr="00F96B9D">
        <w:t xml:space="preserve"> </w:t>
      </w:r>
      <w:r>
        <w:t>workplace</w:t>
      </w:r>
      <w:r w:rsidR="00B76374">
        <w:t>, online</w:t>
      </w:r>
      <w:r>
        <w:t>.</w:t>
      </w:r>
    </w:p>
    <w:p w14:paraId="3DED9759" w14:textId="6BCDAB61" w:rsidR="0092765D" w:rsidRDefault="0092765D" w:rsidP="0092765D">
      <w:pPr>
        <w:pStyle w:val="Text"/>
      </w:pPr>
      <w:r>
        <w:t>The literature describes a variety of teacher capability frameworks and pedagogical theories, but it is not clear if and how these are implemented by diverse teachers in varied contexts. It is also unclear as to how well initial teaching training and professional develop</w:t>
      </w:r>
      <w:r w:rsidR="006919F2">
        <w:t>ment</w:t>
      </w:r>
      <w:r>
        <w:t xml:space="preserve"> adequately prepares this diverse workforce to deliver high-quality training in the complex VET environment (teacher training and professional development is discussed more fully in the next section) and whether the impact of psychosocial stressors differs based on teacher diversity (discussed further in the psychosocial section). These </w:t>
      </w:r>
      <w:r w:rsidRPr="005751AE">
        <w:t>gaps limit the sector’s ability to fully understand and support diverse teachers in strengthening their teaching practices.</w:t>
      </w:r>
    </w:p>
    <w:p w14:paraId="61621449" w14:textId="77777777" w:rsidR="0055572F" w:rsidRPr="0055572F" w:rsidRDefault="0055572F" w:rsidP="0055572F">
      <w:pPr>
        <w:pStyle w:val="Heading2"/>
      </w:pPr>
      <w:bookmarkStart w:id="30" w:name="_Toc207377782"/>
      <w:bookmarkStart w:id="31" w:name="_Toc241507531"/>
      <w:r w:rsidRPr="00F600F8">
        <w:t>Teacher</w:t>
      </w:r>
      <w:r w:rsidRPr="0055572F">
        <w:t xml:space="preserve"> training: qualifications and professional development</w:t>
      </w:r>
      <w:bookmarkEnd w:id="30"/>
      <w:bookmarkEnd w:id="31"/>
    </w:p>
    <w:p w14:paraId="0AB12AE9" w14:textId="77777777" w:rsidR="0055572F" w:rsidRPr="0055572F" w:rsidRDefault="0055572F" w:rsidP="00C16179">
      <w:pPr>
        <w:pStyle w:val="Heading3"/>
      </w:pPr>
      <w:bookmarkStart w:id="32" w:name="_Toc207377783"/>
      <w:r w:rsidRPr="0055572F">
        <w:t>VET educator qualifications</w:t>
      </w:r>
      <w:bookmarkEnd w:id="32"/>
    </w:p>
    <w:p w14:paraId="49C7DFD2" w14:textId="77777777" w:rsidR="0055572F" w:rsidRPr="0055572F" w:rsidRDefault="0055572F" w:rsidP="0055572F">
      <w:pPr>
        <w:pStyle w:val="Text"/>
      </w:pPr>
      <w:r w:rsidRPr="0055572F">
        <w:t>This section describes the various qualification pathways that can be used to access VET teaching roles and the pedagogical skills they provide.</w:t>
      </w:r>
    </w:p>
    <w:p w14:paraId="13E25774" w14:textId="77777777" w:rsidR="0055572F" w:rsidRPr="0055572F" w:rsidRDefault="0055572F" w:rsidP="00C16179">
      <w:pPr>
        <w:pStyle w:val="Heading4"/>
      </w:pPr>
      <w:r w:rsidRPr="0055572F">
        <w:t>Qualification requirements for VET teachers</w:t>
      </w:r>
    </w:p>
    <w:p w14:paraId="6D41C0A6" w14:textId="77777777" w:rsidR="0055572F" w:rsidRPr="0055572F" w:rsidRDefault="0055572F" w:rsidP="0055572F">
      <w:pPr>
        <w:pStyle w:val="Text"/>
      </w:pPr>
      <w:r w:rsidRPr="0055572F">
        <w:t>Teachers in the VET sector are unique due to the requirement for them to be dual professionals. The Standards for RTOs (National Vocational Education and Training Regulator 2025) specify that training and assessment in VET is to be delivered by credentialled people with current industry skills and current skills and knowledge in training and assessment. Hence, there is a requirement to hold both a vocational/industry-specific qualification as well as a teaching qualification.</w:t>
      </w:r>
      <w:r w:rsidRPr="0055572F">
        <w:rPr>
          <w:vertAlign w:val="superscript"/>
        </w:rPr>
        <w:footnoteReference w:id="1"/>
      </w:r>
      <w:r w:rsidRPr="0055572F">
        <w:t xml:space="preserve"> </w:t>
      </w:r>
    </w:p>
    <w:p w14:paraId="0E889366" w14:textId="77777777" w:rsidR="0055572F" w:rsidRPr="0055572F" w:rsidRDefault="0055572F" w:rsidP="0055572F">
      <w:pPr>
        <w:pStyle w:val="Text"/>
      </w:pPr>
      <w:r w:rsidRPr="0055572F">
        <w:lastRenderedPageBreak/>
        <w:t>This section of the report considers the teaching qualifications of VET teachers and how they inform quality teaching. There are several different teaching qualification pathways that individuals can take to enter a VET teaching position, at different Australian Qualification Framework (AQF) levels.</w:t>
      </w:r>
      <w:r w:rsidRPr="0055572F">
        <w:rPr>
          <w:vertAlign w:val="superscript"/>
        </w:rPr>
        <w:footnoteReference w:id="2"/>
      </w:r>
      <w:r w:rsidRPr="0055572F">
        <w:t xml:space="preserve"> As per the Credential Policy (Australian Government 2025b), these are:</w:t>
      </w:r>
    </w:p>
    <w:p w14:paraId="288B6388" w14:textId="77777777" w:rsidR="0055572F" w:rsidRPr="0055572F" w:rsidRDefault="0055572F" w:rsidP="00C16179">
      <w:pPr>
        <w:pStyle w:val="Dotpoint1"/>
      </w:pPr>
      <w:r w:rsidRPr="0055572F">
        <w:t>the Certificate IV in Training and Assessment (Cert IV TAE), AQF level 4</w:t>
      </w:r>
    </w:p>
    <w:p w14:paraId="06762A15" w14:textId="77777777" w:rsidR="0055572F" w:rsidRPr="0055572F" w:rsidRDefault="0055572F" w:rsidP="00C16179">
      <w:pPr>
        <w:pStyle w:val="Dotpoint1"/>
      </w:pPr>
      <w:r w:rsidRPr="0055572F">
        <w:t>a Diploma or higher-level qualification in adult education or vocational education and training, AQF level 5 or higher</w:t>
      </w:r>
    </w:p>
    <w:p w14:paraId="7E391AA7" w14:textId="77777777" w:rsidR="0055572F" w:rsidRPr="0055572F" w:rsidRDefault="0055572F" w:rsidP="00C16179">
      <w:pPr>
        <w:pStyle w:val="Dotpoint1"/>
      </w:pPr>
      <w:r w:rsidRPr="0055572F">
        <w:t>a secondary teaching qualification (university degree), AQF 7 (in addition to an Assessor Skill Set or a VET Delivered to School Students Teacher Enhancement Skill Set).</w:t>
      </w:r>
    </w:p>
    <w:p w14:paraId="6FC06D41" w14:textId="799CD6FA" w:rsidR="0055572F" w:rsidRPr="0055572F" w:rsidRDefault="0055572F" w:rsidP="0055572F">
      <w:pPr>
        <w:pStyle w:val="Text"/>
      </w:pPr>
      <w:r w:rsidRPr="0055572F">
        <w:t xml:space="preserve">While the above might be considered the overarching qualification requirements for VET teachers, there are other qualification routes, particularly those for </w:t>
      </w:r>
      <w:r w:rsidRPr="0055572F" w:rsidDel="00F62D60">
        <w:t xml:space="preserve">teachers </w:t>
      </w:r>
      <w:r w:rsidRPr="0055572F">
        <w:t xml:space="preserve">working under </w:t>
      </w:r>
      <w:r w:rsidR="00A04DDE">
        <w:t>direction</w:t>
      </w:r>
      <w:r w:rsidRPr="0055572F">
        <w:t xml:space="preserve">. The </w:t>
      </w:r>
      <w:r w:rsidRPr="0055572F">
        <w:rPr>
          <w:i/>
          <w:iCs/>
        </w:rPr>
        <w:t>VET Workforce Study</w:t>
      </w:r>
      <w:r w:rsidRPr="0055572F">
        <w:t>, conducted by Jobs and Skills Australia, provides a comprehensive overview of the various qualification pathways that can be taken into the multitude of VET teaching roles and arrangements (JSA 2024a).</w:t>
      </w:r>
    </w:p>
    <w:p w14:paraId="442C48BB" w14:textId="77777777" w:rsidR="0055572F" w:rsidRPr="0055572F" w:rsidRDefault="0055572F" w:rsidP="0055572F">
      <w:pPr>
        <w:pStyle w:val="Text"/>
      </w:pPr>
      <w:r w:rsidRPr="0055572F">
        <w:t xml:space="preserve">The Certificate IV in Training and Assessment is the minimum qualification for delivering nationally recognised training in VET and is the most common qualification pathway into VET teaching and assessment. While accurate data on the qualifications held across the VET teaching workforce is lacking (JSA 2024a), it has been estimated that around three-quarters (77.1%) of VET teachers have a Certificate IV as their highest teaching qualification (Knight, White and Granfield 2020). Much smaller proportions hold the VET-sector diploma (6.0%), another type of diploma in adult education (2.0%) or another higher-level qualification in adult education (8.2%). </w:t>
      </w:r>
    </w:p>
    <w:p w14:paraId="71EEF9FC" w14:textId="6735E031" w:rsidR="0055572F" w:rsidRPr="0055572F" w:rsidRDefault="0055572F" w:rsidP="0055572F">
      <w:pPr>
        <w:pStyle w:val="Text"/>
      </w:pPr>
      <w:r w:rsidRPr="0055572F">
        <w:t xml:space="preserve">While caution is required when interpreting the limited data in this space, evidence suggests there may be differences in qualification levels held depending on RTO types and jurisdictions. For example, Knight, White and Granfield (2020) reported that a slightly higher proportion of teachers employed by TAFE held a diploma or higher teaching qualification (19.3%) compared to those employed by private RTOs (15%). Jobs and Skills Australia (2024a) reported that Victorian TAFE employees are more highly qualified in terms of their teaching qualifications, with 33.1% holding a diploma or above. This is likely due to the award in Victoria that provides higher salaries for teachers with higher level qualifications (Smith 2025). </w:t>
      </w:r>
    </w:p>
    <w:p w14:paraId="77F92065" w14:textId="77777777" w:rsidR="0055572F" w:rsidRPr="0055572F" w:rsidRDefault="0055572F" w:rsidP="0055572F">
      <w:pPr>
        <w:pStyle w:val="Text"/>
      </w:pPr>
      <w:r w:rsidRPr="0055572F">
        <w:t xml:space="preserve">At level 4 on the AQF, the Certificate IV in Training and Assessment is lower than the pedagogical qualifications that are required in other education sectors (Tyler &amp; Dymock 2017). Teaching in schools, for example, requires a degree (AQF level 7) pedagogical qualification. Qualification requirements for early childhood educators are mixed, depending on the role and the context. To be an early childhood educator working in a centre-based service, for example, the minimum qualification requirement is the Certificate III (AQF level 3), but with the </w:t>
      </w:r>
      <w:r w:rsidRPr="0055572F">
        <w:lastRenderedPageBreak/>
        <w:t xml:space="preserve">additional requirement that 50% of staff either hold or are working towards a diploma (AQF level 5) (Australian Children’s Education and Care Quality Authority 2025). To be an early childhood </w:t>
      </w:r>
      <w:r w:rsidRPr="0055572F">
        <w:rPr>
          <w:i/>
          <w:iCs/>
        </w:rPr>
        <w:t>teacher</w:t>
      </w:r>
      <w:r w:rsidRPr="0055572F">
        <w:t xml:space="preserve">, where teacher registration is required in some jurisdictions, a university degree is generally required. Finally, teaching in university generally requires a post-graduate qualification in a relevant discipline, sometimes with the addition of a graduate certificate in higher education (AQF level 8) as a pedagogical qualification. </w:t>
      </w:r>
    </w:p>
    <w:p w14:paraId="2B5CB99B" w14:textId="77777777" w:rsidR="0055572F" w:rsidRPr="0055572F" w:rsidRDefault="0055572F" w:rsidP="00C16179">
      <w:pPr>
        <w:pStyle w:val="Heading5"/>
      </w:pPr>
      <w:r w:rsidRPr="0055572F">
        <w:t>The history of required qualifications for teaching in VET</w:t>
      </w:r>
    </w:p>
    <w:p w14:paraId="1F492CFA" w14:textId="77777777" w:rsidR="0055572F" w:rsidRPr="0055572F" w:rsidRDefault="0055572F" w:rsidP="0055572F">
      <w:pPr>
        <w:pStyle w:val="Text"/>
      </w:pPr>
      <w:r w:rsidRPr="0055572F">
        <w:t xml:space="preserve">The minimum required qualification (and qualification level) for teaching and assessing in the VET sector has changed over time. Prior to 1998, VET teachers were required to hold higher-level qualifications, such as a university diploma or degree (depending on the time) (Smith 2024, 2025). From 1998 to 2006, the Certificate IV Assessment and Workplace Training and its successor, the Certificate IV Training and Assessment (known as the Cert IV TAA), became the base qualification for teaching in the VET sector (Simons &amp; Smith 2008). Subsequent reviews of the VET qualification for those delivering training packages led to the development of the Certificate IV in Training and Assessment (Cert IV TAE), which was endorsed in 2011 as the entry-level qualification for VET training and assessment. </w:t>
      </w:r>
    </w:p>
    <w:p w14:paraId="554F391A" w14:textId="689ED4F3" w:rsidR="0055572F" w:rsidRPr="0055572F" w:rsidRDefault="0055572F" w:rsidP="0055572F">
      <w:pPr>
        <w:pStyle w:val="Text"/>
      </w:pPr>
      <w:r w:rsidRPr="0055572F">
        <w:t>While the above Certificate IV qualifications were intended as a minimum requirement, they became the industry standard qualification among VET teachers</w:t>
      </w:r>
      <w:r w:rsidR="005C19ED">
        <w:t xml:space="preserve"> </w:t>
      </w:r>
      <w:r w:rsidRPr="0055572F">
        <w:t xml:space="preserve">(Tyler &amp; Dymock 2017, Smith 2024, 2025). </w:t>
      </w:r>
      <w:r w:rsidR="003C285C">
        <w:t>The removal of the requirement for a university-level qualification</w:t>
      </w:r>
      <w:r w:rsidR="00697B02">
        <w:t xml:space="preserve"> </w:t>
      </w:r>
      <w:r w:rsidRPr="0055572F">
        <w:t>has resulted in a trend of VET teachers having become less qualified over time (in terms of their pedagogical qualifications, not necessarily their industry qualifications) (Smith 2024). For more detail, the evolution of the qualification requirements for VET teachers has been described in detail by others (Tyler &amp; Dymock 2017; Smith 2024, 2025).</w:t>
      </w:r>
    </w:p>
    <w:p w14:paraId="5B4E82D2" w14:textId="7252E3C0" w:rsidR="0055572F" w:rsidRPr="0055572F" w:rsidRDefault="0055572F" w:rsidP="0055572F">
      <w:pPr>
        <w:pStyle w:val="Text"/>
      </w:pPr>
      <w:r w:rsidRPr="0055572F">
        <w:t xml:space="preserve">While not required, some VET teachers still choose to undertake a </w:t>
      </w:r>
      <w:r w:rsidR="00697B02">
        <w:t>d</w:t>
      </w:r>
      <w:r w:rsidRPr="0055572F">
        <w:t xml:space="preserve">iploma level qualification and/or a university VET teacher-education qualification, although enrolments in the latter have declined (ACDEVEG 2020, cited in Smith &amp; Tuck 2023). Many of these are undertaken by individuals who are already teaching in the VET sector (Smith 2025). </w:t>
      </w:r>
      <w:r w:rsidR="00FC751D">
        <w:t>The impetus to undertake a higher-level teaching qualification is discussed further below.</w:t>
      </w:r>
    </w:p>
    <w:p w14:paraId="6DFD8D1A" w14:textId="77777777" w:rsidR="0055572F" w:rsidRPr="0055572F" w:rsidRDefault="0055572F" w:rsidP="00C16179">
      <w:pPr>
        <w:pStyle w:val="Heading4"/>
      </w:pPr>
      <w:r w:rsidRPr="0055572F">
        <w:t>The Certificate IV in Training and Assessment</w:t>
      </w:r>
    </w:p>
    <w:p w14:paraId="331AFDFB" w14:textId="77777777" w:rsidR="0055572F" w:rsidRPr="0055572F" w:rsidRDefault="0055572F" w:rsidP="00C16179">
      <w:pPr>
        <w:pStyle w:val="Heading5"/>
      </w:pPr>
      <w:r w:rsidRPr="0055572F">
        <w:t>Adequacy in supporting effective teaching and enabling required supports</w:t>
      </w:r>
    </w:p>
    <w:p w14:paraId="3D4292DA" w14:textId="77777777" w:rsidR="008A3158" w:rsidRPr="008A3158" w:rsidRDefault="008A3158" w:rsidP="008A3158">
      <w:pPr>
        <w:pStyle w:val="Text"/>
      </w:pPr>
      <w:r w:rsidRPr="008A3158">
        <w:t>Stakeholder consultations undertaken to inform the development of the VET Workforce Blueprint highlighted concerns about the capacity of the Certificate IV in Training and Assessment to adequately prepare people for teaching roles (Skills and Workforce Ministerial Council 2024). Feedback suggested that the qualification is heavily focused on compliance requirements, with insufficient coverage of areas such as teaching methodology, learner support, digital capabilities, cultural responsiveness, learner wellbeing, and supporting diverse learner needs.</w:t>
      </w:r>
    </w:p>
    <w:p w14:paraId="3FD2A055" w14:textId="77777777" w:rsidR="004A317D" w:rsidRPr="004A317D" w:rsidRDefault="00E40EA2" w:rsidP="004A317D">
      <w:pPr>
        <w:pStyle w:val="Text"/>
      </w:pPr>
      <w:r w:rsidRPr="00E40EA2">
        <w:t xml:space="preserve">Similar concerns have been raised in the literature over many years, particularly regarding the qualification's ability to prepare teachers for the pedagogical aspects of VET delivery across diverse teaching and assessment contexts. Simons and Smith (2008) argued that the </w:t>
      </w:r>
      <w:r w:rsidRPr="00E40EA2">
        <w:lastRenderedPageBreak/>
        <w:t>qualification lacked important content related to learning theory, learning strategies, and responding to student diversity. Similarly, Clayton et al. (2010) concluded that, while the qualification provided novice teachers with some essential skills, it did not adequately address areas such as teaching strategies, learner engagement, understanding how students learn, and classroom management.</w:t>
      </w:r>
      <w:r w:rsidR="004A317D">
        <w:t xml:space="preserve"> </w:t>
      </w:r>
      <w:r w:rsidR="004A317D" w:rsidRPr="004A317D">
        <w:t>More than a decade later, Francisco (2020) found that teachers holding the Certificate IV remained highly reliant on workplace learning and support from colleagues, including those with higher-level teaching qualifications, to develop their teaching capability. This suggested that the qualification alone did not sufficiently prepare teachers for the full demands of their teaching role.</w:t>
      </w:r>
    </w:p>
    <w:p w14:paraId="6420E698" w14:textId="77777777" w:rsidR="00E642DD" w:rsidRPr="00E642DD" w:rsidRDefault="00E642DD" w:rsidP="00E642DD">
      <w:pPr>
        <w:pStyle w:val="Text"/>
      </w:pPr>
      <w:r w:rsidRPr="00E642DD">
        <w:t>Debate has also centred on the level and delivery of the qualification itself (Smith 2024, 2025). Some commentators have argued that a Certificate IV-level qualification is insufficient preparation for the complexity of VET teaching and should not be expected to produce expert teachers (Robertson 2008). Concerns have also been raised about the quality of delivery of the qualification, with Joyce (2019) suggesting that variation in delivery quality may have contributed to broader quality issues within the sector. The qualification has also previously been identified as high risk from a quality assurance perspective (Productivity Commission 2011).</w:t>
      </w:r>
    </w:p>
    <w:p w14:paraId="60C65653" w14:textId="67A736E2" w:rsidR="0055572F" w:rsidRPr="0055572F" w:rsidRDefault="0055572F" w:rsidP="0055572F">
      <w:pPr>
        <w:pStyle w:val="Text"/>
      </w:pPr>
      <w:r w:rsidRPr="0055572F">
        <w:t xml:space="preserve">While such concerns have been raised often, Smith and Tuck (2023) explain that there has never been the expectation that teachers should do higher-level teaching qualifications before entry, and so the Certificate IV </w:t>
      </w:r>
      <w:r w:rsidR="001B7032">
        <w:t xml:space="preserve">in Training and Assessment </w:t>
      </w:r>
      <w:r w:rsidRPr="0055572F">
        <w:t xml:space="preserve">has undergone several revisions </w:t>
      </w:r>
      <w:proofErr w:type="gramStart"/>
      <w:r w:rsidRPr="0055572F">
        <w:t>in order to</w:t>
      </w:r>
      <w:proofErr w:type="gramEnd"/>
      <w:r w:rsidRPr="0055572F">
        <w:t xml:space="preserve"> address the highlighted issues. </w:t>
      </w:r>
    </w:p>
    <w:p w14:paraId="33EAA18B" w14:textId="77777777" w:rsidR="0055572F" w:rsidRPr="0055572F" w:rsidRDefault="0055572F" w:rsidP="00C16179">
      <w:pPr>
        <w:pStyle w:val="Heading5"/>
      </w:pPr>
      <w:r w:rsidRPr="0055572F">
        <w:t>Most recent update to the Certificate IV in Training and Assessment</w:t>
      </w:r>
    </w:p>
    <w:p w14:paraId="4B4420D8" w14:textId="3B4E54FF" w:rsidR="0055572F" w:rsidRPr="0055572F" w:rsidRDefault="0055572F" w:rsidP="0055572F">
      <w:pPr>
        <w:pStyle w:val="Text"/>
      </w:pPr>
      <w:r w:rsidRPr="0055572F">
        <w:t xml:space="preserve">The Certificate IV </w:t>
      </w:r>
      <w:r w:rsidR="003504B3">
        <w:t xml:space="preserve">in Training and Assessment </w:t>
      </w:r>
      <w:r w:rsidRPr="0055572F">
        <w:t xml:space="preserve">has undergone a series of revisions, including a substantial update in 2022 (to the current version). Two aims of the 2022 update were to alleviate concerns on the amount of pedagogical content and to enable better alignment with the diversity of roles in the sector. </w:t>
      </w:r>
    </w:p>
    <w:p w14:paraId="4B2E4116" w14:textId="77777777" w:rsidR="002A65BB" w:rsidRDefault="0055572F" w:rsidP="0055572F">
      <w:pPr>
        <w:pStyle w:val="Text"/>
      </w:pPr>
      <w:r w:rsidRPr="0055572F">
        <w:t xml:space="preserve">A notable addition to the Certificate IV TAE is a new practicum unit, TAEDEL415: </w:t>
      </w:r>
      <w:r w:rsidRPr="0055572F">
        <w:rPr>
          <w:i/>
          <w:iCs/>
        </w:rPr>
        <w:t>Complete a practicum in the VET environment</w:t>
      </w:r>
      <w:r w:rsidRPr="0055572F">
        <w:t xml:space="preserve">. While </w:t>
      </w:r>
      <w:r w:rsidR="000C6437">
        <w:t>acknowledging that it is an elective unit</w:t>
      </w:r>
      <w:r w:rsidR="003E27C6">
        <w:t xml:space="preserve"> (and therefore not compulsory)</w:t>
      </w:r>
      <w:r w:rsidRPr="0055572F">
        <w:t xml:space="preserve">, this unit requires 30 hours of practicum at an RTO, directly addressing concerns about the lack of pedagogy and practical experience in the qualification. </w:t>
      </w:r>
    </w:p>
    <w:p w14:paraId="0FACE606" w14:textId="6745E316" w:rsidR="0055572F" w:rsidRPr="0055572F" w:rsidRDefault="0055572F" w:rsidP="0055572F">
      <w:pPr>
        <w:pStyle w:val="Text"/>
      </w:pPr>
      <w:r w:rsidRPr="0055572F">
        <w:t xml:space="preserve">To support the </w:t>
      </w:r>
      <w:r w:rsidR="002A65BB">
        <w:t xml:space="preserve">alignment with the diversity </w:t>
      </w:r>
      <w:r w:rsidR="005301DD">
        <w:t xml:space="preserve">of roles in the sector, </w:t>
      </w:r>
      <w:r w:rsidRPr="0055572F">
        <w:t xml:space="preserve">the units of the qualification were aligned with three themes: teaching and assessment, learner support, and general. More options to tailor the qualification to needs were also introduced, with an increased number of elective units and the addition of 15 skillsets.  </w:t>
      </w:r>
    </w:p>
    <w:p w14:paraId="770128B4" w14:textId="70B3959A" w:rsidR="0055572F" w:rsidRPr="0055572F" w:rsidRDefault="0055572F" w:rsidP="0055572F">
      <w:pPr>
        <w:pStyle w:val="Text"/>
      </w:pPr>
      <w:r w:rsidRPr="0055572F">
        <w:t xml:space="preserve">Table </w:t>
      </w:r>
      <w:r w:rsidR="00143859">
        <w:t>3</w:t>
      </w:r>
      <w:r w:rsidRPr="0055572F">
        <w:t xml:space="preserve"> shows the total enrolments for the 2010, 2016 and 2022 versions of the Certificate IV in Training and Assessment from 2019 to 2023. The data illustrates the transition in the use of the different versions of this qualification, including the continued uptake of the 2016 version following the introduction of the 2022 qualification, supported by an extended teach-out period until December 2024. There is not yet any literature evaluating the effectiveness of changes made in 2022. </w:t>
      </w:r>
    </w:p>
    <w:p w14:paraId="028367E6" w14:textId="3DC063AD" w:rsidR="0055572F" w:rsidRPr="009852BA" w:rsidRDefault="0055572F" w:rsidP="00023A13">
      <w:pPr>
        <w:pStyle w:val="Tabletitle0"/>
      </w:pPr>
      <w:bookmarkStart w:id="33" w:name="_Toc241744008"/>
      <w:r w:rsidRPr="009852BA">
        <w:lastRenderedPageBreak/>
        <w:t xml:space="preserve">Table </w:t>
      </w:r>
      <w:r w:rsidR="00D903D7" w:rsidRPr="009852BA">
        <w:t>3</w:t>
      </w:r>
      <w:r w:rsidRPr="009852BA">
        <w:t xml:space="preserve"> Total enrolments for the Certificate IV in Training and Assessment, by version, 2019-2023</w:t>
      </w:r>
      <w:bookmarkEnd w:id="33"/>
      <w:r w:rsidRPr="009852BA">
        <w:t xml:space="preserve"> </w:t>
      </w:r>
    </w:p>
    <w:tbl>
      <w:tblPr>
        <w:tblW w:w="0" w:type="auto"/>
        <w:tblLook w:val="04A0" w:firstRow="1" w:lastRow="0" w:firstColumn="1" w:lastColumn="0" w:noHBand="0" w:noVBand="1"/>
      </w:tblPr>
      <w:tblGrid>
        <w:gridCol w:w="3651"/>
        <w:gridCol w:w="1090"/>
        <w:gridCol w:w="1101"/>
        <w:gridCol w:w="1101"/>
        <w:gridCol w:w="1069"/>
        <w:gridCol w:w="1059"/>
      </w:tblGrid>
      <w:tr w:rsidR="0055572F" w:rsidRPr="0055572F" w14:paraId="568E5346" w14:textId="77777777" w:rsidTr="00D903D7">
        <w:tc>
          <w:tcPr>
            <w:tcW w:w="0" w:type="auto"/>
            <w:tcBorders>
              <w:top w:val="single" w:sz="4" w:space="0" w:color="auto"/>
              <w:bottom w:val="single" w:sz="4" w:space="0" w:color="auto"/>
            </w:tcBorders>
          </w:tcPr>
          <w:p w14:paraId="06358241" w14:textId="77777777" w:rsidR="0055572F" w:rsidRPr="0055572F" w:rsidRDefault="0055572F" w:rsidP="00BA0DA0">
            <w:pPr>
              <w:pStyle w:val="Tablehead1"/>
            </w:pPr>
            <w:r w:rsidRPr="0055572F">
              <w:t>Certificate IV in Training and Assessment</w:t>
            </w:r>
          </w:p>
        </w:tc>
        <w:tc>
          <w:tcPr>
            <w:tcW w:w="0" w:type="auto"/>
            <w:tcBorders>
              <w:top w:val="single" w:sz="4" w:space="0" w:color="auto"/>
              <w:bottom w:val="single" w:sz="4" w:space="0" w:color="auto"/>
            </w:tcBorders>
          </w:tcPr>
          <w:p w14:paraId="4DD2A4B9" w14:textId="77777777" w:rsidR="0055572F" w:rsidRPr="0055572F" w:rsidRDefault="0055572F" w:rsidP="00696426">
            <w:pPr>
              <w:pStyle w:val="Tablehead1"/>
              <w:jc w:val="right"/>
            </w:pPr>
            <w:r w:rsidRPr="0055572F">
              <w:t>2019</w:t>
            </w:r>
          </w:p>
        </w:tc>
        <w:tc>
          <w:tcPr>
            <w:tcW w:w="0" w:type="auto"/>
            <w:tcBorders>
              <w:top w:val="single" w:sz="4" w:space="0" w:color="auto"/>
              <w:bottom w:val="single" w:sz="4" w:space="0" w:color="auto"/>
            </w:tcBorders>
          </w:tcPr>
          <w:p w14:paraId="25062504" w14:textId="77777777" w:rsidR="0055572F" w:rsidRPr="0055572F" w:rsidRDefault="0055572F" w:rsidP="00696426">
            <w:pPr>
              <w:pStyle w:val="Tablehead1"/>
              <w:jc w:val="right"/>
            </w:pPr>
            <w:r w:rsidRPr="0055572F">
              <w:t>2020</w:t>
            </w:r>
          </w:p>
        </w:tc>
        <w:tc>
          <w:tcPr>
            <w:tcW w:w="0" w:type="auto"/>
            <w:tcBorders>
              <w:top w:val="single" w:sz="4" w:space="0" w:color="auto"/>
              <w:bottom w:val="single" w:sz="4" w:space="0" w:color="auto"/>
            </w:tcBorders>
          </w:tcPr>
          <w:p w14:paraId="77C6D082" w14:textId="77777777" w:rsidR="0055572F" w:rsidRPr="0055572F" w:rsidRDefault="0055572F" w:rsidP="00696426">
            <w:pPr>
              <w:pStyle w:val="Tablehead1"/>
              <w:jc w:val="right"/>
            </w:pPr>
            <w:r w:rsidRPr="0055572F">
              <w:t>2021</w:t>
            </w:r>
          </w:p>
        </w:tc>
        <w:tc>
          <w:tcPr>
            <w:tcW w:w="0" w:type="auto"/>
            <w:tcBorders>
              <w:top w:val="single" w:sz="4" w:space="0" w:color="auto"/>
              <w:bottom w:val="single" w:sz="4" w:space="0" w:color="auto"/>
            </w:tcBorders>
          </w:tcPr>
          <w:p w14:paraId="213A0510" w14:textId="77777777" w:rsidR="0055572F" w:rsidRPr="0055572F" w:rsidRDefault="0055572F" w:rsidP="00696426">
            <w:pPr>
              <w:pStyle w:val="Tablehead1"/>
              <w:jc w:val="right"/>
            </w:pPr>
            <w:r w:rsidRPr="0055572F">
              <w:t>2022</w:t>
            </w:r>
          </w:p>
        </w:tc>
        <w:tc>
          <w:tcPr>
            <w:tcW w:w="0" w:type="auto"/>
            <w:tcBorders>
              <w:top w:val="single" w:sz="4" w:space="0" w:color="auto"/>
              <w:bottom w:val="single" w:sz="4" w:space="0" w:color="auto"/>
            </w:tcBorders>
          </w:tcPr>
          <w:p w14:paraId="49E0F7C6" w14:textId="77777777" w:rsidR="0055572F" w:rsidRPr="0055572F" w:rsidRDefault="0055572F" w:rsidP="00696426">
            <w:pPr>
              <w:pStyle w:val="Tablehead1"/>
              <w:jc w:val="right"/>
            </w:pPr>
            <w:r w:rsidRPr="0055572F">
              <w:t>2023</w:t>
            </w:r>
          </w:p>
        </w:tc>
      </w:tr>
      <w:tr w:rsidR="0055572F" w:rsidRPr="0055572F" w14:paraId="11C4F45B" w14:textId="77777777" w:rsidTr="00D903D7">
        <w:tc>
          <w:tcPr>
            <w:tcW w:w="0" w:type="auto"/>
            <w:tcBorders>
              <w:top w:val="single" w:sz="4" w:space="0" w:color="auto"/>
            </w:tcBorders>
          </w:tcPr>
          <w:p w14:paraId="2D1D974C" w14:textId="77777777" w:rsidR="0055572F" w:rsidRPr="0055572F" w:rsidRDefault="0055572F" w:rsidP="00D903D7">
            <w:pPr>
              <w:pStyle w:val="Tabletext"/>
            </w:pPr>
            <w:r w:rsidRPr="0055572F">
              <w:t>TAE40110 - 2010 version</w:t>
            </w:r>
          </w:p>
        </w:tc>
        <w:tc>
          <w:tcPr>
            <w:tcW w:w="0" w:type="auto"/>
            <w:tcBorders>
              <w:top w:val="single" w:sz="4" w:space="0" w:color="auto"/>
            </w:tcBorders>
            <w:vAlign w:val="bottom"/>
          </w:tcPr>
          <w:p w14:paraId="6342038B" w14:textId="77777777" w:rsidR="0055572F" w:rsidRPr="0055572F" w:rsidRDefault="0055572F" w:rsidP="00696426">
            <w:pPr>
              <w:pStyle w:val="Tabletext"/>
              <w:jc w:val="right"/>
            </w:pPr>
            <w:r w:rsidRPr="0055572F">
              <w:t>575</w:t>
            </w:r>
          </w:p>
        </w:tc>
        <w:tc>
          <w:tcPr>
            <w:tcW w:w="0" w:type="auto"/>
            <w:tcBorders>
              <w:top w:val="single" w:sz="4" w:space="0" w:color="auto"/>
            </w:tcBorders>
            <w:vAlign w:val="bottom"/>
          </w:tcPr>
          <w:p w14:paraId="768EC987" w14:textId="77777777" w:rsidR="0055572F" w:rsidRPr="0055572F" w:rsidRDefault="0055572F" w:rsidP="00696426">
            <w:pPr>
              <w:pStyle w:val="Tabletext"/>
              <w:jc w:val="right"/>
            </w:pPr>
            <w:r w:rsidRPr="0055572F">
              <w:t>100</w:t>
            </w:r>
          </w:p>
        </w:tc>
        <w:tc>
          <w:tcPr>
            <w:tcW w:w="0" w:type="auto"/>
            <w:tcBorders>
              <w:top w:val="single" w:sz="4" w:space="0" w:color="auto"/>
            </w:tcBorders>
            <w:vAlign w:val="bottom"/>
          </w:tcPr>
          <w:p w14:paraId="5ED63EAC" w14:textId="77777777" w:rsidR="0055572F" w:rsidRPr="0055572F" w:rsidRDefault="0055572F" w:rsidP="00696426">
            <w:pPr>
              <w:pStyle w:val="Tabletext"/>
              <w:jc w:val="right"/>
            </w:pPr>
            <w:r w:rsidRPr="0055572F">
              <w:t>-</w:t>
            </w:r>
          </w:p>
        </w:tc>
        <w:tc>
          <w:tcPr>
            <w:tcW w:w="0" w:type="auto"/>
            <w:tcBorders>
              <w:top w:val="single" w:sz="4" w:space="0" w:color="auto"/>
            </w:tcBorders>
            <w:vAlign w:val="bottom"/>
          </w:tcPr>
          <w:p w14:paraId="5C2F256C" w14:textId="77777777" w:rsidR="0055572F" w:rsidRPr="0055572F" w:rsidRDefault="0055572F" w:rsidP="00696426">
            <w:pPr>
              <w:pStyle w:val="Tabletext"/>
              <w:jc w:val="right"/>
            </w:pPr>
            <w:r w:rsidRPr="0055572F">
              <w:t>-</w:t>
            </w:r>
          </w:p>
        </w:tc>
        <w:tc>
          <w:tcPr>
            <w:tcW w:w="0" w:type="auto"/>
            <w:tcBorders>
              <w:top w:val="single" w:sz="4" w:space="0" w:color="auto"/>
            </w:tcBorders>
            <w:vAlign w:val="bottom"/>
          </w:tcPr>
          <w:p w14:paraId="17BB9161" w14:textId="77777777" w:rsidR="0055572F" w:rsidRPr="0055572F" w:rsidRDefault="0055572F" w:rsidP="00696426">
            <w:pPr>
              <w:pStyle w:val="Tabletext"/>
              <w:jc w:val="right"/>
            </w:pPr>
            <w:r w:rsidRPr="0055572F">
              <w:t>-</w:t>
            </w:r>
          </w:p>
        </w:tc>
      </w:tr>
      <w:tr w:rsidR="0055572F" w:rsidRPr="0055572F" w14:paraId="6068BD7F" w14:textId="77777777" w:rsidTr="00D903D7">
        <w:tc>
          <w:tcPr>
            <w:tcW w:w="0" w:type="auto"/>
          </w:tcPr>
          <w:p w14:paraId="4BDF10CA" w14:textId="77777777" w:rsidR="0055572F" w:rsidRPr="0055572F" w:rsidRDefault="0055572F" w:rsidP="00D903D7">
            <w:pPr>
              <w:pStyle w:val="Tabletext"/>
            </w:pPr>
            <w:r w:rsidRPr="0055572F">
              <w:t>TAE40116 - 2016 version</w:t>
            </w:r>
          </w:p>
        </w:tc>
        <w:tc>
          <w:tcPr>
            <w:tcW w:w="0" w:type="auto"/>
            <w:vAlign w:val="bottom"/>
          </w:tcPr>
          <w:p w14:paraId="4793E508" w14:textId="77777777" w:rsidR="0055572F" w:rsidRPr="0055572F" w:rsidRDefault="0055572F" w:rsidP="00696426">
            <w:pPr>
              <w:pStyle w:val="Tabletext"/>
              <w:jc w:val="right"/>
            </w:pPr>
            <w:r w:rsidRPr="0055572F">
              <w:t>63 860</w:t>
            </w:r>
          </w:p>
        </w:tc>
        <w:tc>
          <w:tcPr>
            <w:tcW w:w="0" w:type="auto"/>
            <w:vAlign w:val="bottom"/>
          </w:tcPr>
          <w:p w14:paraId="0FC640F8" w14:textId="77777777" w:rsidR="0055572F" w:rsidRPr="0055572F" w:rsidRDefault="0055572F" w:rsidP="00696426">
            <w:pPr>
              <w:pStyle w:val="Tabletext"/>
              <w:jc w:val="right"/>
            </w:pPr>
            <w:r w:rsidRPr="0055572F">
              <w:t>39 000</w:t>
            </w:r>
          </w:p>
        </w:tc>
        <w:tc>
          <w:tcPr>
            <w:tcW w:w="0" w:type="auto"/>
            <w:vAlign w:val="bottom"/>
          </w:tcPr>
          <w:p w14:paraId="43B7347F" w14:textId="77777777" w:rsidR="0055572F" w:rsidRPr="0055572F" w:rsidRDefault="0055572F" w:rsidP="00696426">
            <w:pPr>
              <w:pStyle w:val="Tabletext"/>
              <w:jc w:val="right"/>
            </w:pPr>
            <w:r w:rsidRPr="0055572F">
              <w:t>39 000</w:t>
            </w:r>
          </w:p>
        </w:tc>
        <w:tc>
          <w:tcPr>
            <w:tcW w:w="0" w:type="auto"/>
            <w:vAlign w:val="bottom"/>
          </w:tcPr>
          <w:p w14:paraId="6665D423" w14:textId="77777777" w:rsidR="0055572F" w:rsidRPr="0055572F" w:rsidRDefault="0055572F" w:rsidP="00696426">
            <w:pPr>
              <w:pStyle w:val="Tabletext"/>
              <w:jc w:val="right"/>
            </w:pPr>
            <w:r w:rsidRPr="0055572F">
              <w:t>39 675</w:t>
            </w:r>
          </w:p>
        </w:tc>
        <w:tc>
          <w:tcPr>
            <w:tcW w:w="0" w:type="auto"/>
            <w:vAlign w:val="bottom"/>
          </w:tcPr>
          <w:p w14:paraId="6B88210C" w14:textId="77777777" w:rsidR="0055572F" w:rsidRPr="0055572F" w:rsidRDefault="0055572F" w:rsidP="00696426">
            <w:pPr>
              <w:pStyle w:val="Tabletext"/>
              <w:jc w:val="right"/>
            </w:pPr>
            <w:r w:rsidRPr="0055572F">
              <w:t>39 255</w:t>
            </w:r>
          </w:p>
        </w:tc>
      </w:tr>
      <w:tr w:rsidR="0055572F" w:rsidRPr="0055572F" w14:paraId="3209E5E9" w14:textId="77777777" w:rsidTr="00D903D7">
        <w:tc>
          <w:tcPr>
            <w:tcW w:w="0" w:type="auto"/>
            <w:tcBorders>
              <w:bottom w:val="single" w:sz="4" w:space="0" w:color="auto"/>
            </w:tcBorders>
          </w:tcPr>
          <w:p w14:paraId="2D3A9FF5" w14:textId="77777777" w:rsidR="0055572F" w:rsidRPr="0055572F" w:rsidRDefault="0055572F" w:rsidP="00D903D7">
            <w:pPr>
              <w:pStyle w:val="Tabletext"/>
            </w:pPr>
            <w:r w:rsidRPr="0055572F">
              <w:t>TAE40122 - 2022 version</w:t>
            </w:r>
          </w:p>
        </w:tc>
        <w:tc>
          <w:tcPr>
            <w:tcW w:w="0" w:type="auto"/>
            <w:tcBorders>
              <w:bottom w:val="single" w:sz="4" w:space="0" w:color="auto"/>
            </w:tcBorders>
            <w:vAlign w:val="bottom"/>
          </w:tcPr>
          <w:p w14:paraId="3D174648" w14:textId="77777777" w:rsidR="0055572F" w:rsidRPr="0055572F" w:rsidRDefault="0055572F" w:rsidP="00696426">
            <w:pPr>
              <w:pStyle w:val="Tabletext"/>
              <w:jc w:val="right"/>
            </w:pPr>
            <w:r w:rsidRPr="0055572F">
              <w:t>-</w:t>
            </w:r>
          </w:p>
        </w:tc>
        <w:tc>
          <w:tcPr>
            <w:tcW w:w="0" w:type="auto"/>
            <w:tcBorders>
              <w:bottom w:val="single" w:sz="4" w:space="0" w:color="auto"/>
            </w:tcBorders>
            <w:vAlign w:val="bottom"/>
          </w:tcPr>
          <w:p w14:paraId="40F00E8D" w14:textId="77777777" w:rsidR="0055572F" w:rsidRPr="0055572F" w:rsidRDefault="0055572F" w:rsidP="00696426">
            <w:pPr>
              <w:pStyle w:val="Tabletext"/>
              <w:jc w:val="right"/>
            </w:pPr>
            <w:r w:rsidRPr="0055572F">
              <w:t>-</w:t>
            </w:r>
          </w:p>
        </w:tc>
        <w:tc>
          <w:tcPr>
            <w:tcW w:w="0" w:type="auto"/>
            <w:tcBorders>
              <w:bottom w:val="single" w:sz="4" w:space="0" w:color="auto"/>
            </w:tcBorders>
            <w:vAlign w:val="bottom"/>
          </w:tcPr>
          <w:p w14:paraId="546AFB42" w14:textId="77777777" w:rsidR="0055572F" w:rsidRPr="0055572F" w:rsidRDefault="0055572F" w:rsidP="00696426">
            <w:pPr>
              <w:pStyle w:val="Tabletext"/>
              <w:jc w:val="right"/>
            </w:pPr>
            <w:r w:rsidRPr="0055572F">
              <w:t>-</w:t>
            </w:r>
          </w:p>
        </w:tc>
        <w:tc>
          <w:tcPr>
            <w:tcW w:w="0" w:type="auto"/>
            <w:tcBorders>
              <w:bottom w:val="single" w:sz="4" w:space="0" w:color="auto"/>
            </w:tcBorders>
            <w:vAlign w:val="bottom"/>
          </w:tcPr>
          <w:p w14:paraId="2735EA1F" w14:textId="77777777" w:rsidR="0055572F" w:rsidRPr="0055572F" w:rsidRDefault="0055572F" w:rsidP="00696426">
            <w:pPr>
              <w:pStyle w:val="Tabletext"/>
              <w:jc w:val="right"/>
            </w:pPr>
            <w:r w:rsidRPr="0055572F">
              <w:t>-</w:t>
            </w:r>
          </w:p>
        </w:tc>
        <w:tc>
          <w:tcPr>
            <w:tcW w:w="0" w:type="auto"/>
            <w:tcBorders>
              <w:bottom w:val="single" w:sz="4" w:space="0" w:color="auto"/>
            </w:tcBorders>
            <w:vAlign w:val="bottom"/>
          </w:tcPr>
          <w:p w14:paraId="5A636441" w14:textId="77777777" w:rsidR="0055572F" w:rsidRPr="0055572F" w:rsidRDefault="0055572F" w:rsidP="00696426">
            <w:pPr>
              <w:pStyle w:val="Tabletext"/>
              <w:jc w:val="right"/>
            </w:pPr>
            <w:r w:rsidRPr="0055572F">
              <w:t>9 195</w:t>
            </w:r>
          </w:p>
        </w:tc>
      </w:tr>
    </w:tbl>
    <w:p w14:paraId="40C5DC62" w14:textId="77777777" w:rsidR="0055572F" w:rsidRPr="0055572F" w:rsidRDefault="0055572F" w:rsidP="00C16179">
      <w:pPr>
        <w:pStyle w:val="Source"/>
      </w:pPr>
      <w:r w:rsidRPr="0055572F">
        <w:t xml:space="preserve">Source: NCVER 2024, Total VET students and courses 2023: program enrolments </w:t>
      </w:r>
      <w:proofErr w:type="spellStart"/>
      <w:r w:rsidRPr="0055572F">
        <w:t>DataBuilder</w:t>
      </w:r>
      <w:proofErr w:type="spellEnd"/>
      <w:r w:rsidRPr="0055572F">
        <w:t xml:space="preserve">, </w:t>
      </w:r>
      <w:r w:rsidRPr="0055572F">
        <w:br/>
        <w:t>Total, Training package, Program name by Year</w:t>
      </w:r>
    </w:p>
    <w:p w14:paraId="01A4730C" w14:textId="77777777" w:rsidR="0055572F" w:rsidRPr="0055572F" w:rsidRDefault="0055572F" w:rsidP="00C16179">
      <w:pPr>
        <w:pStyle w:val="Heading4"/>
      </w:pPr>
      <w:r w:rsidRPr="0055572F">
        <w:t xml:space="preserve">The Diploma of Vocational Education and Training </w:t>
      </w:r>
    </w:p>
    <w:p w14:paraId="1CDE45DD" w14:textId="65ABEFD2" w:rsidR="0055572F" w:rsidRPr="0055572F" w:rsidRDefault="0055572F" w:rsidP="0055572F">
      <w:pPr>
        <w:pStyle w:val="Text"/>
      </w:pPr>
      <w:r w:rsidRPr="0055572F">
        <w:t>The 2019 NCVER survey of the VET workforce showed that the Diploma of Vocational Education and Training (VET) was held by far fewer VET teachers than the Certificate IV (4.6% compared to 77.1%) (Knight, White &amp; Granfield 2020). An additional 3.4% held other diploma qualifications. While the data from this survey requires cautious interpretation (</w:t>
      </w:r>
      <w:r w:rsidR="00333C08" w:rsidRPr="0055572F">
        <w:t>Knight, White &amp; Granfield 2020</w:t>
      </w:r>
      <w:r w:rsidR="00333C08">
        <w:t xml:space="preserve">; </w:t>
      </w:r>
      <w:r w:rsidRPr="0055572F">
        <w:t>Jobs and Skills Australia 2024a), the estimated smaller share of VET teachers holding the Diploma of VET is reflected in lower enrolments in comparison to Certificate IV enrolments.</w:t>
      </w:r>
    </w:p>
    <w:p w14:paraId="162AF319" w14:textId="3CAFBF3A" w:rsidR="0055572F" w:rsidRDefault="0055572F" w:rsidP="0055572F">
      <w:pPr>
        <w:pStyle w:val="Text"/>
      </w:pPr>
      <w:r w:rsidRPr="0055572F">
        <w:t xml:space="preserve">Table </w:t>
      </w:r>
      <w:r w:rsidR="00143859">
        <w:t>4</w:t>
      </w:r>
      <w:r w:rsidRPr="0055572F">
        <w:t xml:space="preserve"> shows the total enrolments for the 2011, 2016 and 2022 versions of the Diploma of VET from 2019 to 2023. Similarly to the Certificate IV, the transition through the different versions can be observed via the enrolment figures, with a relatively small number of enrolments in the 2022 version in 2023.</w:t>
      </w:r>
    </w:p>
    <w:p w14:paraId="4901E4E0" w14:textId="77777777" w:rsidR="00023A13" w:rsidRPr="0055572F" w:rsidRDefault="00023A13" w:rsidP="0055572F">
      <w:pPr>
        <w:pStyle w:val="Text"/>
      </w:pPr>
    </w:p>
    <w:p w14:paraId="08BCD3D3" w14:textId="53D11359" w:rsidR="0055572F" w:rsidRPr="00023A13" w:rsidRDefault="0055572F" w:rsidP="00023A13">
      <w:pPr>
        <w:pStyle w:val="Tablehead1"/>
      </w:pPr>
      <w:r w:rsidRPr="00023A13">
        <w:t xml:space="preserve">Table </w:t>
      </w:r>
      <w:r w:rsidR="00143859" w:rsidRPr="00023A13">
        <w:t>4</w:t>
      </w:r>
      <w:r w:rsidRPr="00023A13">
        <w:t xml:space="preserve"> Total enrolments for the Diploma of Vocational Education and Training, by version, 2019-2023 </w:t>
      </w:r>
    </w:p>
    <w:tbl>
      <w:tblPr>
        <w:tblW w:w="0" w:type="auto"/>
        <w:tblLook w:val="04A0" w:firstRow="1" w:lastRow="0" w:firstColumn="1" w:lastColumn="0" w:noHBand="0" w:noVBand="1"/>
      </w:tblPr>
      <w:tblGrid>
        <w:gridCol w:w="2300"/>
        <w:gridCol w:w="775"/>
        <w:gridCol w:w="1072"/>
        <w:gridCol w:w="775"/>
        <w:gridCol w:w="775"/>
        <w:gridCol w:w="775"/>
      </w:tblGrid>
      <w:tr w:rsidR="0055572F" w:rsidRPr="0055572F" w14:paraId="7ED45CFF" w14:textId="77777777" w:rsidTr="00493FD0">
        <w:tc>
          <w:tcPr>
            <w:tcW w:w="0" w:type="auto"/>
            <w:tcBorders>
              <w:top w:val="single" w:sz="4" w:space="0" w:color="auto"/>
              <w:bottom w:val="single" w:sz="4" w:space="0" w:color="auto"/>
            </w:tcBorders>
          </w:tcPr>
          <w:p w14:paraId="4F16F74B" w14:textId="77777777" w:rsidR="0055572F" w:rsidRPr="0055572F" w:rsidRDefault="0055572F" w:rsidP="00C16179">
            <w:pPr>
              <w:pStyle w:val="Tablehead1"/>
            </w:pPr>
            <w:r w:rsidRPr="0055572F">
              <w:t xml:space="preserve">Diploma of Vocational </w:t>
            </w:r>
            <w:r w:rsidRPr="0055572F">
              <w:br/>
              <w:t>Education and Training</w:t>
            </w:r>
          </w:p>
        </w:tc>
        <w:tc>
          <w:tcPr>
            <w:tcW w:w="0" w:type="auto"/>
            <w:tcBorders>
              <w:top w:val="single" w:sz="4" w:space="0" w:color="auto"/>
              <w:bottom w:val="single" w:sz="4" w:space="0" w:color="auto"/>
            </w:tcBorders>
          </w:tcPr>
          <w:p w14:paraId="3F19CBD4" w14:textId="77777777" w:rsidR="0055572F" w:rsidRPr="0055572F" w:rsidRDefault="0055572F" w:rsidP="00C16179">
            <w:pPr>
              <w:pStyle w:val="Tablehead1"/>
            </w:pPr>
            <w:r w:rsidRPr="0055572F">
              <w:t>2019</w:t>
            </w:r>
          </w:p>
        </w:tc>
        <w:tc>
          <w:tcPr>
            <w:tcW w:w="0" w:type="auto"/>
            <w:tcBorders>
              <w:top w:val="single" w:sz="4" w:space="0" w:color="auto"/>
              <w:bottom w:val="single" w:sz="4" w:space="0" w:color="auto"/>
            </w:tcBorders>
          </w:tcPr>
          <w:p w14:paraId="5BAD626D" w14:textId="77777777" w:rsidR="0055572F" w:rsidRPr="0055572F" w:rsidRDefault="0055572F" w:rsidP="00C16179">
            <w:pPr>
              <w:pStyle w:val="Tablehead1"/>
            </w:pPr>
            <w:r w:rsidRPr="0055572F">
              <w:t>2020</w:t>
            </w:r>
          </w:p>
        </w:tc>
        <w:tc>
          <w:tcPr>
            <w:tcW w:w="0" w:type="auto"/>
            <w:tcBorders>
              <w:top w:val="single" w:sz="4" w:space="0" w:color="auto"/>
              <w:bottom w:val="single" w:sz="4" w:space="0" w:color="auto"/>
            </w:tcBorders>
          </w:tcPr>
          <w:p w14:paraId="25A5C458" w14:textId="77777777" w:rsidR="0055572F" w:rsidRPr="0055572F" w:rsidRDefault="0055572F" w:rsidP="00C16179">
            <w:pPr>
              <w:pStyle w:val="Tablehead1"/>
            </w:pPr>
            <w:r w:rsidRPr="0055572F">
              <w:t>2021</w:t>
            </w:r>
          </w:p>
        </w:tc>
        <w:tc>
          <w:tcPr>
            <w:tcW w:w="0" w:type="auto"/>
            <w:tcBorders>
              <w:top w:val="single" w:sz="4" w:space="0" w:color="auto"/>
              <w:bottom w:val="single" w:sz="4" w:space="0" w:color="auto"/>
            </w:tcBorders>
          </w:tcPr>
          <w:p w14:paraId="636A2827" w14:textId="77777777" w:rsidR="0055572F" w:rsidRPr="0055572F" w:rsidRDefault="0055572F" w:rsidP="00C16179">
            <w:pPr>
              <w:pStyle w:val="Tablehead1"/>
            </w:pPr>
            <w:r w:rsidRPr="0055572F">
              <w:t>2022</w:t>
            </w:r>
          </w:p>
        </w:tc>
        <w:tc>
          <w:tcPr>
            <w:tcW w:w="0" w:type="auto"/>
            <w:tcBorders>
              <w:top w:val="single" w:sz="4" w:space="0" w:color="auto"/>
              <w:bottom w:val="single" w:sz="4" w:space="0" w:color="auto"/>
            </w:tcBorders>
          </w:tcPr>
          <w:p w14:paraId="7A93453E" w14:textId="77777777" w:rsidR="0055572F" w:rsidRPr="0055572F" w:rsidRDefault="0055572F" w:rsidP="00C16179">
            <w:pPr>
              <w:pStyle w:val="Tablehead1"/>
            </w:pPr>
            <w:r w:rsidRPr="0055572F">
              <w:t>2023</w:t>
            </w:r>
          </w:p>
        </w:tc>
      </w:tr>
      <w:tr w:rsidR="0055572F" w:rsidRPr="0055572F" w14:paraId="351AD844" w14:textId="77777777" w:rsidTr="00493FD0">
        <w:tc>
          <w:tcPr>
            <w:tcW w:w="0" w:type="auto"/>
            <w:tcBorders>
              <w:top w:val="single" w:sz="4" w:space="0" w:color="auto"/>
            </w:tcBorders>
          </w:tcPr>
          <w:p w14:paraId="34009E0B" w14:textId="77777777" w:rsidR="0055572F" w:rsidRPr="0055572F" w:rsidRDefault="0055572F" w:rsidP="00C16179">
            <w:pPr>
              <w:pStyle w:val="Tabletext"/>
            </w:pPr>
            <w:r w:rsidRPr="0055572F">
              <w:t>TAE50111 - 2011 version</w:t>
            </w:r>
          </w:p>
        </w:tc>
        <w:tc>
          <w:tcPr>
            <w:tcW w:w="0" w:type="auto"/>
            <w:tcBorders>
              <w:top w:val="single" w:sz="4" w:space="0" w:color="auto"/>
            </w:tcBorders>
            <w:vAlign w:val="bottom"/>
          </w:tcPr>
          <w:p w14:paraId="16BBEC22" w14:textId="77777777" w:rsidR="0055572F" w:rsidRPr="0055572F" w:rsidRDefault="0055572F" w:rsidP="00C16179">
            <w:pPr>
              <w:pStyle w:val="Tabletext"/>
            </w:pPr>
            <w:r w:rsidRPr="0055572F">
              <w:t>25</w:t>
            </w:r>
          </w:p>
        </w:tc>
        <w:tc>
          <w:tcPr>
            <w:tcW w:w="0" w:type="auto"/>
            <w:tcBorders>
              <w:top w:val="single" w:sz="4" w:space="0" w:color="auto"/>
            </w:tcBorders>
            <w:vAlign w:val="bottom"/>
          </w:tcPr>
          <w:p w14:paraId="425E898D" w14:textId="77777777" w:rsidR="0055572F" w:rsidRPr="0055572F" w:rsidRDefault="0055572F" w:rsidP="00C16179">
            <w:pPr>
              <w:pStyle w:val="Tabletext"/>
            </w:pPr>
            <w:r w:rsidRPr="0055572F">
              <w:t>25</w:t>
            </w:r>
          </w:p>
        </w:tc>
        <w:tc>
          <w:tcPr>
            <w:tcW w:w="0" w:type="auto"/>
            <w:tcBorders>
              <w:top w:val="single" w:sz="4" w:space="0" w:color="auto"/>
            </w:tcBorders>
            <w:vAlign w:val="bottom"/>
          </w:tcPr>
          <w:p w14:paraId="3FCFBEB7" w14:textId="77777777" w:rsidR="0055572F" w:rsidRPr="0055572F" w:rsidRDefault="0055572F" w:rsidP="00C16179">
            <w:pPr>
              <w:pStyle w:val="Tabletext"/>
            </w:pPr>
            <w:r w:rsidRPr="0055572F">
              <w:t>-</w:t>
            </w:r>
          </w:p>
        </w:tc>
        <w:tc>
          <w:tcPr>
            <w:tcW w:w="0" w:type="auto"/>
            <w:tcBorders>
              <w:top w:val="single" w:sz="4" w:space="0" w:color="auto"/>
            </w:tcBorders>
            <w:vAlign w:val="bottom"/>
          </w:tcPr>
          <w:p w14:paraId="1FD439D1" w14:textId="77777777" w:rsidR="0055572F" w:rsidRPr="0055572F" w:rsidRDefault="0055572F" w:rsidP="00C16179">
            <w:pPr>
              <w:pStyle w:val="Tabletext"/>
            </w:pPr>
            <w:r w:rsidRPr="0055572F">
              <w:t>-</w:t>
            </w:r>
          </w:p>
        </w:tc>
        <w:tc>
          <w:tcPr>
            <w:tcW w:w="0" w:type="auto"/>
            <w:tcBorders>
              <w:top w:val="single" w:sz="4" w:space="0" w:color="auto"/>
            </w:tcBorders>
            <w:vAlign w:val="bottom"/>
          </w:tcPr>
          <w:p w14:paraId="2BBAB768" w14:textId="77777777" w:rsidR="0055572F" w:rsidRPr="0055572F" w:rsidRDefault="0055572F" w:rsidP="00C16179">
            <w:pPr>
              <w:pStyle w:val="Tabletext"/>
            </w:pPr>
            <w:r w:rsidRPr="0055572F">
              <w:t>-</w:t>
            </w:r>
          </w:p>
        </w:tc>
      </w:tr>
      <w:tr w:rsidR="0055572F" w:rsidRPr="0055572F" w14:paraId="740C164A" w14:textId="77777777" w:rsidTr="00493FD0">
        <w:tc>
          <w:tcPr>
            <w:tcW w:w="0" w:type="auto"/>
          </w:tcPr>
          <w:p w14:paraId="61E7671E" w14:textId="77777777" w:rsidR="0055572F" w:rsidRPr="0055572F" w:rsidRDefault="0055572F" w:rsidP="00C16179">
            <w:pPr>
              <w:pStyle w:val="Tabletext"/>
            </w:pPr>
            <w:r w:rsidRPr="0055572F">
              <w:t>TAE50116 - 2016 version</w:t>
            </w:r>
          </w:p>
        </w:tc>
        <w:tc>
          <w:tcPr>
            <w:tcW w:w="0" w:type="auto"/>
            <w:tcBorders>
              <w:top w:val="nil"/>
              <w:left w:val="nil"/>
              <w:right w:val="nil"/>
            </w:tcBorders>
            <w:vAlign w:val="bottom"/>
          </w:tcPr>
          <w:p w14:paraId="056BCF81" w14:textId="77777777" w:rsidR="0055572F" w:rsidRPr="0055572F" w:rsidRDefault="0055572F" w:rsidP="00C16179">
            <w:pPr>
              <w:pStyle w:val="Tabletext"/>
            </w:pPr>
            <w:r w:rsidRPr="0055572F">
              <w:t>910</w:t>
            </w:r>
          </w:p>
        </w:tc>
        <w:tc>
          <w:tcPr>
            <w:tcW w:w="0" w:type="auto"/>
            <w:tcBorders>
              <w:top w:val="nil"/>
              <w:left w:val="nil"/>
              <w:right w:val="nil"/>
            </w:tcBorders>
            <w:vAlign w:val="bottom"/>
          </w:tcPr>
          <w:p w14:paraId="14044708" w14:textId="77777777" w:rsidR="0055572F" w:rsidRPr="0055572F" w:rsidRDefault="0055572F" w:rsidP="00C16179">
            <w:pPr>
              <w:pStyle w:val="Tabletext"/>
            </w:pPr>
            <w:r w:rsidRPr="0055572F">
              <w:t>1 015</w:t>
            </w:r>
          </w:p>
        </w:tc>
        <w:tc>
          <w:tcPr>
            <w:tcW w:w="0" w:type="auto"/>
            <w:tcBorders>
              <w:top w:val="nil"/>
              <w:left w:val="nil"/>
              <w:right w:val="nil"/>
            </w:tcBorders>
            <w:vAlign w:val="bottom"/>
          </w:tcPr>
          <w:p w14:paraId="0325B61B" w14:textId="77777777" w:rsidR="0055572F" w:rsidRPr="0055572F" w:rsidRDefault="0055572F" w:rsidP="00C16179">
            <w:pPr>
              <w:pStyle w:val="Tabletext"/>
            </w:pPr>
            <w:r w:rsidRPr="0055572F">
              <w:t>840</w:t>
            </w:r>
          </w:p>
        </w:tc>
        <w:tc>
          <w:tcPr>
            <w:tcW w:w="0" w:type="auto"/>
            <w:tcBorders>
              <w:top w:val="nil"/>
              <w:left w:val="nil"/>
              <w:right w:val="nil"/>
            </w:tcBorders>
            <w:vAlign w:val="bottom"/>
          </w:tcPr>
          <w:p w14:paraId="58C7E620" w14:textId="77777777" w:rsidR="0055572F" w:rsidRPr="0055572F" w:rsidRDefault="0055572F" w:rsidP="00C16179">
            <w:pPr>
              <w:pStyle w:val="Tabletext"/>
            </w:pPr>
            <w:r w:rsidRPr="0055572F">
              <w:t>815</w:t>
            </w:r>
          </w:p>
        </w:tc>
        <w:tc>
          <w:tcPr>
            <w:tcW w:w="0" w:type="auto"/>
            <w:tcBorders>
              <w:top w:val="nil"/>
              <w:left w:val="nil"/>
              <w:right w:val="nil"/>
            </w:tcBorders>
            <w:vAlign w:val="bottom"/>
          </w:tcPr>
          <w:p w14:paraId="07D43BF0" w14:textId="77777777" w:rsidR="0055572F" w:rsidRPr="0055572F" w:rsidRDefault="0055572F" w:rsidP="00C16179">
            <w:pPr>
              <w:pStyle w:val="Tabletext"/>
            </w:pPr>
            <w:r w:rsidRPr="0055572F">
              <w:t>960</w:t>
            </w:r>
          </w:p>
        </w:tc>
      </w:tr>
      <w:tr w:rsidR="0055572F" w:rsidRPr="0055572F" w14:paraId="40845B76" w14:textId="77777777" w:rsidTr="00493FD0">
        <w:tc>
          <w:tcPr>
            <w:tcW w:w="0" w:type="auto"/>
            <w:tcBorders>
              <w:bottom w:val="single" w:sz="4" w:space="0" w:color="auto"/>
            </w:tcBorders>
          </w:tcPr>
          <w:p w14:paraId="0EC00641" w14:textId="77777777" w:rsidR="0055572F" w:rsidRPr="0055572F" w:rsidRDefault="0055572F" w:rsidP="00C16179">
            <w:pPr>
              <w:pStyle w:val="Tabletext"/>
            </w:pPr>
            <w:r w:rsidRPr="0055572F">
              <w:t>TAE50122 - 2022 version</w:t>
            </w:r>
          </w:p>
        </w:tc>
        <w:tc>
          <w:tcPr>
            <w:tcW w:w="0" w:type="auto"/>
            <w:tcBorders>
              <w:bottom w:val="single" w:sz="4" w:space="0" w:color="auto"/>
            </w:tcBorders>
            <w:vAlign w:val="bottom"/>
          </w:tcPr>
          <w:p w14:paraId="77BC9858" w14:textId="77777777" w:rsidR="0055572F" w:rsidRPr="0055572F" w:rsidRDefault="0055572F" w:rsidP="00C16179">
            <w:pPr>
              <w:pStyle w:val="Tabletext"/>
            </w:pPr>
            <w:r w:rsidRPr="0055572F">
              <w:t>-</w:t>
            </w:r>
          </w:p>
        </w:tc>
        <w:tc>
          <w:tcPr>
            <w:tcW w:w="0" w:type="auto"/>
            <w:tcBorders>
              <w:bottom w:val="single" w:sz="4" w:space="0" w:color="auto"/>
            </w:tcBorders>
            <w:vAlign w:val="bottom"/>
          </w:tcPr>
          <w:p w14:paraId="192D52AB" w14:textId="77777777" w:rsidR="0055572F" w:rsidRPr="0055572F" w:rsidRDefault="0055572F" w:rsidP="00C16179">
            <w:pPr>
              <w:pStyle w:val="Tabletext"/>
            </w:pPr>
            <w:r w:rsidRPr="0055572F">
              <w:t>-</w:t>
            </w:r>
          </w:p>
        </w:tc>
        <w:tc>
          <w:tcPr>
            <w:tcW w:w="0" w:type="auto"/>
            <w:tcBorders>
              <w:bottom w:val="single" w:sz="4" w:space="0" w:color="auto"/>
            </w:tcBorders>
            <w:vAlign w:val="bottom"/>
          </w:tcPr>
          <w:p w14:paraId="7AC936C5" w14:textId="77777777" w:rsidR="0055572F" w:rsidRPr="0055572F" w:rsidRDefault="0055572F" w:rsidP="00C16179">
            <w:pPr>
              <w:pStyle w:val="Tabletext"/>
            </w:pPr>
            <w:r w:rsidRPr="0055572F">
              <w:t>-</w:t>
            </w:r>
          </w:p>
        </w:tc>
        <w:tc>
          <w:tcPr>
            <w:tcW w:w="0" w:type="auto"/>
            <w:tcBorders>
              <w:bottom w:val="single" w:sz="4" w:space="0" w:color="auto"/>
            </w:tcBorders>
            <w:vAlign w:val="bottom"/>
          </w:tcPr>
          <w:p w14:paraId="14471CCE" w14:textId="77777777" w:rsidR="0055572F" w:rsidRPr="0055572F" w:rsidRDefault="0055572F" w:rsidP="00C16179">
            <w:pPr>
              <w:pStyle w:val="Tabletext"/>
            </w:pPr>
            <w:r w:rsidRPr="0055572F">
              <w:t>-</w:t>
            </w:r>
          </w:p>
        </w:tc>
        <w:tc>
          <w:tcPr>
            <w:tcW w:w="0" w:type="auto"/>
            <w:tcBorders>
              <w:bottom w:val="single" w:sz="4" w:space="0" w:color="auto"/>
            </w:tcBorders>
            <w:vAlign w:val="bottom"/>
          </w:tcPr>
          <w:p w14:paraId="0728BA6B" w14:textId="77777777" w:rsidR="0055572F" w:rsidRPr="0055572F" w:rsidRDefault="0055572F" w:rsidP="00C16179">
            <w:pPr>
              <w:pStyle w:val="Tabletext"/>
            </w:pPr>
            <w:r w:rsidRPr="0055572F">
              <w:t>50</w:t>
            </w:r>
          </w:p>
        </w:tc>
      </w:tr>
    </w:tbl>
    <w:p w14:paraId="30B58760" w14:textId="77777777" w:rsidR="0055572F" w:rsidRPr="0055572F" w:rsidRDefault="0055572F" w:rsidP="00C16179">
      <w:pPr>
        <w:pStyle w:val="Source"/>
      </w:pPr>
      <w:r w:rsidRPr="0055572F">
        <w:t xml:space="preserve">Source: NCVER 2024, Total VET students and courses 2023: program enrolments </w:t>
      </w:r>
      <w:proofErr w:type="spellStart"/>
      <w:r w:rsidRPr="0055572F">
        <w:t>DataBuilder</w:t>
      </w:r>
      <w:proofErr w:type="spellEnd"/>
      <w:r w:rsidRPr="0055572F">
        <w:t xml:space="preserve">, </w:t>
      </w:r>
      <w:r w:rsidRPr="0055572F">
        <w:br/>
        <w:t>Total, Training package, Program name by Year</w:t>
      </w:r>
    </w:p>
    <w:p w14:paraId="3F17289F" w14:textId="77777777" w:rsidR="0055572F" w:rsidRPr="0055572F" w:rsidRDefault="0055572F" w:rsidP="0055572F">
      <w:pPr>
        <w:pStyle w:val="Text"/>
      </w:pPr>
      <w:r w:rsidRPr="0055572F">
        <w:t>Rather than acting as an entry-level qualification, the Diploma of VET is usually undertaken part-time by existing teachers who already hold the Certificate IV (Smith 2025). It is worth noting that the Diploma of VET, or a higher-level VET teaching qualification, is required to teach the Certificate IV in Training and Assessment (Australian Government 2025b).</w:t>
      </w:r>
    </w:p>
    <w:p w14:paraId="767E1ED2" w14:textId="77777777" w:rsidR="0055572F" w:rsidRPr="0055572F" w:rsidRDefault="0055572F" w:rsidP="0055572F">
      <w:pPr>
        <w:pStyle w:val="Text"/>
      </w:pPr>
      <w:r w:rsidRPr="0055572F">
        <w:t>The Diploma of VET was also updated in 2022 (TAE50122), with units of competency aligned to three themes: advanced training and assessment, design and development, and VET leadership. The previous version of the Diploma of VET (TAE50116) included a core practical component of 100 hours (TAEDEL502 Provide advanced facilitation practice). This core requirement was not maintained in the newest version of the qualification, with the updated unit (TAEDEL512 Lead training facilitation) now elective.  Specified in this most recent version of the practical unit, the individual must:</w:t>
      </w:r>
    </w:p>
    <w:p w14:paraId="5F714DEE" w14:textId="77777777" w:rsidR="0055572F" w:rsidRPr="0055572F" w:rsidRDefault="0055572F" w:rsidP="00C16179">
      <w:pPr>
        <w:pStyle w:val="Dotpoint1"/>
      </w:pPr>
      <w:r w:rsidRPr="0055572F">
        <w:t>select and use training facilitation techniques appropriate to learner needs and work context</w:t>
      </w:r>
    </w:p>
    <w:p w14:paraId="18C7962E" w14:textId="77777777" w:rsidR="0055572F" w:rsidRPr="0055572F" w:rsidRDefault="0055572F" w:rsidP="00C16179">
      <w:pPr>
        <w:pStyle w:val="Dotpoint1"/>
      </w:pPr>
      <w:r w:rsidRPr="0055572F">
        <w:t>use strategies suited to each learner and facilitation context to support learners to develop competency and develop increased learner independence</w:t>
      </w:r>
    </w:p>
    <w:p w14:paraId="3BD919B5" w14:textId="77777777" w:rsidR="0055572F" w:rsidRPr="0055572F" w:rsidRDefault="0055572F" w:rsidP="00C16179">
      <w:pPr>
        <w:pStyle w:val="Dotpoint1"/>
      </w:pPr>
      <w:r w:rsidRPr="0055572F">
        <w:lastRenderedPageBreak/>
        <w:t>support the development of the training facilitation practice of at least 4 trainers</w:t>
      </w:r>
    </w:p>
    <w:p w14:paraId="12BC1B09" w14:textId="77777777" w:rsidR="0055572F" w:rsidRPr="0055572F" w:rsidRDefault="0055572F" w:rsidP="00C16179">
      <w:pPr>
        <w:pStyle w:val="Dotpoint1"/>
      </w:pPr>
      <w:r w:rsidRPr="0055572F">
        <w:t>identify and respond to learner foundation skill needs</w:t>
      </w:r>
    </w:p>
    <w:p w14:paraId="5565D96C" w14:textId="77777777" w:rsidR="0055572F" w:rsidRPr="0055572F" w:rsidRDefault="0055572F" w:rsidP="00C16179">
      <w:pPr>
        <w:pStyle w:val="Dotpoint1"/>
      </w:pPr>
      <w:r w:rsidRPr="0055572F">
        <w:t>collect feedback from at least 4 peers and 10 learners.</w:t>
      </w:r>
    </w:p>
    <w:p w14:paraId="3F52E411" w14:textId="77777777" w:rsidR="0055572F" w:rsidRDefault="0055572F" w:rsidP="0055572F">
      <w:pPr>
        <w:pStyle w:val="Text"/>
      </w:pPr>
      <w:r w:rsidRPr="0055572F">
        <w:t xml:space="preserve">The elective nature of this unit means that, </w:t>
      </w:r>
      <w:proofErr w:type="gramStart"/>
      <w:r w:rsidRPr="0055572F">
        <w:t>similar to</w:t>
      </w:r>
      <w:proofErr w:type="gramEnd"/>
      <w:r w:rsidRPr="0055572F">
        <w:t xml:space="preserve"> the Certificate IV in Training and Assessment, the Diploma can be completed with little demonstration of practical teaching skills. </w:t>
      </w:r>
    </w:p>
    <w:p w14:paraId="4107080C" w14:textId="77777777" w:rsidR="0055572F" w:rsidRPr="0055572F" w:rsidRDefault="0055572F" w:rsidP="00C977B3">
      <w:pPr>
        <w:pStyle w:val="Heading4"/>
      </w:pPr>
      <w:r w:rsidRPr="0055572F">
        <w:t>University-level teaching degrees</w:t>
      </w:r>
    </w:p>
    <w:p w14:paraId="45CC7A31" w14:textId="12DC25F9" w:rsidR="0055572F" w:rsidRPr="0055572F" w:rsidRDefault="0055572F" w:rsidP="0055572F">
      <w:pPr>
        <w:pStyle w:val="Text"/>
      </w:pPr>
      <w:r w:rsidRPr="0055572F">
        <w:t>Since the introduction of the Certificate IV</w:t>
      </w:r>
      <w:r w:rsidR="00DB5A8C">
        <w:t xml:space="preserve"> in Training and Assessment</w:t>
      </w:r>
      <w:r w:rsidRPr="0055572F">
        <w:t xml:space="preserve">, enrolments in university VET pedagogy qualifications have declined (Smith 2024). While data are difficult to obtain, estimates suggest that the number of enrolments per year was around 1 500 in the 2010s, falling to around 500 in 2024 (Smith 2024). A consequence of the decrease in enrolments is a reduction in the number of universities that offer such programs, from around 20 universities in 2011 to seven in 2020 (Smith and Tuck 2023). Most students who undertake university level VET teaching qualifications are already working as VET teachers and undertake the study part-time and predominantly remotely (Smith 2024).   </w:t>
      </w:r>
    </w:p>
    <w:p w14:paraId="50788EBA" w14:textId="77777777" w:rsidR="0055572F" w:rsidRPr="0055572F" w:rsidRDefault="0055572F" w:rsidP="0055572F">
      <w:pPr>
        <w:pStyle w:val="Text"/>
      </w:pPr>
      <w:r w:rsidRPr="0055572F">
        <w:t>The proportion of VET teachers with university level VET teaching qualifications is relatively small, reported as 8.2% in the 2019 NCVER survey (Knight, White and Grandfield 2020). This has likely decreased over time, due to the transition in pedagogical qualification requirements from university degrees to the Certificate IV, potentially exacerbated by the ageing workforce and those older teachers with university teaching qualifications retiring from the workforce.</w:t>
      </w:r>
    </w:p>
    <w:p w14:paraId="3C08691C" w14:textId="77777777" w:rsidR="0055572F" w:rsidRPr="0055572F" w:rsidRDefault="0055572F" w:rsidP="0055572F">
      <w:pPr>
        <w:pStyle w:val="Text"/>
      </w:pPr>
      <w:r w:rsidRPr="0055572F">
        <w:t xml:space="preserve">Similarly to the Diploma of VET, some states offer salary incentives on completion of university qualifications in VET teaching, which has led to an increase in enrolments, particularly in Victoria (Smith 2024). With no regular or detailed data collected about the VET workforce and their qualifications, however, it is not clear as to whether there has been any shift in the proportion of teachers working towards or gaining higher-level VET teaching qualifications. </w:t>
      </w:r>
    </w:p>
    <w:p w14:paraId="29B53476" w14:textId="77777777" w:rsidR="0055572F" w:rsidRPr="0055572F" w:rsidRDefault="0055572F" w:rsidP="0055572F">
      <w:pPr>
        <w:pStyle w:val="Text"/>
      </w:pPr>
      <w:r w:rsidRPr="0055572F">
        <w:t xml:space="preserve">University qualifications are not specified or regulated in the same way as VET qualifications, so the content can differ depending on the individual qualification and the university delivering it. However, Smith (2024) provided a summary (based on work conducted by of the Australian Council of Deans of Education Group, ACDEVEG) of the typical content areas covered in university qualifications on VET teaching, including significant content on the theory and practice of teaching and learning. These areas include content on curriculum, program and learning strategies, teaching and learning (theory and practice), assessment and evaluation, and workplace and organisational context. These university-based qualifications include periods of teaching practice that are usually undertaken at the students’ existing workplace. </w:t>
      </w:r>
    </w:p>
    <w:p w14:paraId="33B426C5" w14:textId="77777777" w:rsidR="005D6E51" w:rsidRDefault="005D6E51" w:rsidP="00C16179">
      <w:pPr>
        <w:pStyle w:val="Heading4"/>
      </w:pPr>
    </w:p>
    <w:p w14:paraId="32E1C592" w14:textId="77777777" w:rsidR="005D6E51" w:rsidRDefault="005D6E51" w:rsidP="00C16179">
      <w:pPr>
        <w:pStyle w:val="Heading4"/>
      </w:pPr>
    </w:p>
    <w:p w14:paraId="794F8017" w14:textId="77777777" w:rsidR="00E253CA" w:rsidRDefault="00E253CA" w:rsidP="00C16179">
      <w:pPr>
        <w:pStyle w:val="Heading4"/>
      </w:pPr>
    </w:p>
    <w:p w14:paraId="10211F61" w14:textId="77777777" w:rsidR="00E253CA" w:rsidRDefault="00E253CA" w:rsidP="00C16179">
      <w:pPr>
        <w:pStyle w:val="Heading4"/>
      </w:pPr>
    </w:p>
    <w:p w14:paraId="27AA4BD1" w14:textId="26D3383C" w:rsidR="0055572F" w:rsidRPr="0055572F" w:rsidRDefault="0055572F" w:rsidP="00C16179">
      <w:pPr>
        <w:pStyle w:val="Heading4"/>
      </w:pPr>
      <w:r w:rsidRPr="00965D4D">
        <w:lastRenderedPageBreak/>
        <w:t>How</w:t>
      </w:r>
      <w:r w:rsidRPr="0055572F">
        <w:t xml:space="preserve"> do the different teaching qualifications differ? </w:t>
      </w:r>
    </w:p>
    <w:p w14:paraId="4B2B4633" w14:textId="6DB7B081" w:rsidR="0055572F" w:rsidRPr="0055572F" w:rsidRDefault="0055572F" w:rsidP="0055572F">
      <w:pPr>
        <w:pStyle w:val="Text"/>
      </w:pPr>
      <w:r w:rsidRPr="0055572F">
        <w:t xml:space="preserve">While there has been much published about the adequacy of the Certificate IV in preparing teachers to teach, there are only a few published studies that have compared the pedagogical preparation </w:t>
      </w:r>
      <w:r w:rsidR="00CA0983">
        <w:t xml:space="preserve">through qualifications </w:t>
      </w:r>
      <w:r w:rsidRPr="0055572F">
        <w:t xml:space="preserve">at different AQF levels. </w:t>
      </w:r>
    </w:p>
    <w:p w14:paraId="5630F1FC" w14:textId="77777777" w:rsidR="0055572F" w:rsidRPr="0055572F" w:rsidRDefault="0055572F" w:rsidP="0055572F">
      <w:pPr>
        <w:pStyle w:val="Text"/>
      </w:pPr>
      <w:r w:rsidRPr="0055572F">
        <w:t xml:space="preserve">From the teachers’ perspective, the most recent investigation was based on a survey of 500 VET teachers, conducted in 2016 (before the current versions of the Certificate IV TAE and Diploma of VET were developed) (Smith and Tuck 2023). This survey aimed to examine if higher-level VET teaching qualifications would lead to higher quality teaching in the sector. </w:t>
      </w:r>
    </w:p>
    <w:p w14:paraId="2EC03A1F" w14:textId="77777777" w:rsidR="0055572F" w:rsidRPr="0055572F" w:rsidRDefault="0055572F" w:rsidP="0055572F">
      <w:pPr>
        <w:pStyle w:val="Text"/>
      </w:pPr>
      <w:r w:rsidRPr="0055572F">
        <w:t xml:space="preserve">Analysis of the data showed that the largest (positive) influence on teachers’ confidence across several teaching domains was years of experience as a VET teacher, followed by highest pedagogical qualification and then highest industry qualification. Personal confidence was highest for those with a degree or above, followed by the Diploma of VET and then the Certificate IV in Training and Assessment. A degree in VET pedagogy </w:t>
      </w:r>
      <w:r w:rsidRPr="0055572F">
        <w:rPr>
          <w:i/>
          <w:iCs/>
        </w:rPr>
        <w:t>together</w:t>
      </w:r>
      <w:r w:rsidRPr="0055572F">
        <w:t xml:space="preserve"> with a degree in an industry or discipline area provided the highest overall confidence scores, indicating that higher-level qualifications in industry areas are also important in teaching. </w:t>
      </w:r>
    </w:p>
    <w:p w14:paraId="1F828E7B" w14:textId="36B88A35" w:rsidR="0055572F" w:rsidRPr="0055572F" w:rsidRDefault="0055572F" w:rsidP="0055572F">
      <w:pPr>
        <w:pStyle w:val="Text"/>
      </w:pPr>
      <w:r w:rsidRPr="0055572F">
        <w:t xml:space="preserve">Overall, teachers in the traditional trades were least confident. Of note, Smith and Tuck (2023) reported that participation in both formal and informal professional development increased with higher pedagogical qualification levels. Teachers with diploma- and degree-level qualifications were more likely than those holding only the Certificate IV in Training and Assessment to participate in professional learning, particularly </w:t>
      </w:r>
      <w:r w:rsidR="006216F0">
        <w:t>related to</w:t>
      </w:r>
      <w:r w:rsidRPr="0055572F">
        <w:t xml:space="preserve"> VET pedagogy. Higher qualification levels were also associated with greater self-motivation to undertake professional development and a stronger willingness to engage in learning during their own time. These findings suggest that higher-level qualifications may foster stronger professional learning habits and a greater commitment to ongoing development.</w:t>
      </w:r>
    </w:p>
    <w:p w14:paraId="6EA0C8A4" w14:textId="77777777" w:rsidR="0055572F" w:rsidRPr="0055572F" w:rsidRDefault="0055572F" w:rsidP="0055572F">
      <w:pPr>
        <w:pStyle w:val="Text"/>
      </w:pPr>
      <w:r w:rsidRPr="0055572F">
        <w:t xml:space="preserve">A 2013 study surveyed individuals who were enrolled in a university level VET teaching qualification (Smith, Yasukawa &amp; Hodge 2015). The survey respondents reported that the course they were undertaking had improved their pedagogical knowledge and skills, including delivery skills, capacity to improve teaching practice, assessment and understanding learners. They also reported improved VET-sector specific knowledge, such as working more effectively with industry and VET specific language, literacy and numeracy issues. </w:t>
      </w:r>
    </w:p>
    <w:p w14:paraId="293E321E" w14:textId="7C08C269" w:rsidR="0055572F" w:rsidRPr="0055572F" w:rsidRDefault="0055572F" w:rsidP="0055572F">
      <w:pPr>
        <w:pStyle w:val="Text"/>
      </w:pPr>
      <w:r w:rsidRPr="0055572F">
        <w:t>It is important to note that these studies were conducted before the revised versions of the Certificate IV and Diploma were developed. However, it is still true that the pedagogical focus</w:t>
      </w:r>
      <w:r w:rsidR="004A0108">
        <w:t xml:space="preserve"> </w:t>
      </w:r>
      <w:r w:rsidRPr="0055572F">
        <w:t xml:space="preserve">and the opportunity to </w:t>
      </w:r>
      <w:r w:rsidRPr="00587B2F">
        <w:t>practice teaching skills</w:t>
      </w:r>
      <w:r w:rsidR="002527E8" w:rsidRPr="00587B2F">
        <w:t xml:space="preserve"> is </w:t>
      </w:r>
      <w:r w:rsidR="004A0108">
        <w:t xml:space="preserve">generally </w:t>
      </w:r>
      <w:r w:rsidR="002527E8" w:rsidRPr="00587B2F">
        <w:t xml:space="preserve">higher in </w:t>
      </w:r>
      <w:r w:rsidR="00587B2F" w:rsidRPr="00587B2F">
        <w:t xml:space="preserve">university qualifications </w:t>
      </w:r>
      <w:r w:rsidR="00AA52A1">
        <w:t xml:space="preserve">than in </w:t>
      </w:r>
      <w:r w:rsidR="00587B2F" w:rsidRPr="00587B2F">
        <w:t>the Certi</w:t>
      </w:r>
      <w:r w:rsidRPr="00587B2F">
        <w:t>ficate IV in Training and Assessment</w:t>
      </w:r>
      <w:r w:rsidR="004A0108">
        <w:t xml:space="preserve"> and t</w:t>
      </w:r>
      <w:r w:rsidRPr="00587B2F">
        <w:t>he Diploma of VET.</w:t>
      </w:r>
      <w:r w:rsidRPr="0055572F">
        <w:t xml:space="preserve"> </w:t>
      </w:r>
    </w:p>
    <w:p w14:paraId="52156A29" w14:textId="77777777" w:rsidR="0055572F" w:rsidRPr="0055572F" w:rsidRDefault="0055572F" w:rsidP="00C16179">
      <w:pPr>
        <w:pStyle w:val="Heading4"/>
      </w:pPr>
      <w:r w:rsidRPr="007576C3">
        <w:t>Impetus to do a higher-level qualification</w:t>
      </w:r>
    </w:p>
    <w:p w14:paraId="793CC6C9" w14:textId="164B2CAF" w:rsidR="004634A5" w:rsidRPr="004634A5" w:rsidRDefault="006C60F5" w:rsidP="004634A5">
      <w:pPr>
        <w:pStyle w:val="Text"/>
      </w:pPr>
      <w:r w:rsidRPr="006C60F5">
        <w:t xml:space="preserve">There is a growing emphasis on supporting ongoing practitioner development in the VET sector, including encouraging educators to undertake higher-level teaching qualifications (Skills and Workforce Ministerial Council 2024). </w:t>
      </w:r>
      <w:r w:rsidR="00595D85" w:rsidRPr="0055572F">
        <w:t>Currently, obtaining a higher-level teaching qualification is an individual choice</w:t>
      </w:r>
      <w:r w:rsidR="00595D85">
        <w:t xml:space="preserve"> for VET educators and not a requirement needed to deliver VET</w:t>
      </w:r>
      <w:r w:rsidR="00595D85" w:rsidRPr="0055572F">
        <w:t xml:space="preserve">. </w:t>
      </w:r>
      <w:r w:rsidRPr="006C60F5">
        <w:t xml:space="preserve">Despite the reported benefits of higher-level qualifications for teaching practice, most VET </w:t>
      </w:r>
      <w:r w:rsidRPr="006C60F5">
        <w:lastRenderedPageBreak/>
        <w:t xml:space="preserve">teachers do not study beyond the Certificate IV (Smith and Tuck 2023). To encourage further professional development, governments and RTOs have implemented a range of initiatives, including funding and support programs, </w:t>
      </w:r>
      <w:r w:rsidR="004634A5" w:rsidRPr="004634A5">
        <w:t xml:space="preserve">(such as through state VET Workforce Implementation </w:t>
      </w:r>
      <w:r w:rsidR="000B63BC">
        <w:t>P</w:t>
      </w:r>
      <w:r w:rsidR="004634A5" w:rsidRPr="004634A5">
        <w:t xml:space="preserve">lans), </w:t>
      </w:r>
      <w:r w:rsidR="007F072F">
        <w:t xml:space="preserve">qualification </w:t>
      </w:r>
      <w:r w:rsidR="004634A5" w:rsidRPr="004634A5">
        <w:t>requirements for certain roles, or through salar</w:t>
      </w:r>
      <w:r w:rsidR="000B63BC">
        <w:t>y</w:t>
      </w:r>
      <w:r w:rsidR="004634A5" w:rsidRPr="004634A5">
        <w:t xml:space="preserve"> </w:t>
      </w:r>
      <w:r w:rsidR="007F072F">
        <w:t xml:space="preserve">incentives </w:t>
      </w:r>
      <w:r w:rsidR="004634A5" w:rsidRPr="004634A5">
        <w:t xml:space="preserve">(Yasukawa and Malloch 2020, as cited in Smith and Tuck 2023). </w:t>
      </w:r>
    </w:p>
    <w:p w14:paraId="50140879" w14:textId="77777777" w:rsidR="00075842" w:rsidRDefault="006C60F5" w:rsidP="006C60F5">
      <w:pPr>
        <w:pStyle w:val="Text"/>
      </w:pPr>
      <w:r w:rsidRPr="006C60F5">
        <w:t xml:space="preserve">While higher-level teaching qualifications can strengthen pedagogical knowledge and teaching practice, </w:t>
      </w:r>
      <w:r w:rsidRPr="004E6E75">
        <w:rPr>
          <w:i/>
          <w:iCs/>
        </w:rPr>
        <w:t>requiring</w:t>
      </w:r>
      <w:r w:rsidRPr="006C60F5">
        <w:t xml:space="preserve"> VET teachers to obtain additional qualifications beyond their vocational credentials </w:t>
      </w:r>
      <w:r w:rsidR="00302557">
        <w:t>would likely</w:t>
      </w:r>
      <w:r w:rsidRPr="006C60F5">
        <w:t xml:space="preserve"> create barriers to workforce entry and growth (Tyler and Dymock 2021). This highlights the need to balance workforce quality and workforce supply. Initial teaching qualifications should adequately prepare VET teachers to train and assess effectively without creating undue barriers to entry, while opportunities for further skill development should remain available. </w:t>
      </w:r>
    </w:p>
    <w:p w14:paraId="280874A1" w14:textId="1CBE6ACD" w:rsidR="006C60F5" w:rsidRPr="006C60F5" w:rsidRDefault="006C60F5" w:rsidP="006C60F5">
      <w:pPr>
        <w:pStyle w:val="Text"/>
      </w:pPr>
      <w:r w:rsidRPr="006C60F5">
        <w:t>Given the diversity of VET teaching roles, contexts and learner cohorts, the need for advanced pedagogical development is likely to vary across the workforce. Similarly, the most appropriate mechanism for developing these capabilities may differ between individuals, with higher-level qualifications suited to some contexts and targeted professional development providing a more practical alternative in others.</w:t>
      </w:r>
    </w:p>
    <w:p w14:paraId="3B8A24F8" w14:textId="77777777" w:rsidR="0055572F" w:rsidRPr="0055572F" w:rsidRDefault="0055572F" w:rsidP="00C16179">
      <w:pPr>
        <w:pStyle w:val="Heading3"/>
      </w:pPr>
      <w:bookmarkStart w:id="34" w:name="_Toc207377784"/>
      <w:r w:rsidRPr="0055572F">
        <w:t>Professional development</w:t>
      </w:r>
      <w:bookmarkEnd w:id="34"/>
    </w:p>
    <w:p w14:paraId="3DB910AA" w14:textId="77777777" w:rsidR="0055572F" w:rsidRPr="0055572F" w:rsidRDefault="0055572F" w:rsidP="0055572F">
      <w:pPr>
        <w:pStyle w:val="Text"/>
      </w:pPr>
      <w:r w:rsidRPr="0055572F">
        <w:t>Amid diverse views about the Certificate IV in Training and Assessment as the minimum qualification for VET teachers and the increasing complexity of workforce expectations in VET, professional development has become critical to teaching excellence. Discussions around professional development in the literature focus on two distinct but overlapping areas: industry currency and vocational pedagogy. Both are seen as critical professional development needs for VET teachers (Tyler &amp; Dymock 2017).</w:t>
      </w:r>
    </w:p>
    <w:p w14:paraId="7FC12A09" w14:textId="77777777" w:rsidR="0055572F" w:rsidRPr="0055572F" w:rsidRDefault="0055572F" w:rsidP="00C16179">
      <w:pPr>
        <w:pStyle w:val="Heading4"/>
      </w:pPr>
      <w:r w:rsidRPr="0055572F">
        <w:t>What does professional development look like in the VET sector?</w:t>
      </w:r>
    </w:p>
    <w:p w14:paraId="3076AB22" w14:textId="77777777" w:rsidR="0055572F" w:rsidRPr="0055572F" w:rsidRDefault="0055572F" w:rsidP="0055572F">
      <w:pPr>
        <w:pStyle w:val="Text"/>
      </w:pPr>
      <w:r w:rsidRPr="0055572F">
        <w:t>‘Vocational pedagogy’ encompasses teachers</w:t>
      </w:r>
      <w:r w:rsidRPr="0055572F" w:rsidDel="001B4E15">
        <w:t xml:space="preserve"> </w:t>
      </w:r>
      <w:r w:rsidRPr="0055572F">
        <w:t xml:space="preserve">maintaining currency in training and assessment, as well as knowledge relating to engaging and supporting students. Meanwhile, ‘industry currency’ involves keeping their industry-related knowledge and technical skills up to date (ASQA 2025; Clayton et al. 2013; Toze &amp; Tierney 2010). Maintaining current industry skills and knowledge is important as it ensures teachers are equipping their students with up-to-date, contemporary skills and knowledge (Clayton et al. 2013; Toze &amp; Tierney 2010). </w:t>
      </w:r>
    </w:p>
    <w:p w14:paraId="53900799" w14:textId="2FBDF108" w:rsidR="0055572F" w:rsidRPr="0055572F" w:rsidRDefault="0055572F" w:rsidP="0055572F">
      <w:pPr>
        <w:pStyle w:val="Text"/>
      </w:pPr>
      <w:r w:rsidRPr="0055572F">
        <w:t xml:space="preserve">While not exhaustive, table </w:t>
      </w:r>
      <w:r w:rsidR="00E253CA">
        <w:t>5</w:t>
      </w:r>
      <w:r w:rsidRPr="0055572F">
        <w:t xml:space="preserve"> provides examples of professional development activities undertaken by VET teachers to maintain their vocational pedagogy and industry currency.</w:t>
      </w:r>
    </w:p>
    <w:p w14:paraId="6B564499" w14:textId="77777777" w:rsidR="00490ECE" w:rsidRPr="0055572F" w:rsidRDefault="00490ECE" w:rsidP="00490ECE">
      <w:pPr>
        <w:pStyle w:val="Text"/>
      </w:pPr>
      <w:r w:rsidRPr="0055572F">
        <w:t>There is a well-established consensus that both vocational pedagogy and industry currency are vital to training and assessment, and therefore this discussion of professional development will address both.</w:t>
      </w:r>
    </w:p>
    <w:p w14:paraId="40949D05" w14:textId="77777777" w:rsidR="00490ECE" w:rsidRDefault="00490ECE" w:rsidP="00B16EE2">
      <w:pPr>
        <w:pStyle w:val="Tabletitle0"/>
      </w:pPr>
    </w:p>
    <w:p w14:paraId="041150F3" w14:textId="77777777" w:rsidR="00490ECE" w:rsidRDefault="00490ECE" w:rsidP="00B16EE2">
      <w:pPr>
        <w:pStyle w:val="Tabletitle0"/>
      </w:pPr>
    </w:p>
    <w:p w14:paraId="57806706" w14:textId="2BAC227C" w:rsidR="0055572F" w:rsidRPr="00023A13" w:rsidRDefault="0055572F" w:rsidP="00023A13">
      <w:pPr>
        <w:pStyle w:val="Tabletitle0"/>
      </w:pPr>
      <w:bookmarkStart w:id="35" w:name="_Toc241744009"/>
      <w:r w:rsidRPr="00023A13">
        <w:lastRenderedPageBreak/>
        <w:t xml:space="preserve">Table </w:t>
      </w:r>
      <w:r w:rsidR="00E253CA" w:rsidRPr="00023A13">
        <w:t>5</w:t>
      </w:r>
      <w:r w:rsidRPr="00023A13">
        <w:t xml:space="preserve"> Examples of vocational pedagogy and industry currency activities</w:t>
      </w:r>
      <w:bookmarkEnd w:id="35"/>
    </w:p>
    <w:tbl>
      <w:tblPr>
        <w:tblStyle w:val="TableGrid"/>
        <w:tblW w:w="0" w:type="auto"/>
        <w:tblBorders>
          <w:top w:val="none" w:sz="12" w:space="0" w:color="0F112A" w:themeColor="text1"/>
          <w:left w:val="none" w:sz="12" w:space="0" w:color="0F112A" w:themeColor="text1"/>
          <w:bottom w:val="none" w:sz="12" w:space="0" w:color="0F112A" w:themeColor="text1"/>
          <w:right w:val="none" w:sz="12" w:space="0" w:color="0F112A" w:themeColor="text1"/>
          <w:insideH w:val="none" w:sz="12" w:space="0" w:color="0F112A" w:themeColor="text1"/>
          <w:insideV w:val="none" w:sz="12" w:space="0" w:color="0F112A" w:themeColor="text1"/>
        </w:tblBorders>
        <w:tblLook w:val="06A0" w:firstRow="1" w:lastRow="0" w:firstColumn="1" w:lastColumn="0" w:noHBand="1" w:noVBand="1"/>
      </w:tblPr>
      <w:tblGrid>
        <w:gridCol w:w="4530"/>
        <w:gridCol w:w="4530"/>
      </w:tblGrid>
      <w:tr w:rsidR="0055572F" w:rsidRPr="0055572F" w14:paraId="56115F78" w14:textId="77777777" w:rsidTr="00C66BA9">
        <w:trPr>
          <w:trHeight w:val="300"/>
        </w:trPr>
        <w:tc>
          <w:tcPr>
            <w:tcW w:w="4530" w:type="dxa"/>
            <w:tcBorders>
              <w:top w:val="single" w:sz="12" w:space="0" w:color="0F112A" w:themeColor="text1"/>
              <w:bottom w:val="single" w:sz="12" w:space="0" w:color="0F112A" w:themeColor="text1"/>
            </w:tcBorders>
          </w:tcPr>
          <w:p w14:paraId="73FD4757" w14:textId="77777777" w:rsidR="0055572F" w:rsidRPr="0055572F" w:rsidRDefault="0055572F" w:rsidP="00C16179">
            <w:pPr>
              <w:pStyle w:val="Tablehead1"/>
            </w:pPr>
            <w:r w:rsidRPr="0055572F">
              <w:t>Vocational pedagogy</w:t>
            </w:r>
          </w:p>
        </w:tc>
        <w:tc>
          <w:tcPr>
            <w:tcW w:w="4530" w:type="dxa"/>
            <w:tcBorders>
              <w:top w:val="single" w:sz="12" w:space="0" w:color="0F112A" w:themeColor="text1"/>
              <w:bottom w:val="single" w:sz="12" w:space="0" w:color="0F112A" w:themeColor="text1"/>
            </w:tcBorders>
          </w:tcPr>
          <w:p w14:paraId="56A6BF9A" w14:textId="77777777" w:rsidR="0055572F" w:rsidRPr="0055572F" w:rsidRDefault="0055572F" w:rsidP="00C16179">
            <w:pPr>
              <w:pStyle w:val="Tablehead1"/>
            </w:pPr>
            <w:r w:rsidRPr="0055572F">
              <w:t>Industry currency</w:t>
            </w:r>
          </w:p>
        </w:tc>
      </w:tr>
      <w:tr w:rsidR="00C610CD" w:rsidRPr="0055572F" w14:paraId="13B93F59" w14:textId="77777777" w:rsidTr="00C66BA9">
        <w:trPr>
          <w:trHeight w:val="6072"/>
        </w:trPr>
        <w:tc>
          <w:tcPr>
            <w:tcW w:w="4530" w:type="dxa"/>
            <w:tcBorders>
              <w:top w:val="single" w:sz="12" w:space="0" w:color="0F112A" w:themeColor="text1"/>
              <w:left w:val="nil"/>
              <w:bottom w:val="single" w:sz="4" w:space="0" w:color="auto"/>
              <w:right w:val="nil"/>
            </w:tcBorders>
          </w:tcPr>
          <w:p w14:paraId="30CD89BD" w14:textId="77777777" w:rsidR="00C610CD" w:rsidRPr="0055572F" w:rsidRDefault="00C610CD" w:rsidP="00C610CD">
            <w:pPr>
              <w:pStyle w:val="Tabletext"/>
              <w:numPr>
                <w:ilvl w:val="0"/>
                <w:numId w:val="26"/>
              </w:numPr>
            </w:pPr>
            <w:r w:rsidRPr="0055572F">
              <w:t>Upgrading teaching qualifications</w:t>
            </w:r>
          </w:p>
          <w:p w14:paraId="5829D28D" w14:textId="77777777" w:rsidR="00C610CD" w:rsidRPr="0055572F" w:rsidRDefault="00C610CD" w:rsidP="00C610CD">
            <w:pPr>
              <w:pStyle w:val="Tabletext"/>
              <w:numPr>
                <w:ilvl w:val="0"/>
                <w:numId w:val="26"/>
              </w:numPr>
            </w:pPr>
            <w:r w:rsidRPr="0055572F">
              <w:t>Mentoring</w:t>
            </w:r>
          </w:p>
          <w:p w14:paraId="577F6295" w14:textId="77777777" w:rsidR="00C610CD" w:rsidRPr="0055572F" w:rsidRDefault="00C610CD" w:rsidP="00C610CD">
            <w:pPr>
              <w:pStyle w:val="Tabletext"/>
              <w:numPr>
                <w:ilvl w:val="0"/>
                <w:numId w:val="26"/>
              </w:numPr>
            </w:pPr>
            <w:r w:rsidRPr="0055572F">
              <w:t>Team teaching</w:t>
            </w:r>
          </w:p>
          <w:p w14:paraId="4CF5D588" w14:textId="77777777" w:rsidR="00C610CD" w:rsidRPr="0055572F" w:rsidRDefault="00C610CD" w:rsidP="00C610CD">
            <w:pPr>
              <w:pStyle w:val="Tabletext"/>
              <w:numPr>
                <w:ilvl w:val="0"/>
                <w:numId w:val="26"/>
              </w:numPr>
            </w:pPr>
            <w:r w:rsidRPr="0055572F">
              <w:t>In-house courses</w:t>
            </w:r>
          </w:p>
          <w:p w14:paraId="0E0D8F5C" w14:textId="77777777" w:rsidR="00C610CD" w:rsidRPr="0055572F" w:rsidRDefault="00C610CD" w:rsidP="00C610CD">
            <w:pPr>
              <w:pStyle w:val="Tabletext"/>
              <w:numPr>
                <w:ilvl w:val="0"/>
                <w:numId w:val="26"/>
              </w:numPr>
            </w:pPr>
            <w:r w:rsidRPr="0055572F">
              <w:t>Communities of practice participation</w:t>
            </w:r>
          </w:p>
          <w:p w14:paraId="394184CE" w14:textId="77777777" w:rsidR="00C610CD" w:rsidRPr="0055572F" w:rsidRDefault="00C610CD" w:rsidP="00C610CD">
            <w:pPr>
              <w:pStyle w:val="Tabletext"/>
              <w:numPr>
                <w:ilvl w:val="0"/>
                <w:numId w:val="26"/>
              </w:numPr>
            </w:pPr>
            <w:r w:rsidRPr="0055572F">
              <w:t>External webinars, courses and workshops</w:t>
            </w:r>
          </w:p>
          <w:p w14:paraId="21909826" w14:textId="77777777" w:rsidR="00C610CD" w:rsidRPr="0055572F" w:rsidRDefault="00C610CD" w:rsidP="00C610CD">
            <w:pPr>
              <w:pStyle w:val="Tabletext"/>
              <w:numPr>
                <w:ilvl w:val="0"/>
                <w:numId w:val="26"/>
              </w:numPr>
            </w:pPr>
            <w:r w:rsidRPr="0055572F">
              <w:t>Conference attendance</w:t>
            </w:r>
          </w:p>
          <w:p w14:paraId="43299DF4" w14:textId="77777777" w:rsidR="00C610CD" w:rsidRPr="0055572F" w:rsidRDefault="00C610CD" w:rsidP="00C610CD">
            <w:pPr>
              <w:pStyle w:val="Tabletext"/>
              <w:numPr>
                <w:ilvl w:val="0"/>
                <w:numId w:val="26"/>
              </w:numPr>
            </w:pPr>
            <w:r w:rsidRPr="0055572F">
              <w:t>Participating in learning networks</w:t>
            </w:r>
          </w:p>
          <w:p w14:paraId="2E9D83AA" w14:textId="77777777" w:rsidR="00C610CD" w:rsidRPr="0055572F" w:rsidRDefault="00C610CD" w:rsidP="00C610CD">
            <w:pPr>
              <w:pStyle w:val="Tabletext"/>
              <w:numPr>
                <w:ilvl w:val="0"/>
                <w:numId w:val="26"/>
              </w:numPr>
            </w:pPr>
            <w:r w:rsidRPr="0055572F">
              <w:t>Shadowing other teachers</w:t>
            </w:r>
          </w:p>
          <w:p w14:paraId="6BD0EB6B" w14:textId="77777777" w:rsidR="00C610CD" w:rsidRPr="0055572F" w:rsidRDefault="00C610CD" w:rsidP="00C610CD">
            <w:pPr>
              <w:pStyle w:val="Tabletext"/>
              <w:numPr>
                <w:ilvl w:val="0"/>
                <w:numId w:val="26"/>
              </w:numPr>
            </w:pPr>
            <w:r w:rsidRPr="0055572F">
              <w:t>Reading publications related to training and assessment</w:t>
            </w:r>
          </w:p>
          <w:p w14:paraId="48E45FD5" w14:textId="77777777" w:rsidR="00C610CD" w:rsidRPr="0055572F" w:rsidRDefault="00C610CD" w:rsidP="00C610CD">
            <w:pPr>
              <w:pStyle w:val="Tabletext"/>
              <w:numPr>
                <w:ilvl w:val="0"/>
                <w:numId w:val="26"/>
              </w:numPr>
            </w:pPr>
            <w:r w:rsidRPr="0055572F">
              <w:t>Drawing on internal and/or external networks</w:t>
            </w:r>
          </w:p>
          <w:p w14:paraId="73886757" w14:textId="7C3D40DF" w:rsidR="00C610CD" w:rsidRPr="0055572F" w:rsidRDefault="00C610CD" w:rsidP="00C610CD">
            <w:pPr>
              <w:pStyle w:val="Tabletext"/>
              <w:numPr>
                <w:ilvl w:val="0"/>
                <w:numId w:val="26"/>
              </w:numPr>
            </w:pPr>
            <w:r w:rsidRPr="0055572F">
              <w:t>Peer observation</w:t>
            </w:r>
          </w:p>
        </w:tc>
        <w:tc>
          <w:tcPr>
            <w:tcW w:w="4530" w:type="dxa"/>
            <w:tcBorders>
              <w:top w:val="single" w:sz="12" w:space="0" w:color="0F112A" w:themeColor="text1"/>
              <w:left w:val="nil"/>
              <w:bottom w:val="single" w:sz="4" w:space="0" w:color="auto"/>
              <w:right w:val="nil"/>
            </w:tcBorders>
          </w:tcPr>
          <w:p w14:paraId="3A0B18EB" w14:textId="77777777" w:rsidR="00C610CD" w:rsidRPr="0055572F" w:rsidRDefault="00C610CD" w:rsidP="00C610CD">
            <w:pPr>
              <w:pStyle w:val="Tabletext"/>
              <w:numPr>
                <w:ilvl w:val="0"/>
                <w:numId w:val="27"/>
              </w:numPr>
              <w:tabs>
                <w:tab w:val="clear" w:pos="559"/>
                <w:tab w:val="decimal" w:pos="329"/>
              </w:tabs>
              <w:ind w:left="470" w:hanging="391"/>
            </w:pPr>
            <w:r w:rsidRPr="0055572F">
              <w:t>Industry placement</w:t>
            </w:r>
          </w:p>
          <w:p w14:paraId="56C7BD4C" w14:textId="77777777" w:rsidR="00C610CD" w:rsidRPr="0055572F" w:rsidRDefault="00C610CD" w:rsidP="00C610CD">
            <w:pPr>
              <w:pStyle w:val="Tabletext"/>
              <w:numPr>
                <w:ilvl w:val="0"/>
                <w:numId w:val="27"/>
              </w:numPr>
              <w:tabs>
                <w:tab w:val="clear" w:pos="559"/>
                <w:tab w:val="decimal" w:pos="329"/>
              </w:tabs>
              <w:ind w:left="470" w:hanging="391"/>
            </w:pPr>
            <w:r w:rsidRPr="0055572F">
              <w:t>Concurrent employment in industry and the RTO</w:t>
            </w:r>
          </w:p>
          <w:p w14:paraId="47B5E2DA" w14:textId="77777777" w:rsidR="00C610CD" w:rsidRPr="0055572F" w:rsidRDefault="00C610CD" w:rsidP="00C610CD">
            <w:pPr>
              <w:pStyle w:val="Tabletext"/>
              <w:numPr>
                <w:ilvl w:val="0"/>
                <w:numId w:val="27"/>
              </w:numPr>
              <w:tabs>
                <w:tab w:val="clear" w:pos="559"/>
                <w:tab w:val="decimal" w:pos="329"/>
              </w:tabs>
              <w:ind w:left="470" w:hanging="391"/>
            </w:pPr>
            <w:r w:rsidRPr="0055572F">
              <w:t>Industry and professional association membership</w:t>
            </w:r>
          </w:p>
          <w:p w14:paraId="27CCA1A9" w14:textId="77777777" w:rsidR="00C610CD" w:rsidRPr="0055572F" w:rsidRDefault="00C610CD" w:rsidP="00C610CD">
            <w:pPr>
              <w:pStyle w:val="Tabletext"/>
              <w:numPr>
                <w:ilvl w:val="0"/>
                <w:numId w:val="27"/>
              </w:numPr>
              <w:tabs>
                <w:tab w:val="clear" w:pos="559"/>
                <w:tab w:val="decimal" w:pos="329"/>
              </w:tabs>
              <w:ind w:left="470" w:hanging="391"/>
            </w:pPr>
            <w:r w:rsidRPr="0055572F">
              <w:t>Attending conferences, professional workshops and industry specific development programs</w:t>
            </w:r>
          </w:p>
          <w:p w14:paraId="7062896A" w14:textId="77777777" w:rsidR="00C610CD" w:rsidRPr="0055572F" w:rsidRDefault="00C610CD" w:rsidP="00C610CD">
            <w:pPr>
              <w:pStyle w:val="Tabletext"/>
              <w:numPr>
                <w:ilvl w:val="0"/>
                <w:numId w:val="27"/>
              </w:numPr>
              <w:tabs>
                <w:tab w:val="clear" w:pos="559"/>
                <w:tab w:val="decimal" w:pos="329"/>
              </w:tabs>
              <w:ind w:left="470" w:hanging="391"/>
            </w:pPr>
            <w:r w:rsidRPr="0055572F">
              <w:t>Attending professional development activities run by industry skills alliances</w:t>
            </w:r>
          </w:p>
          <w:p w14:paraId="0F3E8A1E" w14:textId="77777777" w:rsidR="00C610CD" w:rsidRPr="0055572F" w:rsidRDefault="00C610CD" w:rsidP="00C610CD">
            <w:pPr>
              <w:pStyle w:val="Tabletext"/>
              <w:numPr>
                <w:ilvl w:val="0"/>
                <w:numId w:val="27"/>
              </w:numPr>
              <w:tabs>
                <w:tab w:val="clear" w:pos="559"/>
                <w:tab w:val="decimal" w:pos="329"/>
              </w:tabs>
              <w:ind w:left="470" w:hanging="391"/>
            </w:pPr>
            <w:r w:rsidRPr="0055572F">
              <w:t>Researching best and new practice and general research</w:t>
            </w:r>
          </w:p>
          <w:p w14:paraId="6D4555DF" w14:textId="77777777" w:rsidR="00C610CD" w:rsidRPr="0055572F" w:rsidRDefault="00C610CD" w:rsidP="00C610CD">
            <w:pPr>
              <w:pStyle w:val="Tabletext"/>
              <w:numPr>
                <w:ilvl w:val="0"/>
                <w:numId w:val="27"/>
              </w:numPr>
              <w:tabs>
                <w:tab w:val="clear" w:pos="559"/>
                <w:tab w:val="decimal" w:pos="329"/>
              </w:tabs>
              <w:ind w:left="470" w:hanging="391"/>
            </w:pPr>
            <w:r w:rsidRPr="0055572F">
              <w:t>Subscribing to professional journals and publications</w:t>
            </w:r>
          </w:p>
          <w:p w14:paraId="17FC35F7" w14:textId="77777777" w:rsidR="00C610CD" w:rsidRPr="0055572F" w:rsidRDefault="00C610CD" w:rsidP="00C610CD">
            <w:pPr>
              <w:pStyle w:val="Tabletext"/>
              <w:numPr>
                <w:ilvl w:val="0"/>
                <w:numId w:val="27"/>
              </w:numPr>
              <w:tabs>
                <w:tab w:val="clear" w:pos="559"/>
                <w:tab w:val="decimal" w:pos="329"/>
              </w:tabs>
              <w:ind w:left="470" w:hanging="391"/>
            </w:pPr>
            <w:r w:rsidRPr="0055572F">
              <w:t>Applying for sponsored corporate teaching awards and scholarships</w:t>
            </w:r>
          </w:p>
          <w:p w14:paraId="41AEF236" w14:textId="77777777" w:rsidR="00C610CD" w:rsidRPr="0055572F" w:rsidRDefault="00C610CD" w:rsidP="00C610CD">
            <w:pPr>
              <w:pStyle w:val="Tabletext"/>
              <w:numPr>
                <w:ilvl w:val="0"/>
                <w:numId w:val="27"/>
              </w:numPr>
              <w:tabs>
                <w:tab w:val="clear" w:pos="559"/>
                <w:tab w:val="decimal" w:pos="329"/>
              </w:tabs>
              <w:ind w:left="470" w:hanging="391"/>
            </w:pPr>
            <w:r w:rsidRPr="0055572F">
              <w:t>Networking with industry mentors, employers and other trainers</w:t>
            </w:r>
          </w:p>
          <w:p w14:paraId="6F8EE545" w14:textId="77777777" w:rsidR="00C610CD" w:rsidRPr="0055572F" w:rsidRDefault="00C610CD" w:rsidP="00C610CD">
            <w:pPr>
              <w:pStyle w:val="Tabletext"/>
              <w:numPr>
                <w:ilvl w:val="0"/>
                <w:numId w:val="27"/>
              </w:numPr>
              <w:tabs>
                <w:tab w:val="clear" w:pos="559"/>
                <w:tab w:val="decimal" w:pos="329"/>
              </w:tabs>
              <w:ind w:left="470" w:hanging="391"/>
            </w:pPr>
            <w:r w:rsidRPr="0055572F">
              <w:t>Talking to students about practices and job roles in their workplaces</w:t>
            </w:r>
          </w:p>
          <w:p w14:paraId="57FE783C" w14:textId="77777777" w:rsidR="00C610CD" w:rsidRPr="0055572F" w:rsidRDefault="00C610CD" w:rsidP="00C610CD">
            <w:pPr>
              <w:pStyle w:val="Tabletext"/>
              <w:numPr>
                <w:ilvl w:val="0"/>
                <w:numId w:val="27"/>
              </w:numPr>
              <w:tabs>
                <w:tab w:val="clear" w:pos="559"/>
                <w:tab w:val="decimal" w:pos="329"/>
              </w:tabs>
              <w:ind w:left="470" w:hanging="391"/>
            </w:pPr>
            <w:r w:rsidRPr="0055572F">
              <w:t>Industry specialist visits, industry site visits and study tours</w:t>
            </w:r>
          </w:p>
          <w:p w14:paraId="58576C7D" w14:textId="77777777" w:rsidR="00C610CD" w:rsidRPr="0055572F" w:rsidRDefault="00C610CD" w:rsidP="00C610CD">
            <w:pPr>
              <w:pStyle w:val="Tabletext"/>
              <w:numPr>
                <w:ilvl w:val="0"/>
                <w:numId w:val="27"/>
              </w:numPr>
              <w:tabs>
                <w:tab w:val="clear" w:pos="559"/>
                <w:tab w:val="decimal" w:pos="329"/>
              </w:tabs>
              <w:ind w:left="470" w:hanging="391"/>
            </w:pPr>
            <w:r w:rsidRPr="0055572F">
              <w:t>Undertaking specific training courses in new equipment or skill sets</w:t>
            </w:r>
          </w:p>
          <w:p w14:paraId="2CE9D752" w14:textId="77777777" w:rsidR="00C610CD" w:rsidRPr="0055572F" w:rsidRDefault="00C610CD" w:rsidP="00C610CD">
            <w:pPr>
              <w:pStyle w:val="Tabletext"/>
              <w:numPr>
                <w:ilvl w:val="0"/>
                <w:numId w:val="27"/>
              </w:numPr>
              <w:tabs>
                <w:tab w:val="clear" w:pos="559"/>
                <w:tab w:val="decimal" w:pos="329"/>
              </w:tabs>
              <w:ind w:left="470" w:hanging="391"/>
            </w:pPr>
            <w:r w:rsidRPr="0055572F">
              <w:t>Work shadowing</w:t>
            </w:r>
          </w:p>
          <w:p w14:paraId="52F17242" w14:textId="21F62B73" w:rsidR="00C610CD" w:rsidRPr="0055572F" w:rsidRDefault="00C610CD" w:rsidP="00C610CD">
            <w:pPr>
              <w:pStyle w:val="Tabletext"/>
              <w:numPr>
                <w:ilvl w:val="0"/>
                <w:numId w:val="27"/>
              </w:numPr>
              <w:tabs>
                <w:tab w:val="clear" w:pos="559"/>
                <w:tab w:val="decimal" w:pos="329"/>
              </w:tabs>
              <w:ind w:left="470" w:hanging="391"/>
            </w:pPr>
            <w:r w:rsidRPr="0055572F">
              <w:t>Fulfilling industry licensing or regulatory requirements</w:t>
            </w:r>
          </w:p>
        </w:tc>
      </w:tr>
    </w:tbl>
    <w:p w14:paraId="73688FC5" w14:textId="77777777" w:rsidR="0055572F" w:rsidRPr="0055572F" w:rsidRDefault="0055572F" w:rsidP="00C16179">
      <w:pPr>
        <w:pStyle w:val="Source"/>
      </w:pPr>
      <w:r w:rsidRPr="0055572F">
        <w:t>Source: Vocational pedagogy list is derived from ASQA 2025; Francisco 2015; Griffin &amp; Davidson 2025; Misko, Guthrie &amp; Waters 2021</w:t>
      </w:r>
    </w:p>
    <w:p w14:paraId="0D605F26" w14:textId="77777777" w:rsidR="0055572F" w:rsidRPr="0055572F" w:rsidRDefault="0055572F" w:rsidP="00C16179">
      <w:pPr>
        <w:pStyle w:val="Source"/>
      </w:pPr>
      <w:r w:rsidRPr="0055572F">
        <w:t>Industry currency list taken from Toze &amp; Tierney 2010</w:t>
      </w:r>
    </w:p>
    <w:p w14:paraId="31A939D1" w14:textId="77777777" w:rsidR="0055572F" w:rsidRPr="0055572F" w:rsidRDefault="0055572F" w:rsidP="00C16179">
      <w:pPr>
        <w:pStyle w:val="Heading5"/>
      </w:pPr>
      <w:r w:rsidRPr="0055572F">
        <w:t>Benefits of continuing professional development to training providers</w:t>
      </w:r>
    </w:p>
    <w:p w14:paraId="441BC3FE" w14:textId="77777777" w:rsidR="0055572F" w:rsidRPr="0055572F" w:rsidRDefault="0055572F" w:rsidP="0055572F">
      <w:pPr>
        <w:pStyle w:val="Text"/>
      </w:pPr>
      <w:r w:rsidRPr="0055572F">
        <w:t xml:space="preserve">Training providers enjoy many benefits from VET teachers participating in continuing professional development. Firstly, teachers implement what they learn into </w:t>
      </w:r>
      <w:r w:rsidRPr="0055572F" w:rsidDel="00E63CE8">
        <w:t xml:space="preserve">more contemporary teaching </w:t>
      </w:r>
      <w:r w:rsidRPr="0055572F">
        <w:t xml:space="preserve">practices, which can improve the marketplace competitiveness of the RTO (Ward &amp; Rodd 2024). Implementing these new teaching practices can support delivery to more diverse cohorts of learners (Stevens &amp; Deschepper 2018). Furthermore, there is the potential for productivity gains for RTOs whose VET teachers regularly participate in professional development (Ward &amp; Rodd 2024). RTOs may also benefit through increased retention of teaching staff, which is valuable in the context of a VET teacher shortage (JSA 2024a; Ward &amp; Rodd 2024). </w:t>
      </w:r>
    </w:p>
    <w:p w14:paraId="783AC288" w14:textId="77777777" w:rsidR="0055572F" w:rsidRPr="0055572F" w:rsidRDefault="0055572F" w:rsidP="0055572F">
      <w:pPr>
        <w:pStyle w:val="Text"/>
      </w:pPr>
      <w:r w:rsidRPr="0055572F">
        <w:t xml:space="preserve">Finally, support and investment in the professional development of VET teachers can lead to an overall increase in the quality of the education and training offered by the RTO, as well as improved outcomes for learners (Stevens &amp; Deschepper 2018). </w:t>
      </w:r>
    </w:p>
    <w:p w14:paraId="18881F86" w14:textId="77777777" w:rsidR="00C66BA9" w:rsidRDefault="00C66BA9" w:rsidP="00C16179">
      <w:pPr>
        <w:pStyle w:val="Heading5"/>
      </w:pPr>
    </w:p>
    <w:p w14:paraId="4E28C3B8" w14:textId="77777777" w:rsidR="00C66BA9" w:rsidRDefault="00C66BA9" w:rsidP="00C16179">
      <w:pPr>
        <w:pStyle w:val="Heading5"/>
      </w:pPr>
    </w:p>
    <w:p w14:paraId="0145E4C1" w14:textId="46733E45" w:rsidR="0055572F" w:rsidRPr="0055572F" w:rsidRDefault="0055572F" w:rsidP="00C16179">
      <w:pPr>
        <w:pStyle w:val="Heading5"/>
      </w:pPr>
      <w:r w:rsidRPr="0055572F">
        <w:t>Topics within professional development</w:t>
      </w:r>
    </w:p>
    <w:p w14:paraId="716571A3" w14:textId="11BDEAFD" w:rsidR="0055572F" w:rsidRPr="0055572F" w:rsidRDefault="0055572F" w:rsidP="0055572F">
      <w:pPr>
        <w:pStyle w:val="Text"/>
      </w:pPr>
      <w:r w:rsidRPr="0055572F">
        <w:t>Through a national survey of VET teachers focused on professional development on ‘VET teachers: qualifications and quality’, Tuck and Smith (2017, p.11) identified areas where these teachers desire</w:t>
      </w:r>
      <w:r w:rsidR="00665127">
        <w:t>d</w:t>
      </w:r>
      <w:r w:rsidRPr="0055572F">
        <w:t xml:space="preserve"> professional development. In order of preference, they were: </w:t>
      </w:r>
    </w:p>
    <w:p w14:paraId="5BC57CE4" w14:textId="77777777" w:rsidR="0055572F" w:rsidRPr="0055572F" w:rsidRDefault="0055572F" w:rsidP="00F91B5E">
      <w:pPr>
        <w:pStyle w:val="Text"/>
        <w:numPr>
          <w:ilvl w:val="0"/>
          <w:numId w:val="15"/>
        </w:numPr>
      </w:pPr>
      <w:r w:rsidRPr="0055572F">
        <w:t>Managing and engaging students, including:</w:t>
      </w:r>
    </w:p>
    <w:p w14:paraId="425513D0" w14:textId="77777777" w:rsidR="0055572F" w:rsidRPr="0055572F" w:rsidRDefault="0055572F" w:rsidP="00F91B5E">
      <w:pPr>
        <w:pStyle w:val="Text"/>
        <w:numPr>
          <w:ilvl w:val="1"/>
          <w:numId w:val="15"/>
        </w:numPr>
      </w:pPr>
      <w:r w:rsidRPr="0055572F">
        <w:t>challenging students</w:t>
      </w:r>
    </w:p>
    <w:p w14:paraId="54E5FC5C" w14:textId="77777777" w:rsidR="0055572F" w:rsidRPr="0055572F" w:rsidRDefault="0055572F" w:rsidP="00F91B5E">
      <w:pPr>
        <w:pStyle w:val="Text"/>
        <w:numPr>
          <w:ilvl w:val="1"/>
          <w:numId w:val="15"/>
        </w:numPr>
      </w:pPr>
      <w:r w:rsidRPr="0055572F">
        <w:t>mixed ability groups</w:t>
      </w:r>
    </w:p>
    <w:p w14:paraId="160F418C" w14:textId="77777777" w:rsidR="0055572F" w:rsidRPr="0055572F" w:rsidRDefault="0055572F" w:rsidP="00F91B5E">
      <w:pPr>
        <w:pStyle w:val="Text"/>
        <w:numPr>
          <w:ilvl w:val="1"/>
          <w:numId w:val="15"/>
        </w:numPr>
      </w:pPr>
      <w:r w:rsidRPr="0055572F">
        <w:t>issues of language</w:t>
      </w:r>
    </w:p>
    <w:p w14:paraId="62524F74" w14:textId="77777777" w:rsidR="0055572F" w:rsidRPr="0055572F" w:rsidRDefault="0055572F" w:rsidP="00F91B5E">
      <w:pPr>
        <w:pStyle w:val="Text"/>
        <w:numPr>
          <w:ilvl w:val="1"/>
          <w:numId w:val="15"/>
        </w:numPr>
      </w:pPr>
      <w:r w:rsidRPr="0055572F">
        <w:t>literacy and numeracy (LLN)</w:t>
      </w:r>
    </w:p>
    <w:p w14:paraId="0ABF0CCE" w14:textId="77777777" w:rsidR="0055572F" w:rsidRPr="0055572F" w:rsidRDefault="0055572F" w:rsidP="00F91B5E">
      <w:pPr>
        <w:pStyle w:val="Text"/>
        <w:numPr>
          <w:ilvl w:val="1"/>
          <w:numId w:val="15"/>
        </w:numPr>
      </w:pPr>
      <w:r w:rsidRPr="0055572F">
        <w:t>international/non-English speaking students</w:t>
      </w:r>
    </w:p>
    <w:p w14:paraId="5E5AF162" w14:textId="77777777" w:rsidR="0055572F" w:rsidRPr="0055572F" w:rsidRDefault="0055572F" w:rsidP="00F91B5E">
      <w:pPr>
        <w:pStyle w:val="Text"/>
        <w:numPr>
          <w:ilvl w:val="1"/>
          <w:numId w:val="15"/>
        </w:numPr>
      </w:pPr>
      <w:r w:rsidRPr="0055572F">
        <w:t>mental health issues</w:t>
      </w:r>
    </w:p>
    <w:p w14:paraId="61EB1F6E" w14:textId="77777777" w:rsidR="0055572F" w:rsidRPr="0055572F" w:rsidRDefault="0055572F" w:rsidP="00F91B5E">
      <w:pPr>
        <w:pStyle w:val="Text"/>
        <w:numPr>
          <w:ilvl w:val="0"/>
          <w:numId w:val="15"/>
        </w:numPr>
      </w:pPr>
      <w:r w:rsidRPr="0055572F">
        <w:t>Assessment and validation</w:t>
      </w:r>
    </w:p>
    <w:p w14:paraId="1421AF35" w14:textId="77777777" w:rsidR="0055572F" w:rsidRPr="0055572F" w:rsidRDefault="0055572F" w:rsidP="00F91B5E">
      <w:pPr>
        <w:pStyle w:val="Text"/>
        <w:numPr>
          <w:ilvl w:val="0"/>
          <w:numId w:val="15"/>
        </w:numPr>
      </w:pPr>
      <w:r w:rsidRPr="0055572F">
        <w:t>Compliance</w:t>
      </w:r>
    </w:p>
    <w:p w14:paraId="6B4B3B79" w14:textId="77777777" w:rsidR="0055572F" w:rsidRPr="0055572F" w:rsidRDefault="0055572F" w:rsidP="00F91B5E">
      <w:pPr>
        <w:pStyle w:val="Text"/>
        <w:numPr>
          <w:ilvl w:val="0"/>
          <w:numId w:val="15"/>
        </w:numPr>
      </w:pPr>
      <w:r w:rsidRPr="0055572F">
        <w:t>IT, technology and online delivery</w:t>
      </w:r>
    </w:p>
    <w:p w14:paraId="40358C24" w14:textId="77777777" w:rsidR="0055572F" w:rsidRPr="0055572F" w:rsidRDefault="0055572F" w:rsidP="00F91B5E">
      <w:pPr>
        <w:pStyle w:val="Text"/>
        <w:numPr>
          <w:ilvl w:val="0"/>
          <w:numId w:val="15"/>
        </w:numPr>
      </w:pPr>
      <w:r w:rsidRPr="0055572F">
        <w:t>General VET systems</w:t>
      </w:r>
    </w:p>
    <w:p w14:paraId="614E0C3B" w14:textId="77777777" w:rsidR="0055572F" w:rsidRPr="0055572F" w:rsidRDefault="0055572F" w:rsidP="00F91B5E">
      <w:pPr>
        <w:pStyle w:val="Text"/>
        <w:numPr>
          <w:ilvl w:val="0"/>
          <w:numId w:val="15"/>
        </w:numPr>
      </w:pPr>
      <w:r w:rsidRPr="0055572F">
        <w:t>Industry related content</w:t>
      </w:r>
    </w:p>
    <w:p w14:paraId="0A381465" w14:textId="77777777" w:rsidR="0055572F" w:rsidRPr="0055572F" w:rsidRDefault="0055572F" w:rsidP="00F91B5E">
      <w:pPr>
        <w:pStyle w:val="Text"/>
        <w:numPr>
          <w:ilvl w:val="0"/>
          <w:numId w:val="15"/>
        </w:numPr>
      </w:pPr>
      <w:r w:rsidRPr="0055572F">
        <w:t>General professional development (i.e. workplace health and safety, time management, etc.)</w:t>
      </w:r>
    </w:p>
    <w:p w14:paraId="24731BD1" w14:textId="77777777" w:rsidR="0055572F" w:rsidRPr="0055572F" w:rsidRDefault="0055572F" w:rsidP="00F91B5E">
      <w:pPr>
        <w:pStyle w:val="Text"/>
        <w:numPr>
          <w:ilvl w:val="0"/>
          <w:numId w:val="15"/>
        </w:numPr>
      </w:pPr>
      <w:r w:rsidRPr="0055572F">
        <w:t>Leadership skills.</w:t>
      </w:r>
    </w:p>
    <w:p w14:paraId="6EFEF272" w14:textId="14159C42" w:rsidR="0055572F" w:rsidRPr="0055572F" w:rsidRDefault="0055572F" w:rsidP="0055572F">
      <w:pPr>
        <w:pStyle w:val="Text"/>
      </w:pPr>
      <w:r w:rsidRPr="0055572F">
        <w:t>The preference for learning more about supporting and engaging students seems to relate to the diversity amongst students who undertake VET studies and may reflect a growing awareness of</w:t>
      </w:r>
      <w:r w:rsidR="00BD18C5">
        <w:t>,</w:t>
      </w:r>
      <w:r w:rsidRPr="0055572F">
        <w:t xml:space="preserve"> and interest in</w:t>
      </w:r>
      <w:r w:rsidR="00BD18C5">
        <w:t>,</w:t>
      </w:r>
      <w:r w:rsidRPr="0055572F">
        <w:t xml:space="preserve"> psychosocial impacts on the classroom.</w:t>
      </w:r>
    </w:p>
    <w:p w14:paraId="45A7F13B" w14:textId="77777777" w:rsidR="0055572F" w:rsidRPr="0055572F" w:rsidRDefault="0055572F" w:rsidP="0055572F">
      <w:pPr>
        <w:pStyle w:val="Text"/>
      </w:pPr>
      <w:r w:rsidRPr="0055572F">
        <w:t>The above list, which is only a snapshot of available professional development topics, highlights the breadth and depth of professional development available to VET teachers. Areas for further investigation could include:</w:t>
      </w:r>
    </w:p>
    <w:p w14:paraId="56DE3AFA" w14:textId="77777777" w:rsidR="0055572F" w:rsidRPr="0055572F" w:rsidRDefault="0055572F" w:rsidP="00C16179">
      <w:pPr>
        <w:pStyle w:val="Dotpoint1"/>
      </w:pPr>
      <w:r w:rsidRPr="0055572F">
        <w:t>How are VET teachers accessing the right training for their needs?</w:t>
      </w:r>
    </w:p>
    <w:p w14:paraId="26895ACB" w14:textId="77777777" w:rsidR="0055572F" w:rsidRPr="0055572F" w:rsidRDefault="0055572F" w:rsidP="00C16179">
      <w:pPr>
        <w:pStyle w:val="Dotpoint1"/>
      </w:pPr>
      <w:r w:rsidRPr="0055572F">
        <w:t>How well do these preferences match with actual need?</w:t>
      </w:r>
    </w:p>
    <w:p w14:paraId="7E6CECA4" w14:textId="77777777" w:rsidR="0055572F" w:rsidRPr="0055572F" w:rsidRDefault="0055572F" w:rsidP="00C16179">
      <w:pPr>
        <w:pStyle w:val="Dotpoint1"/>
      </w:pPr>
      <w:r w:rsidRPr="0055572F">
        <w:t xml:space="preserve">How do teachers assess their skill gaps? </w:t>
      </w:r>
    </w:p>
    <w:p w14:paraId="33BF5A0C" w14:textId="77777777" w:rsidR="0055572F" w:rsidRPr="0055572F" w:rsidRDefault="0055572F" w:rsidP="00C16179">
      <w:pPr>
        <w:pStyle w:val="Dotpoint1"/>
      </w:pPr>
      <w:r w:rsidRPr="0055572F">
        <w:t>How are capability frameworks and self-assessment tools used?</w:t>
      </w:r>
    </w:p>
    <w:p w14:paraId="4EEE4B9C" w14:textId="77777777" w:rsidR="0055572F" w:rsidRPr="0055572F" w:rsidRDefault="0055572F" w:rsidP="0055572F">
      <w:pPr>
        <w:pStyle w:val="Text"/>
      </w:pPr>
      <w:r w:rsidRPr="0055572F">
        <w:t xml:space="preserve">Exploring questions such as these with VET teachers and training providers will reveal how professional development can build upon the skills and knowledge developed through the </w:t>
      </w:r>
      <w:r w:rsidRPr="0055572F">
        <w:lastRenderedPageBreak/>
        <w:t>Certificate IV in Training and Assessment. Additionally, given that not all teachers have the same skills and knowledge gaps, equipping providers and teachers with tools or methodologies to identify individual needs is expected be useful. Exploring this topic with VET teachers will provide insight into how to best support the needs of the diverse VET teacher workforce in Australia.</w:t>
      </w:r>
    </w:p>
    <w:p w14:paraId="26D783EE" w14:textId="5CC17F80" w:rsidR="0055572F" w:rsidRPr="0055572F" w:rsidRDefault="0055572F" w:rsidP="00C16179">
      <w:pPr>
        <w:pStyle w:val="Heading4"/>
      </w:pPr>
      <w:r w:rsidRPr="0055572F">
        <w:t xml:space="preserve">Accessibility of professional development opportunities </w:t>
      </w:r>
    </w:p>
    <w:p w14:paraId="34ECF649" w14:textId="77777777" w:rsidR="0055572F" w:rsidRPr="0055572F" w:rsidRDefault="0055572F" w:rsidP="00C16179">
      <w:pPr>
        <w:pStyle w:val="Heading5"/>
      </w:pPr>
      <w:r w:rsidRPr="0055572F">
        <w:t xml:space="preserve">Regulatory requirements </w:t>
      </w:r>
    </w:p>
    <w:p w14:paraId="01B12A89" w14:textId="204B35A4" w:rsidR="0055572F" w:rsidRDefault="0055572F" w:rsidP="0055572F">
      <w:pPr>
        <w:pStyle w:val="Text"/>
      </w:pPr>
      <w:r w:rsidRPr="0055572F">
        <w:t xml:space="preserve">The </w:t>
      </w:r>
      <w:r w:rsidR="00444612">
        <w:t xml:space="preserve">2025 Standards for RTOs </w:t>
      </w:r>
      <w:r w:rsidRPr="0055572F">
        <w:t xml:space="preserve">highlight that RTOs need to ensure that training and assessment is delivered by appropriately qualified and skilled people who also have relevant current industry skills and knowledge (Standard 3.2 and 3.3). Furthermore, the performance indicators associated with the Standards go as far to include ‘how [the RTO] ensures all trainers and assessors undertake continuing professional development to maintain current skills and knowledge in training and assessment, including skills and knowledge relating to engaging and supporting VET </w:t>
      </w:r>
      <w:proofErr w:type="gramStart"/>
      <w:r w:rsidRPr="0055572F">
        <w:t>students’</w:t>
      </w:r>
      <w:proofErr w:type="gramEnd"/>
      <w:r w:rsidRPr="0055572F">
        <w:t>. This places some of the onus on the employing RTO to ensure their VET teachers are maintaining skills through continuing professional development.</w:t>
      </w:r>
    </w:p>
    <w:p w14:paraId="5B5727F0" w14:textId="77777777" w:rsidR="0055572F" w:rsidRPr="0055572F" w:rsidRDefault="0055572F" w:rsidP="00C977B3">
      <w:pPr>
        <w:pStyle w:val="Heading4"/>
      </w:pPr>
      <w:r w:rsidRPr="0055572F">
        <w:t>Factors influencing the need for and access to professional development activities</w:t>
      </w:r>
    </w:p>
    <w:p w14:paraId="39A41246" w14:textId="77777777" w:rsidR="0055572F" w:rsidRPr="0055572F" w:rsidRDefault="0055572F" w:rsidP="00C16179">
      <w:pPr>
        <w:pStyle w:val="Heading5"/>
      </w:pPr>
      <w:r w:rsidRPr="0055572F">
        <w:t>Cost</w:t>
      </w:r>
    </w:p>
    <w:p w14:paraId="665DC7CB" w14:textId="77777777" w:rsidR="0055572F" w:rsidRPr="0055572F" w:rsidRDefault="0055572F" w:rsidP="0055572F">
      <w:pPr>
        <w:pStyle w:val="Text"/>
      </w:pPr>
      <w:r w:rsidRPr="0055572F">
        <w:t xml:space="preserve">Financial constraints are considered one of the major barriers to participation in professional development (Schmidt 2019). Some studies suggest RTOs favour lower-cost professional development options to reduce the financial burden on the business (Ward &amp; Rodd 2024). Others take the position that funding cuts to the VET sector over the past decade or so have meant that RTOs have fewer resources available to fund professional development, leading to VET teachers taking more responsibility for funding their own professional development (Tuck &amp; Smith 2017). </w:t>
      </w:r>
    </w:p>
    <w:p w14:paraId="36C691B6" w14:textId="0CC60064" w:rsidR="0055572F" w:rsidRPr="0055572F" w:rsidRDefault="0055572F" w:rsidP="0055572F">
      <w:pPr>
        <w:pStyle w:val="Text"/>
      </w:pPr>
      <w:r w:rsidRPr="0055572F">
        <w:t xml:space="preserve">In a 2016 national survey of the professional development activities of VET teachers, 80% of participants reported that they are contributing at least partly to the associated costs (Tuck &amp; Smith 2017). </w:t>
      </w:r>
      <w:r w:rsidR="00456992" w:rsidRPr="00456992">
        <w:t>Over a third (35%) of TAFE teachers and 40% of private provider teachers reported mainly or wholly funding their own professional development, compared with 5% of teachers at enterprise RTOs (Tuck &amp; Smith 2017). The survey did not explore the specific types of professional development being funded, meaning the extent to which these costs related to mandatory training, professional learning activities, or formal qualifications</w:t>
      </w:r>
      <w:r w:rsidR="000F798B">
        <w:t xml:space="preserve"> </w:t>
      </w:r>
      <w:r w:rsidR="00456992" w:rsidRPr="00456992">
        <w:t>is unclear.</w:t>
      </w:r>
      <w:r w:rsidR="00C5056B">
        <w:t xml:space="preserve"> </w:t>
      </w:r>
      <w:r w:rsidR="004A75FB">
        <w:t>It is worth acknowledging that s</w:t>
      </w:r>
      <w:r w:rsidR="006B4F87">
        <w:t xml:space="preserve">ome professional development activities, such as undertaking a PhD, might not reasonably expected to be funded by the training provider. </w:t>
      </w:r>
      <w:r w:rsidRPr="0055572F">
        <w:t>Other studies report similar patterns</w:t>
      </w:r>
      <w:r w:rsidR="00812CC6">
        <w:t xml:space="preserve"> of t</w:t>
      </w:r>
      <w:r w:rsidRPr="0055572F">
        <w:t>eachers funding professional development activities they undertake (Schmidt 2019</w:t>
      </w:r>
      <w:r w:rsidR="00812CC6">
        <w:t xml:space="preserve">, </w:t>
      </w:r>
      <w:r w:rsidRPr="0055572F">
        <w:t>Ward and Rodd 2024)</w:t>
      </w:r>
      <w:r w:rsidR="00812CC6">
        <w:t>.</w:t>
      </w:r>
      <w:r w:rsidRPr="0055572F">
        <w:t xml:space="preserve"> </w:t>
      </w:r>
    </w:p>
    <w:p w14:paraId="7AD0BA39" w14:textId="77777777" w:rsidR="0055572F" w:rsidRPr="0055572F" w:rsidRDefault="0055572F" w:rsidP="00C16179">
      <w:pPr>
        <w:pStyle w:val="Heading5"/>
      </w:pPr>
      <w:r w:rsidRPr="0055572F">
        <w:t>Time release</w:t>
      </w:r>
    </w:p>
    <w:p w14:paraId="34850502" w14:textId="23973B36" w:rsidR="0055572F" w:rsidRPr="0055572F" w:rsidRDefault="0055572F" w:rsidP="0055572F">
      <w:pPr>
        <w:pStyle w:val="Text"/>
      </w:pPr>
      <w:r w:rsidRPr="0055572F">
        <w:t xml:space="preserve">Another key barrier to participation in professional development activities is </w:t>
      </w:r>
      <w:r w:rsidR="00457DEA">
        <w:t xml:space="preserve">the challenge of </w:t>
      </w:r>
      <w:r w:rsidRPr="0055572F">
        <w:t xml:space="preserve">finding time away from teaching duties. Very few VET teachers (6%) report that all their professional development activities are undertaken in work time (Tuck &amp; Smith 2017). On the </w:t>
      </w:r>
      <w:r w:rsidRPr="0055572F">
        <w:lastRenderedPageBreak/>
        <w:t>other hand, 34% of TAFE teachers and 39% of teachers from private providers report that they undertook professional development either mainly or wholly in their own time; with this figure dropping to 2% for enterprise RTOs (Tuck &amp; Smith 2017).</w:t>
      </w:r>
      <w:r w:rsidR="00765161">
        <w:t xml:space="preserve"> </w:t>
      </w:r>
      <w:r w:rsidR="000972DE">
        <w:t>It is worth highlighting that the survey covered both formal and informal professional development activities but did not explore which types of professional development are occurring within or outside of work time</w:t>
      </w:r>
      <w:r w:rsidR="00E73441">
        <w:t xml:space="preserve"> (and so, it is not unreasonable to </w:t>
      </w:r>
      <w:r w:rsidR="00FE62AA">
        <w:t>assume that activities such as ‘own reading’ may occur in non-work</w:t>
      </w:r>
      <w:r w:rsidR="00FB4534">
        <w:t xml:space="preserve"> </w:t>
      </w:r>
      <w:r w:rsidR="00FE62AA">
        <w:t>time).</w:t>
      </w:r>
      <w:r w:rsidR="00364AEE">
        <w:t xml:space="preserve"> </w:t>
      </w:r>
      <w:r w:rsidR="000972DE">
        <w:t xml:space="preserve"> </w:t>
      </w:r>
      <w:r w:rsidR="00B015A7">
        <w:t>T</w:t>
      </w:r>
      <w:r w:rsidR="00765161">
        <w:t xml:space="preserve">hese data were collected in </w:t>
      </w:r>
      <w:proofErr w:type="gramStart"/>
      <w:r w:rsidR="00765161">
        <w:t>2016</w:t>
      </w:r>
      <w:proofErr w:type="gramEnd"/>
      <w:r w:rsidR="00B015A7">
        <w:t xml:space="preserve"> and i</w:t>
      </w:r>
      <w:r w:rsidR="00356DCF">
        <w:t>t</w:t>
      </w:r>
      <w:r w:rsidR="00B015A7">
        <w:t xml:space="preserve"> </w:t>
      </w:r>
      <w:r w:rsidR="00C43CAF">
        <w:t xml:space="preserve">would be </w:t>
      </w:r>
      <w:r w:rsidR="00356DCF">
        <w:t>informative</w:t>
      </w:r>
      <w:r w:rsidR="00C43CAF">
        <w:t xml:space="preserve"> to </w:t>
      </w:r>
      <w:r w:rsidR="00356DCF">
        <w:t xml:space="preserve">see updated data, </w:t>
      </w:r>
      <w:r w:rsidR="00B30A90">
        <w:t>noting that t</w:t>
      </w:r>
      <w:r w:rsidR="00B30A90" w:rsidRPr="0055572F">
        <w:t xml:space="preserve">he VET Workforce Blueprint (Skills and Workforce Ministerial Council 2024) also identifies backfilling and time release for professional development activities as a </w:t>
      </w:r>
      <w:r w:rsidR="00B30A90">
        <w:t xml:space="preserve">current </w:t>
      </w:r>
      <w:r w:rsidR="00B30A90" w:rsidRPr="0055572F">
        <w:t>challenge for training organisations.</w:t>
      </w:r>
    </w:p>
    <w:p w14:paraId="6E1DF192" w14:textId="36C56C5B" w:rsidR="0055572F" w:rsidRPr="0055572F" w:rsidRDefault="0055572F" w:rsidP="0055572F">
      <w:pPr>
        <w:pStyle w:val="Text"/>
      </w:pPr>
      <w:r w:rsidRPr="0055572F">
        <w:t xml:space="preserve">Another study found that even in instances where a training provider has a policy in place around continuing professional development, work commitments and time constraints meant that the activities planned </w:t>
      </w:r>
      <w:r w:rsidR="00C43CAF">
        <w:t>did not always occur</w:t>
      </w:r>
      <w:r w:rsidRPr="0055572F">
        <w:t xml:space="preserve"> (Schmidt 2019). Additionally, the administrative burden relating to meeting regulatory requirements, such as compliance and reporting, negatively impacts on the time that teachers have available for participation in professional development (Schmidt 2019). Tyler and Dymock (2017) have also found that issues with time release extend to industry currency and difficulties with accessing industry secondments. </w:t>
      </w:r>
    </w:p>
    <w:p w14:paraId="0DC951B2" w14:textId="77777777" w:rsidR="0055572F" w:rsidRPr="0055572F" w:rsidRDefault="0055572F" w:rsidP="00C16179">
      <w:pPr>
        <w:pStyle w:val="Heading5"/>
      </w:pPr>
      <w:r w:rsidRPr="0055572F">
        <w:t>RTO type and size</w:t>
      </w:r>
    </w:p>
    <w:p w14:paraId="7F4FE39D" w14:textId="5F696A70" w:rsidR="0055572F" w:rsidRPr="0055572F" w:rsidRDefault="0055572F" w:rsidP="0055572F">
      <w:pPr>
        <w:pStyle w:val="Text"/>
      </w:pPr>
      <w:r w:rsidRPr="0055572F">
        <w:t xml:space="preserve">The type of RTO and its size </w:t>
      </w:r>
      <w:r w:rsidR="00F94BA0">
        <w:t>can also influence</w:t>
      </w:r>
      <w:r w:rsidRPr="0055572F">
        <w:t xml:space="preserve"> how professional development is supported and funded. Some of the differences between public, private and enterprise RTOs have already been identified above, with more enterprise RTOs funding teachers’ professional development and providing access to training in work time (Tuck &amp; Smith 2017). Enterprise RTOs are also more likely to support professional development related to industry areas (52%), while TAFEs support higher levels of professional development related to teaching and assessment (50%) (Tuck &amp; Smith 2017). </w:t>
      </w:r>
    </w:p>
    <w:p w14:paraId="36DC08F4" w14:textId="77777777" w:rsidR="0055572F" w:rsidRPr="0055572F" w:rsidRDefault="0055572F" w:rsidP="0055572F">
      <w:pPr>
        <w:pStyle w:val="Text"/>
      </w:pPr>
      <w:r w:rsidRPr="0055572F">
        <w:t>Other findings from Tuck and Smith (2017) include that private providers were perceived as ‘totally’ valuing professional development (42%) compared with enterprise RTOs (27%) and TAFEs (22%). Enterprises RTOs were also more likely to be perceived by teachers as supporting professional development because it was related to compliance (39%) compared with TAFEs (30%) and private providers (24%) (Tuck &amp; Smith 2017).</w:t>
      </w:r>
    </w:p>
    <w:p w14:paraId="3250497D" w14:textId="77777777" w:rsidR="0055572F" w:rsidRPr="0055572F" w:rsidRDefault="0055572F" w:rsidP="0055572F">
      <w:pPr>
        <w:pStyle w:val="Text"/>
      </w:pPr>
      <w:r w:rsidRPr="0055572F">
        <w:t xml:space="preserve">The size and context of an RTO may inform how the leadership chooses to support professional development. Larger RTOs seem more likely to have policies and procedures in place guiding professional development, ensuring a systematic approach and a greater capacity to deliver professional activities (Schmidt 2019; Tuck &amp; Smith 2017; Tyler &amp; Dymock 2017). Stevens and Deschepper (2018) noted that the size and type of training provider can influence their ability to allocate budget to professional development and that larger providers may be more able to provide in-house training. </w:t>
      </w:r>
    </w:p>
    <w:p w14:paraId="4D2019E0" w14:textId="4ED4B521" w:rsidR="0055572F" w:rsidRPr="0055572F" w:rsidRDefault="0055572F" w:rsidP="00C16179">
      <w:pPr>
        <w:pStyle w:val="Heading5"/>
      </w:pPr>
      <w:r w:rsidRPr="0055572F">
        <w:t>Level of teaching experience — novice versus more experienced teachers</w:t>
      </w:r>
    </w:p>
    <w:p w14:paraId="638D7B91" w14:textId="215C696E" w:rsidR="0055572F" w:rsidRDefault="00FB0B50" w:rsidP="0055572F">
      <w:pPr>
        <w:pStyle w:val="Text"/>
      </w:pPr>
      <w:r w:rsidRPr="00FB0B50">
        <w:t>A key theme emerging from the literature is that teaching experience plays an important role in shaping the professional development requirements of VET teachers.</w:t>
      </w:r>
      <w:r>
        <w:t xml:space="preserve"> </w:t>
      </w:r>
      <w:r w:rsidR="0055572F" w:rsidRPr="0055572F">
        <w:t xml:space="preserve">Dening (2016) outlines </w:t>
      </w:r>
      <w:r w:rsidR="0055572F" w:rsidRPr="0055572F">
        <w:lastRenderedPageBreak/>
        <w:t xml:space="preserve">the professional development activities used for different levels of teachers within Regional TAFE SA as part of a workplace development initiative (table </w:t>
      </w:r>
      <w:r w:rsidR="00C66BA9">
        <w:t>6</w:t>
      </w:r>
      <w:r w:rsidR="0055572F" w:rsidRPr="0055572F">
        <w:t>).</w:t>
      </w:r>
    </w:p>
    <w:p w14:paraId="79B63E31" w14:textId="77777777" w:rsidR="00523616" w:rsidRDefault="00523616" w:rsidP="00C16179">
      <w:pPr>
        <w:pStyle w:val="Tablehead1"/>
      </w:pPr>
    </w:p>
    <w:p w14:paraId="45CA57AC" w14:textId="32EE0514" w:rsidR="0055572F" w:rsidRPr="00304F5C" w:rsidRDefault="0055572F" w:rsidP="00304F5C">
      <w:pPr>
        <w:pStyle w:val="Tablehead1"/>
      </w:pPr>
      <w:r w:rsidRPr="00304F5C">
        <w:t xml:space="preserve">Table </w:t>
      </w:r>
      <w:r w:rsidR="00C66BA9" w:rsidRPr="00304F5C">
        <w:t>6</w:t>
      </w:r>
      <w:r w:rsidRPr="00304F5C">
        <w:t xml:space="preserve"> Professional development activities by teaching experience</w:t>
      </w:r>
    </w:p>
    <w:tbl>
      <w:tblPr>
        <w:tblStyle w:val="TableGrid"/>
        <w:tblW w:w="0" w:type="auto"/>
        <w:tblBorders>
          <w:top w:val="none" w:sz="12" w:space="0" w:color="0F112A" w:themeColor="text1"/>
          <w:left w:val="none" w:sz="12" w:space="0" w:color="0F112A" w:themeColor="text1"/>
          <w:bottom w:val="none" w:sz="12" w:space="0" w:color="0F112A" w:themeColor="text1"/>
          <w:right w:val="none" w:sz="12" w:space="0" w:color="0F112A" w:themeColor="text1"/>
          <w:insideH w:val="none" w:sz="12" w:space="0" w:color="0F112A" w:themeColor="text1"/>
          <w:insideV w:val="none" w:sz="12" w:space="0" w:color="0F112A" w:themeColor="text1"/>
        </w:tblBorders>
        <w:tblLayout w:type="fixed"/>
        <w:tblLook w:val="06A0" w:firstRow="1" w:lastRow="0" w:firstColumn="1" w:lastColumn="0" w:noHBand="1" w:noVBand="1"/>
      </w:tblPr>
      <w:tblGrid>
        <w:gridCol w:w="3020"/>
        <w:gridCol w:w="3020"/>
        <w:gridCol w:w="3020"/>
      </w:tblGrid>
      <w:tr w:rsidR="0055572F" w:rsidRPr="0055572F" w14:paraId="05279778" w14:textId="77777777" w:rsidTr="00012970">
        <w:trPr>
          <w:trHeight w:val="300"/>
        </w:trPr>
        <w:tc>
          <w:tcPr>
            <w:tcW w:w="3020" w:type="dxa"/>
            <w:tcBorders>
              <w:top w:val="single" w:sz="12" w:space="0" w:color="0F112A" w:themeColor="text1"/>
              <w:bottom w:val="single" w:sz="12" w:space="0" w:color="0F112A" w:themeColor="text1"/>
            </w:tcBorders>
          </w:tcPr>
          <w:p w14:paraId="7E922DD5" w14:textId="77777777" w:rsidR="0055572F" w:rsidRPr="0055572F" w:rsidRDefault="0055572F" w:rsidP="00C16179">
            <w:pPr>
              <w:pStyle w:val="Tablehead1"/>
            </w:pPr>
            <w:r w:rsidRPr="0055572F">
              <w:t>Novices</w:t>
            </w:r>
          </w:p>
        </w:tc>
        <w:tc>
          <w:tcPr>
            <w:tcW w:w="3020" w:type="dxa"/>
            <w:tcBorders>
              <w:top w:val="single" w:sz="12" w:space="0" w:color="0F112A" w:themeColor="text1"/>
              <w:bottom w:val="single" w:sz="12" w:space="0" w:color="0F112A" w:themeColor="text1"/>
            </w:tcBorders>
          </w:tcPr>
          <w:p w14:paraId="48F5481A" w14:textId="77777777" w:rsidR="0055572F" w:rsidRPr="0055572F" w:rsidRDefault="0055572F" w:rsidP="00C16179">
            <w:pPr>
              <w:pStyle w:val="Tablehead1"/>
            </w:pPr>
            <w:r w:rsidRPr="0055572F">
              <w:t>Established and/or specialised</w:t>
            </w:r>
          </w:p>
        </w:tc>
        <w:tc>
          <w:tcPr>
            <w:tcW w:w="3020" w:type="dxa"/>
            <w:tcBorders>
              <w:top w:val="single" w:sz="12" w:space="0" w:color="0F112A" w:themeColor="text1"/>
              <w:bottom w:val="single" w:sz="12" w:space="0" w:color="0F112A" w:themeColor="text1"/>
            </w:tcBorders>
          </w:tcPr>
          <w:p w14:paraId="04DBF3E0" w14:textId="77777777" w:rsidR="0055572F" w:rsidRPr="0055572F" w:rsidRDefault="0055572F" w:rsidP="00C16179">
            <w:pPr>
              <w:pStyle w:val="Tablehead1"/>
            </w:pPr>
            <w:r w:rsidRPr="0055572F">
              <w:t>Team/faculty level</w:t>
            </w:r>
          </w:p>
        </w:tc>
      </w:tr>
      <w:tr w:rsidR="0055572F" w:rsidRPr="0055572F" w14:paraId="1A8497F2" w14:textId="77777777" w:rsidTr="00012970">
        <w:trPr>
          <w:trHeight w:val="300"/>
        </w:trPr>
        <w:tc>
          <w:tcPr>
            <w:tcW w:w="3020" w:type="dxa"/>
            <w:tcBorders>
              <w:top w:val="single" w:sz="12" w:space="0" w:color="0F112A" w:themeColor="text1"/>
            </w:tcBorders>
          </w:tcPr>
          <w:p w14:paraId="5AEA87D2" w14:textId="77777777" w:rsidR="0055572F" w:rsidRPr="0055572F" w:rsidRDefault="0055572F" w:rsidP="00C16179">
            <w:pPr>
              <w:pStyle w:val="Tabletext"/>
            </w:pPr>
            <w:r w:rsidRPr="0055572F">
              <w:t>Compulsory induction to teaching and learning program</w:t>
            </w:r>
          </w:p>
        </w:tc>
        <w:tc>
          <w:tcPr>
            <w:tcW w:w="3020" w:type="dxa"/>
            <w:tcBorders>
              <w:top w:val="single" w:sz="12" w:space="0" w:color="0F112A" w:themeColor="text1"/>
            </w:tcBorders>
          </w:tcPr>
          <w:p w14:paraId="72696A17" w14:textId="77777777" w:rsidR="0055572F" w:rsidRPr="0055572F" w:rsidRDefault="0055572F" w:rsidP="00C16179">
            <w:pPr>
              <w:pStyle w:val="Tabletext"/>
            </w:pPr>
            <w:r w:rsidRPr="0055572F">
              <w:t>Funded places for Diploma of VET qualifications</w:t>
            </w:r>
          </w:p>
        </w:tc>
        <w:tc>
          <w:tcPr>
            <w:tcW w:w="3020" w:type="dxa"/>
            <w:tcBorders>
              <w:top w:val="single" w:sz="12" w:space="0" w:color="0F112A" w:themeColor="text1"/>
            </w:tcBorders>
          </w:tcPr>
          <w:p w14:paraId="5117D649" w14:textId="77777777" w:rsidR="0055572F" w:rsidRPr="0055572F" w:rsidRDefault="0055572F" w:rsidP="00C16179">
            <w:pPr>
              <w:pStyle w:val="Tabletext"/>
            </w:pPr>
            <w:r w:rsidRPr="0055572F">
              <w:t>Workshops to address skill gaps, such as in online learning</w:t>
            </w:r>
          </w:p>
        </w:tc>
      </w:tr>
      <w:tr w:rsidR="0055572F" w:rsidRPr="0055572F" w14:paraId="5596826E" w14:textId="77777777" w:rsidTr="00012970">
        <w:trPr>
          <w:trHeight w:val="300"/>
        </w:trPr>
        <w:tc>
          <w:tcPr>
            <w:tcW w:w="3020" w:type="dxa"/>
            <w:tcBorders>
              <w:bottom w:val="none" w:sz="12" w:space="0" w:color="0F112A" w:themeColor="text1"/>
            </w:tcBorders>
          </w:tcPr>
          <w:p w14:paraId="6BC5E831" w14:textId="77777777" w:rsidR="0055572F" w:rsidRPr="0055572F" w:rsidRDefault="0055572F" w:rsidP="00C16179">
            <w:pPr>
              <w:pStyle w:val="Tabletext"/>
            </w:pPr>
            <w:r w:rsidRPr="0055572F">
              <w:t>Requirement for a formal teaching and learning mentor</w:t>
            </w:r>
          </w:p>
        </w:tc>
        <w:tc>
          <w:tcPr>
            <w:tcW w:w="3020" w:type="dxa"/>
            <w:tcBorders>
              <w:bottom w:val="none" w:sz="12" w:space="0" w:color="0F112A" w:themeColor="text1"/>
            </w:tcBorders>
          </w:tcPr>
          <w:p w14:paraId="2269925E" w14:textId="77777777" w:rsidR="0055572F" w:rsidRPr="0055572F" w:rsidRDefault="0055572F" w:rsidP="00C16179">
            <w:pPr>
              <w:pStyle w:val="Tabletext"/>
            </w:pPr>
            <w:r w:rsidRPr="0055572F">
              <w:t>Financial support to complete degree program</w:t>
            </w:r>
          </w:p>
        </w:tc>
        <w:tc>
          <w:tcPr>
            <w:tcW w:w="3020" w:type="dxa"/>
            <w:tcBorders>
              <w:bottom w:val="none" w:sz="12" w:space="0" w:color="0F112A" w:themeColor="text1"/>
            </w:tcBorders>
          </w:tcPr>
          <w:p w14:paraId="4720EFA6" w14:textId="77777777" w:rsidR="0055572F" w:rsidRPr="0055572F" w:rsidRDefault="0055572F" w:rsidP="00C16179">
            <w:pPr>
              <w:pStyle w:val="Tabletext"/>
            </w:pPr>
            <w:r w:rsidRPr="0055572F">
              <w:t xml:space="preserve">Mentor programs for advanced VET practitioners with mentoring responsibilities of novice teachers </w:t>
            </w:r>
          </w:p>
        </w:tc>
      </w:tr>
      <w:tr w:rsidR="0055572F" w:rsidRPr="0055572F" w14:paraId="0E4F1F24" w14:textId="77777777" w:rsidTr="00012970">
        <w:trPr>
          <w:trHeight w:val="300"/>
        </w:trPr>
        <w:tc>
          <w:tcPr>
            <w:tcW w:w="3020" w:type="dxa"/>
            <w:tcBorders>
              <w:top w:val="none" w:sz="12" w:space="0" w:color="0F112A" w:themeColor="text1"/>
              <w:left w:val="none" w:sz="12" w:space="0" w:color="0F112A" w:themeColor="text1"/>
              <w:bottom w:val="none" w:sz="12" w:space="0" w:color="0F112A" w:themeColor="text1"/>
              <w:right w:val="none" w:sz="12" w:space="0" w:color="0F112A" w:themeColor="text1"/>
            </w:tcBorders>
          </w:tcPr>
          <w:p w14:paraId="0A16889C" w14:textId="77777777" w:rsidR="0055572F" w:rsidRPr="0055572F" w:rsidRDefault="0055572F" w:rsidP="00C16179">
            <w:pPr>
              <w:pStyle w:val="Tabletext"/>
            </w:pPr>
            <w:r w:rsidRPr="0055572F">
              <w:t>Customised Certificate IV in Training and Assessment</w:t>
            </w:r>
          </w:p>
        </w:tc>
        <w:tc>
          <w:tcPr>
            <w:tcW w:w="3020" w:type="dxa"/>
            <w:tcBorders>
              <w:top w:val="none" w:sz="12" w:space="0" w:color="0F112A" w:themeColor="text1"/>
              <w:left w:val="none" w:sz="12" w:space="0" w:color="0F112A" w:themeColor="text1"/>
              <w:bottom w:val="none" w:sz="12" w:space="0" w:color="0F112A" w:themeColor="text1"/>
              <w:right w:val="none" w:sz="12" w:space="0" w:color="0F112A" w:themeColor="text1"/>
            </w:tcBorders>
          </w:tcPr>
          <w:p w14:paraId="1D838990" w14:textId="77777777" w:rsidR="0055572F" w:rsidRPr="0055572F" w:rsidRDefault="0055572F" w:rsidP="00C16179">
            <w:pPr>
              <w:pStyle w:val="Tabletext"/>
            </w:pPr>
            <w:r w:rsidRPr="0055572F">
              <w:t>Several annual scholarships for master’s programs</w:t>
            </w:r>
          </w:p>
        </w:tc>
        <w:tc>
          <w:tcPr>
            <w:tcW w:w="3020" w:type="dxa"/>
            <w:tcBorders>
              <w:top w:val="none" w:sz="12" w:space="0" w:color="0F112A" w:themeColor="text1"/>
              <w:left w:val="none" w:sz="12" w:space="0" w:color="0F112A" w:themeColor="text1"/>
              <w:bottom w:val="none" w:sz="12" w:space="0" w:color="0F112A" w:themeColor="text1"/>
              <w:right w:val="none" w:sz="12" w:space="0" w:color="0F112A" w:themeColor="text1"/>
            </w:tcBorders>
          </w:tcPr>
          <w:p w14:paraId="5A411853" w14:textId="77777777" w:rsidR="0055572F" w:rsidRPr="0055572F" w:rsidRDefault="0055572F" w:rsidP="00C16179">
            <w:pPr>
              <w:pStyle w:val="Tabletext"/>
            </w:pPr>
            <w:r w:rsidRPr="0055572F">
              <w:t>Work-based projects to enable participation in industry seminars or industry release</w:t>
            </w:r>
          </w:p>
        </w:tc>
      </w:tr>
      <w:tr w:rsidR="0055572F" w:rsidRPr="0055572F" w14:paraId="39C9639B" w14:textId="77777777" w:rsidTr="00012970">
        <w:trPr>
          <w:trHeight w:val="300"/>
        </w:trPr>
        <w:tc>
          <w:tcPr>
            <w:tcW w:w="3020" w:type="dxa"/>
            <w:tcBorders>
              <w:top w:val="none" w:sz="12" w:space="0" w:color="0F112A" w:themeColor="text1"/>
              <w:bottom w:val="single" w:sz="12" w:space="0" w:color="0F112A" w:themeColor="text1"/>
            </w:tcBorders>
          </w:tcPr>
          <w:p w14:paraId="0C6A6CA4" w14:textId="77777777" w:rsidR="0055572F" w:rsidRPr="0055572F" w:rsidRDefault="0055572F" w:rsidP="00C16179">
            <w:pPr>
              <w:pStyle w:val="Tabletext"/>
            </w:pPr>
          </w:p>
        </w:tc>
        <w:tc>
          <w:tcPr>
            <w:tcW w:w="3020" w:type="dxa"/>
            <w:tcBorders>
              <w:top w:val="none" w:sz="12" w:space="0" w:color="0F112A" w:themeColor="text1"/>
              <w:bottom w:val="single" w:sz="12" w:space="0" w:color="0F112A" w:themeColor="text1"/>
            </w:tcBorders>
          </w:tcPr>
          <w:p w14:paraId="69D68AC5" w14:textId="77777777" w:rsidR="0055572F" w:rsidRPr="0055572F" w:rsidRDefault="0055572F" w:rsidP="00C16179">
            <w:pPr>
              <w:pStyle w:val="Tabletext"/>
            </w:pPr>
            <w:r w:rsidRPr="0055572F">
              <w:t>Workshops and seminars in assessment, educational leadership and mentoring</w:t>
            </w:r>
          </w:p>
        </w:tc>
        <w:tc>
          <w:tcPr>
            <w:tcW w:w="3020" w:type="dxa"/>
            <w:tcBorders>
              <w:top w:val="none" w:sz="12" w:space="0" w:color="0F112A" w:themeColor="text1"/>
              <w:bottom w:val="single" w:sz="12" w:space="0" w:color="0F112A" w:themeColor="text1"/>
            </w:tcBorders>
          </w:tcPr>
          <w:p w14:paraId="6696946F" w14:textId="77777777" w:rsidR="0055572F" w:rsidRPr="0055572F" w:rsidRDefault="0055572F" w:rsidP="00C16179">
            <w:pPr>
              <w:pStyle w:val="Tabletext"/>
            </w:pPr>
          </w:p>
        </w:tc>
      </w:tr>
    </w:tbl>
    <w:p w14:paraId="7DFEFFC1" w14:textId="77777777" w:rsidR="0055572F" w:rsidRPr="0055572F" w:rsidRDefault="0055572F" w:rsidP="00C16179">
      <w:pPr>
        <w:pStyle w:val="Source"/>
        <w:rPr>
          <w:lang w:val="en-US"/>
        </w:rPr>
      </w:pPr>
      <w:r w:rsidRPr="0055572F">
        <w:rPr>
          <w:lang w:val="en-US"/>
        </w:rPr>
        <w:t>Source: Dening 2016</w:t>
      </w:r>
    </w:p>
    <w:p w14:paraId="654A7C9F" w14:textId="5F7CD695" w:rsidR="00DD554B" w:rsidRDefault="00DD554B">
      <w:pPr>
        <w:spacing w:before="0" w:line="240" w:lineRule="auto"/>
        <w:rPr>
          <w:lang w:val="en-US"/>
        </w:rPr>
      </w:pPr>
    </w:p>
    <w:p w14:paraId="3AA69622" w14:textId="33E57C2D" w:rsidR="0055572F" w:rsidRPr="0055572F" w:rsidRDefault="0055572F" w:rsidP="0055572F">
      <w:pPr>
        <w:pStyle w:val="Text"/>
        <w:rPr>
          <w:lang w:val="en-US"/>
        </w:rPr>
      </w:pPr>
      <w:r w:rsidRPr="0055572F">
        <w:rPr>
          <w:lang w:val="en-US"/>
        </w:rPr>
        <w:t xml:space="preserve">This is further evidenced by Schmidt (2019) who found that advanced teachers preferred professional development tailored to their level of experience as they found that many of the opportunities </w:t>
      </w:r>
      <w:r w:rsidR="00BF3394">
        <w:rPr>
          <w:lang w:val="en-US"/>
        </w:rPr>
        <w:t xml:space="preserve">provided </w:t>
      </w:r>
      <w:r w:rsidRPr="0055572F">
        <w:rPr>
          <w:lang w:val="en-US"/>
        </w:rPr>
        <w:t>at their RTO were more relevant to novice teachers and too simplistic for more experienced teachers.</w:t>
      </w:r>
    </w:p>
    <w:p w14:paraId="23DA7C7B" w14:textId="743112E9" w:rsidR="0055572F" w:rsidRDefault="00200AD0" w:rsidP="0055572F">
      <w:pPr>
        <w:pStyle w:val="Text"/>
        <w:rPr>
          <w:lang w:val="en-US"/>
        </w:rPr>
      </w:pPr>
      <w:r w:rsidRPr="0055572F">
        <w:rPr>
          <w:noProof/>
        </w:rPr>
        <mc:AlternateContent>
          <mc:Choice Requires="wps">
            <w:drawing>
              <wp:anchor distT="0" distB="0" distL="114300" distR="114300" simplePos="0" relativeHeight="251658248" behindDoc="0" locked="0" layoutInCell="1" allowOverlap="1" wp14:anchorId="4713DA48" wp14:editId="19AF64AA">
                <wp:simplePos x="0" y="0"/>
                <wp:positionH relativeFrom="margin">
                  <wp:align>right</wp:align>
                </wp:positionH>
                <wp:positionV relativeFrom="paragraph">
                  <wp:posOffset>567175</wp:posOffset>
                </wp:positionV>
                <wp:extent cx="5916930" cy="2286000"/>
                <wp:effectExtent l="0" t="0" r="26670" b="19050"/>
                <wp:wrapTopAndBottom/>
                <wp:docPr id="425541508" name="Rectangle 1"/>
                <wp:cNvGraphicFramePr/>
                <a:graphic xmlns:a="http://schemas.openxmlformats.org/drawingml/2006/main">
                  <a:graphicData uri="http://schemas.microsoft.com/office/word/2010/wordprocessingShape">
                    <wps:wsp>
                      <wps:cNvSpPr/>
                      <wps:spPr>
                        <a:xfrm>
                          <a:off x="0" y="0"/>
                          <a:ext cx="5916930" cy="2286000"/>
                        </a:xfrm>
                        <a:prstGeom prst="rect">
                          <a:avLst/>
                        </a:prstGeom>
                        <a:solidFill>
                          <a:schemeClr val="lt1"/>
                        </a:solidFill>
                        <a:ln>
                          <a:solidFill>
                            <a:srgbClr val="000000"/>
                          </a:solidFill>
                        </a:ln>
                      </wps:spPr>
                      <wps:txbx>
                        <w:txbxContent>
                          <w:p w14:paraId="7F62AAB1" w14:textId="77777777" w:rsidR="0055572F" w:rsidRDefault="0055572F" w:rsidP="0055572F">
                            <w:pPr>
                              <w:spacing w:line="276" w:lineRule="auto"/>
                              <w:rPr>
                                <w:rFonts w:ascii="Calibri" w:eastAsia="Cambria" w:hAnsi="Calibri" w:cs="Calibri"/>
                                <w:b/>
                                <w:color w:val="000000"/>
                                <w:sz w:val="18"/>
                                <w:szCs w:val="18"/>
                              </w:rPr>
                            </w:pPr>
                            <w:r>
                              <w:rPr>
                                <w:rFonts w:ascii="Calibri" w:eastAsia="Cambria" w:hAnsi="Calibri" w:cs="Calibri"/>
                                <w:b/>
                                <w:color w:val="000000"/>
                                <w:sz w:val="18"/>
                                <w:szCs w:val="18"/>
                              </w:rPr>
                              <w:t xml:space="preserve">Box </w:t>
                            </w:r>
                            <w:r>
                              <w:rPr>
                                <w:rFonts w:ascii="Calibri" w:hAnsi="Calibri" w:cs="Calibri"/>
                                <w:b/>
                                <w:bCs/>
                                <w:color w:val="000000"/>
                                <w:sz w:val="18"/>
                                <w:szCs w:val="18"/>
                              </w:rPr>
                              <w:t>1</w:t>
                            </w:r>
                            <w:r>
                              <w:rPr>
                                <w:rFonts w:ascii="Calibri" w:eastAsia="Cambria" w:hAnsi="Calibri" w:cs="Calibri"/>
                                <w:b/>
                                <w:color w:val="000000"/>
                                <w:sz w:val="18"/>
                                <w:szCs w:val="18"/>
                              </w:rPr>
                              <w:t xml:space="preserve"> Case study on professional development needs of novice VET teachers</w:t>
                            </w:r>
                          </w:p>
                          <w:p w14:paraId="073B5326" w14:textId="07B803D0" w:rsidR="0055572F" w:rsidRDefault="0055572F" w:rsidP="0055572F">
                            <w:pPr>
                              <w:spacing w:line="276" w:lineRule="auto"/>
                              <w:rPr>
                                <w:rFonts w:ascii="Calibri" w:eastAsia="Cambria" w:hAnsi="Calibri" w:cs="Calibri"/>
                                <w:color w:val="000000"/>
                                <w:sz w:val="18"/>
                                <w:szCs w:val="18"/>
                              </w:rPr>
                            </w:pPr>
                            <w:r>
                              <w:rPr>
                                <w:rFonts w:ascii="Calibri" w:eastAsia="Cambria" w:hAnsi="Calibri" w:cs="Calibri"/>
                                <w:color w:val="000000"/>
                                <w:sz w:val="18"/>
                                <w:szCs w:val="18"/>
                              </w:rPr>
                              <w:t>Research by Francisco (2015) highlights the professional development needs of nine novice VET teachers during the first two years of their teaching journey. These teachers reported that the professional development activity that had the most influence on their teaching and assessing was the support of colleagues and supervisors. This support came from both formal and informal mentoring. Other activities included using professional networks</w:t>
                            </w:r>
                            <w:r w:rsidR="009F2243">
                              <w:rPr>
                                <w:rFonts w:ascii="Calibri" w:eastAsia="Cambria" w:hAnsi="Calibri" w:cs="Calibri"/>
                                <w:color w:val="000000"/>
                                <w:sz w:val="18"/>
                                <w:szCs w:val="18"/>
                              </w:rPr>
                              <w:t xml:space="preserve"> (</w:t>
                            </w:r>
                            <w:r>
                              <w:rPr>
                                <w:rFonts w:ascii="Calibri" w:eastAsia="Cambria" w:hAnsi="Calibri" w:cs="Calibri"/>
                                <w:color w:val="000000"/>
                                <w:sz w:val="18"/>
                                <w:szCs w:val="18"/>
                              </w:rPr>
                              <w:t>mainly industry-related</w:t>
                            </w:r>
                            <w:r w:rsidR="009F2243">
                              <w:rPr>
                                <w:rFonts w:ascii="Calibri" w:eastAsia="Cambria" w:hAnsi="Calibri" w:cs="Calibri"/>
                                <w:color w:val="000000"/>
                                <w:sz w:val="18"/>
                                <w:szCs w:val="18"/>
                              </w:rPr>
                              <w:t>)</w:t>
                            </w:r>
                            <w:r>
                              <w:rPr>
                                <w:rFonts w:ascii="Calibri" w:eastAsia="Cambria" w:hAnsi="Calibri" w:cs="Calibri"/>
                                <w:color w:val="000000"/>
                                <w:sz w:val="18"/>
                                <w:szCs w:val="18"/>
                              </w:rPr>
                              <w:t>, and RTO induction courses, which focused more on administrative tasks. Some of the teachers also attended conferences. This provides further evidence of the importance of peer support as a professional development tool for novice teachers.</w:t>
                            </w:r>
                          </w:p>
                          <w:p w14:paraId="09F17C40" w14:textId="77777777" w:rsidR="0055572F" w:rsidRDefault="0055572F" w:rsidP="0055572F">
                            <w:pPr>
                              <w:spacing w:line="276" w:lineRule="auto"/>
                              <w:rPr>
                                <w:rFonts w:ascii="Calibri" w:eastAsia="Cambria" w:hAnsi="Calibri" w:cs="Calibri"/>
                                <w:color w:val="000000"/>
                                <w:sz w:val="18"/>
                                <w:szCs w:val="18"/>
                              </w:rPr>
                            </w:pPr>
                            <w:r>
                              <w:rPr>
                                <w:rFonts w:ascii="Calibri" w:eastAsia="Cambria" w:hAnsi="Calibri" w:cs="Calibri"/>
                                <w:color w:val="000000"/>
                                <w:sz w:val="18"/>
                                <w:szCs w:val="18"/>
                              </w:rPr>
                              <w:t>What Francisco also found was that the learning needs of each teacher also differed based on the teaching department they were in, for example one teacher was teaching in a gym with paying customers while another was teaching business administration in a team-teaching arrangement. This further demonstrates the importance of adapting professional development to the diverse backgrounds and teaching contexts of VET teachers.</w:t>
                            </w:r>
                          </w:p>
                        </w:txbxContent>
                      </wps:txbx>
                      <wps:bodyPr anchor="t">
                        <a:noAutofit/>
                      </wps:bodyPr>
                    </wps:wsp>
                  </a:graphicData>
                </a:graphic>
                <wp14:sizeRelV relativeFrom="margin">
                  <wp14:pctHeight>0</wp14:pctHeight>
                </wp14:sizeRelV>
              </wp:anchor>
            </w:drawing>
          </mc:Choice>
          <mc:Fallback>
            <w:pict>
              <v:rect w14:anchorId="4713DA48" id="Rectangle 1" o:spid="_x0000_s1033" style="position:absolute;margin-left:414.7pt;margin-top:44.65pt;width:465.9pt;height:180pt;z-index:251658248;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" fillcolor="white [3201]">
                <v:textbox>
                  <w:txbxContent>
                    <w:p w14:paraId="7F62AAB1" w14:textId="77777777" w:rsidR="0055572F" w:rsidRDefault="0055572F" w:rsidP="0055572F">
                      <w:pPr>
                        <w:spacing w:line="276" w:lineRule="auto"/>
                        <w:rPr>
                          <w:rFonts w:ascii="Calibri" w:eastAsia="Cambria" w:hAnsi="Calibri" w:cs="Calibri"/>
                          <w:b/>
                          <w:color w:val="000000"/>
                          <w:sz w:val="18"/>
                          <w:szCs w:val="18"/>
                        </w:rPr>
                      </w:pPr>
                      <w:r>
                        <w:rPr>
                          <w:rFonts w:ascii="Calibri" w:eastAsia="Cambria" w:hAnsi="Calibri" w:cs="Calibri"/>
                          <w:b/>
                          <w:color w:val="000000"/>
                          <w:sz w:val="18"/>
                          <w:szCs w:val="18"/>
                        </w:rPr>
                        <w:t xml:space="preserve">Box </w:t>
                      </w:r>
                      <w:r>
                        <w:rPr>
                          <w:rFonts w:ascii="Calibri" w:hAnsi="Calibri" w:cs="Calibri"/>
                          <w:b/>
                          <w:bCs/>
                          <w:color w:val="000000"/>
                          <w:sz w:val="18"/>
                          <w:szCs w:val="18"/>
                        </w:rPr>
                        <w:t>1</w:t>
                      </w:r>
                      <w:r>
                        <w:rPr>
                          <w:rFonts w:ascii="Calibri" w:eastAsia="Cambria" w:hAnsi="Calibri" w:cs="Calibri"/>
                          <w:b/>
                          <w:color w:val="000000"/>
                          <w:sz w:val="18"/>
                          <w:szCs w:val="18"/>
                        </w:rPr>
                        <w:t xml:space="preserve"> Case study on professional development needs of novice VET teachers</w:t>
                      </w:r>
                    </w:p>
                    <w:p w14:paraId="073B5326" w14:textId="07B803D0" w:rsidR="0055572F" w:rsidRDefault="0055572F" w:rsidP="0055572F">
                      <w:pPr>
                        <w:spacing w:line="276" w:lineRule="auto"/>
                        <w:rPr>
                          <w:rFonts w:ascii="Calibri" w:eastAsia="Cambria" w:hAnsi="Calibri" w:cs="Calibri"/>
                          <w:color w:val="000000"/>
                          <w:sz w:val="18"/>
                          <w:szCs w:val="18"/>
                        </w:rPr>
                      </w:pPr>
                      <w:r>
                        <w:rPr>
                          <w:rFonts w:ascii="Calibri" w:eastAsia="Cambria" w:hAnsi="Calibri" w:cs="Calibri"/>
                          <w:color w:val="000000"/>
                          <w:sz w:val="18"/>
                          <w:szCs w:val="18"/>
                        </w:rPr>
                        <w:t>Research by Francisco (2015) highlights the professional development needs of nine novice VET teachers during the first two years of their teaching journey. These teachers reported that the professional development activity that had the most influence on their teaching and assessing was the support of colleagues and supervisors. This support came from both formal and informal mentoring. Other activities included using professional networks</w:t>
                      </w:r>
                      <w:r w:rsidR="009F2243">
                        <w:rPr>
                          <w:rFonts w:ascii="Calibri" w:eastAsia="Cambria" w:hAnsi="Calibri" w:cs="Calibri"/>
                          <w:color w:val="000000"/>
                          <w:sz w:val="18"/>
                          <w:szCs w:val="18"/>
                        </w:rPr>
                        <w:t xml:space="preserve"> (</w:t>
                      </w:r>
                      <w:r>
                        <w:rPr>
                          <w:rFonts w:ascii="Calibri" w:eastAsia="Cambria" w:hAnsi="Calibri" w:cs="Calibri"/>
                          <w:color w:val="000000"/>
                          <w:sz w:val="18"/>
                          <w:szCs w:val="18"/>
                        </w:rPr>
                        <w:t>mainly industry-related</w:t>
                      </w:r>
                      <w:r w:rsidR="009F2243">
                        <w:rPr>
                          <w:rFonts w:ascii="Calibri" w:eastAsia="Cambria" w:hAnsi="Calibri" w:cs="Calibri"/>
                          <w:color w:val="000000"/>
                          <w:sz w:val="18"/>
                          <w:szCs w:val="18"/>
                        </w:rPr>
                        <w:t>)</w:t>
                      </w:r>
                      <w:r>
                        <w:rPr>
                          <w:rFonts w:ascii="Calibri" w:eastAsia="Cambria" w:hAnsi="Calibri" w:cs="Calibri"/>
                          <w:color w:val="000000"/>
                          <w:sz w:val="18"/>
                          <w:szCs w:val="18"/>
                        </w:rPr>
                        <w:t>, and RTO induction courses, which focused more on administrative tasks. Some of the teachers also attended conferences. This provides further evidence of the importance of peer support as a professional development tool for novice teachers.</w:t>
                      </w:r>
                    </w:p>
                    <w:p w14:paraId="09F17C40" w14:textId="77777777" w:rsidR="0055572F" w:rsidRDefault="0055572F" w:rsidP="0055572F">
                      <w:pPr>
                        <w:spacing w:line="276" w:lineRule="auto"/>
                        <w:rPr>
                          <w:rFonts w:ascii="Calibri" w:eastAsia="Cambria" w:hAnsi="Calibri" w:cs="Calibri"/>
                          <w:color w:val="000000"/>
                          <w:sz w:val="18"/>
                          <w:szCs w:val="18"/>
                        </w:rPr>
                      </w:pPr>
                      <w:r>
                        <w:rPr>
                          <w:rFonts w:ascii="Calibri" w:eastAsia="Cambria" w:hAnsi="Calibri" w:cs="Calibri"/>
                          <w:color w:val="000000"/>
                          <w:sz w:val="18"/>
                          <w:szCs w:val="18"/>
                        </w:rPr>
                        <w:t>What Francisco also found was that the learning needs of each teacher also differed based on the teaching department they were in, for example one teacher was teaching in a gym with paying customers while another was teaching business administration in a team-teaching arrangement. This further demonstrates the importance of adapting professional development to the diverse backgrounds and teaching contexts of VET teachers.</w:t>
                      </w:r>
                    </w:p>
                  </w:txbxContent>
                </v:textbox>
                <w10:wrap type="topAndBottom" anchorx="margin"/>
              </v:rect>
            </w:pict>
          </mc:Fallback>
        </mc:AlternateContent>
      </w:r>
      <w:r w:rsidR="00C16179">
        <w:rPr>
          <w:lang w:val="en-US"/>
        </w:rPr>
        <w:t>B</w:t>
      </w:r>
      <w:r w:rsidR="0055572F" w:rsidRPr="0055572F">
        <w:rPr>
          <w:lang w:val="en-US"/>
        </w:rPr>
        <w:t>ox 1 provides a case study of the professional development needs of novice VET teachers.</w:t>
      </w:r>
    </w:p>
    <w:p w14:paraId="3F5EAB81" w14:textId="77777777" w:rsidR="000C6B14" w:rsidRDefault="000C6B14" w:rsidP="00234608">
      <w:pPr>
        <w:pStyle w:val="Heading5"/>
      </w:pPr>
    </w:p>
    <w:p w14:paraId="0FE64444" w14:textId="431CB529" w:rsidR="0055572F" w:rsidRPr="0055572F" w:rsidRDefault="0055572F" w:rsidP="00234608">
      <w:pPr>
        <w:pStyle w:val="Heading5"/>
      </w:pPr>
      <w:r w:rsidRPr="0055572F">
        <w:t>Qualification level of VET teachers</w:t>
      </w:r>
    </w:p>
    <w:p w14:paraId="0FD5A66B" w14:textId="1F5A6310" w:rsidR="0055572F" w:rsidRPr="0055572F" w:rsidRDefault="0055572F" w:rsidP="0055572F">
      <w:pPr>
        <w:pStyle w:val="Text"/>
      </w:pPr>
      <w:r w:rsidRPr="0055572F">
        <w:t xml:space="preserve">Tuck and Smith (2017) found that more highly qualified teachers (including both teaching and industry qualifications) are also more likely to undertake professional development. Research participants mused that higher-level qualifications </w:t>
      </w:r>
      <w:r w:rsidR="00547862">
        <w:t xml:space="preserve">may have </w:t>
      </w:r>
      <w:r w:rsidRPr="0055572F">
        <w:t xml:space="preserve">provided teachers with more confidence to engage in professional development (Smith, Yasukawa, Harris &amp; Tuck 2017). This provokes questions around whether a lack of confidence might be preventing some teachers from engaging in professional development. Such findings suggest that qualification level </w:t>
      </w:r>
      <w:r w:rsidRPr="0055572F">
        <w:lastRenderedPageBreak/>
        <w:t>should be one factor informing the development of further training for VET teachers (Smith et al. 2017).</w:t>
      </w:r>
    </w:p>
    <w:p w14:paraId="125E15D0" w14:textId="77777777" w:rsidR="0055572F" w:rsidRPr="0055572F" w:rsidRDefault="0055572F" w:rsidP="00234608">
      <w:pPr>
        <w:pStyle w:val="Heading5"/>
      </w:pPr>
      <w:r w:rsidRPr="0055572F">
        <w:t xml:space="preserve">Type of employment </w:t>
      </w:r>
    </w:p>
    <w:p w14:paraId="3E779638" w14:textId="17C31C5B" w:rsidR="0055572F" w:rsidRPr="0055572F" w:rsidRDefault="0055572F" w:rsidP="0055572F">
      <w:pPr>
        <w:pStyle w:val="Text"/>
      </w:pPr>
      <w:r w:rsidRPr="0055572F">
        <w:t xml:space="preserve">The conditions in which a VET teacher is employed can impact on their access to professional development. Permanent teaching staff and those in leadership and management positions tend to have greater access and RTO support for professional development than those employed in a part-time or casual position (Misko, Guthrie &amp; Waters 2021). Francisco (2015) posits that being employed causally, sometimes for only a few hours per week, limits the ability of novice teachers to supplement their teaching knowledge through peer and supervisor support. Consequently, such employment conditions may make it difficult for casually employed teachers to develop skills and transition </w:t>
      </w:r>
      <w:bookmarkStart w:id="36" w:name="_Int_UzbDc8ET"/>
      <w:r w:rsidRPr="0055572F">
        <w:t>to teaching</w:t>
      </w:r>
      <w:bookmarkEnd w:id="36"/>
      <w:r w:rsidRPr="0055572F">
        <w:t xml:space="preserve"> as a career (Francisco 2015). </w:t>
      </w:r>
      <w:r w:rsidR="0059761F">
        <w:t>Casualisation in</w:t>
      </w:r>
      <w:r w:rsidRPr="0055572F">
        <w:t xml:space="preserve"> the VET workforce (Tyler &amp; Dymock 2017) and lack of subsequent employer support for professional development means that these teachers often need to take the responsibility of professional development into their own hands.</w:t>
      </w:r>
    </w:p>
    <w:p w14:paraId="0CCAAB07" w14:textId="7D8C3D20" w:rsidR="0055572F" w:rsidRPr="0055572F" w:rsidRDefault="0055572F" w:rsidP="0055572F">
      <w:pPr>
        <w:pStyle w:val="Text"/>
      </w:pPr>
      <w:r w:rsidRPr="0055572F">
        <w:t>Professional identi</w:t>
      </w:r>
      <w:r w:rsidR="0059761F">
        <w:t>t</w:t>
      </w:r>
      <w:r w:rsidRPr="0055572F">
        <w:t xml:space="preserve">y can also impact engagement in professional development. Part-time and casual teaching staff may self-identify as industry professionals rather than as </w:t>
      </w:r>
      <w:proofErr w:type="gramStart"/>
      <w:r w:rsidRPr="0055572F">
        <w:t xml:space="preserve">teachers, </w:t>
      </w:r>
      <w:r w:rsidR="00D014C4">
        <w:t>and</w:t>
      </w:r>
      <w:proofErr w:type="gramEnd"/>
      <w:r w:rsidR="00D014C4">
        <w:t xml:space="preserve"> </w:t>
      </w:r>
      <w:r w:rsidRPr="0055572F">
        <w:t>therefore spend less time on professional development that supports their vocational pedagogy (Misko, Guthrie &amp; Waters 2021). The reduced focus on vocational pedagogy may have implications for engaging learners as well as effective teaching practices.</w:t>
      </w:r>
    </w:p>
    <w:p w14:paraId="3B0547D1" w14:textId="77777777" w:rsidR="0055572F" w:rsidRPr="0055572F" w:rsidRDefault="0055572F" w:rsidP="00234608">
      <w:pPr>
        <w:pStyle w:val="Heading5"/>
      </w:pPr>
      <w:r w:rsidRPr="0055572F">
        <w:t>Whose responsibility is professional development?</w:t>
      </w:r>
    </w:p>
    <w:p w14:paraId="4650C61F" w14:textId="41E805F7" w:rsidR="008B5028" w:rsidRDefault="0055572F" w:rsidP="0055572F">
      <w:pPr>
        <w:pStyle w:val="Text"/>
      </w:pPr>
      <w:r w:rsidRPr="0055572F">
        <w:t xml:space="preserve">The </w:t>
      </w:r>
      <w:r w:rsidR="00731E81">
        <w:t xml:space="preserve">2025 </w:t>
      </w:r>
      <w:r w:rsidRPr="0055572F">
        <w:t>Standards for RTOs</w:t>
      </w:r>
      <w:r w:rsidRPr="0055572F" w:rsidDel="00467874">
        <w:t xml:space="preserve"> </w:t>
      </w:r>
      <w:r w:rsidRPr="0055572F">
        <w:t xml:space="preserve">place </w:t>
      </w:r>
      <w:r w:rsidR="00542C50">
        <w:t xml:space="preserve">responsibility on training providers to ensure that </w:t>
      </w:r>
      <w:r w:rsidR="00223B5A">
        <w:t>‘</w:t>
      </w:r>
      <w:r w:rsidR="00542C50">
        <w:t xml:space="preserve">all </w:t>
      </w:r>
      <w:r w:rsidRPr="0055572F">
        <w:t>trainers and assessors</w:t>
      </w:r>
      <w:r w:rsidR="00542C50">
        <w:t xml:space="preserve"> undertake continuing professional development to maintain current skills and know</w:t>
      </w:r>
      <w:r w:rsidR="00223B5A">
        <w:t xml:space="preserve">ledge in training and assessment, including skills and knowledge relating to engaging and supporting VET </w:t>
      </w:r>
      <w:r w:rsidR="00161A63">
        <w:t>students</w:t>
      </w:r>
      <w:r w:rsidR="00223B5A">
        <w:t xml:space="preserve">. </w:t>
      </w:r>
      <w:r w:rsidR="00D84E46">
        <w:t xml:space="preserve">The previous standards also specified that </w:t>
      </w:r>
      <w:r w:rsidR="00251772">
        <w:t xml:space="preserve">trainers and assessors were to undertake professional development, especially to ensure industry currency. </w:t>
      </w:r>
      <w:r w:rsidR="008B5028">
        <w:t xml:space="preserve">The specification of professional development in the standards has led to some concerns that </w:t>
      </w:r>
      <w:r w:rsidR="006277CC">
        <w:t xml:space="preserve">the RTO-driven professional development agenda for some RTOs may be </w:t>
      </w:r>
      <w:r w:rsidR="008B5028" w:rsidRPr="0055572F">
        <w:t>more concerned with meeting regulatory requirements than with increasing VET teacher capability (Ward &amp; Rodd 2024).</w:t>
      </w:r>
      <w:r w:rsidR="0067105F" w:rsidRPr="0067105F">
        <w:t xml:space="preserve"> </w:t>
      </w:r>
      <w:r w:rsidR="0067105F" w:rsidRPr="0055572F">
        <w:t xml:space="preserve">Indeed, </w:t>
      </w:r>
      <w:r w:rsidR="0067105F">
        <w:t xml:space="preserve">in the 2016 survey, </w:t>
      </w:r>
      <w:r w:rsidR="0067105F" w:rsidRPr="0055572F">
        <w:t>around 30% of VET teachers perceive</w:t>
      </w:r>
      <w:r w:rsidR="0067105F">
        <w:t>d</w:t>
      </w:r>
      <w:r w:rsidR="0067105F" w:rsidRPr="0055572F">
        <w:t xml:space="preserve"> that their RTO support</w:t>
      </w:r>
      <w:r w:rsidR="0067105F">
        <w:t>ed</w:t>
      </w:r>
      <w:r w:rsidR="0067105F" w:rsidRPr="0055572F">
        <w:t xml:space="preserve"> professional development only because it is related to compliance (Tuck &amp; Smith 2017).</w:t>
      </w:r>
    </w:p>
    <w:p w14:paraId="3B0E3292" w14:textId="07DF384D" w:rsidR="0055572F" w:rsidRPr="0055572F" w:rsidRDefault="0055572F" w:rsidP="0055572F">
      <w:pPr>
        <w:pStyle w:val="Text"/>
        <w:rPr>
          <w:lang w:val="en-US"/>
        </w:rPr>
      </w:pPr>
      <w:r w:rsidRPr="0055572F">
        <w:t xml:space="preserve">At the same time, there is evidence that teachers’ motivations for seeking professional development can be unrelated to the requirements of their employer. Many individual VET teachers seek out opportunities based on their own interests and self-identified development needs, potentially in areas where the RTO is not offering professional development. Tuck and Smith (2017) found that 85% of VET teachers undertake professional development due to self-motivation — this increased by the level of VET pedagogy qualification a teacher held (80% Certificate IV in teaching and assessment, 92% diploma level, 93% degree and above) (Smith et al. 2017). </w:t>
      </w:r>
      <w:r w:rsidRPr="0055572F" w:rsidDel="3E00A373">
        <w:t>S</w:t>
      </w:r>
      <w:r w:rsidRPr="0055572F">
        <w:t>chmidt (2019) also found that more experienced VET teachers demonstrate more personal agency to undertake professional development activities that they believe will support their skills in their own time and without financial assistance.</w:t>
      </w:r>
    </w:p>
    <w:p w14:paraId="2AB6D6F1" w14:textId="77777777" w:rsidR="0055572F" w:rsidRPr="0055572F" w:rsidRDefault="0055572F" w:rsidP="0055572F">
      <w:pPr>
        <w:pStyle w:val="Text"/>
      </w:pPr>
      <w:r w:rsidRPr="0055572F">
        <w:lastRenderedPageBreak/>
        <w:t>Previously, professional development of the VET workforce had been a national focus through Commonwealth and state and territory governments programs such as ‘Framing the Future’ and ‘Reframing the Future’ (Tuck &amp; Smith, 2017). These programs provided funding for staff development and change management related to implementing the National Training Framework from 1997 to 2008 (Mitchell 2000; NCVER 2025). Consultations previously undertaken on the topic of quality VET teaching and assessment demonstrated a strong desire from VET teacher participants for the implementation of similar national professional development programs (Misko, Guthrie &amp; Waters 2021).</w:t>
      </w:r>
    </w:p>
    <w:p w14:paraId="4360B577" w14:textId="4CAFAA9D" w:rsidR="0055572F" w:rsidRPr="0055572F" w:rsidRDefault="0055572F" w:rsidP="0055572F">
      <w:pPr>
        <w:pStyle w:val="Text"/>
      </w:pPr>
      <w:r w:rsidRPr="0055572F">
        <w:t>Currently, responsibility for professional development sits between training providers, individual VET teachers and government (Dening 2016).  A useful area for further work is understanding how this shared responsibility operates in practice, including how professional development needs are identified and how access, costs and benefits are shared across relevant stakeholders</w:t>
      </w:r>
      <w:r w:rsidR="008A6B01">
        <w:t>.</w:t>
      </w:r>
      <w:r w:rsidRPr="0055572F">
        <w:t xml:space="preserve"> </w:t>
      </w:r>
    </w:p>
    <w:p w14:paraId="701E6EDE" w14:textId="77777777" w:rsidR="0055572F" w:rsidRPr="0055572F" w:rsidRDefault="0055572F" w:rsidP="00234608">
      <w:pPr>
        <w:pStyle w:val="Heading4"/>
      </w:pPr>
      <w:r w:rsidRPr="0055572F">
        <w:t>Informing successful outcomes</w:t>
      </w:r>
    </w:p>
    <w:p w14:paraId="5A903647" w14:textId="77777777" w:rsidR="0055572F" w:rsidRPr="0055572F" w:rsidRDefault="0055572F" w:rsidP="0055572F">
      <w:pPr>
        <w:pStyle w:val="Text"/>
      </w:pPr>
      <w:r w:rsidRPr="0055572F">
        <w:t xml:space="preserve">One suggested measure of professional development effectiveness in the literature is the extent to which it leads to changes to a teacher’s teaching and assessment practices (Tyler &amp; Dymock 2017). Strategies that have been suggested to contribute to successful professional development outcomes include: </w:t>
      </w:r>
    </w:p>
    <w:p w14:paraId="697F36E7" w14:textId="77777777" w:rsidR="0055572F" w:rsidRPr="0055572F" w:rsidRDefault="0055572F" w:rsidP="00234608">
      <w:pPr>
        <w:pStyle w:val="Dotpoint1"/>
      </w:pPr>
      <w:r w:rsidRPr="0055572F">
        <w:t>Developing a workforce development plan at the training provider level documenting teachers’ qualifications, vocational pedagogy and industry currency and their development needs ensuring that professional development is based on evidence (Dening 2016; Stevens &amp; Deschepper 2018)</w:t>
      </w:r>
    </w:p>
    <w:p w14:paraId="506A3873" w14:textId="77777777" w:rsidR="0055572F" w:rsidRPr="0055572F" w:rsidRDefault="0055572F" w:rsidP="00234608">
      <w:pPr>
        <w:pStyle w:val="Dotpoint1"/>
      </w:pPr>
      <w:r w:rsidRPr="0055572F">
        <w:t>Customising professional development training to suit the experience level of the teacher (i.e. novice, experienced and advanced teachers) (Dening 2016)</w:t>
      </w:r>
    </w:p>
    <w:p w14:paraId="16046946" w14:textId="77777777" w:rsidR="0055572F" w:rsidRPr="0055572F" w:rsidRDefault="0055572F" w:rsidP="00234608">
      <w:pPr>
        <w:pStyle w:val="Dotpoint1"/>
      </w:pPr>
      <w:r w:rsidRPr="0055572F">
        <w:t xml:space="preserve">Using self-assessment tools to determine the professional development needs of individual teachers, implemented at either the training provider level or by teachers themselves. Dening (2016) trialled the use of VETCAT and CURCAT surveys at TAFE SA Regional and found them useful in identifying skill needs and planning professional development activities. There are also other self-assessment tools available (i.e. for an example of digital skills related tools see </w:t>
      </w:r>
      <w:proofErr w:type="spellStart"/>
      <w:r w:rsidRPr="0055572F">
        <w:t>Wibrow</w:t>
      </w:r>
      <w:proofErr w:type="spellEnd"/>
      <w:r w:rsidRPr="0055572F">
        <w:t>, Circelli &amp; Korbel 2021)</w:t>
      </w:r>
    </w:p>
    <w:p w14:paraId="42475F92" w14:textId="77777777" w:rsidR="0055572F" w:rsidRPr="0055572F" w:rsidRDefault="0055572F" w:rsidP="00234608">
      <w:pPr>
        <w:pStyle w:val="Dotpoint1"/>
      </w:pPr>
      <w:r w:rsidRPr="0055572F">
        <w:t>Keeping accurate records of professional development activities by both providers and teachers (Stevens &amp; Deschepper 2018)</w:t>
      </w:r>
    </w:p>
    <w:p w14:paraId="472A4645" w14:textId="77777777" w:rsidR="0055572F" w:rsidRPr="0055572F" w:rsidRDefault="0055572F" w:rsidP="00234608">
      <w:pPr>
        <w:pStyle w:val="Dotpoint1"/>
      </w:pPr>
      <w:r w:rsidRPr="0055572F">
        <w:t>Ensuring continuing professional development is a conversation between individual teachers and their managers/training providers, as VET teachers are likely to know the areas in which they need to improve their knowledge and skills (Tyler &amp; Dymock 2017).</w:t>
      </w:r>
    </w:p>
    <w:p w14:paraId="3BD6A3ED" w14:textId="77777777" w:rsidR="0055572F" w:rsidRPr="0055572F" w:rsidRDefault="0055572F" w:rsidP="0055572F">
      <w:pPr>
        <w:pStyle w:val="Text"/>
      </w:pPr>
      <w:r w:rsidRPr="0055572F">
        <w:t xml:space="preserve">While these strategies may work in some contexts, it is not clear how broadly applicable they are, especially given the diversity of RTO types in the sector. </w:t>
      </w:r>
    </w:p>
    <w:p w14:paraId="51A5E738" w14:textId="77777777" w:rsidR="00BA7A00" w:rsidRDefault="00BA7A00" w:rsidP="00234608">
      <w:pPr>
        <w:pStyle w:val="Heading4"/>
      </w:pPr>
    </w:p>
    <w:p w14:paraId="446D1DBB" w14:textId="77777777" w:rsidR="00BA7A00" w:rsidRDefault="00BA7A00" w:rsidP="00234608">
      <w:pPr>
        <w:pStyle w:val="Heading4"/>
      </w:pPr>
    </w:p>
    <w:p w14:paraId="345B934A" w14:textId="251226F4" w:rsidR="0055572F" w:rsidRDefault="0055572F" w:rsidP="00234608">
      <w:pPr>
        <w:pStyle w:val="Heading4"/>
      </w:pPr>
      <w:r w:rsidRPr="0055572F">
        <w:lastRenderedPageBreak/>
        <w:t xml:space="preserve">Ongoing challenges to professional development </w:t>
      </w:r>
    </w:p>
    <w:p w14:paraId="5FFE5D00" w14:textId="5BF5ED63" w:rsidR="00801026" w:rsidRPr="00801026" w:rsidRDefault="00801026" w:rsidP="00801026">
      <w:pPr>
        <w:pStyle w:val="Text"/>
      </w:pPr>
      <w:r>
        <w:t>The literature review identified the following challenges to professional development:</w:t>
      </w:r>
    </w:p>
    <w:p w14:paraId="382E4FB5" w14:textId="77777777" w:rsidR="0055572F" w:rsidRPr="0055572F" w:rsidRDefault="0055572F" w:rsidP="00234608">
      <w:pPr>
        <w:pStyle w:val="Dotpoint1"/>
      </w:pPr>
      <w:r w:rsidRPr="0055572F">
        <w:t xml:space="preserve">Tyler and Dymock (2017) noted that the dual professional nature of the VET teacher workforce, the various qualification levels teachers hold and the extent of workforce casualisation (which was increasing at the time of this study) make it difficult to compare the support for professional development in VET to the school and higher education sectors. While it varies by </w:t>
      </w:r>
      <w:bookmarkStart w:id="37" w:name="_Int_1i78f7cf"/>
      <w:r w:rsidRPr="0055572F">
        <w:t>jurisdiction</w:t>
      </w:r>
      <w:bookmarkEnd w:id="37"/>
      <w:r w:rsidRPr="0055572F">
        <w:t xml:space="preserve">, schoolteachers tend to have to complete a certain number of professional development hours per year (Tyler &amp; Dymock 2017). Universities tend to encourage their teaching staff to complete pedagogical qualifications and undertake research to improve professional knowledge (Tyler &amp; Dymock 2017). </w:t>
      </w:r>
    </w:p>
    <w:p w14:paraId="63B493B7" w14:textId="77777777" w:rsidR="0055572F" w:rsidRPr="0055572F" w:rsidRDefault="0055572F" w:rsidP="00234608">
      <w:pPr>
        <w:pStyle w:val="Dotpoint1"/>
      </w:pPr>
      <w:r w:rsidRPr="0055572F">
        <w:t xml:space="preserve">Key research reports on professional development for VET teachers demonstrate a persistent need to address concerns. Oft-suggested solutions (but not necessarily universally supported) include establishing a professional association or industry body for VET teachers to track professional development, a continuing professional development framework, and mandated hours for professional development (Tyler &amp; Dymock 2017). </w:t>
      </w:r>
    </w:p>
    <w:p w14:paraId="2193BFD4" w14:textId="59211ED5" w:rsidR="0055572F" w:rsidRPr="0055572F" w:rsidRDefault="0055572F" w:rsidP="00234608">
      <w:pPr>
        <w:pStyle w:val="Dotpoint1"/>
      </w:pPr>
      <w:r w:rsidRPr="0055572F">
        <w:t>Recent VET workforce surveys contain minimal information on professional development, aside from</w:t>
      </w:r>
      <w:r w:rsidRPr="0055572F" w:rsidDel="008543CD">
        <w:t xml:space="preserve"> </w:t>
      </w:r>
      <w:r w:rsidRPr="0055572F">
        <w:t xml:space="preserve">highlighting how casualisation of the VET workforce impacts professional development (see Knight, White &amp; Granfield 2020 and JSA 2024a). One national survey that focused on professional development was conducted in </w:t>
      </w:r>
      <w:proofErr w:type="gramStart"/>
      <w:r w:rsidRPr="0055572F">
        <w:t>2016</w:t>
      </w:r>
      <w:proofErr w:type="gramEnd"/>
      <w:r w:rsidRPr="0055572F">
        <w:t xml:space="preserve"> but the data was never fully analysed and reported. The survey also recruited teachers through professional development bodies, which </w:t>
      </w:r>
      <w:r w:rsidR="004B241C">
        <w:t xml:space="preserve">may have </w:t>
      </w:r>
      <w:r w:rsidRPr="0055572F">
        <w:t xml:space="preserve">biased the sample toward teachers already interested in professional development (Tuck &amp; Smith 2017). Most of the current insights on professional development come from small-scale projects, usually focused on a single RTO. </w:t>
      </w:r>
    </w:p>
    <w:p w14:paraId="3C32F485" w14:textId="77777777" w:rsidR="0055572F" w:rsidRPr="0055572F" w:rsidRDefault="0055572F" w:rsidP="0055572F">
      <w:pPr>
        <w:pStyle w:val="Text"/>
      </w:pPr>
      <w:r w:rsidRPr="0055572F">
        <w:t>The national understanding of VET professional development is missing:</w:t>
      </w:r>
    </w:p>
    <w:p w14:paraId="09DB5741" w14:textId="77777777" w:rsidR="0055572F" w:rsidRPr="0055572F" w:rsidRDefault="0055572F" w:rsidP="00234608">
      <w:pPr>
        <w:pStyle w:val="Dotpoint1"/>
      </w:pPr>
      <w:r w:rsidRPr="0055572F">
        <w:t>who is accessing professional development and how</w:t>
      </w:r>
    </w:p>
    <w:p w14:paraId="3EAF1049" w14:textId="77777777" w:rsidR="0055572F" w:rsidRPr="0055572F" w:rsidRDefault="0055572F" w:rsidP="00234608">
      <w:pPr>
        <w:pStyle w:val="Dotpoint1"/>
      </w:pPr>
      <w:r w:rsidRPr="0055572F">
        <w:t>what sort of training are teachers doing</w:t>
      </w:r>
    </w:p>
    <w:p w14:paraId="5D1098C9" w14:textId="77777777" w:rsidR="0055572F" w:rsidRPr="0055572F" w:rsidRDefault="0055572F" w:rsidP="00234608">
      <w:pPr>
        <w:pStyle w:val="Dotpoint1"/>
      </w:pPr>
      <w:r w:rsidRPr="0055572F">
        <w:t>how it is supported and funded</w:t>
      </w:r>
    </w:p>
    <w:p w14:paraId="60C22FCF" w14:textId="77777777" w:rsidR="0055572F" w:rsidRPr="0055572F" w:rsidRDefault="0055572F" w:rsidP="00234608">
      <w:pPr>
        <w:pStyle w:val="Dotpoint1"/>
      </w:pPr>
      <w:r w:rsidRPr="0055572F">
        <w:t>how professional development needs are identified</w:t>
      </w:r>
    </w:p>
    <w:p w14:paraId="14B0FB68" w14:textId="77777777" w:rsidR="0055572F" w:rsidRPr="0055572F" w:rsidRDefault="0055572F" w:rsidP="00234608">
      <w:pPr>
        <w:pStyle w:val="Dotpoint1"/>
      </w:pPr>
      <w:r w:rsidRPr="0055572F">
        <w:t>how learnings are being implemented into teaching and learning.</w:t>
      </w:r>
    </w:p>
    <w:p w14:paraId="64A98B23" w14:textId="07640406" w:rsidR="0055572F" w:rsidRPr="0055572F" w:rsidRDefault="0055572F" w:rsidP="00234608">
      <w:pPr>
        <w:pStyle w:val="Heading3"/>
      </w:pPr>
      <w:bookmarkStart w:id="38" w:name="_Toc207377785"/>
      <w:r w:rsidRPr="0055572F">
        <w:t xml:space="preserve">Gaps and </w:t>
      </w:r>
      <w:r w:rsidR="00983535">
        <w:t>further</w:t>
      </w:r>
      <w:r w:rsidR="00FE1A19" w:rsidRPr="0055572F">
        <w:t xml:space="preserve"> </w:t>
      </w:r>
      <w:r w:rsidRPr="0055572F">
        <w:t>research</w:t>
      </w:r>
      <w:bookmarkEnd w:id="38"/>
    </w:p>
    <w:p w14:paraId="574BAD0F" w14:textId="77777777" w:rsidR="0055572F" w:rsidRPr="0055572F" w:rsidRDefault="0055572F" w:rsidP="0055572F">
      <w:pPr>
        <w:pStyle w:val="Text"/>
      </w:pPr>
      <w:r w:rsidRPr="0055572F">
        <w:t>The Certificate IV in Training and Assessment was historically designed to be an entry level qualification for VET teachers and further development of skills and knowledge is required to progress teaching and assessment to a higher quality. There are three main avenues for achieving this:</w:t>
      </w:r>
    </w:p>
    <w:p w14:paraId="0D3AEF25" w14:textId="77777777" w:rsidR="0055572F" w:rsidRPr="0055572F" w:rsidRDefault="0055572F" w:rsidP="007E0439">
      <w:pPr>
        <w:pStyle w:val="Dotpoint1"/>
      </w:pPr>
      <w:r w:rsidRPr="0055572F">
        <w:t>undertaking a higher-level VET teaching qualification, i.e. a diploma or a degree</w:t>
      </w:r>
    </w:p>
    <w:p w14:paraId="28F517FD" w14:textId="77777777" w:rsidR="0055572F" w:rsidRPr="0055572F" w:rsidRDefault="0055572F" w:rsidP="007E0439">
      <w:pPr>
        <w:pStyle w:val="Dotpoint1"/>
      </w:pPr>
      <w:r w:rsidRPr="0055572F">
        <w:t>learning from other VET teachers, such as through mentoring, team-teaching or other initiatives</w:t>
      </w:r>
    </w:p>
    <w:p w14:paraId="5DA60B91" w14:textId="77777777" w:rsidR="0055572F" w:rsidRPr="0055572F" w:rsidRDefault="0055572F" w:rsidP="007E0439">
      <w:pPr>
        <w:pStyle w:val="Dotpoint1"/>
      </w:pPr>
      <w:r w:rsidRPr="0055572F">
        <w:t>participating in professional development activities.</w:t>
      </w:r>
    </w:p>
    <w:p w14:paraId="46169E87" w14:textId="77777777" w:rsidR="0055572F" w:rsidRPr="0055572F" w:rsidRDefault="0055572F" w:rsidP="0055572F">
      <w:pPr>
        <w:pStyle w:val="Text"/>
      </w:pPr>
      <w:r w:rsidRPr="0055572F">
        <w:lastRenderedPageBreak/>
        <w:t xml:space="preserve">Research highlights the importance and effectiveness of teachers sharing knowledge and resources, for both novice and experienced teachers. How these opportunities can best be fostered in different training contexts, however, is not clear. There are scenarios where RTOs have the resources to drive opportunities (and may be doing so already, to different degrees). In other contexts, individual teachers may need to take agency in their own professional development, but it is not understood how they might best be supported to do so at an RTO or sector/system level.  </w:t>
      </w:r>
    </w:p>
    <w:p w14:paraId="6CCC8D9D" w14:textId="20513179" w:rsidR="0055572F" w:rsidRPr="0055572F" w:rsidRDefault="0055572F" w:rsidP="0055572F">
      <w:pPr>
        <w:pStyle w:val="Text"/>
      </w:pPr>
      <w:r w:rsidRPr="0055572F">
        <w:t xml:space="preserve">Effective professional development is aligned to the individual knowledge and skill gaps of teachers. The breadth and depth of professional development resources available for VET teachers, however, is overwhelming. There are organisations, such as VELG and the VET Development Centre, who specialise in providing professional development opportunities for VET teachers. There are also several fellowships available for VET teachers, such as International Specialised Skills Institute Fellowships. Some RTOs offer their own internal training for teachers. Given this plethora of professional development opportunities available, how do VET teachers and their employers identify what professional development opportunities suits best? The next phase of this project </w:t>
      </w:r>
      <w:r w:rsidR="00983535">
        <w:t>explored</w:t>
      </w:r>
      <w:r w:rsidRPr="0055572F">
        <w:t xml:space="preserve"> this question more thoroughly. It also examine</w:t>
      </w:r>
      <w:r w:rsidR="00983535">
        <w:t>d</w:t>
      </w:r>
      <w:r w:rsidRPr="0055572F">
        <w:t xml:space="preserve"> how capability frameworks and self-assessment tools are used in the sector and whether they can be better utilised for professional development purposes. </w:t>
      </w:r>
    </w:p>
    <w:p w14:paraId="7E61A170" w14:textId="77777777" w:rsidR="00234608" w:rsidRPr="00A95420" w:rsidRDefault="00234608" w:rsidP="00234608">
      <w:pPr>
        <w:pStyle w:val="Heading2"/>
      </w:pPr>
      <w:bookmarkStart w:id="39" w:name="_Toc207377786"/>
      <w:bookmarkStart w:id="40" w:name="_Toc241507532"/>
      <w:r w:rsidRPr="00BC2095">
        <w:t>Psychosocial</w:t>
      </w:r>
      <w:r>
        <w:t xml:space="preserve"> impacts on teaching and learning</w:t>
      </w:r>
      <w:bookmarkEnd w:id="39"/>
      <w:bookmarkEnd w:id="40"/>
    </w:p>
    <w:p w14:paraId="027B4AFD" w14:textId="77777777" w:rsidR="00234608" w:rsidRDefault="00234608" w:rsidP="00234608">
      <w:pPr>
        <w:pStyle w:val="Text"/>
      </w:pPr>
      <w:r>
        <w:t>The term ‘psychosocial’ describes the complex and ongoing interaction between an individual’s psychological thoughts, emotions, and behaviours and their social environment. This social environment includes relationships, cultural norms, community settings, educational institutions, workplaces, and broader societal structures. A person’s mental and emotional health is influenced by internal factors and external conditions including family dynamics, social support networks, work and school settings, socioeconomic status, and levels of education and experience (</w:t>
      </w:r>
      <w:r w:rsidRPr="00690340">
        <w:t xml:space="preserve">Ahmed, Dabrowski &amp; </w:t>
      </w:r>
      <w:proofErr w:type="spellStart"/>
      <w:r w:rsidRPr="00690340">
        <w:t>Carslake</w:t>
      </w:r>
      <w:proofErr w:type="spellEnd"/>
      <w:r w:rsidRPr="00690340">
        <w:t xml:space="preserve"> 2023; Rahimi &amp; Arnold 2025).</w:t>
      </w:r>
    </w:p>
    <w:p w14:paraId="4EF884C8" w14:textId="56A2E2D4" w:rsidR="00234608" w:rsidRDefault="00234608" w:rsidP="00234608">
      <w:pPr>
        <w:pStyle w:val="Text"/>
      </w:pPr>
      <w:r>
        <w:t>In the VET context, psychosocial factors can be considered to impact teaching and learning from two perspectives. First, students’ psychosocial experiences inform their readiness to learn and ability to engage in learning behaviours in educational settings</w:t>
      </w:r>
      <w:r w:rsidRPr="00193393">
        <w:t xml:space="preserve">. Second, teachers’ </w:t>
      </w:r>
      <w:r w:rsidR="00CC083E" w:rsidRPr="00193393">
        <w:t xml:space="preserve">own </w:t>
      </w:r>
      <w:r w:rsidRPr="00193393">
        <w:t>psychosocial experiences</w:t>
      </w:r>
      <w:r w:rsidR="00CC083E" w:rsidRPr="00193393">
        <w:t xml:space="preserve"> (</w:t>
      </w:r>
      <w:r w:rsidR="004176C7" w:rsidRPr="00193393">
        <w:t>which may stem from inside and/or outside the classroom/workplace)</w:t>
      </w:r>
      <w:r w:rsidRPr="00193393">
        <w:t xml:space="preserve"> </w:t>
      </w:r>
      <w:r w:rsidR="00216E40" w:rsidRPr="00193393">
        <w:t xml:space="preserve">can influence </w:t>
      </w:r>
      <w:r w:rsidRPr="00193393">
        <w:t>their ability to engage with students and offer support, to be flexible and adaptive in teaching and to cope with the often challenging and varied demands of teaching. This</w:t>
      </w:r>
      <w:r>
        <w:t xml:space="preserve"> section will address the student and teacher points of view as both perspectives inform not only student wellbeing and success but also VET workforce sustainability. </w:t>
      </w:r>
    </w:p>
    <w:p w14:paraId="2F0AC154" w14:textId="77777777" w:rsidR="00234608" w:rsidRPr="00A95420" w:rsidRDefault="00234608" w:rsidP="00234608">
      <w:pPr>
        <w:pStyle w:val="Heading3"/>
      </w:pPr>
      <w:bookmarkStart w:id="41" w:name="_Toc207377787"/>
      <w:r>
        <w:t>How do</w:t>
      </w:r>
      <w:r w:rsidRPr="00A95420">
        <w:t xml:space="preserve"> psychosocial factors</w:t>
      </w:r>
      <w:r>
        <w:t xml:space="preserve"> become barriers</w:t>
      </w:r>
      <w:r w:rsidRPr="00A95420">
        <w:t>?</w:t>
      </w:r>
      <w:bookmarkEnd w:id="41"/>
    </w:p>
    <w:p w14:paraId="4AA787BC" w14:textId="5863AD15" w:rsidR="00234608" w:rsidRDefault="00234608" w:rsidP="00234608">
      <w:pPr>
        <w:pStyle w:val="Text"/>
      </w:pPr>
      <w:r w:rsidRPr="00F80AD2">
        <w:t xml:space="preserve">Psychosocial barriers to learning often emerge as personal beliefs, attitudes, or feelings related to education, but they can also include external factors such as financial difficulties, unstable living conditions, and health challenges. These barriers </w:t>
      </w:r>
      <w:r w:rsidR="00E729CB">
        <w:t xml:space="preserve">can </w:t>
      </w:r>
      <w:r w:rsidRPr="00F80AD2">
        <w:t>arise from personal circumstances and broader social influences and can prevent individuals from fully eng</w:t>
      </w:r>
      <w:r>
        <w:t>aging</w:t>
      </w:r>
      <w:r w:rsidRPr="00F80AD2">
        <w:t xml:space="preserve"> in formal </w:t>
      </w:r>
      <w:r w:rsidRPr="00F80AD2">
        <w:lastRenderedPageBreak/>
        <w:t xml:space="preserve">learning activities, ultimately affecting their motivation, participation, and academic success. Despite their significant impact, such obstacles are frequently overlooked in educational planning and support strategies (Van </w:t>
      </w:r>
      <w:proofErr w:type="spellStart"/>
      <w:r w:rsidRPr="00F80AD2">
        <w:t>Nieuwenhove</w:t>
      </w:r>
      <w:proofErr w:type="spellEnd"/>
      <w:r w:rsidRPr="00F80AD2">
        <w:t xml:space="preserve"> &amp; De Wever, 2024). In vocational education and training, these psychosocial factors affect both trainers and </w:t>
      </w:r>
      <w:r w:rsidR="006A61D5" w:rsidRPr="00F80AD2">
        <w:t>learners</w:t>
      </w:r>
      <w:r w:rsidR="006A61D5">
        <w:t xml:space="preserve"> and</w:t>
      </w:r>
      <w:r w:rsidRPr="00F80AD2">
        <w:t xml:space="preserve"> have been directly linked to </w:t>
      </w:r>
      <w:r w:rsidR="00705BBE">
        <w:t>learners disengaging</w:t>
      </w:r>
      <w:r w:rsidRPr="00F80AD2">
        <w:t xml:space="preserve"> from </w:t>
      </w:r>
      <w:r w:rsidR="00705BBE">
        <w:t xml:space="preserve">their </w:t>
      </w:r>
      <w:r w:rsidRPr="00F80AD2">
        <w:t>VET programs (</w:t>
      </w:r>
      <w:proofErr w:type="spellStart"/>
      <w:r w:rsidRPr="00F80AD2">
        <w:t>Cedefop</w:t>
      </w:r>
      <w:proofErr w:type="spellEnd"/>
      <w:r w:rsidRPr="00F80AD2">
        <w:t>, 2025).</w:t>
      </w:r>
    </w:p>
    <w:p w14:paraId="180F176F" w14:textId="77D11AD3" w:rsidR="00234608" w:rsidRDefault="00234608" w:rsidP="00234608">
      <w:pPr>
        <w:pStyle w:val="Text"/>
      </w:pPr>
      <w:r>
        <w:t xml:space="preserve">When there is a safe environment, psychological and social factors work together to support learning and emotional well-being and students can develop personally, have their basic needs met, and protect or improve </w:t>
      </w:r>
      <w:r w:rsidR="00D142C5">
        <w:t xml:space="preserve">their </w:t>
      </w:r>
      <w:r>
        <w:t>mental health (</w:t>
      </w:r>
      <w:r w:rsidRPr="0055501D">
        <w:t>Ling et al. 2024; Sinson 2021</w:t>
      </w:r>
      <w:r>
        <w:t xml:space="preserve">). This is called psychological safety and is understood as </w:t>
      </w:r>
      <w:r w:rsidRPr="00671C03">
        <w:t xml:space="preserve">the belief, within a group, that individuals are safe to take interpersonal risks, such as speaking up with ideas, questions, concerns, and making mistakes, without fear of negative social or professional consequences. It is a supportive social learning environment where people feel secure to experiment, make errors, and correct misconceptions. </w:t>
      </w:r>
      <w:r>
        <w:t>In the literature, t</w:t>
      </w:r>
      <w:r w:rsidRPr="00671C03">
        <w:t xml:space="preserve">his safety stems from positive relationships and the fulfillment of basic psychological and safety needs, fostering open communication and trust </w:t>
      </w:r>
      <w:r>
        <w:t xml:space="preserve">in students </w:t>
      </w:r>
      <w:r w:rsidRPr="00671C03">
        <w:t xml:space="preserve">(Education Support, </w:t>
      </w:r>
      <w:r>
        <w:t>2023</w:t>
      </w:r>
      <w:r w:rsidRPr="00671C03">
        <w:t xml:space="preserve">; </w:t>
      </w:r>
      <w:r w:rsidRPr="002D01CD">
        <w:t>Hughes et al. 2022</w:t>
      </w:r>
      <w:r w:rsidRPr="00671C03">
        <w:t>).</w:t>
      </w:r>
      <w:r w:rsidRPr="002E23CF">
        <w:t xml:space="preserve"> </w:t>
      </w:r>
    </w:p>
    <w:p w14:paraId="1602B287" w14:textId="582A7024" w:rsidR="00234608" w:rsidRPr="00933DC9" w:rsidRDefault="00234608" w:rsidP="00234608">
      <w:pPr>
        <w:pStyle w:val="Text"/>
      </w:pPr>
      <w:r w:rsidRPr="00933DC9">
        <w:t>The literature also provides models to understand the psychosoc</w:t>
      </w:r>
      <w:r w:rsidR="008220B9">
        <w:t>i</w:t>
      </w:r>
      <w:r w:rsidRPr="00933DC9">
        <w:t xml:space="preserve">al work environment, such as this one that aims to document key elements of worker demands: </w:t>
      </w:r>
    </w:p>
    <w:p w14:paraId="0087972D" w14:textId="77777777" w:rsidR="00234608" w:rsidRPr="00933DC9" w:rsidRDefault="00234608" w:rsidP="00234608">
      <w:pPr>
        <w:pStyle w:val="Dotpoint1"/>
        <w:tabs>
          <w:tab w:val="clear" w:pos="567"/>
          <w:tab w:val="left" w:pos="284"/>
        </w:tabs>
        <w:ind w:left="284"/>
      </w:pPr>
      <w:r w:rsidRPr="00933DC9">
        <w:t>job control - the extent to which employees have the authority to make decisions about their tasks and how they complete them throughout the workday</w:t>
      </w:r>
    </w:p>
    <w:p w14:paraId="6CBF3A50" w14:textId="77777777" w:rsidR="00234608" w:rsidRPr="00041C5F" w:rsidRDefault="00234608" w:rsidP="00234608">
      <w:pPr>
        <w:pStyle w:val="Dotpoint1"/>
        <w:tabs>
          <w:tab w:val="clear" w:pos="567"/>
          <w:tab w:val="left" w:pos="284"/>
        </w:tabs>
        <w:ind w:left="284"/>
      </w:pPr>
      <w:r w:rsidRPr="00933DC9">
        <w:t xml:space="preserve">job demands - mental stressors such as heavy workloads, unexpected challenges, and </w:t>
      </w:r>
      <w:r w:rsidRPr="00041C5F">
        <w:t>interpersonal conflicts</w:t>
      </w:r>
    </w:p>
    <w:p w14:paraId="7F2D0C44" w14:textId="77777777" w:rsidR="00234608" w:rsidRPr="00933DC9" w:rsidRDefault="00234608" w:rsidP="00234608">
      <w:pPr>
        <w:pStyle w:val="Dotpoint1"/>
        <w:tabs>
          <w:tab w:val="clear" w:pos="567"/>
          <w:tab w:val="left" w:pos="284"/>
        </w:tabs>
        <w:ind w:left="284"/>
      </w:pPr>
      <w:r w:rsidRPr="00933DC9">
        <w:t xml:space="preserve">social support - the network of relationships and interactions that help maintain employees’ mental health and overall well-being. </w:t>
      </w:r>
    </w:p>
    <w:p w14:paraId="7E3C8629" w14:textId="77777777" w:rsidR="00234608" w:rsidRDefault="00234608" w:rsidP="00234608">
      <w:pPr>
        <w:pStyle w:val="Text"/>
      </w:pPr>
      <w:r>
        <w:t xml:space="preserve">Together, these factors shape how individuals experience their work and influence their psychological and physical health </w:t>
      </w:r>
      <w:r w:rsidRPr="004313E8">
        <w:t>(Ibrahim et al. 2021</w:t>
      </w:r>
      <w:r>
        <w:t>).</w:t>
      </w:r>
    </w:p>
    <w:p w14:paraId="72F3BDAA" w14:textId="77777777" w:rsidR="00234608" w:rsidRPr="00A95420" w:rsidRDefault="00234608" w:rsidP="00234608">
      <w:pPr>
        <w:pStyle w:val="Text"/>
      </w:pPr>
      <w:r>
        <w:t xml:space="preserve">Outside of concerns about training quality, Australian employers are required by WHS legislation to provide workplaces free of psychosocial hazards. ‘A psychosocial hazard is anything that could cause psychological harm (e.g. harm someone’s mental health).’ (SafeWork Australia). </w:t>
      </w:r>
    </w:p>
    <w:p w14:paraId="0BC01CD2" w14:textId="77777777" w:rsidR="00234608" w:rsidRPr="00A95420" w:rsidRDefault="00234608" w:rsidP="00234608">
      <w:pPr>
        <w:pStyle w:val="Heading3"/>
      </w:pPr>
      <w:bookmarkStart w:id="42" w:name="_Toc207377788"/>
      <w:r w:rsidRPr="00A95420">
        <w:t xml:space="preserve">Psychosocial </w:t>
      </w:r>
      <w:r>
        <w:t>factors</w:t>
      </w:r>
      <w:r w:rsidRPr="00A95420">
        <w:t xml:space="preserve"> </w:t>
      </w:r>
      <w:r>
        <w:t>and learning</w:t>
      </w:r>
      <w:bookmarkEnd w:id="42"/>
    </w:p>
    <w:p w14:paraId="641E53B8" w14:textId="6655F234" w:rsidR="00234608" w:rsidRDefault="00234608" w:rsidP="00234608">
      <w:pPr>
        <w:pStyle w:val="Text"/>
      </w:pPr>
      <w:r>
        <w:t xml:space="preserve">Learning is influenced by a variety of factors, ranging from both internal traits and abilities to external influences and conditions. According to the research, demographic factors such as age (non-traditional age, adult students), first in family (first generation with no family role models), re-entry students (those with extended periods between high school and </w:t>
      </w:r>
      <w:r w:rsidR="00515B8D">
        <w:t>post-</w:t>
      </w:r>
      <w:r>
        <w:t>secondary education), work-life balance (juggling study, job and family commitments), non-traditional students (students with diverse origins, challenges and abilities and low-educated adults), and socioeconomic status are key contributors to students withdrawing, underperforming, feeling dissatisfied with their learning experiences and experiencing negative impacts on their motivation and self-confidence (</w:t>
      </w:r>
      <w:proofErr w:type="spellStart"/>
      <w:r w:rsidRPr="00002D83">
        <w:t>Bartušienė</w:t>
      </w:r>
      <w:proofErr w:type="spellEnd"/>
      <w:r w:rsidRPr="00002D83">
        <w:t xml:space="preserve"> et al. </w:t>
      </w:r>
      <w:r w:rsidRPr="00B86005">
        <w:t>2024; Griffin 2020</w:t>
      </w:r>
      <w:r w:rsidRPr="00EB4693">
        <w:t xml:space="preserve">; Hughes et al. 2022; </w:t>
      </w:r>
      <w:r w:rsidRPr="00195E1C">
        <w:t xml:space="preserve">Van </w:t>
      </w:r>
      <w:proofErr w:type="spellStart"/>
      <w:r w:rsidRPr="00195E1C">
        <w:t>Nieuwenhove</w:t>
      </w:r>
      <w:proofErr w:type="spellEnd"/>
      <w:r w:rsidRPr="00195E1C">
        <w:t xml:space="preserve"> &amp; De Wever 2024).</w:t>
      </w:r>
      <w:r>
        <w:t xml:space="preserve"> </w:t>
      </w:r>
    </w:p>
    <w:p w14:paraId="7A7E92DB" w14:textId="0C9BF0DF" w:rsidR="00234608" w:rsidRDefault="00234608" w:rsidP="00234608">
      <w:pPr>
        <w:pStyle w:val="Text"/>
      </w:pPr>
      <w:r>
        <w:lastRenderedPageBreak/>
        <w:t xml:space="preserve">Additionally, psychosocial factors </w:t>
      </w:r>
      <w:r w:rsidR="00866953">
        <w:t xml:space="preserve">such as trauma, unmet need, negative educational experiences, exclusion and isolation, </w:t>
      </w:r>
      <w:r>
        <w:t xml:space="preserve">can significantly impact student engagement and achievement. These factors can cause the onset of </w:t>
      </w:r>
      <w:r w:rsidRPr="0031024D">
        <w:t>anxiety, low mood, fear and stress</w:t>
      </w:r>
      <w:r>
        <w:t xml:space="preserve"> and their behavioural manifestations </w:t>
      </w:r>
      <w:r w:rsidRPr="00170DE3">
        <w:t>can significantly undermine students' engagement with education and participation in learning</w:t>
      </w:r>
      <w:r w:rsidRPr="001134C8">
        <w:t xml:space="preserve"> (</w:t>
      </w:r>
      <w:proofErr w:type="spellStart"/>
      <w:r w:rsidRPr="001134C8">
        <w:t>Bartušienė</w:t>
      </w:r>
      <w:proofErr w:type="spellEnd"/>
      <w:r w:rsidRPr="001134C8">
        <w:t xml:space="preserve"> et al. 2024; Hughes et al. 2022).</w:t>
      </w:r>
      <w:r>
        <w:t xml:space="preserve"> </w:t>
      </w:r>
    </w:p>
    <w:p w14:paraId="64D4D3AB" w14:textId="19D167F7" w:rsidR="00234608" w:rsidRPr="00A95420" w:rsidRDefault="0092256E" w:rsidP="00234608">
      <w:pPr>
        <w:pStyle w:val="Text"/>
      </w:pPr>
      <w:r w:rsidRPr="0092256E">
        <w:t>Most of the existing research focuses on psychosocial factors within the secondary and tertiary education sectors. Across this literature, these factors are often described as part of a cyclical pattern, whereby one challenge contributes to another, creating a recurring cycle of difficulties and associated impacts.</w:t>
      </w:r>
      <w:r>
        <w:t xml:space="preserve"> </w:t>
      </w:r>
      <w:r w:rsidR="00234608">
        <w:t xml:space="preserve">For some students this cycle compounds over time, becoming progressively more difficult to manage as they navigate multiple hazards interacting and intensifying the negative impact. For others, the social experiences, environmental stressors and psychological responses can occur as unique, isolated events that may not trigger an ongoing series of issues but can still create pivotal moments in a student’s journey. For yet others, both or neither of these scenarios apply; what is very clear from the literature is that psychosocial impacts on students vary greatly and are highly individualised. </w:t>
      </w:r>
    </w:p>
    <w:p w14:paraId="53C9278E" w14:textId="77777777" w:rsidR="00234608" w:rsidRDefault="00234608" w:rsidP="00234608">
      <w:pPr>
        <w:pStyle w:val="Heading4"/>
      </w:pPr>
      <w:r>
        <w:t>Key psychosocial factors that impact students</w:t>
      </w:r>
    </w:p>
    <w:p w14:paraId="66FF43A8" w14:textId="77777777" w:rsidR="00234608" w:rsidRDefault="00234608" w:rsidP="00234608">
      <w:pPr>
        <w:pStyle w:val="Heading5"/>
      </w:pPr>
      <w:r>
        <w:t>Trauma and unmet need</w:t>
      </w:r>
    </w:p>
    <w:p w14:paraId="69D37266" w14:textId="77777777" w:rsidR="00234608" w:rsidRDefault="00234608" w:rsidP="00234608">
      <w:pPr>
        <w:pStyle w:val="Text"/>
      </w:pPr>
      <w:r>
        <w:t xml:space="preserve">At the most fundamental level, trauma and lack of basic needs, whether current or in the past, can manifest in behavioural issues that mimic learning difficulties and attention deficits </w:t>
      </w:r>
      <w:r w:rsidRPr="00755496">
        <w:t>(Davidson 2020). Living</w:t>
      </w:r>
      <w:r>
        <w:t xml:space="preserve"> with poverty, housing instability, and food insecurity, causes high levels of stress and can lead to physiological and health problems as well as feelings of anger, disappointment, hopelessness, loneliness and embarrassment which can manifest as students exhibiting behaviours in educational settings that are misunderstood as disciplinary issues </w:t>
      </w:r>
      <w:r w:rsidRPr="00366419">
        <w:t>(McGregor 2024).</w:t>
      </w:r>
      <w:r>
        <w:t xml:space="preserve"> </w:t>
      </w:r>
    </w:p>
    <w:p w14:paraId="6FD8A23F" w14:textId="64EE56AC" w:rsidR="00234608" w:rsidRDefault="00234608" w:rsidP="00234608">
      <w:pPr>
        <w:pStyle w:val="Text"/>
      </w:pPr>
      <w:r>
        <w:t>M</w:t>
      </w:r>
      <w:r w:rsidRPr="00E310CF">
        <w:t>isinterpretation of a learner’s behaviour can sometimes arise from cultural misunderstandings (McGregor, 2024). These misunderstandings may lead to inappropriate responses from educators or institutions</w:t>
      </w:r>
      <w:r>
        <w:t>.</w:t>
      </w:r>
      <w:r w:rsidRPr="00E310CF">
        <w:t xml:space="preserve"> </w:t>
      </w:r>
      <w:r>
        <w:t>At the system level, such responses lead to</w:t>
      </w:r>
      <w:r w:rsidRPr="00E310CF">
        <w:t xml:space="preserve"> inequitable learning. In some cases, stereotyping and prejudice </w:t>
      </w:r>
      <w:r w:rsidR="00F003D6">
        <w:t xml:space="preserve">can </w:t>
      </w:r>
      <w:r w:rsidRPr="00E310CF">
        <w:t xml:space="preserve">become embedded in institutional practices, resulting in the disproportionate targeting of learners from under-represented groups (McGregor, 2024). </w:t>
      </w:r>
      <w:r>
        <w:t xml:space="preserve">These learners were ‘more likely to be part of disciplinary processes in education compared to their peers’ </w:t>
      </w:r>
      <w:r w:rsidRPr="008B4DBF">
        <w:t>(</w:t>
      </w:r>
      <w:r w:rsidRPr="00B86E2E">
        <w:t>McGregor 2024, p.26</w:t>
      </w:r>
      <w:r w:rsidRPr="008B4DBF">
        <w:t>).</w:t>
      </w:r>
      <w:r>
        <w:t xml:space="preserve"> </w:t>
      </w:r>
    </w:p>
    <w:p w14:paraId="64D53A01" w14:textId="741F0338" w:rsidR="00234608" w:rsidRPr="00A95420" w:rsidRDefault="00234608" w:rsidP="00234608">
      <w:pPr>
        <w:pStyle w:val="Text"/>
      </w:pPr>
      <w:r>
        <w:t>Further to this, unconscious and often unintentional biases and discrimination have been seen to be embedded within the policies, structures and practices of educational institutions which can result in variations on how disciplinary policies are applied in learning environments (</w:t>
      </w:r>
      <w:r w:rsidRPr="003A4EA9">
        <w:t>McGregor 2024).</w:t>
      </w:r>
      <w:r>
        <w:t xml:space="preserve"> Psychosocial safety becomes impeded in inequitable </w:t>
      </w:r>
      <w:r w:rsidRPr="001134C8">
        <w:t>environments (</w:t>
      </w:r>
      <w:proofErr w:type="spellStart"/>
      <w:r w:rsidRPr="001134C8">
        <w:t>Bartušienė</w:t>
      </w:r>
      <w:proofErr w:type="spellEnd"/>
      <w:r w:rsidRPr="001134C8">
        <w:t xml:space="preserve"> et al. </w:t>
      </w:r>
      <w:bookmarkStart w:id="43" w:name="_Hlk205295808"/>
      <w:r w:rsidRPr="001134C8">
        <w:t>2024; Hughes et al., 2022</w:t>
      </w:r>
      <w:bookmarkEnd w:id="43"/>
      <w:r w:rsidRPr="001134C8">
        <w:t>), leading</w:t>
      </w:r>
      <w:r>
        <w:t xml:space="preserve"> to an increase in feelings of stress, compromised positive development, and negative impacts to the mental health of some students </w:t>
      </w:r>
      <w:r w:rsidRPr="008005D6">
        <w:t>(Ling et al. 2024).</w:t>
      </w:r>
      <w:r>
        <w:t xml:space="preserve"> </w:t>
      </w:r>
    </w:p>
    <w:p w14:paraId="631F2096" w14:textId="34FA0722" w:rsidR="00234608" w:rsidRDefault="00234608" w:rsidP="00234608">
      <w:pPr>
        <w:pStyle w:val="Text"/>
      </w:pPr>
      <w:r w:rsidRPr="00F06BDD">
        <w:t xml:space="preserve">Physical, social, and psychological outcomes are affected by hypervigilance to threats, which </w:t>
      </w:r>
      <w:r w:rsidR="00E0674D">
        <w:t>can arise</w:t>
      </w:r>
      <w:r w:rsidRPr="00F06BDD">
        <w:t xml:space="preserve"> from a focus on survival during traumatic events</w:t>
      </w:r>
      <w:r>
        <w:t xml:space="preserve">. </w:t>
      </w:r>
      <w:r w:rsidRPr="00F06BDD">
        <w:t xml:space="preserve">This heightened alertness, often </w:t>
      </w:r>
      <w:r w:rsidRPr="00F06BDD">
        <w:lastRenderedPageBreak/>
        <w:t>rooted in childhood trauma, whether witnessed or experienced, can persist into adulthood (Davidson, 2020).</w:t>
      </w:r>
      <w:r>
        <w:t xml:space="preserve"> Put simply, trauma </w:t>
      </w:r>
      <w:r w:rsidRPr="00A23D50">
        <w:t xml:space="preserve">causes physiological changes to the developing brain </w:t>
      </w:r>
      <w:r>
        <w:t xml:space="preserve">and inhibits the ability to learn as it disrupts behaviours such as attention, sensory processing, language processing, decision making and how a student manages stress or their emotions </w:t>
      </w:r>
      <w:r w:rsidRPr="00304B96">
        <w:t>(</w:t>
      </w:r>
      <w:r w:rsidRPr="00C963CE">
        <w:t>Davidson 2020</w:t>
      </w:r>
      <w:r>
        <w:t xml:space="preserve">). Trauma that has been linked to psychosocial impacts for students includes: exposure to violence; physical, sexual, or emotional abuse; neglect; having a family member attempt or die by suicide; having a parent or caregiver with mental illness; parental separation or divorce; parental incarceration, own or parental/caregiver substance abuse; </w:t>
      </w:r>
      <w:r w:rsidR="00F754CC">
        <w:t xml:space="preserve">and </w:t>
      </w:r>
      <w:r>
        <w:t xml:space="preserve">experiencing </w:t>
      </w:r>
      <w:r w:rsidR="00F754CC">
        <w:t xml:space="preserve">previous </w:t>
      </w:r>
      <w:r>
        <w:t>educational trauma (</w:t>
      </w:r>
      <w:r w:rsidRPr="008005D6">
        <w:t>Davidson 2020; McGregor 2024;</w:t>
      </w:r>
      <w:r>
        <w:t xml:space="preserve"> </w:t>
      </w:r>
      <w:bookmarkStart w:id="44" w:name="_Hlk205916294"/>
      <w:r w:rsidRPr="006C043E">
        <w:t>State Government of New South Wales, 2021</w:t>
      </w:r>
      <w:bookmarkEnd w:id="44"/>
      <w:r>
        <w:t xml:space="preserve">). </w:t>
      </w:r>
    </w:p>
    <w:p w14:paraId="3C320DBC" w14:textId="77C70FD4" w:rsidR="00234608" w:rsidRPr="00A95420" w:rsidRDefault="00234608" w:rsidP="00234608">
      <w:pPr>
        <w:pStyle w:val="Text"/>
      </w:pPr>
      <w:r>
        <w:t xml:space="preserve">Academically, persistence and </w:t>
      </w:r>
      <w:r w:rsidR="003C3001">
        <w:t>qualification completion can be</w:t>
      </w:r>
      <w:r>
        <w:t xml:space="preserve"> affected greatly by the impacts of trauma and unmet need, and such affected students can find it very difficult to form healthy relationships and may be at higher risk of depression and suicide (</w:t>
      </w:r>
      <w:r w:rsidRPr="006C043E">
        <w:t>State Government of New South Wales, 2021</w:t>
      </w:r>
      <w:r>
        <w:t xml:space="preserve">). </w:t>
      </w:r>
    </w:p>
    <w:p w14:paraId="6745A6B5" w14:textId="77777777" w:rsidR="00234608" w:rsidRPr="00A95420" w:rsidRDefault="00234608" w:rsidP="00234608">
      <w:pPr>
        <w:pStyle w:val="Heading5"/>
      </w:pPr>
      <w:r>
        <w:t>Negative educational experiences</w:t>
      </w:r>
    </w:p>
    <w:p w14:paraId="76195D8B" w14:textId="77777777" w:rsidR="00234608" w:rsidRDefault="00234608" w:rsidP="00234608">
      <w:pPr>
        <w:pStyle w:val="Text"/>
      </w:pPr>
      <w:r>
        <w:t xml:space="preserve">Students can hold uniquely individual and negative beliefs, values, attitudes, and perceptions regarding learning, which often stem from family influence, past experiences with educational content and curriculum, or negative experiences with institutions generally and educational </w:t>
      </w:r>
      <w:proofErr w:type="gramStart"/>
      <w:r>
        <w:t>environments in particular</w:t>
      </w:r>
      <w:proofErr w:type="gramEnd"/>
      <w:r>
        <w:t xml:space="preserve"> </w:t>
      </w:r>
      <w:r w:rsidRPr="00180094">
        <w:t xml:space="preserve">(Van </w:t>
      </w:r>
      <w:proofErr w:type="spellStart"/>
      <w:r w:rsidRPr="00180094">
        <w:t>Nieuwenhove</w:t>
      </w:r>
      <w:proofErr w:type="spellEnd"/>
      <w:r w:rsidRPr="00180094">
        <w:t xml:space="preserve"> &amp; De Wever 2024).</w:t>
      </w:r>
      <w:r>
        <w:t xml:space="preserve"> </w:t>
      </w:r>
    </w:p>
    <w:p w14:paraId="46269E00" w14:textId="77777777" w:rsidR="00234608" w:rsidRDefault="00234608" w:rsidP="00234608">
      <w:pPr>
        <w:pStyle w:val="Text"/>
      </w:pPr>
      <w:r w:rsidRPr="00387BD9">
        <w:t>Some negative experiences stem from psychosocially driven behaviours</w:t>
      </w:r>
      <w:r>
        <w:t xml:space="preserve">, </w:t>
      </w:r>
      <w:r w:rsidRPr="00387BD9">
        <w:t>for example, an inability to adapt to constant change can lead to condemnation. Conversely, other experiences may act as catalysts that trigger the development of these behaviours (</w:t>
      </w:r>
      <w:proofErr w:type="spellStart"/>
      <w:r w:rsidRPr="00387BD9">
        <w:t>Bartušienė</w:t>
      </w:r>
      <w:proofErr w:type="spellEnd"/>
      <w:r w:rsidRPr="00387BD9">
        <w:t xml:space="preserve"> et al., 2024). Over time, such behavioural patterns and the social responses they provoke can contribute to the marginalisation of students, leading to feelings of intimidation, a diminished sense of belonging, and overall lower levels of psychological safety (</w:t>
      </w:r>
      <w:proofErr w:type="spellStart"/>
      <w:r w:rsidRPr="00387BD9">
        <w:t>Bartušienė</w:t>
      </w:r>
      <w:proofErr w:type="spellEnd"/>
      <w:r w:rsidRPr="00387BD9">
        <w:t xml:space="preserve"> et al., 2024; Hughes et al., 2022).</w:t>
      </w:r>
    </w:p>
    <w:p w14:paraId="52882D42" w14:textId="0722E90A" w:rsidR="00234608" w:rsidRDefault="00234608" w:rsidP="00234608">
      <w:pPr>
        <w:pStyle w:val="Text"/>
      </w:pPr>
      <w:r>
        <w:t>Students’ motivation and wellbeing can also be negatively impacted when they are first</w:t>
      </w:r>
      <w:r w:rsidR="00192036">
        <w:t>-</w:t>
      </w:r>
      <w:r>
        <w:t>in</w:t>
      </w:r>
      <w:r w:rsidR="00192036">
        <w:t>-</w:t>
      </w:r>
      <w:r>
        <w:t>family students. Having parents or caregivers who hold low expectations of academic success or who distrust the connection between education and employment prospects can create psychosocial barriers (</w:t>
      </w:r>
      <w:r w:rsidRPr="001E2048">
        <w:t>Sim 2023</w:t>
      </w:r>
      <w:r>
        <w:t xml:space="preserve">; </w:t>
      </w:r>
      <w:r w:rsidRPr="00510E1D">
        <w:t>State Government of New South Wales, 2021</w:t>
      </w:r>
      <w:r>
        <w:t xml:space="preserve">). </w:t>
      </w:r>
    </w:p>
    <w:p w14:paraId="4D3D0CDA" w14:textId="77777777" w:rsidR="00234608" w:rsidRPr="00A95420" w:rsidRDefault="00234608" w:rsidP="00234608">
      <w:pPr>
        <w:pStyle w:val="Text"/>
      </w:pPr>
      <w:r>
        <w:t xml:space="preserve">The influence of negative educational experiences on student participation has been observed to restrict educational decision making and the forming of intentions to participate in education, to return to study, or to articulate into higher studies </w:t>
      </w:r>
      <w:r w:rsidRPr="00180094">
        <w:t xml:space="preserve">(Van </w:t>
      </w:r>
      <w:proofErr w:type="spellStart"/>
      <w:r w:rsidRPr="00180094">
        <w:t>Nieuwenhove</w:t>
      </w:r>
      <w:proofErr w:type="spellEnd"/>
      <w:r w:rsidRPr="00180094">
        <w:t xml:space="preserve"> &amp; De Wever 2024).</w:t>
      </w:r>
    </w:p>
    <w:p w14:paraId="3A22D2CC" w14:textId="77777777" w:rsidR="00234608" w:rsidRPr="00A95420" w:rsidRDefault="00234608" w:rsidP="00234608">
      <w:pPr>
        <w:pStyle w:val="Heading5"/>
      </w:pPr>
      <w:r>
        <w:t>Exclusion and isolation</w:t>
      </w:r>
    </w:p>
    <w:p w14:paraId="64FDC083" w14:textId="77777777" w:rsidR="00234608" w:rsidRDefault="00234608" w:rsidP="00234608">
      <w:pPr>
        <w:pStyle w:val="Text"/>
      </w:pPr>
      <w:r>
        <w:t xml:space="preserve">Other prominent psychosocial barriers to full participation, engagement and achievement are exclusion and isolation, including self-isolation through intentional social </w:t>
      </w:r>
      <w:r w:rsidRPr="00120363">
        <w:t>exclusion (</w:t>
      </w:r>
      <w:proofErr w:type="spellStart"/>
      <w:r w:rsidRPr="00120363">
        <w:t>Bartušienė</w:t>
      </w:r>
      <w:proofErr w:type="spellEnd"/>
      <w:r w:rsidRPr="00120363">
        <w:t xml:space="preserve"> et al. 2024). </w:t>
      </w:r>
      <w:r>
        <w:t xml:space="preserve">Isolation can occur for many reasons; self-protecting due to previous negative experiences or bullying, being excluded due to misunderstandings about neurodiverse behaviours, having trouble making or maintaining social connections, or any number of other </w:t>
      </w:r>
      <w:r>
        <w:lastRenderedPageBreak/>
        <w:t xml:space="preserve">reasons that result in not being accepted and having difficulty fitting in socially </w:t>
      </w:r>
      <w:r w:rsidRPr="00120363">
        <w:t>(Hughes et al. 2022).</w:t>
      </w:r>
      <w:r>
        <w:t xml:space="preserve"> Research has demonstrated a resulting reduction to cognitive function that impacts a student's ability to focus attention, concentrate, remember and problem solve, which can then directly impact overall academic ability and grades </w:t>
      </w:r>
      <w:r w:rsidRPr="00120363">
        <w:t>(</w:t>
      </w:r>
      <w:proofErr w:type="spellStart"/>
      <w:r w:rsidRPr="00120363">
        <w:t>Bartušienė</w:t>
      </w:r>
      <w:proofErr w:type="spellEnd"/>
      <w:r w:rsidRPr="00120363">
        <w:t xml:space="preserve"> et al. 2024, p.202, Hughes et al. 2022;</w:t>
      </w:r>
      <w:r>
        <w:t xml:space="preserve"> </w:t>
      </w:r>
      <w:r w:rsidRPr="00510E1D">
        <w:t>State Government of New South Wales, 2021</w:t>
      </w:r>
      <w:r>
        <w:t xml:space="preserve">). </w:t>
      </w:r>
    </w:p>
    <w:p w14:paraId="75CF4AB6" w14:textId="4948E2B7" w:rsidR="00234608" w:rsidRDefault="00234608" w:rsidP="00234608">
      <w:pPr>
        <w:pStyle w:val="Text"/>
      </w:pPr>
      <w:r>
        <w:t xml:space="preserve">Neurodiverse students in particular face isolation and loneliness due to social difficulties fitting in with peers. These students also face a multitude of challenges related to sensory overload from the physical learning environment (e.g. noise, seating arrangements and space in classrooms) and pressure to mask their neurodivergent characteristics and behave as expected by </w:t>
      </w:r>
      <w:r w:rsidRPr="00120363">
        <w:t>others (</w:t>
      </w:r>
      <w:proofErr w:type="spellStart"/>
      <w:r w:rsidRPr="00120363">
        <w:t>Bartušienė</w:t>
      </w:r>
      <w:proofErr w:type="spellEnd"/>
      <w:r w:rsidRPr="00120363">
        <w:t xml:space="preserve"> et al. 2024; </w:t>
      </w:r>
      <w:r w:rsidRPr="00BE7C95">
        <w:t>Collins 2024).</w:t>
      </w:r>
      <w:r>
        <w:t xml:space="preserve"> </w:t>
      </w:r>
    </w:p>
    <w:p w14:paraId="2C722240" w14:textId="77777777" w:rsidR="00234608" w:rsidRDefault="00234608" w:rsidP="00234608">
      <w:pPr>
        <w:pStyle w:val="Text"/>
      </w:pPr>
      <w:r>
        <w:t xml:space="preserve">The umbrella term, neurodiversity, now covers an increasing number of disabilities, difficulties, disorders and conditions that are based in psychosocial, learning, and </w:t>
      </w:r>
      <w:r w:rsidRPr="0090135C">
        <w:t>psychiatric</w:t>
      </w:r>
      <w:r>
        <w:t xml:space="preserve"> contexts (</w:t>
      </w:r>
      <w:proofErr w:type="spellStart"/>
      <w:r w:rsidRPr="00C51CE1">
        <w:t>Bartušienė</w:t>
      </w:r>
      <w:proofErr w:type="spellEnd"/>
      <w:r w:rsidRPr="00C51CE1">
        <w:t xml:space="preserve"> et al. 2024</w:t>
      </w:r>
      <w:r>
        <w:t>). It is therefore a multi-layered and complex concept with a richly context-based understanding, covering those who differ from the criteria of 'typical neurological development and functioning' (</w:t>
      </w:r>
      <w:proofErr w:type="spellStart"/>
      <w:r w:rsidRPr="00FA4C3B">
        <w:t>Bartušienė</w:t>
      </w:r>
      <w:proofErr w:type="spellEnd"/>
      <w:r w:rsidRPr="00FA4C3B">
        <w:t xml:space="preserve"> et al. 2024, p.13)</w:t>
      </w:r>
      <w:r>
        <w:t xml:space="preserve">. Neurodiverse students can find the unpredictable nature of the VET sector particularly difficult to navigate, but in all learning environments they can experience challenges with ‘participating and collaborating in group work, asking questions, presenting information, and understanding ambiguous or abstract concepts’ </w:t>
      </w:r>
      <w:r w:rsidRPr="00C249B1">
        <w:t>(</w:t>
      </w:r>
      <w:r w:rsidRPr="004C735A">
        <w:t>Collins 2024, p.7</w:t>
      </w:r>
      <w:r w:rsidRPr="00C249B1">
        <w:t>).</w:t>
      </w:r>
      <w:r>
        <w:t xml:space="preserve"> </w:t>
      </w:r>
    </w:p>
    <w:p w14:paraId="3198CE16" w14:textId="77777777" w:rsidR="00234608" w:rsidRDefault="00234608" w:rsidP="00234608">
      <w:pPr>
        <w:pStyle w:val="Heading4"/>
      </w:pPr>
      <w:r>
        <w:t>Programs and resources are already available</w:t>
      </w:r>
    </w:p>
    <w:p w14:paraId="4E26FDDB" w14:textId="7498215A" w:rsidR="00234608" w:rsidRDefault="00234608" w:rsidP="00234608">
      <w:pPr>
        <w:pStyle w:val="Text"/>
      </w:pPr>
      <w:r w:rsidRPr="00313AD6">
        <w:t xml:space="preserve">There are many free and cost-based programs, directories, resources and courses available for teachers </w:t>
      </w:r>
      <w:r>
        <w:t xml:space="preserve">(and students) </w:t>
      </w:r>
      <w:r w:rsidRPr="00313AD6">
        <w:t>facing psychosocial impacts in their classrooms, mainly in the primary and secondary school sectors</w:t>
      </w:r>
      <w:r>
        <w:t>.</w:t>
      </w:r>
      <w:r w:rsidRPr="00313AD6">
        <w:t xml:space="preserve"> </w:t>
      </w:r>
      <w:r>
        <w:t>Fewer resources were discovered for</w:t>
      </w:r>
      <w:r w:rsidRPr="00313AD6">
        <w:t xml:space="preserve"> universities and further education settings and few</w:t>
      </w:r>
      <w:r>
        <w:t>er again</w:t>
      </w:r>
      <w:r w:rsidRPr="00313AD6">
        <w:t xml:space="preserve"> were found for the VET sector. </w:t>
      </w:r>
      <w:r>
        <w:t xml:space="preserve">A sample of the resources for </w:t>
      </w:r>
      <w:r w:rsidRPr="00AF1B29">
        <w:t xml:space="preserve">teachers </w:t>
      </w:r>
      <w:r w:rsidR="003C3DB9">
        <w:t xml:space="preserve">are provided in </w:t>
      </w:r>
      <w:r w:rsidRPr="00AF1B29">
        <w:t>Appendix A.</w:t>
      </w:r>
      <w:r>
        <w:t xml:space="preserve"> Those reviewed </w:t>
      </w:r>
      <w:r w:rsidRPr="00313AD6">
        <w:t xml:space="preserve">range from evidence-informed offerings by external providers, to government funded or endorsed programs, through to professional teaching practice and more general information. Many are aimed at helping teachers recognise </w:t>
      </w:r>
      <w:r>
        <w:t xml:space="preserve">the </w:t>
      </w:r>
      <w:r w:rsidRPr="00313AD6">
        <w:t>psychosocial needs</w:t>
      </w:r>
      <w:r>
        <w:t xml:space="preserve"> of students</w:t>
      </w:r>
      <w:r w:rsidRPr="00313AD6">
        <w:t xml:space="preserve"> in their classrooms and provide strategies to support the social and emotional wellbeing of students. </w:t>
      </w:r>
    </w:p>
    <w:p w14:paraId="48E5888F" w14:textId="1FD37ADC" w:rsidR="00234608" w:rsidRDefault="00234608" w:rsidP="00234608">
      <w:pPr>
        <w:pStyle w:val="Text"/>
      </w:pPr>
      <w:r w:rsidRPr="00313AD6">
        <w:t xml:space="preserve">Identifying students at </w:t>
      </w:r>
      <w:r w:rsidR="002C513C">
        <w:t>psychosocial</w:t>
      </w:r>
      <w:r w:rsidRPr="00313AD6">
        <w:t xml:space="preserve"> risk is just the start</w:t>
      </w:r>
      <w:r w:rsidR="000B245E">
        <w:t>;</w:t>
      </w:r>
      <w:r w:rsidRPr="00313AD6">
        <w:t xml:space="preserve"> many of the resources also unpack ways in which school policies, practices and processes can promote wellbeing. Some key areas </w:t>
      </w:r>
      <w:r>
        <w:t>of</w:t>
      </w:r>
      <w:r w:rsidRPr="00313AD6">
        <w:t xml:space="preserve"> focus include supporting diverse learners (e.g. learning difficulties, LLN issues, neurodiversity), promoting inclusivity and a sense of belonging, developing social and emotional wellbeing competencies, creating safe and predictable environments, promoting school-family partnerships, developing secure, respectful, and reciprocal relationships, teaching social-emotional skills, increasing resilience in students, bullying prevention, and health promotion. There are also many resources also available to help students identify, understand and normalise their emotions, including ma</w:t>
      </w:r>
      <w:r>
        <w:t>n</w:t>
      </w:r>
      <w:r w:rsidRPr="00313AD6">
        <w:t>y services they can reach out to for help.</w:t>
      </w:r>
    </w:p>
    <w:p w14:paraId="02398E8B" w14:textId="77777777" w:rsidR="00BA7A00" w:rsidRDefault="00BA7A00" w:rsidP="00234608">
      <w:pPr>
        <w:pStyle w:val="Heading4"/>
      </w:pPr>
    </w:p>
    <w:p w14:paraId="28B4B329" w14:textId="4C37580B" w:rsidR="00234608" w:rsidRPr="00194F9B" w:rsidRDefault="00234608" w:rsidP="00234608">
      <w:pPr>
        <w:pStyle w:val="Heading4"/>
      </w:pPr>
      <w:r>
        <w:lastRenderedPageBreak/>
        <w:t>T</w:t>
      </w:r>
      <w:r w:rsidRPr="00194F9B">
        <w:t>eacher mental health management</w:t>
      </w:r>
      <w:r>
        <w:t xml:space="preserve"> makes a difference</w:t>
      </w:r>
    </w:p>
    <w:p w14:paraId="3AF293AC" w14:textId="1B8A50BB" w:rsidR="00234608" w:rsidRDefault="00AE0D29" w:rsidP="00234608">
      <w:pPr>
        <w:pStyle w:val="Text"/>
      </w:pPr>
      <w:r>
        <w:t>S</w:t>
      </w:r>
      <w:r w:rsidR="00234608" w:rsidRPr="00E65F3A">
        <w:t xml:space="preserve">tudents’ psychosocial wellbeing is influenced by peer support </w:t>
      </w:r>
      <w:r w:rsidR="00124CBC">
        <w:t xml:space="preserve">(Dickinson &amp; Connolly 2022) </w:t>
      </w:r>
      <w:r w:rsidR="00234608" w:rsidRPr="00E65F3A">
        <w:t xml:space="preserve">and campus culture. </w:t>
      </w:r>
      <w:r w:rsidR="00234608">
        <w:t xml:space="preserve">However, the creation and sustainability of such culture often requires teachers to model and support psychological safety. </w:t>
      </w:r>
      <w:r w:rsidR="00C664CF">
        <w:t>Previous r</w:t>
      </w:r>
      <w:r w:rsidR="00234608">
        <w:t xml:space="preserve">esearch </w:t>
      </w:r>
      <w:r w:rsidR="00C664CF">
        <w:t xml:space="preserve">has </w:t>
      </w:r>
      <w:r w:rsidR="00234608">
        <w:t>highlight</w:t>
      </w:r>
      <w:r w:rsidR="00C664CF">
        <w:t>ed</w:t>
      </w:r>
      <w:r w:rsidR="00234608">
        <w:t xml:space="preserve"> </w:t>
      </w:r>
      <w:r w:rsidR="00C664CF">
        <w:t>a</w:t>
      </w:r>
      <w:r w:rsidR="00234608" w:rsidRPr="007E568D">
        <w:t xml:space="preserve"> relationship between staff wellbeing and student wellbeing</w:t>
      </w:r>
      <w:r w:rsidR="00234608">
        <w:t xml:space="preserve"> and</w:t>
      </w:r>
      <w:r w:rsidR="00C664CF">
        <w:t>, therefore,</w:t>
      </w:r>
      <w:r w:rsidR="00234608">
        <w:t xml:space="preserve"> recommend</w:t>
      </w:r>
      <w:r w:rsidR="00C664CF">
        <w:t>ed</w:t>
      </w:r>
      <w:r w:rsidR="00234608">
        <w:t xml:space="preserve"> a whole of institution approach to staff wellbeing to positively impact student wellbeing (Hughes et al. 2022, p.22). </w:t>
      </w:r>
      <w:r w:rsidR="00234608" w:rsidRPr="00041C5F">
        <w:t>When teachers experience poor mental health, whether due to student behaviour, workload, systemic pressures, lack of institutional support</w:t>
      </w:r>
      <w:r w:rsidR="00DB3306">
        <w:t xml:space="preserve"> or external factors,</w:t>
      </w:r>
      <w:r w:rsidR="00234608" w:rsidRPr="00041C5F">
        <w:t xml:space="preserve"> it can result in strained relationships with students, reduced capacity for empathy, and even contribute to psychologically unsafe classroom dynamics (Van </w:t>
      </w:r>
      <w:proofErr w:type="spellStart"/>
      <w:r w:rsidR="00234608" w:rsidRPr="00041C5F">
        <w:t>Valkenhoef</w:t>
      </w:r>
      <w:proofErr w:type="spellEnd"/>
      <w:r w:rsidR="00234608" w:rsidRPr="00041C5F">
        <w:t xml:space="preserve"> 2023).</w:t>
      </w:r>
      <w:r w:rsidR="00234608" w:rsidRPr="00342BC2">
        <w:t xml:space="preserve"> </w:t>
      </w:r>
      <w:r w:rsidR="002D3961">
        <w:t>Examples of s</w:t>
      </w:r>
      <w:r w:rsidR="003C175D">
        <w:t>ituations that can be considered p</w:t>
      </w:r>
      <w:r w:rsidR="00234608" w:rsidRPr="00342BC2">
        <w:t>sychosocially unsafe include teacher-student conflicts, excessive strictness, or failure to accommodate</w:t>
      </w:r>
      <w:r w:rsidR="00234608" w:rsidRPr="00590A1B">
        <w:t xml:space="preserve"> diverse needs</w:t>
      </w:r>
      <w:r w:rsidR="00234608">
        <w:t xml:space="preserve">, </w:t>
      </w:r>
      <w:r w:rsidR="00234608" w:rsidRPr="00590A1B">
        <w:t>all of which are exacerbated when teachers themselves are unwell or unsupported (</w:t>
      </w:r>
      <w:r w:rsidR="00234608" w:rsidRPr="008005D6">
        <w:t>Ling et al. 2024).</w:t>
      </w:r>
      <w:r w:rsidR="00234608">
        <w:t xml:space="preserve"> The following section will expand more on teacher wellbeing and its effect on students and teaching. </w:t>
      </w:r>
    </w:p>
    <w:p w14:paraId="3D00CDCE" w14:textId="77777777" w:rsidR="00234608" w:rsidRPr="00A95420" w:rsidRDefault="00234608" w:rsidP="00234608">
      <w:pPr>
        <w:pStyle w:val="Heading3"/>
      </w:pPr>
      <w:bookmarkStart w:id="45" w:name="_Toc207377789"/>
      <w:r w:rsidRPr="00A95420">
        <w:t xml:space="preserve">Psychosocial </w:t>
      </w:r>
      <w:r>
        <w:t>factors</w:t>
      </w:r>
      <w:r w:rsidRPr="00A95420">
        <w:t xml:space="preserve"> and teacher performance and wellbeing</w:t>
      </w:r>
      <w:bookmarkEnd w:id="45"/>
    </w:p>
    <w:p w14:paraId="62E419EC" w14:textId="4A0A6910" w:rsidR="00234608" w:rsidRDefault="00234608" w:rsidP="00234608">
      <w:pPr>
        <w:pStyle w:val="Text"/>
      </w:pPr>
      <w:r>
        <w:t xml:space="preserve">VET teacher performance is established as a central component to a quality vocational education sector </w:t>
      </w:r>
      <w:r>
        <w:rPr>
          <w:noProof/>
        </w:rPr>
        <w:t>(Guthrie &amp; Waters 2022, 2021, Hargreaves et al. 2017, Misko, Guthrie &amp; Waters 2021)</w:t>
      </w:r>
      <w:r>
        <w:t xml:space="preserve">. </w:t>
      </w:r>
      <w:r w:rsidR="00B362E6">
        <w:t>Equally important</w:t>
      </w:r>
      <w:r w:rsidR="0036068D">
        <w:t xml:space="preserve"> is the attraction and retention of </w:t>
      </w:r>
      <w:r w:rsidR="00525384">
        <w:t xml:space="preserve">VET teachers, which </w:t>
      </w:r>
      <w:r w:rsidR="00583C36">
        <w:t>also influences the</w:t>
      </w:r>
      <w:r>
        <w:t xml:space="preserve"> capacity of VET to meet the challenge of delivering Australia’s future workforce </w:t>
      </w:r>
      <w:r>
        <w:rPr>
          <w:noProof/>
        </w:rPr>
        <w:t>(Tyler, Dymock &amp; Le 2024)</w:t>
      </w:r>
      <w:r>
        <w:t xml:space="preserve">. </w:t>
      </w:r>
    </w:p>
    <w:p w14:paraId="63C35484" w14:textId="76FD6CD5" w:rsidR="00234608" w:rsidRDefault="00234608" w:rsidP="00234608">
      <w:pPr>
        <w:pStyle w:val="Text"/>
      </w:pPr>
      <w:r>
        <w:t xml:space="preserve">Internationally, VET teacher shortages are reported in most OECD countries, including Denmark, Portugal, UK, USA, Turkey and Germany </w:t>
      </w:r>
      <w:r>
        <w:rPr>
          <w:noProof/>
        </w:rPr>
        <w:t>(OECD 2021)</w:t>
      </w:r>
      <w:r>
        <w:t>. Poor teacher retention has</w:t>
      </w:r>
      <w:r w:rsidR="00421EFA">
        <w:t>,</w:t>
      </w:r>
      <w:r>
        <w:t xml:space="preserve"> in part</w:t>
      </w:r>
      <w:r w:rsidR="00421EFA">
        <w:t>,</w:t>
      </w:r>
      <w:r>
        <w:t xml:space="preserve"> been linked to high levels of stress, which is in turn linked to lower self-efficacy for teaching, lower job satisfaction, lower commitment and higher burnout </w:t>
      </w:r>
      <w:r>
        <w:rPr>
          <w:noProof/>
        </w:rPr>
        <w:t>(Viac &amp; Fraser 2020)</w:t>
      </w:r>
      <w:r>
        <w:t xml:space="preserve">. Understanding the sources of stress for VET teachers is the first step in understanding how to alleviate it and thereby reduce the likelihood of workforce burnout and extending the lifespan of VET teaching careers. </w:t>
      </w:r>
    </w:p>
    <w:p w14:paraId="578E275D" w14:textId="77777777" w:rsidR="00234608" w:rsidRDefault="00234608" w:rsidP="00234608">
      <w:pPr>
        <w:pStyle w:val="Text"/>
      </w:pPr>
      <w:r>
        <w:t xml:space="preserve">A variety of terms are used in the literature to discuss the psychosocial factors affecting teachers. Some terms may be used synonymously to psychosocial, e.g. teacher wellbeing </w:t>
      </w:r>
      <w:r>
        <w:rPr>
          <w:noProof/>
        </w:rPr>
        <w:t>(Turner, Thielking &amp; Meyer 2021)</w:t>
      </w:r>
      <w:r>
        <w:t xml:space="preserve">, while others encompass either a narrower or broader definition of factors or focus on the health conditions that arise from psychosocial stressors, e.g. emotional labour </w:t>
      </w:r>
      <w:r>
        <w:rPr>
          <w:noProof/>
        </w:rPr>
        <w:t>(Karnovsky &amp; Kelly 2025)</w:t>
      </w:r>
      <w:r>
        <w:t xml:space="preserve">. The lack of universal definition for psychosocial factors or impacts or barriers within VET means that the same concepts are likely to be discussed in different terms. </w:t>
      </w:r>
    </w:p>
    <w:p w14:paraId="03890BB5" w14:textId="23126DBF" w:rsidR="00234608" w:rsidRDefault="00234608" w:rsidP="00234608">
      <w:pPr>
        <w:pStyle w:val="Text"/>
      </w:pPr>
      <w:r>
        <w:t xml:space="preserve">Research has documented some of the challenges teachers report in the Australian VET context including students being disruptive </w:t>
      </w:r>
      <w:r>
        <w:rPr>
          <w:noProof/>
        </w:rPr>
        <w:t>(Casselson 2024, Smith 2021)</w:t>
      </w:r>
      <w:r>
        <w:t xml:space="preserve">; students presenting with challenging learning needs </w:t>
      </w:r>
      <w:r>
        <w:rPr>
          <w:noProof/>
        </w:rPr>
        <w:t>(Smith 2021)</w:t>
      </w:r>
      <w:r>
        <w:t xml:space="preserve">; and personal circumstances that interfere with readiness and ability to engage in learning </w:t>
      </w:r>
      <w:r>
        <w:rPr>
          <w:noProof/>
        </w:rPr>
        <w:t>(Smith 2021)</w:t>
      </w:r>
      <w:r>
        <w:t xml:space="preserve">. As examples, some of the life circumstances that create conditions that often interfere with readiness to study include refugee status, multi-generational unemployment, </w:t>
      </w:r>
      <w:r w:rsidR="00621589">
        <w:t xml:space="preserve">and </w:t>
      </w:r>
      <w:r>
        <w:t xml:space="preserve">young adults with children and no </w:t>
      </w:r>
      <w:r>
        <w:lastRenderedPageBreak/>
        <w:t>access to reliable childcare. Many challenges such as these sit outside of the control of VET teachers.</w:t>
      </w:r>
    </w:p>
    <w:p w14:paraId="3928C9E1" w14:textId="6075DF6F" w:rsidR="00D734EF" w:rsidRDefault="00D734EF" w:rsidP="00D734EF">
      <w:pPr>
        <w:pStyle w:val="Text"/>
      </w:pPr>
      <w:r>
        <w:t xml:space="preserve">Similarly, the literature documents that teachers </w:t>
      </w:r>
      <w:r w:rsidR="00A102DE">
        <w:t xml:space="preserve">in all sectors </w:t>
      </w:r>
      <w:r>
        <w:t xml:space="preserve">can find it challenging to meet the diverse learning needs of their students </w:t>
      </w:r>
      <w:r>
        <w:rPr>
          <w:noProof/>
        </w:rPr>
        <w:t>(Bartušienė et al. 2024, Fane 2025, Karnovsky &amp; Kelly 2025)</w:t>
      </w:r>
      <w:r>
        <w:t xml:space="preserve">. A further challenge for teachers in this is that some students do not declare their learning needs before study commences due to fear of being excluded from study, social embarrassment or ignorance of their own needs </w:t>
      </w:r>
      <w:r>
        <w:rPr>
          <w:noProof/>
        </w:rPr>
        <w:t>(Fane 2025)</w:t>
      </w:r>
      <w:r>
        <w:t xml:space="preserve">. </w:t>
      </w:r>
    </w:p>
    <w:p w14:paraId="174557ED" w14:textId="3DB9E51A" w:rsidR="00411635" w:rsidRDefault="000140E8" w:rsidP="00234608">
      <w:pPr>
        <w:pStyle w:val="Text"/>
      </w:pPr>
      <w:r w:rsidRPr="00A36153">
        <w:t>The consultations to inform the development of the</w:t>
      </w:r>
      <w:r w:rsidR="00411635" w:rsidRPr="004841AE">
        <w:t xml:space="preserve"> VET Workforce Blueprint </w:t>
      </w:r>
      <w:r w:rsidR="00230124" w:rsidRPr="00A36153">
        <w:t xml:space="preserve">confirmed the ongoing experience of </w:t>
      </w:r>
      <w:r w:rsidR="00FB46E9" w:rsidRPr="004841AE">
        <w:t>challenges</w:t>
      </w:r>
      <w:r w:rsidR="00E23935">
        <w:t xml:space="preserve"> faced by teachers</w:t>
      </w:r>
      <w:r w:rsidR="008E173A" w:rsidRPr="00A36153">
        <w:t xml:space="preserve">, </w:t>
      </w:r>
      <w:r w:rsidR="00505433">
        <w:t xml:space="preserve">such as supporting higher numbers of students with diverse learning needs but also </w:t>
      </w:r>
      <w:r w:rsidR="008E173A" w:rsidRPr="00A36153">
        <w:t xml:space="preserve">including </w:t>
      </w:r>
      <w:r w:rsidR="00505433">
        <w:t xml:space="preserve">other </w:t>
      </w:r>
      <w:r w:rsidR="00A36153">
        <w:t xml:space="preserve">stressors such as </w:t>
      </w:r>
      <w:r w:rsidR="008F64E1" w:rsidRPr="00A36153">
        <w:t>high administrative and compliance requirements</w:t>
      </w:r>
      <w:r w:rsidR="00505116" w:rsidRPr="00A36153">
        <w:t xml:space="preserve"> </w:t>
      </w:r>
      <w:r w:rsidR="009973D2">
        <w:t>(</w:t>
      </w:r>
      <w:r w:rsidR="000A4AED">
        <w:t>Ministerial Council 2024</w:t>
      </w:r>
      <w:r w:rsidR="009973D2">
        <w:t>)</w:t>
      </w:r>
      <w:r w:rsidR="00B26365">
        <w:t>.</w:t>
      </w:r>
      <w:r w:rsidR="00442913" w:rsidRPr="00442913">
        <w:t xml:space="preserve"> </w:t>
      </w:r>
    </w:p>
    <w:p w14:paraId="3B92C7F7" w14:textId="677E5304" w:rsidR="00234608" w:rsidRDefault="0061618E" w:rsidP="00234608">
      <w:pPr>
        <w:pStyle w:val="Text"/>
      </w:pPr>
      <w:r>
        <w:t xml:space="preserve">These challenges are not isolated to the VET sector. </w:t>
      </w:r>
      <w:r w:rsidR="00E23935">
        <w:t>Indeed</w:t>
      </w:r>
      <w:r w:rsidR="00290B07">
        <w:t xml:space="preserve">, the link between </w:t>
      </w:r>
      <w:r w:rsidR="00331754">
        <w:t xml:space="preserve">the challenges that teachers experience and how they </w:t>
      </w:r>
      <w:r w:rsidR="009F614D">
        <w:t>contribute to</w:t>
      </w:r>
      <w:r w:rsidR="00331754">
        <w:t xml:space="preserve"> psychosocial pressure</w:t>
      </w:r>
      <w:r w:rsidR="00FC3571">
        <w:t xml:space="preserve"> has had a strong</w:t>
      </w:r>
      <w:r w:rsidR="00E23935">
        <w:t>er</w:t>
      </w:r>
      <w:r w:rsidR="00FC3571">
        <w:t xml:space="preserve"> </w:t>
      </w:r>
      <w:r w:rsidR="009F614D">
        <w:t xml:space="preserve">research </w:t>
      </w:r>
      <w:r w:rsidR="00FC3571">
        <w:t xml:space="preserve">focus in </w:t>
      </w:r>
      <w:r w:rsidR="001C6F00">
        <w:t xml:space="preserve">other education sectors. </w:t>
      </w:r>
      <w:r w:rsidR="00234608">
        <w:t xml:space="preserve">In the </w:t>
      </w:r>
      <w:r w:rsidR="00C667B4">
        <w:t xml:space="preserve">Australian </w:t>
      </w:r>
      <w:r w:rsidR="00234608">
        <w:t xml:space="preserve">secondary education sector, </w:t>
      </w:r>
      <w:r w:rsidR="00D20511">
        <w:t>t</w:t>
      </w:r>
      <w:r w:rsidR="00234608">
        <w:t xml:space="preserve">wo commonly cited factors that create psychosocial pressures are heavy workloads and poor work-life balance </w:t>
      </w:r>
      <w:r w:rsidR="00234608">
        <w:rPr>
          <w:noProof/>
        </w:rPr>
        <w:t>(Rahimi &amp; Arnold 2025)</w:t>
      </w:r>
      <w:r w:rsidR="00234608">
        <w:t xml:space="preserve">. </w:t>
      </w:r>
      <w:r w:rsidR="00234608" w:rsidRPr="00EC7645">
        <w:t xml:space="preserve">The Teaching and Learning International Survey (TALIS), which includes an Australian sample of 3 573 educators, found that teachers working in more ‘challenging’ classroom environments were less satisfied with their job and had lower self-efficacy </w:t>
      </w:r>
      <w:r w:rsidR="00234608" w:rsidRPr="00EC7645">
        <w:rPr>
          <w:noProof/>
        </w:rPr>
        <w:t>(Ainley &amp; Carstens 2018)</w:t>
      </w:r>
      <w:r w:rsidR="00234608" w:rsidRPr="00EC7645">
        <w:t>. In the most recent survey, which was administered just before COVID, 48% of teachers reported experiencing ‘quite a bit’ or ‘a lot’ of stress.</w:t>
      </w:r>
    </w:p>
    <w:p w14:paraId="090E24D4" w14:textId="77777777" w:rsidR="00234608" w:rsidRDefault="00234608" w:rsidP="00234608">
      <w:pPr>
        <w:pStyle w:val="Text"/>
      </w:pPr>
      <w:r>
        <w:t xml:space="preserve">Australian TALIS responses indicated that Australian school teachers feel less confident than international counterparts in motivating students who show little interest in schoolwork </w:t>
      </w:r>
      <w:r>
        <w:rPr>
          <w:noProof/>
        </w:rPr>
        <w:t>(Thomson &amp; Hillman 2019)</w:t>
      </w:r>
      <w:r>
        <w:t xml:space="preserve">—there has been no similar measure of confidence in VET teachers. Additionally, the TALIS survey found that teachers who report high stress levels are more likely to report thinking about leaving teaching in the next five years (p.7). Demographic analyses of those survey results also suggest that there may be gender and geographical differences in how teachers experience stress. Female teachers and those working in lower socioeconomic area schools reported greater higher stress and intention to leave. There is currently no data exploring how psychosocial effects may vary by demographics, teaching context or location for VET teachers. </w:t>
      </w:r>
    </w:p>
    <w:p w14:paraId="66E60B36" w14:textId="0A61C9E5" w:rsidR="009240A0" w:rsidRDefault="00234608" w:rsidP="00234608">
      <w:pPr>
        <w:pStyle w:val="Text"/>
        <w:rPr>
          <w:noProof/>
        </w:rPr>
      </w:pPr>
      <w:r>
        <w:t>Internationally and across all education sectors, the literature documents further psychosocial hazards that teachers report facing, including student distress, changing roles and responsibilities, managing diverse learning needs, and low employer support</w:t>
      </w:r>
      <w:r w:rsidR="00EC1310">
        <w:t xml:space="preserve"> </w:t>
      </w:r>
      <w:r w:rsidR="00EC1310">
        <w:rPr>
          <w:noProof/>
        </w:rPr>
        <w:t>(Ibrahim et al. 2021,</w:t>
      </w:r>
      <w:r w:rsidR="002664D4">
        <w:rPr>
          <w:noProof/>
        </w:rPr>
        <w:t xml:space="preserve"> </w:t>
      </w:r>
      <w:r w:rsidR="00EC1310">
        <w:rPr>
          <w:noProof/>
        </w:rPr>
        <w:t>Aha Psychological Services 2023, Beames et al. 2023, Gast et al. 2022,</w:t>
      </w:r>
      <w:r w:rsidR="002664D4">
        <w:rPr>
          <w:noProof/>
        </w:rPr>
        <w:t xml:space="preserve"> Van Valkenhoef 2023</w:t>
      </w:r>
      <w:r w:rsidR="00EC1310">
        <w:rPr>
          <w:noProof/>
        </w:rPr>
        <w:t>, Ling et al. 2024</w:t>
      </w:r>
      <w:r w:rsidR="002F3E13">
        <w:rPr>
          <w:noProof/>
        </w:rPr>
        <w:t>).</w:t>
      </w:r>
    </w:p>
    <w:p w14:paraId="5CF72E78" w14:textId="3F7BF46F" w:rsidR="00244C59" w:rsidRDefault="00244C59" w:rsidP="00244C59">
      <w:pPr>
        <w:pStyle w:val="Text"/>
      </w:pPr>
      <w:r>
        <w:t>One overseas study found that education institute l</w:t>
      </w:r>
      <w:r w:rsidRPr="00EF1196">
        <w:t>eadership behaviour is a significant predictor of psychological safety in a team</w:t>
      </w:r>
      <w:r>
        <w:t xml:space="preserve"> </w:t>
      </w:r>
      <w:r>
        <w:rPr>
          <w:noProof/>
        </w:rPr>
        <w:t>(Ibrahim et al. 2021)</w:t>
      </w:r>
      <w:r>
        <w:t>; this finding supports the practices of leaders of high-performing RTOs</w:t>
      </w:r>
      <w:r w:rsidR="00CE72FA">
        <w:t xml:space="preserve"> in Australia</w:t>
      </w:r>
      <w:r>
        <w:t xml:space="preserve">, who reported they aim to create an environment that is safe for teachers to share and one that recognises them as experts in their domain (Waugh 2023). The intention of the psychologically safe workplace is to have teachers </w:t>
      </w:r>
      <w:r>
        <w:lastRenderedPageBreak/>
        <w:t xml:space="preserve">feel better supported and involved in decisions that affect their teaching. Having such control over workload and teaching practices promotes teacher wellbeing. </w:t>
      </w:r>
    </w:p>
    <w:p w14:paraId="7EA7812C" w14:textId="3341C78C" w:rsidR="00234608" w:rsidRDefault="009240A0" w:rsidP="00234608">
      <w:pPr>
        <w:pStyle w:val="Text"/>
      </w:pPr>
      <w:r>
        <w:t>R</w:t>
      </w:r>
      <w:r w:rsidR="00234608">
        <w:t xml:space="preserve">esearch in other education sectors shows that the wellbeing of teachers is correlated to the wellbeing of students </w:t>
      </w:r>
      <w:r w:rsidR="00234608">
        <w:rPr>
          <w:noProof/>
        </w:rPr>
        <w:t>(Harding et al. 2019)</w:t>
      </w:r>
      <w:r w:rsidR="00234608">
        <w:t xml:space="preserve">. Teacher wellbeing may impact students through </w:t>
      </w:r>
      <w:r w:rsidR="0012722A">
        <w:t>several</w:t>
      </w:r>
      <w:r w:rsidR="00234608">
        <w:t xml:space="preserve"> mechanisms, including: </w:t>
      </w:r>
    </w:p>
    <w:p w14:paraId="7B1382F8" w14:textId="77777777" w:rsidR="00234608" w:rsidRDefault="00234608" w:rsidP="00234608">
      <w:pPr>
        <w:pStyle w:val="Dotpoint1"/>
        <w:tabs>
          <w:tab w:val="clear" w:pos="567"/>
          <w:tab w:val="left" w:pos="284"/>
        </w:tabs>
        <w:ind w:left="284"/>
      </w:pPr>
      <w:r>
        <w:t xml:space="preserve">Student-teacher relationship </w:t>
      </w:r>
      <w:r w:rsidRPr="005E4F21">
        <w:t>—</w:t>
      </w:r>
      <w:r>
        <w:t xml:space="preserve"> students who perceive their teachers as more available, engaged and interested in them report better wellbeing. Teachers’ ability to maintain that level of higher order cognitive function may decrease as stress and exhaustion increase.</w:t>
      </w:r>
    </w:p>
    <w:p w14:paraId="36946C64" w14:textId="77777777" w:rsidR="00234608" w:rsidRDefault="00234608" w:rsidP="00234608">
      <w:pPr>
        <w:pStyle w:val="Dotpoint1"/>
        <w:tabs>
          <w:tab w:val="clear" w:pos="567"/>
          <w:tab w:val="left" w:pos="284"/>
        </w:tabs>
        <w:ind w:left="284"/>
      </w:pPr>
      <w:r>
        <w:t xml:space="preserve">Teaching quality </w:t>
      </w:r>
      <w:r w:rsidRPr="005E4F21">
        <w:t>—</w:t>
      </w:r>
      <w:r>
        <w:t xml:space="preserve"> teaching demands a lot of cognitive energy to respond to the demands of students and adapt whenever necessary. Teachers who are not mentally healthy will be less able to dedicate this mental energy. </w:t>
      </w:r>
    </w:p>
    <w:p w14:paraId="770EFB63" w14:textId="17A28C11" w:rsidR="00234608" w:rsidRDefault="00234608" w:rsidP="00234608">
      <w:pPr>
        <w:pStyle w:val="Dotpoint1"/>
        <w:tabs>
          <w:tab w:val="clear" w:pos="567"/>
          <w:tab w:val="left" w:pos="284"/>
        </w:tabs>
        <w:ind w:left="284"/>
      </w:pPr>
      <w:r>
        <w:t xml:space="preserve">Distraction </w:t>
      </w:r>
      <w:r w:rsidRPr="005E4F21">
        <w:t>—</w:t>
      </w:r>
      <w:r>
        <w:t xml:space="preserve"> people experiencing higher emotional arousal are not as attuned to those around them. Consequently, teaching staff who are under pressure or otherwise stressed may not be as responsive to students needs due to reduced capacity to notice and absorb those cues. </w:t>
      </w:r>
    </w:p>
    <w:p w14:paraId="14CEF49C" w14:textId="77777777" w:rsidR="00234608" w:rsidRDefault="00234608" w:rsidP="00234608">
      <w:pPr>
        <w:pStyle w:val="Dotpoint1"/>
        <w:tabs>
          <w:tab w:val="clear" w:pos="567"/>
          <w:tab w:val="left" w:pos="284"/>
        </w:tabs>
        <w:ind w:left="284"/>
      </w:pPr>
      <w:r>
        <w:t xml:space="preserve">Unconscious modelling </w:t>
      </w:r>
      <w:r w:rsidRPr="005E4F21">
        <w:t>—</w:t>
      </w:r>
      <w:r>
        <w:t xml:space="preserve"> emotions and behaviours are contagious in human social groups. Students who observe over-worked and stressed teachers are more likely to adopt those same behaviours and experiences. </w:t>
      </w:r>
    </w:p>
    <w:p w14:paraId="628AD106" w14:textId="021254D2" w:rsidR="00234608" w:rsidRDefault="00234608" w:rsidP="00234608">
      <w:pPr>
        <w:pStyle w:val="Dotpoint1"/>
        <w:tabs>
          <w:tab w:val="clear" w:pos="567"/>
          <w:tab w:val="left" w:pos="284"/>
        </w:tabs>
        <w:ind w:left="284"/>
      </w:pPr>
      <w:r>
        <w:t xml:space="preserve">Reduced creativity </w:t>
      </w:r>
      <w:r w:rsidRPr="005E4F21">
        <w:t>—</w:t>
      </w:r>
      <w:r>
        <w:t xml:space="preserve"> research has shown a link between mental ill-health and a reduced capacity to think creatively. This phenomenon may inform stressed teachers’ ability to develop engaging curriculum and respond to challenges in the classroom. Tired and stressed teachers may be more likely to reach for </w:t>
      </w:r>
      <w:r w:rsidR="00EE2DB8">
        <w:t>tried-and-true</w:t>
      </w:r>
      <w:r>
        <w:t xml:space="preserve"> methods that do not meet the needs of their current students </w:t>
      </w:r>
      <w:r>
        <w:rPr>
          <w:noProof/>
        </w:rPr>
        <w:t>(Hughes et al. 2022)</w:t>
      </w:r>
      <w:r>
        <w:t>.</w:t>
      </w:r>
    </w:p>
    <w:p w14:paraId="0281B08B" w14:textId="7D911C79" w:rsidR="00234608" w:rsidRDefault="00234608" w:rsidP="00234608">
      <w:pPr>
        <w:pStyle w:val="Text"/>
      </w:pPr>
      <w:r>
        <w:t xml:space="preserve">Where teachers succeed in creating safe spaces in classrooms and learning environments, students sometimes feel comfortable enough to disclose </w:t>
      </w:r>
      <w:r w:rsidR="004976C0">
        <w:t xml:space="preserve">distressing </w:t>
      </w:r>
      <w:r>
        <w:t xml:space="preserve">events and experiences to their teachers </w:t>
      </w:r>
      <w:r>
        <w:rPr>
          <w:noProof/>
        </w:rPr>
        <w:t>(Hughes et al. 2022)</w:t>
      </w:r>
      <w:r>
        <w:t xml:space="preserve">. </w:t>
      </w:r>
      <w:r w:rsidRPr="00041C5F">
        <w:t>Teachers who do not have the resources to support students with confronting or complex needs, or who have too many such students to support, may experience burnout and stress unless they have proper support from their employers.</w:t>
      </w:r>
      <w:r w:rsidRPr="00D45B5E">
        <w:t xml:space="preserve"> </w:t>
      </w:r>
    </w:p>
    <w:p w14:paraId="2EE99592" w14:textId="770D8779" w:rsidR="00234608" w:rsidRDefault="00234608" w:rsidP="00234608">
      <w:pPr>
        <w:pStyle w:val="Text"/>
      </w:pPr>
      <w:r>
        <w:rPr>
          <w:noProof/>
        </w:rPr>
        <w:t>Hughes et al. (2022)</w:t>
      </w:r>
      <w:r>
        <w:t xml:space="preserve"> advises universities to take a whole institute approach to staff wellbeing as a key foundation to student wellbeing: ‘</w:t>
      </w:r>
      <w:r w:rsidRPr="008C1091">
        <w:t>Research in workplace settings clearly shows that staff wellbeing benefits from feelings of control, engagement in work they find meaningful, a supportive culture, work life balance, regular rest and psychological safety</w:t>
      </w:r>
      <w:r>
        <w:t>’.</w:t>
      </w:r>
      <w:r w:rsidR="009A48F8">
        <w:t xml:space="preserve"> The VET sector would likely benefit from a similar approach. </w:t>
      </w:r>
    </w:p>
    <w:p w14:paraId="521BD369" w14:textId="77777777" w:rsidR="00234608" w:rsidRPr="00A95420" w:rsidRDefault="00234608" w:rsidP="004D5370">
      <w:pPr>
        <w:pStyle w:val="Heading4"/>
      </w:pPr>
      <w:r>
        <w:t>Psychosocial impact identification</w:t>
      </w:r>
    </w:p>
    <w:p w14:paraId="108A4707" w14:textId="72CD44CE" w:rsidR="00234608" w:rsidRDefault="00234608" w:rsidP="00234608">
      <w:pPr>
        <w:pStyle w:val="Text"/>
      </w:pPr>
      <w:r>
        <w:t xml:space="preserve">Australian employers have a responsibility to manage the risk of psychosocial hazards in the workplace. The use of ‘hazards’ in this report is not intended to refer to students themselves, but to anything in VET (space/context) that may create stress that leads to physical harm or mental distress over time. In this case, mental distress is defined as: anxiety, depression, PTSD and sleep disorders </w:t>
      </w:r>
      <w:r>
        <w:rPr>
          <w:noProof/>
        </w:rPr>
        <w:t>(Safe Work Australia 2025)</w:t>
      </w:r>
      <w:r>
        <w:t xml:space="preserve">. </w:t>
      </w:r>
    </w:p>
    <w:p w14:paraId="6577B29C" w14:textId="77777777" w:rsidR="00426366" w:rsidRPr="00426366" w:rsidRDefault="00426366" w:rsidP="00426366">
      <w:pPr>
        <w:pStyle w:val="Text"/>
      </w:pPr>
      <w:r w:rsidRPr="00426366">
        <w:lastRenderedPageBreak/>
        <w:t xml:space="preserve">Across education sectors, the literature suggests that exposure to psychosocial challenges in the workplace may affect teacher wellbeing in various ways. Frequently reported impacts include stress, anxiety, depression, and burnout, while sleep disturbances and post-traumatic stress disorder have also been identified in some studies (Aha Psychological Services 2023; </w:t>
      </w:r>
      <w:proofErr w:type="spellStart"/>
      <w:r w:rsidRPr="00426366">
        <w:t>Bartušienė</w:t>
      </w:r>
      <w:proofErr w:type="spellEnd"/>
      <w:r w:rsidRPr="00426366">
        <w:t xml:space="preserve"> et al. 2024; Beames et al. 2023; Dinnen, </w:t>
      </w:r>
      <w:proofErr w:type="spellStart"/>
      <w:r w:rsidRPr="00426366">
        <w:t>Litvitskiy</w:t>
      </w:r>
      <w:proofErr w:type="spellEnd"/>
      <w:r w:rsidRPr="00426366">
        <w:t xml:space="preserve"> &amp; Flaspohler 2024; Gast et al. 2022; Ibrahim et al. 2021).</w:t>
      </w:r>
    </w:p>
    <w:p w14:paraId="0643E816" w14:textId="45D1B09B" w:rsidR="00234608" w:rsidRDefault="00234608" w:rsidP="00234608">
      <w:pPr>
        <w:pStyle w:val="Text"/>
      </w:pPr>
      <w:r>
        <w:t xml:space="preserve">Although the evidence of psychosocial impacts on VET teachers is </w:t>
      </w:r>
      <w:r w:rsidR="005F543B">
        <w:t>currently</w:t>
      </w:r>
      <w:r>
        <w:t xml:space="preserve"> scarce, </w:t>
      </w:r>
      <w:r w:rsidR="00B07BB7">
        <w:t xml:space="preserve">the stressors </w:t>
      </w:r>
      <w:r w:rsidR="00E86E10">
        <w:t>reported</w:t>
      </w:r>
      <w:r w:rsidR="00B07BB7">
        <w:t xml:space="preserve"> by VET teachers represent </w:t>
      </w:r>
      <w:r w:rsidR="00863EB1">
        <w:t>a risk</w:t>
      </w:r>
      <w:r w:rsidR="00B07BB7">
        <w:t xml:space="preserve"> that</w:t>
      </w:r>
      <w:r>
        <w:t xml:space="preserve"> that </w:t>
      </w:r>
      <w:r w:rsidR="00863EB1">
        <w:t>warrants attention</w:t>
      </w:r>
      <w:r>
        <w:t xml:space="preserve"> </w:t>
      </w:r>
      <w:r w:rsidR="00FF27E9">
        <w:t>to</w:t>
      </w:r>
      <w:r>
        <w:t xml:space="preserve"> ensure the </w:t>
      </w:r>
      <w:r w:rsidR="00605D5A">
        <w:t xml:space="preserve">retention </w:t>
      </w:r>
      <w:r>
        <w:t xml:space="preserve">and effectiveness of the VET workforce. Teachers who are under stress </w:t>
      </w:r>
      <w:r w:rsidR="00335040">
        <w:t xml:space="preserve">may be </w:t>
      </w:r>
      <w:r>
        <w:t xml:space="preserve">less likely to stay in the profession, </w:t>
      </w:r>
      <w:r w:rsidR="008537D8">
        <w:t>making these aspects</w:t>
      </w:r>
      <w:r>
        <w:t xml:space="preserve"> of VET teachers’ experiences important to understand </w:t>
      </w:r>
      <w:r w:rsidR="0085728F">
        <w:t xml:space="preserve">to </w:t>
      </w:r>
      <w:r w:rsidR="00FF27E9">
        <w:t>develop and maintain</w:t>
      </w:r>
      <w:r>
        <w:t xml:space="preserve"> a sustainable workforce.</w:t>
      </w:r>
    </w:p>
    <w:p w14:paraId="762B47B1" w14:textId="7EDDC6CC" w:rsidR="00234608" w:rsidRDefault="00234608" w:rsidP="00234608">
      <w:pPr>
        <w:pStyle w:val="Text"/>
      </w:pPr>
      <w:r>
        <w:t xml:space="preserve">Instruments to measure secondary school teacher wellbeing have been developed </w:t>
      </w:r>
      <w:r>
        <w:rPr>
          <w:noProof/>
        </w:rPr>
        <w:t>(Corbett et al. 2023)</w:t>
      </w:r>
      <w:r>
        <w:t xml:space="preserve">, and it is possible that adjusted versions of existing instruments </w:t>
      </w:r>
      <w:r w:rsidR="002C4A95">
        <w:t xml:space="preserve">could </w:t>
      </w:r>
      <w:r>
        <w:t xml:space="preserve">be implemented to measure VET teacher psychosocial distress and any resulting intention to leave teaching. </w:t>
      </w:r>
    </w:p>
    <w:p w14:paraId="756A37E0" w14:textId="77777777" w:rsidR="00234608" w:rsidRDefault="00234608" w:rsidP="004D5370">
      <w:pPr>
        <w:pStyle w:val="Heading4"/>
      </w:pPr>
      <w:r>
        <w:t>Models and tools</w:t>
      </w:r>
    </w:p>
    <w:p w14:paraId="06EE7FD8" w14:textId="77777777" w:rsidR="00234608" w:rsidRDefault="00234608" w:rsidP="00234608">
      <w:pPr>
        <w:pStyle w:val="Text"/>
      </w:pPr>
      <w:r>
        <w:t xml:space="preserve">Models and instruments to aid employers to identify and address employee stressors already exist and many incorporate psychosocial factors. Models and tools mentioned in the literature reviewed include: </w:t>
      </w:r>
    </w:p>
    <w:p w14:paraId="06AB3180" w14:textId="77777777" w:rsidR="00234608" w:rsidRPr="00A95420" w:rsidRDefault="00234608" w:rsidP="00234608">
      <w:pPr>
        <w:pStyle w:val="Dotpoint1"/>
        <w:tabs>
          <w:tab w:val="clear" w:pos="567"/>
          <w:tab w:val="left" w:pos="284"/>
        </w:tabs>
        <w:ind w:left="284"/>
      </w:pPr>
      <w:r>
        <w:t>Mental health and wellbeing toolkit for training providers (UK)</w:t>
      </w:r>
    </w:p>
    <w:p w14:paraId="7096BF88" w14:textId="77777777" w:rsidR="00234608" w:rsidRDefault="00234608" w:rsidP="00234608">
      <w:pPr>
        <w:pStyle w:val="Dotpoint1"/>
        <w:tabs>
          <w:tab w:val="clear" w:pos="567"/>
          <w:tab w:val="left" w:pos="284"/>
        </w:tabs>
        <w:ind w:left="284"/>
      </w:pPr>
      <w:r w:rsidRPr="007C5532">
        <w:rPr>
          <w:i/>
        </w:rPr>
        <w:t>Let’s Chat</w:t>
      </w:r>
      <w:r>
        <w:t>, online video programme</w:t>
      </w:r>
    </w:p>
    <w:p w14:paraId="623EC1E9" w14:textId="77777777" w:rsidR="00234608" w:rsidRPr="00A95420" w:rsidRDefault="00234608" w:rsidP="00234608">
      <w:pPr>
        <w:pStyle w:val="Dotpoint1"/>
        <w:tabs>
          <w:tab w:val="clear" w:pos="567"/>
          <w:tab w:val="left" w:pos="284"/>
        </w:tabs>
        <w:ind w:left="284"/>
      </w:pPr>
      <w:r>
        <w:t>University Mental Health Charter (UK)</w:t>
      </w:r>
    </w:p>
    <w:p w14:paraId="1CA1EB14" w14:textId="03D4C69F" w:rsidR="00234608" w:rsidRPr="00A95420" w:rsidRDefault="00255078" w:rsidP="00234608">
      <w:pPr>
        <w:pStyle w:val="Text"/>
      </w:pPr>
      <w:r>
        <w:t>Findings</w:t>
      </w:r>
      <w:r w:rsidR="00EE6500">
        <w:t xml:space="preserve"> from the school sector</w:t>
      </w:r>
      <w:r>
        <w:t xml:space="preserve"> (internationally) suggests that in many cases teachers are expected to manage the impact of their working environment</w:t>
      </w:r>
      <w:r w:rsidR="00BC21C1">
        <w:t xml:space="preserve"> with their own individual strategies and tools, </w:t>
      </w:r>
      <w:proofErr w:type="gramStart"/>
      <w:r w:rsidR="00C22722">
        <w:t>despite the fact that</w:t>
      </w:r>
      <w:proofErr w:type="gramEnd"/>
      <w:r w:rsidR="00C22722">
        <w:t xml:space="preserve"> many of the stressors are beyond their individual control (</w:t>
      </w:r>
      <w:proofErr w:type="spellStart"/>
      <w:r w:rsidR="00C22722">
        <w:rPr>
          <w:noProof/>
        </w:rPr>
        <w:t>Karnovsky</w:t>
      </w:r>
      <w:proofErr w:type="spellEnd"/>
      <w:r w:rsidR="00C22722">
        <w:rPr>
          <w:noProof/>
        </w:rPr>
        <w:t xml:space="preserve"> &amp; Kelly 2025). It is therefore important</w:t>
      </w:r>
      <w:r w:rsidR="003C0F33">
        <w:rPr>
          <w:noProof/>
        </w:rPr>
        <w:t xml:space="preserve">, especially when developing advice and products for teachers and/or training providers, </w:t>
      </w:r>
      <w:r w:rsidR="0057114C">
        <w:rPr>
          <w:noProof/>
        </w:rPr>
        <w:t xml:space="preserve">that </w:t>
      </w:r>
      <w:r w:rsidR="00C22722">
        <w:rPr>
          <w:noProof/>
        </w:rPr>
        <w:t xml:space="preserve">the </w:t>
      </w:r>
      <w:r w:rsidR="004A31CC">
        <w:rPr>
          <w:noProof/>
        </w:rPr>
        <w:t>responsibility</w:t>
      </w:r>
      <w:r w:rsidR="00A2455F">
        <w:rPr>
          <w:noProof/>
        </w:rPr>
        <w:t xml:space="preserve"> for psychosocial wellbeing is not placed </w:t>
      </w:r>
      <w:r w:rsidR="00E52741">
        <w:rPr>
          <w:noProof/>
        </w:rPr>
        <w:t>solely on teachers</w:t>
      </w:r>
      <w:r w:rsidR="003C0F33">
        <w:rPr>
          <w:noProof/>
        </w:rPr>
        <w:t>.</w:t>
      </w:r>
    </w:p>
    <w:p w14:paraId="0AC4132B" w14:textId="77777777" w:rsidR="00234608" w:rsidRPr="00A95420" w:rsidRDefault="00234608" w:rsidP="00234608">
      <w:pPr>
        <w:pStyle w:val="Text"/>
      </w:pPr>
      <w:r>
        <w:t xml:space="preserve">A further challenge for Australian VET is that teachers are working in a variety of RTOs, whose different settings and demands create different psychosocial factors to manage. Any resources promoted to or designed for training providers must address that diversity </w:t>
      </w:r>
      <w:proofErr w:type="gramStart"/>
      <w:r>
        <w:t>and also</w:t>
      </w:r>
      <w:proofErr w:type="gramEnd"/>
      <w:r>
        <w:t xml:space="preserve"> consider the quality compliance context that providers operate within. Reducing teacher intention to leave and improving the longevity of the VET workforce should provide a strong incentive for providers to invest in psychosocial support. Another benefit, as discussed above, is the improved wellbeing and outcomes of students. </w:t>
      </w:r>
    </w:p>
    <w:p w14:paraId="1F20153E" w14:textId="293218CF" w:rsidR="00234608" w:rsidRPr="00A95420" w:rsidRDefault="00234608" w:rsidP="004D5370">
      <w:pPr>
        <w:pStyle w:val="Heading3"/>
      </w:pPr>
      <w:bookmarkStart w:id="46" w:name="_Toc207377790"/>
      <w:r w:rsidRPr="00A95420">
        <w:t xml:space="preserve">Gaps and </w:t>
      </w:r>
      <w:r w:rsidR="00B019F7">
        <w:t>further</w:t>
      </w:r>
      <w:r>
        <w:t xml:space="preserve"> </w:t>
      </w:r>
      <w:r w:rsidRPr="00A95420">
        <w:t>research</w:t>
      </w:r>
      <w:bookmarkEnd w:id="46"/>
      <w:r w:rsidRPr="00A95420">
        <w:t xml:space="preserve"> </w:t>
      </w:r>
    </w:p>
    <w:p w14:paraId="2CDB9CFA" w14:textId="49A6C7A2" w:rsidR="00234608" w:rsidRDefault="00EF6565" w:rsidP="00234608">
      <w:pPr>
        <w:pStyle w:val="Text"/>
      </w:pPr>
      <w:r w:rsidRPr="00EF6565">
        <w:t xml:space="preserve">The psychosocial impacts on teachers </w:t>
      </w:r>
      <w:r w:rsidR="00955A99">
        <w:t xml:space="preserve">(across all education sectors) </w:t>
      </w:r>
      <w:r w:rsidRPr="00EF6565">
        <w:t xml:space="preserve">documented in the literature arise from myriad factors, including student behaviours that may </w:t>
      </w:r>
      <w:r w:rsidR="003926E4">
        <w:t>result from</w:t>
      </w:r>
      <w:r w:rsidRPr="00EF6565">
        <w:t xml:space="preserve"> a range </w:t>
      </w:r>
      <w:r w:rsidRPr="00EF6565">
        <w:lastRenderedPageBreak/>
        <w:t xml:space="preserve">of underlying challenges, such as </w:t>
      </w:r>
      <w:r w:rsidR="000A7C5C">
        <w:t xml:space="preserve">poor mental health, </w:t>
      </w:r>
      <w:r w:rsidRPr="00EF6565">
        <w:t>unsupported learning needs, barriers to participation, and other factors affecting students' capacity to engage successfully in learning</w:t>
      </w:r>
      <w:r w:rsidR="00210D9D">
        <w:t xml:space="preserve"> (including challenges with foundation skills)</w:t>
      </w:r>
      <w:r w:rsidRPr="00EF6565">
        <w:t>.</w:t>
      </w:r>
      <w:r w:rsidR="00210D9D">
        <w:t xml:space="preserve"> </w:t>
      </w:r>
      <w:r w:rsidR="00234608">
        <w:t xml:space="preserve">A </w:t>
      </w:r>
      <w:r w:rsidR="00F07C6E">
        <w:t>more extensive</w:t>
      </w:r>
      <w:r w:rsidR="00234608">
        <w:t xml:space="preserve"> understanding of the psychosocial factors affecting </w:t>
      </w:r>
      <w:r w:rsidR="005955C6">
        <w:t>the VET teaching and learning environment</w:t>
      </w:r>
      <w:r w:rsidR="00234608">
        <w:t xml:space="preserve"> </w:t>
      </w:r>
      <w:r w:rsidR="00F07C6E">
        <w:t>will</w:t>
      </w:r>
      <w:r w:rsidR="00234608">
        <w:t xml:space="preserve"> provide a more comprehensive foundation upon which to develop supports and interventions. </w:t>
      </w:r>
    </w:p>
    <w:p w14:paraId="7EA2E120" w14:textId="12EEA788" w:rsidR="00234608" w:rsidRDefault="00234608" w:rsidP="00234608">
      <w:pPr>
        <w:pStyle w:val="Text"/>
      </w:pPr>
      <w:r>
        <w:t>A</w:t>
      </w:r>
      <w:r w:rsidR="000B7E67">
        <w:t>n</w:t>
      </w:r>
      <w:r>
        <w:t xml:space="preserve"> opportunity for improvement of psychosocial support in the Australian VET context is the development of guidelines and tools to assist</w:t>
      </w:r>
      <w:r w:rsidR="00E555D1">
        <w:t xml:space="preserve"> teachers and </w:t>
      </w:r>
      <w:r>
        <w:t xml:space="preserve">training providers </w:t>
      </w:r>
      <w:r w:rsidRPr="00A95420">
        <w:t xml:space="preserve">to recognise and </w:t>
      </w:r>
      <w:r w:rsidR="00290DF0">
        <w:t>support</w:t>
      </w:r>
      <w:r w:rsidR="00290DF0" w:rsidRPr="00A95420">
        <w:t xml:space="preserve"> </w:t>
      </w:r>
      <w:r w:rsidRPr="00A95420">
        <w:t xml:space="preserve">psychosocial factors in </w:t>
      </w:r>
      <w:r>
        <w:t>the</w:t>
      </w:r>
      <w:r w:rsidRPr="00A95420">
        <w:t xml:space="preserve"> </w:t>
      </w:r>
      <w:r w:rsidR="00E555D1">
        <w:t>classroom</w:t>
      </w:r>
      <w:r w:rsidR="00290DF0">
        <w:t xml:space="preserve">. The provision of </w:t>
      </w:r>
      <w:r w:rsidR="00A07CAC">
        <w:t>professional development or training that empowers teachers to manage these demands and make effective decisions that benefit bot</w:t>
      </w:r>
      <w:r w:rsidR="000B7E67">
        <w:t>h</w:t>
      </w:r>
      <w:r w:rsidR="00A07CAC">
        <w:t xml:space="preserve"> the student and </w:t>
      </w:r>
      <w:proofErr w:type="gramStart"/>
      <w:r w:rsidR="00A07CAC">
        <w:t>themselves</w:t>
      </w:r>
      <w:proofErr w:type="gramEnd"/>
      <w:r w:rsidR="006C6821">
        <w:t xml:space="preserve"> is a related opportunity, as is ensuring they are supported by the training provider and </w:t>
      </w:r>
      <w:r w:rsidR="006E2D0F">
        <w:t xml:space="preserve">VET sector more broadly. </w:t>
      </w:r>
      <w:r w:rsidR="000B7E67">
        <w:t xml:space="preserve"> </w:t>
      </w:r>
      <w:r w:rsidR="00A07CAC">
        <w:t xml:space="preserve"> </w:t>
      </w:r>
      <w:r w:rsidR="00E555D1">
        <w:t xml:space="preserve"> </w:t>
      </w:r>
    </w:p>
    <w:p w14:paraId="49A3751F" w14:textId="77777777" w:rsidR="00234608" w:rsidRDefault="00234608" w:rsidP="00234608">
      <w:pPr>
        <w:pStyle w:val="Text"/>
      </w:pPr>
    </w:p>
    <w:p w14:paraId="4D52489B" w14:textId="77777777" w:rsidR="00FE6F0A" w:rsidRDefault="00FE6F0A">
      <w:pPr>
        <w:spacing w:before="0" w:line="240" w:lineRule="auto"/>
        <w:rPr>
          <w:rFonts w:cs="Tahoma"/>
          <w:b/>
          <w:color w:val="000000"/>
          <w:kern w:val="28"/>
          <w:sz w:val="48"/>
          <w:szCs w:val="56"/>
          <w:lang w:val="en-US"/>
        </w:rPr>
      </w:pPr>
      <w:bookmarkStart w:id="47" w:name="_Toc231209674"/>
      <w:r>
        <w:rPr>
          <w:lang w:val="en-US"/>
        </w:rPr>
        <w:br w:type="page"/>
      </w:r>
    </w:p>
    <w:p w14:paraId="1ED100B4" w14:textId="480D10AA" w:rsidR="004D5370" w:rsidRDefault="004D5370" w:rsidP="004D5370">
      <w:pPr>
        <w:pStyle w:val="Heading1"/>
        <w:rPr>
          <w:lang w:val="en-US"/>
        </w:rPr>
      </w:pPr>
      <w:bookmarkStart w:id="48" w:name="_Toc241507533"/>
      <w:r w:rsidRPr="00252355">
        <w:rPr>
          <w:lang w:val="en-US"/>
        </w:rPr>
        <w:lastRenderedPageBreak/>
        <w:t>Teacher</w:t>
      </w:r>
      <w:r>
        <w:rPr>
          <w:lang w:val="en-US"/>
        </w:rPr>
        <w:t xml:space="preserve"> wellbeing</w:t>
      </w:r>
      <w:bookmarkEnd w:id="47"/>
      <w:r w:rsidR="00D625FB">
        <w:rPr>
          <w:lang w:val="en-US"/>
        </w:rPr>
        <w:t xml:space="preserve"> – insights from the consultations</w:t>
      </w:r>
      <w:bookmarkEnd w:id="48"/>
    </w:p>
    <w:p w14:paraId="60D57B50" w14:textId="32A8514F" w:rsidR="007D40EF" w:rsidRPr="007D40EF" w:rsidRDefault="007D40EF" w:rsidP="007D40EF">
      <w:pPr>
        <w:pStyle w:val="Text"/>
      </w:pPr>
      <w:r w:rsidRPr="007D40EF">
        <w:t xml:space="preserve">Teacher wellbeing was not a primary focus of this research project. However, participants frequently raised the issue and reflected on how their experiences in the </w:t>
      </w:r>
      <w:r w:rsidR="00EB246B">
        <w:t>classroom</w:t>
      </w:r>
      <w:r w:rsidRPr="007D40EF">
        <w:t xml:space="preserve"> affect their wellbeing and, in turn, their capacity to teach effectively. This chapter outlines the key themes emerging from the interviews, survey and workshops.</w:t>
      </w:r>
    </w:p>
    <w:p w14:paraId="65516937" w14:textId="7E57669D" w:rsidR="00EF2E07" w:rsidRDefault="00EE3D94" w:rsidP="00EF2E07">
      <w:pPr>
        <w:pStyle w:val="Text"/>
      </w:pPr>
      <w:r>
        <w:t xml:space="preserve">In the current study, </w:t>
      </w:r>
      <w:r w:rsidRPr="00EE3D94">
        <w:t xml:space="preserve">many participants expressed a strong commitment to doing their jobs well but reported feeling increasingly stretched by the range and intensity of demands </w:t>
      </w:r>
      <w:r w:rsidR="00C91C7E">
        <w:t>in their roles</w:t>
      </w:r>
      <w:r w:rsidRPr="00EE3D94">
        <w:t>.</w:t>
      </w:r>
      <w:r w:rsidR="00EF2E07">
        <w:t xml:space="preserve"> </w:t>
      </w:r>
      <w:r w:rsidR="004D5370">
        <w:t xml:space="preserve">Teachers </w:t>
      </w:r>
      <w:r w:rsidR="00E56D19">
        <w:t xml:space="preserve">reported </w:t>
      </w:r>
      <w:r w:rsidR="002F2B64">
        <w:t xml:space="preserve">that the pressure they feel is not due to isolated issues </w:t>
      </w:r>
      <w:r w:rsidR="004D5370">
        <w:t xml:space="preserve">but </w:t>
      </w:r>
      <w:r w:rsidR="002F2B64">
        <w:t xml:space="preserve">rather </w:t>
      </w:r>
      <w:r w:rsidR="004D5370">
        <w:t xml:space="preserve">the cumulative effect </w:t>
      </w:r>
      <w:r w:rsidR="00D30638">
        <w:t xml:space="preserve">of multiple </w:t>
      </w:r>
      <w:r w:rsidR="004D5370">
        <w:t>challenges</w:t>
      </w:r>
      <w:r w:rsidR="00D30638">
        <w:t xml:space="preserve">, related to </w:t>
      </w:r>
      <w:r w:rsidR="00777963">
        <w:t>c</w:t>
      </w:r>
      <w:r w:rsidR="00777963" w:rsidRPr="00777963">
        <w:t>ompliance pressures, workload intensity, workforce constraints, increasing diversity of learner needs, psychosocial support demands and resource limitations</w:t>
      </w:r>
      <w:r w:rsidR="00FA7DBA">
        <w:t xml:space="preserve">. </w:t>
      </w:r>
      <w:r w:rsidR="00C62602">
        <w:t>The</w:t>
      </w:r>
      <w:r w:rsidR="00000550">
        <w:t>y report that the</w:t>
      </w:r>
      <w:r w:rsidR="00C62602">
        <w:t xml:space="preserve"> persistent pressure on their workloads and time </w:t>
      </w:r>
      <w:r w:rsidR="00805597">
        <w:t xml:space="preserve">is </w:t>
      </w:r>
      <w:r w:rsidR="00D10222">
        <w:t xml:space="preserve">not only </w:t>
      </w:r>
      <w:r w:rsidR="00805597">
        <w:t xml:space="preserve">reducing their </w:t>
      </w:r>
      <w:r w:rsidR="004D5370">
        <w:t xml:space="preserve">ability to effectively and consistently perform their </w:t>
      </w:r>
      <w:r w:rsidR="00D66B8D">
        <w:t>jobs but</w:t>
      </w:r>
      <w:r w:rsidR="00D10222">
        <w:t xml:space="preserve"> is </w:t>
      </w:r>
      <w:r w:rsidR="006402D0">
        <w:t xml:space="preserve">also </w:t>
      </w:r>
      <w:r w:rsidR="00D10222">
        <w:t>impacting their job satisfaction and personal wellbeing</w:t>
      </w:r>
      <w:r w:rsidR="004D5370">
        <w:t xml:space="preserve">. </w:t>
      </w:r>
    </w:p>
    <w:p w14:paraId="135F497A" w14:textId="77777777" w:rsidR="007968AF" w:rsidRDefault="007968AF" w:rsidP="007968AF">
      <w:pPr>
        <w:pStyle w:val="Quote"/>
      </w:pPr>
      <w:r>
        <w:t xml:space="preserve">While these tasks are essential and a core part of my role, the cumulative workload, particularly when compounded by the challenges of disengaged learners, places considerable strain on educators and diminishes the capacity to focus on the meaningful aspects of teaching and training. </w:t>
      </w:r>
      <w:r w:rsidRPr="00AD6E48">
        <w:t xml:space="preserve">(Survey respondent, Mid-career teacher, </w:t>
      </w:r>
      <w:r>
        <w:t>Qld</w:t>
      </w:r>
      <w:r w:rsidRPr="00AD6E48">
        <w:t>)</w:t>
      </w:r>
    </w:p>
    <w:p w14:paraId="7C53EE63" w14:textId="36726916" w:rsidR="006401C7" w:rsidRDefault="006401C7" w:rsidP="006401C7">
      <w:pPr>
        <w:pStyle w:val="Quote"/>
      </w:pPr>
      <w:r>
        <w:t xml:space="preserve">My personal experience with working with the younger cohort of students age 15 -17 years, has been more stressful </w:t>
      </w:r>
      <w:proofErr w:type="gramStart"/>
      <w:r>
        <w:t>and also</w:t>
      </w:r>
      <w:proofErr w:type="gramEnd"/>
      <w:r>
        <w:t xml:space="preserve"> increased my anxiety levels in the last 4 years of my teaching, there have been times when I have been in tears </w:t>
      </w:r>
      <w:r w:rsidRPr="00594E77">
        <w:t>(Survey respondent, Experienced teacher,</w:t>
      </w:r>
      <w:r>
        <w:t xml:space="preserve"> NSW</w:t>
      </w:r>
      <w:r w:rsidRPr="00594E77">
        <w:t>)</w:t>
      </w:r>
    </w:p>
    <w:p w14:paraId="35A871EF" w14:textId="77777777" w:rsidR="009406A0" w:rsidRDefault="009406A0" w:rsidP="009406A0">
      <w:pPr>
        <w:pStyle w:val="Quote"/>
      </w:pPr>
      <w:r>
        <w:t xml:space="preserve">Many additional hours are spent </w:t>
      </w:r>
      <w:proofErr w:type="gramStart"/>
      <w:r>
        <w:t>in an attempt to</w:t>
      </w:r>
      <w:proofErr w:type="gramEnd"/>
      <w:r>
        <w:t xml:space="preserve"> support students with specific support needs - this is always at the expense of myself though and assessing is generally completed on weekends to compensate.  I do this because I genuinely care but is not a sustainable option. </w:t>
      </w:r>
      <w:r w:rsidRPr="00BD6131">
        <w:t>(Survey respondent, Mid-career teacher,</w:t>
      </w:r>
      <w:r>
        <w:t xml:space="preserve"> WA</w:t>
      </w:r>
      <w:r w:rsidRPr="00BD6131">
        <w:t>)</w:t>
      </w:r>
    </w:p>
    <w:p w14:paraId="27D513D6" w14:textId="77777777" w:rsidR="006401C7" w:rsidRDefault="006401C7" w:rsidP="006401C7">
      <w:pPr>
        <w:pStyle w:val="Quote"/>
      </w:pPr>
      <w:r>
        <w:t xml:space="preserve">Mental fatigue and burnout </w:t>
      </w:r>
      <w:proofErr w:type="gramStart"/>
      <w:r>
        <w:t>is</w:t>
      </w:r>
      <w:proofErr w:type="gramEnd"/>
      <w:r>
        <w:t xml:space="preserve"> real. </w:t>
      </w:r>
      <w:r w:rsidRPr="00C65A8D">
        <w:t>(Survey respondent, Experienced teacher,</w:t>
      </w:r>
      <w:r>
        <w:t xml:space="preserve"> Vic.)</w:t>
      </w:r>
    </w:p>
    <w:p w14:paraId="02251CDD" w14:textId="77777777" w:rsidR="006401C7" w:rsidRDefault="006401C7" w:rsidP="006401C7">
      <w:pPr>
        <w:pStyle w:val="Quote"/>
      </w:pPr>
      <w:r>
        <w:t xml:space="preserve">I can leave my classrooms feeling drained and tired on days where student behaviour is high... </w:t>
      </w:r>
      <w:r w:rsidRPr="005F5CB8">
        <w:t>(Survey respondent, Experienced teacher,</w:t>
      </w:r>
      <w:r>
        <w:t xml:space="preserve"> Vic.)</w:t>
      </w:r>
    </w:p>
    <w:p w14:paraId="64D108B3" w14:textId="77777777" w:rsidR="006401C7" w:rsidRDefault="006401C7" w:rsidP="006401C7">
      <w:pPr>
        <w:pStyle w:val="Quote"/>
      </w:pPr>
      <w:r>
        <w:t xml:space="preserve">... you do not have enough time to assist every student. The student’s attention span and behaviour </w:t>
      </w:r>
      <w:proofErr w:type="gramStart"/>
      <w:r>
        <w:t>is</w:t>
      </w:r>
      <w:proofErr w:type="gramEnd"/>
      <w:r>
        <w:t xml:space="preserve"> worse [...] I used to be of more assistance to the students. It also impacts my mental health as I am stressed, anxious and suffer from depression which I am being medicated for ... (</w:t>
      </w:r>
      <w:r w:rsidRPr="00ED1F7F">
        <w:t>Survey respondent, Experienced teacher,</w:t>
      </w:r>
      <w:r>
        <w:t xml:space="preserve"> NSW)</w:t>
      </w:r>
    </w:p>
    <w:p w14:paraId="2469C145" w14:textId="77777777" w:rsidR="002E0152" w:rsidRDefault="002E0152" w:rsidP="002E0152">
      <w:pPr>
        <w:pStyle w:val="Quote"/>
      </w:pPr>
      <w:r>
        <w:t xml:space="preserve">It is getting harder to enjoy teaching. Key challenges include high workload, burnout, staffing shortages, and the pressure to consider diverse student needs while delivering quality education. </w:t>
      </w:r>
      <w:r w:rsidRPr="00CA7C23">
        <w:t>(Survey respondent, Experienced teacher,</w:t>
      </w:r>
      <w:r>
        <w:t xml:space="preserve"> Qld</w:t>
      </w:r>
      <w:r w:rsidRPr="00CA7C23">
        <w:t>)</w:t>
      </w:r>
    </w:p>
    <w:p w14:paraId="4BEB58D4" w14:textId="4CF62650" w:rsidR="00E050F4" w:rsidRDefault="00E050F4" w:rsidP="004D5370">
      <w:pPr>
        <w:pStyle w:val="Text"/>
      </w:pPr>
      <w:r>
        <w:t>The strain expressed appears to be amplified when there is a perceived lack of support.</w:t>
      </w:r>
    </w:p>
    <w:p w14:paraId="0CF87D51" w14:textId="77777777" w:rsidR="00E627C7" w:rsidRDefault="00E627C7" w:rsidP="00E627C7">
      <w:pPr>
        <w:pStyle w:val="Quote"/>
      </w:pPr>
      <w:r>
        <w:lastRenderedPageBreak/>
        <w:t>I still have passion for my students and their teaching journey, just now its rushed and not as supported as teachers are not allocated the time in the week anymore.</w:t>
      </w:r>
      <w:r w:rsidRPr="00DB457B">
        <w:t xml:space="preserve"> (Survey respondent, Experienced teacher,</w:t>
      </w:r>
      <w:r>
        <w:t xml:space="preserve"> SA</w:t>
      </w:r>
      <w:r w:rsidRPr="00DB457B">
        <w:t>)</w:t>
      </w:r>
      <w:r>
        <w:t xml:space="preserve"> </w:t>
      </w:r>
    </w:p>
    <w:p w14:paraId="23B47927" w14:textId="58672DF7" w:rsidR="00652991" w:rsidRDefault="00652991" w:rsidP="00652991">
      <w:pPr>
        <w:pStyle w:val="Quote"/>
      </w:pPr>
      <w:r>
        <w:t xml:space="preserve">It seems very focused on the student wellbeing in general but there is no extra help for lecturers, teachers who are at the front-line everyday living [it]. </w:t>
      </w:r>
      <w:r w:rsidRPr="00730912">
        <w:t>(Survey respondent, Mid-career teacher,</w:t>
      </w:r>
      <w:r>
        <w:t xml:space="preserve"> WA</w:t>
      </w:r>
      <w:r w:rsidRPr="00730912">
        <w:t xml:space="preserve">) </w:t>
      </w:r>
    </w:p>
    <w:p w14:paraId="556A347C" w14:textId="7304A554" w:rsidR="00CE3E98" w:rsidRDefault="00CE3E98" w:rsidP="00CE3E98">
      <w:pPr>
        <w:pStyle w:val="Quote"/>
      </w:pPr>
      <w:r>
        <w:t>Draining, we lack admin supports. On top of teaching, marking, assessing - it’s the pressure and the mental health load we [are] burden</w:t>
      </w:r>
      <w:r w:rsidR="00705477">
        <w:t>ed</w:t>
      </w:r>
      <w:r>
        <w:t xml:space="preserve"> by pressure and behaviours. </w:t>
      </w:r>
      <w:r w:rsidRPr="009A6D5A">
        <w:t>(Survey respondent, Experienced teacher,</w:t>
      </w:r>
      <w:r>
        <w:t xml:space="preserve"> SA)</w:t>
      </w:r>
    </w:p>
    <w:p w14:paraId="52566D38" w14:textId="77777777" w:rsidR="008E184E" w:rsidRDefault="008E184E" w:rsidP="008E184E">
      <w:pPr>
        <w:pStyle w:val="Quote"/>
      </w:pPr>
      <w:r>
        <w:t xml:space="preserve">Lecturers are constantly reminded that it is up to us to solve these wider issues. Recently a colleague of ours left teaching because they could no longer deal with the complexities that occur every day at [institution]. </w:t>
      </w:r>
      <w:r w:rsidRPr="00F5777D">
        <w:t>(Survey respondent, Experienced teacher,</w:t>
      </w:r>
      <w:r>
        <w:t xml:space="preserve"> WA</w:t>
      </w:r>
      <w:r w:rsidRPr="00F5777D">
        <w:t>)</w:t>
      </w:r>
    </w:p>
    <w:p w14:paraId="7C3D9E74" w14:textId="5CB582CD" w:rsidR="00EF5D21" w:rsidRDefault="00EF5D21" w:rsidP="00EF5D21">
      <w:pPr>
        <w:pStyle w:val="Quote"/>
      </w:pPr>
      <w:r>
        <w:t xml:space="preserve">Teachers are constantly tired and there is less given to teachers to achieve the best results. </w:t>
      </w:r>
      <w:r w:rsidRPr="005256FC">
        <w:t>(Survey respondent, Experienced teacher,</w:t>
      </w:r>
      <w:r>
        <w:t xml:space="preserve"> Vic.)</w:t>
      </w:r>
    </w:p>
    <w:p w14:paraId="684E3FA4" w14:textId="691FD459" w:rsidR="003A6E85" w:rsidRDefault="003A6E85" w:rsidP="003A6E85">
      <w:pPr>
        <w:pStyle w:val="Text"/>
      </w:pPr>
      <w:r>
        <w:t>The literature suggests that persistent pressures</w:t>
      </w:r>
      <w:r w:rsidR="00ED7BCC">
        <w:t xml:space="preserve"> and psychosocial impacts</w:t>
      </w:r>
      <w:r w:rsidR="008204C4">
        <w:t>,</w:t>
      </w:r>
      <w:r w:rsidR="00ED7BCC">
        <w:t xml:space="preserve"> </w:t>
      </w:r>
      <w:r w:rsidR="00AB54C7">
        <w:t xml:space="preserve">such as those </w:t>
      </w:r>
      <w:r w:rsidR="00ED7BCC">
        <w:t xml:space="preserve">described above, </w:t>
      </w:r>
      <w:r>
        <w:t xml:space="preserve">can lead to anxiety, depression, stress and burnout (Aha Psychological Services 2023; </w:t>
      </w:r>
      <w:proofErr w:type="spellStart"/>
      <w:r>
        <w:t>Bartušienė</w:t>
      </w:r>
      <w:proofErr w:type="spellEnd"/>
      <w:r>
        <w:t xml:space="preserve"> et al. 2024; Beames et al. 2023; Dinnen, </w:t>
      </w:r>
      <w:proofErr w:type="spellStart"/>
      <w:r>
        <w:t>Litvitskiy</w:t>
      </w:r>
      <w:proofErr w:type="spellEnd"/>
      <w:r>
        <w:t xml:space="preserve"> &amp; Flaspohler 2024, Gast et al. 2022; Ibrahim et al. 2021). Other outcomes</w:t>
      </w:r>
      <w:r w:rsidR="00506737">
        <w:t xml:space="preserve"> reported in teachers across education sectors internationally </w:t>
      </w:r>
      <w:r>
        <w:t xml:space="preserve">include post-traumatic stress disorder (Dinnen, </w:t>
      </w:r>
      <w:proofErr w:type="spellStart"/>
      <w:r>
        <w:t>Litvitskiy</w:t>
      </w:r>
      <w:proofErr w:type="spellEnd"/>
      <w:r>
        <w:t xml:space="preserve"> &amp; Flaspohler 2024) and sleep disorders (Aha Psychological Services 2023; Beames et al. 2023). </w:t>
      </w:r>
    </w:p>
    <w:p w14:paraId="47DAC216" w14:textId="58D47434" w:rsidR="00840BEC" w:rsidRPr="00840BEC" w:rsidRDefault="00840BEC" w:rsidP="00840BEC">
      <w:pPr>
        <w:pStyle w:val="Text"/>
      </w:pPr>
      <w:r w:rsidRPr="00840BEC">
        <w:t xml:space="preserve">Not only do these impacts affect teachers’ ability to teach effectively, </w:t>
      </w:r>
      <w:r w:rsidR="009210E0" w:rsidRPr="00840BEC">
        <w:t>but they</w:t>
      </w:r>
      <w:r w:rsidRPr="00840BEC">
        <w:t xml:space="preserve"> may also contribute to workforce attrition. This is particularly significant given that teacher retention has been identified in the literature as a factor that may constrain the VET sector’s capacity to meet Australia’s future workforce needs (Tyler, Dymock &amp; Le 2024). Consistent with this, participants in the current research described how the pressures associated with teaching can contribute to burnout, disengagement and decisions to leave the profession.</w:t>
      </w:r>
    </w:p>
    <w:p w14:paraId="25E4AAEB" w14:textId="77777777" w:rsidR="00EF5D21" w:rsidRDefault="00EF5D21" w:rsidP="00EF5D21">
      <w:pPr>
        <w:pStyle w:val="Quote"/>
      </w:pPr>
      <w:r>
        <w:t xml:space="preserve">I love lecturing and making a difference. However, due to the unrealistic workload, ever changing teaching expectations, student challenges, ridiculous after-hours work, and rolling contracts, I'm returning to industry with one day of teaching. </w:t>
      </w:r>
      <w:r w:rsidRPr="00324EC9">
        <w:t>(Survey respondent, Novice teacher,</w:t>
      </w:r>
      <w:r>
        <w:t xml:space="preserve"> WA</w:t>
      </w:r>
      <w:r w:rsidRPr="00324EC9">
        <w:t>)</w:t>
      </w:r>
    </w:p>
    <w:p w14:paraId="54E707F8" w14:textId="77777777" w:rsidR="00BC1F83" w:rsidRDefault="00BC1F83" w:rsidP="00BC1F83">
      <w:pPr>
        <w:pStyle w:val="Quote"/>
        <w:rPr>
          <w:rFonts w:eastAsia="Trebuchet MS" w:cs="Trebuchet MS"/>
          <w:color w:val="0F112A" w:themeColor="text1"/>
          <w:szCs w:val="17"/>
          <w:lang w:val="en-US"/>
        </w:rPr>
      </w:pPr>
      <w:r>
        <w:t xml:space="preserve">I am very disheartened at present, after teaching 28 years and loving my job to dreading it every day. </w:t>
      </w:r>
      <w:r w:rsidRPr="00EC3E96">
        <w:t>(Survey respondent, Experienced teacher,</w:t>
      </w:r>
      <w:r>
        <w:t xml:space="preserve"> WA)</w:t>
      </w:r>
    </w:p>
    <w:p w14:paraId="3E299860" w14:textId="77777777" w:rsidR="00BC1F83" w:rsidRDefault="00BC1F83" w:rsidP="00BC1F83">
      <w:pPr>
        <w:pStyle w:val="Quote"/>
        <w:rPr>
          <w:rFonts w:eastAsia="Trebuchet MS" w:cs="Trebuchet MS"/>
          <w:color w:val="0F112A" w:themeColor="text1"/>
          <w:szCs w:val="17"/>
          <w:lang w:val="en-US"/>
        </w:rPr>
      </w:pPr>
      <w:r w:rsidRPr="2A82750F">
        <w:rPr>
          <w:rFonts w:eastAsia="Trebuchet MS" w:cs="Trebuchet MS"/>
          <w:color w:val="0F112A" w:themeColor="text1"/>
          <w:szCs w:val="17"/>
        </w:rPr>
        <w:t xml:space="preserve">I </w:t>
      </w:r>
      <w:proofErr w:type="gramStart"/>
      <w:r w:rsidRPr="2A82750F">
        <w:rPr>
          <w:rFonts w:eastAsia="Trebuchet MS" w:cs="Trebuchet MS"/>
          <w:color w:val="0F112A" w:themeColor="text1"/>
          <w:szCs w:val="17"/>
        </w:rPr>
        <w:t>actually hate</w:t>
      </w:r>
      <w:proofErr w:type="gramEnd"/>
      <w:r w:rsidRPr="2A82750F">
        <w:rPr>
          <w:rFonts w:eastAsia="Trebuchet MS" w:cs="Trebuchet MS"/>
          <w:color w:val="0F112A" w:themeColor="text1"/>
          <w:szCs w:val="17"/>
        </w:rPr>
        <w:t xml:space="preserve"> it and am actively looking for another job that does not involve students. </w:t>
      </w:r>
      <w:r w:rsidRPr="00491AD0">
        <w:rPr>
          <w:rFonts w:eastAsia="Trebuchet MS" w:cs="Trebuchet MS"/>
          <w:color w:val="0F112A" w:themeColor="text1"/>
          <w:szCs w:val="17"/>
        </w:rPr>
        <w:t>(Survey respondent, Novice teacher</w:t>
      </w:r>
      <w:r>
        <w:rPr>
          <w:rFonts w:eastAsia="Trebuchet MS" w:cs="Trebuchet MS"/>
          <w:color w:val="0F112A" w:themeColor="text1"/>
          <w:szCs w:val="17"/>
        </w:rPr>
        <w:t>, NSW)</w:t>
      </w:r>
    </w:p>
    <w:p w14:paraId="7D1687B0" w14:textId="77777777" w:rsidR="00CD6008" w:rsidRDefault="00CD6008" w:rsidP="00CD6008">
      <w:pPr>
        <w:pStyle w:val="Quote"/>
      </w:pPr>
      <w:r>
        <w:t xml:space="preserve">I’m hopeful [...] considering the psychosocial stuff now. </w:t>
      </w:r>
      <w:proofErr w:type="gramStart"/>
      <w:r>
        <w:t>However</w:t>
      </w:r>
      <w:proofErr w:type="gramEnd"/>
      <w:r>
        <w:t xml:space="preserve"> it’s too late for many students and for many teachers who left the industry because of this. (</w:t>
      </w:r>
      <w:r w:rsidRPr="00711602">
        <w:t>Survey respondent, Experienced teacher, Vic.)</w:t>
      </w:r>
    </w:p>
    <w:p w14:paraId="590FDFD0" w14:textId="77777777" w:rsidR="00E73C4E" w:rsidRDefault="00E73C4E" w:rsidP="00D46683">
      <w:pPr>
        <w:pStyle w:val="Text"/>
      </w:pPr>
    </w:p>
    <w:p w14:paraId="65BEE4E5" w14:textId="77777777" w:rsidR="00E73C4E" w:rsidRDefault="00E73C4E" w:rsidP="00D46683">
      <w:pPr>
        <w:pStyle w:val="Text"/>
      </w:pPr>
    </w:p>
    <w:p w14:paraId="54243D96" w14:textId="77777777" w:rsidR="00F7728E" w:rsidRPr="006F42E2" w:rsidRDefault="00F7728E" w:rsidP="00F7728E">
      <w:pPr>
        <w:pStyle w:val="Text"/>
      </w:pPr>
      <w:r w:rsidRPr="006F42E2">
        <w:lastRenderedPageBreak/>
        <w:t xml:space="preserve">Existing research has highlighted the relationship between teacher and student wellbeing and recommended a whole-of-institution approach to supporting teacher wellbeing and, in turn, enhancing student wellbeing (Hughes et al. 2022). Poor teacher mental health, whether associated with student behaviour, workload, systemic pressures, limited institutional support, or factors external to the workplace, can influence teachers' ability to build and maintain positive relationships with students and to respond effectively to diverse learning needs (Van </w:t>
      </w:r>
      <w:proofErr w:type="spellStart"/>
      <w:r w:rsidRPr="006F42E2">
        <w:t>Valkenhoef</w:t>
      </w:r>
      <w:proofErr w:type="spellEnd"/>
      <w:r w:rsidRPr="006F42E2">
        <w:t xml:space="preserve"> 2023). Research indicates that these impacts may affect classroom interactions, student engagement and the overall learning environment, particularly where teachers are experiencing ongoing stress or a lack of support (Ling et al. 2024).</w:t>
      </w:r>
    </w:p>
    <w:p w14:paraId="4AD30F89" w14:textId="77777777" w:rsidR="00895FF8" w:rsidRPr="00895FF8" w:rsidRDefault="00895FF8" w:rsidP="00895FF8">
      <w:pPr>
        <w:pStyle w:val="Text"/>
      </w:pPr>
      <w:r w:rsidRPr="00895FF8">
        <w:t xml:space="preserve">The findings from the consultations indicate that teacher wellbeing can be influenced by both classroom experiences and broader external </w:t>
      </w:r>
      <w:proofErr w:type="gramStart"/>
      <w:r w:rsidRPr="00895FF8">
        <w:t>factors, and</w:t>
      </w:r>
      <w:proofErr w:type="gramEnd"/>
      <w:r w:rsidRPr="00895FF8">
        <w:t xml:space="preserve"> highlight the importance of supporting teacher wellbeing as a foundation for effective teaching. Further research in this area would build on and complement the findings of the current project.</w:t>
      </w:r>
    </w:p>
    <w:p w14:paraId="736B1E91" w14:textId="77777777" w:rsidR="00D46683" w:rsidRDefault="00D46683" w:rsidP="004D5370">
      <w:pPr>
        <w:pStyle w:val="Text"/>
      </w:pPr>
    </w:p>
    <w:p w14:paraId="018C63D6" w14:textId="77777777" w:rsidR="00283CD2" w:rsidRDefault="00283CD2" w:rsidP="004D5370">
      <w:pPr>
        <w:pStyle w:val="Text"/>
      </w:pPr>
    </w:p>
    <w:p w14:paraId="2EB6718F" w14:textId="77777777" w:rsidR="004D5370" w:rsidRDefault="004D5370" w:rsidP="004D5370">
      <w:pPr>
        <w:pStyle w:val="Text"/>
      </w:pPr>
    </w:p>
    <w:p w14:paraId="67B46271" w14:textId="77777777" w:rsidR="00664F1F" w:rsidRDefault="00664F1F" w:rsidP="004D5370">
      <w:pPr>
        <w:pStyle w:val="Text"/>
      </w:pPr>
    </w:p>
    <w:p w14:paraId="18CDE971" w14:textId="77777777" w:rsidR="00664F1F" w:rsidRDefault="00664F1F" w:rsidP="004D5370">
      <w:pPr>
        <w:pStyle w:val="Text"/>
      </w:pPr>
    </w:p>
    <w:p w14:paraId="282F3D56" w14:textId="77777777" w:rsidR="004D5370" w:rsidRDefault="004D5370">
      <w:pPr>
        <w:spacing w:before="0" w:line="240" w:lineRule="auto"/>
      </w:pPr>
      <w:r>
        <w:br w:type="page"/>
      </w:r>
    </w:p>
    <w:p w14:paraId="3750E389" w14:textId="77777777" w:rsidR="004D5370" w:rsidRDefault="004D5370" w:rsidP="004D5370">
      <w:pPr>
        <w:pStyle w:val="Text"/>
      </w:pPr>
    </w:p>
    <w:p w14:paraId="3535C9B3" w14:textId="44FA1189" w:rsidR="004D5370" w:rsidRDefault="003A7B58" w:rsidP="004D5370">
      <w:pPr>
        <w:pStyle w:val="Heading1"/>
      </w:pPr>
      <w:bookmarkStart w:id="49" w:name="_Toc241507534"/>
      <w:bookmarkStart w:id="50" w:name="_Toc231209676"/>
      <w:r>
        <w:t>Ongoing teacher development: s</w:t>
      </w:r>
      <w:r w:rsidR="004D5370">
        <w:t>upporting evidence and further information</w:t>
      </w:r>
      <w:bookmarkEnd w:id="49"/>
      <w:r w:rsidR="004D5370">
        <w:t xml:space="preserve"> </w:t>
      </w:r>
      <w:bookmarkEnd w:id="50"/>
    </w:p>
    <w:p w14:paraId="6B87A414" w14:textId="15FCAFD7" w:rsidR="004D5370" w:rsidRDefault="004D5370" w:rsidP="004D5370">
      <w:pPr>
        <w:pStyle w:val="Text"/>
      </w:pPr>
      <w:r w:rsidRPr="00F216BA">
        <w:t xml:space="preserve">This </w:t>
      </w:r>
      <w:r w:rsidR="003A7B58">
        <w:t>chapter</w:t>
      </w:r>
      <w:r w:rsidRPr="00F216BA">
        <w:t xml:space="preserve"> provides additional evidence from the interviews and workshops to support the findings presented in the main report. It also examines </w:t>
      </w:r>
      <w:r w:rsidR="00F41F55">
        <w:t>the various ways</w:t>
      </w:r>
      <w:r w:rsidRPr="00F216BA">
        <w:t xml:space="preserve"> professional development is used to maintain and enhance teaching currency, and highlights differences across RTOs and individual teachers in the ways professional development is accessed</w:t>
      </w:r>
      <w:r>
        <w:t xml:space="preserve"> and </w:t>
      </w:r>
      <w:r w:rsidRPr="00F216BA">
        <w:t>applied.</w:t>
      </w:r>
    </w:p>
    <w:p w14:paraId="4DAE7B1E" w14:textId="77777777" w:rsidR="004D5370" w:rsidRDefault="004D5370" w:rsidP="004D5370">
      <w:pPr>
        <w:pStyle w:val="Text"/>
      </w:pPr>
      <w:r w:rsidRPr="007C501E">
        <w:t xml:space="preserve">Although this research focuses on teaching currency, industry currency was also frequently discussed during interviews and workshops. </w:t>
      </w:r>
      <w:r>
        <w:t>This</w:t>
      </w:r>
      <w:r w:rsidRPr="007C501E">
        <w:t xml:space="preserve"> highlighted a need for greater understanding of the distinction between teaching currency and industry currency. This was evident both explicitly, with participants noting that the two concepts are often conflated, and implicitly, where discussions about professional development for teaching currency often shifted towards activities undertaken to maintain industry skills.</w:t>
      </w:r>
    </w:p>
    <w:p w14:paraId="50973126" w14:textId="77777777" w:rsidR="004D5370" w:rsidRDefault="004D5370" w:rsidP="004D5370">
      <w:pPr>
        <w:pStyle w:val="Heading2"/>
      </w:pPr>
      <w:bookmarkStart w:id="51" w:name="_Toc241507535"/>
      <w:r w:rsidRPr="6DB78184">
        <w:rPr>
          <w:rFonts w:eastAsia="Arial"/>
        </w:rPr>
        <w:t>Identification of professional development needs</w:t>
      </w:r>
      <w:bookmarkEnd w:id="51"/>
    </w:p>
    <w:p w14:paraId="5345593E" w14:textId="77777777" w:rsidR="004D5370" w:rsidRDefault="004D5370" w:rsidP="004D5370">
      <w:pPr>
        <w:pStyle w:val="Text"/>
        <w:rPr>
          <w:color w:val="0F112A" w:themeColor="text1"/>
        </w:rPr>
      </w:pPr>
      <w:r>
        <w:t xml:space="preserve">Below is an overview of the different methods used by RTOs, departments and individual VET teachers to identify areas of teaching skill development needs. </w:t>
      </w:r>
    </w:p>
    <w:p w14:paraId="267D8295" w14:textId="77777777" w:rsidR="004D5370" w:rsidRDefault="004D5370" w:rsidP="004D5370">
      <w:pPr>
        <w:pStyle w:val="Heading3"/>
      </w:pPr>
      <w:r>
        <w:t>Frameworks, tools and self-assessments</w:t>
      </w:r>
    </w:p>
    <w:p w14:paraId="3807468D" w14:textId="60DF5485" w:rsidR="004D5370" w:rsidRPr="000E087C" w:rsidRDefault="004D5370" w:rsidP="004D5370">
      <w:pPr>
        <w:pStyle w:val="Text"/>
      </w:pPr>
      <w:r>
        <w:t>F</w:t>
      </w:r>
      <w:r w:rsidRPr="000E087C">
        <w:t xml:space="preserve">ormal approaches to identifying professional development needs included the use of frameworks, self-assessment tools and other structured mechanisms. These were </w:t>
      </w:r>
      <w:proofErr w:type="gramStart"/>
      <w:r w:rsidRPr="000E087C">
        <w:t>most commonly used</w:t>
      </w:r>
      <w:proofErr w:type="gramEnd"/>
      <w:r w:rsidRPr="000E087C">
        <w:t xml:space="preserve"> at an RTO level on an annual basis and were often linked to individual learning plans and performance review processes.</w:t>
      </w:r>
    </w:p>
    <w:p w14:paraId="0A2A6073" w14:textId="77777777" w:rsidR="004D5370" w:rsidRDefault="004D5370" w:rsidP="004D5370">
      <w:pPr>
        <w:pStyle w:val="Text"/>
      </w:pPr>
      <w:r w:rsidRPr="000E087C">
        <w:t>The use of such tools provides a structured approach to identifying teaching skill development needs, enabling RTO leaders to identify both common areas for capability development across the organisation and more targeted needs for individual teachers. They can also provide a foundation for ongoing professional development planning and, when used effectively, support the monitoring of capability development over time.</w:t>
      </w:r>
      <w:r>
        <w:t xml:space="preserve"> Frequently, mentioned examples were:</w:t>
      </w:r>
    </w:p>
    <w:p w14:paraId="16C2CB5C" w14:textId="77777777" w:rsidR="004D5370" w:rsidRDefault="004D5370" w:rsidP="004D5370">
      <w:pPr>
        <w:pStyle w:val="Dotpoint1"/>
        <w:tabs>
          <w:tab w:val="clear" w:pos="567"/>
          <w:tab w:val="left" w:pos="284"/>
        </w:tabs>
        <w:ind w:left="284" w:hanging="284"/>
        <w:rPr>
          <w:rFonts w:eastAsia="Trebuchet MS" w:cs="Trebuchet MS"/>
          <w:color w:val="0F112A" w:themeColor="text1"/>
          <w:szCs w:val="19"/>
        </w:rPr>
      </w:pPr>
      <w:r w:rsidRPr="39A9081C">
        <w:t xml:space="preserve">Capability frameworks </w:t>
      </w:r>
    </w:p>
    <w:p w14:paraId="4A004903" w14:textId="77777777" w:rsidR="004D5370" w:rsidRDefault="004D5370" w:rsidP="004D5370">
      <w:pPr>
        <w:pStyle w:val="Dotpoint1"/>
        <w:tabs>
          <w:tab w:val="clear" w:pos="567"/>
          <w:tab w:val="left" w:pos="284"/>
        </w:tabs>
        <w:ind w:left="284" w:hanging="284"/>
        <w:rPr>
          <w:rFonts w:eastAsia="Trebuchet MS" w:cs="Trebuchet MS"/>
          <w:color w:val="0F112A" w:themeColor="text1"/>
          <w:szCs w:val="19"/>
        </w:rPr>
      </w:pPr>
      <w:r w:rsidRPr="39A9081C">
        <w:t>Skills matrices</w:t>
      </w:r>
    </w:p>
    <w:p w14:paraId="07FDC199" w14:textId="77777777" w:rsidR="004D5370" w:rsidRDefault="004D5370" w:rsidP="004D5370">
      <w:pPr>
        <w:pStyle w:val="Dotpoint1"/>
        <w:tabs>
          <w:tab w:val="clear" w:pos="567"/>
          <w:tab w:val="left" w:pos="284"/>
        </w:tabs>
        <w:ind w:left="284" w:hanging="284"/>
        <w:rPr>
          <w:rFonts w:eastAsia="Trebuchet MS" w:cs="Trebuchet MS"/>
          <w:color w:val="0F112A" w:themeColor="text1"/>
          <w:szCs w:val="19"/>
        </w:rPr>
      </w:pPr>
      <w:r w:rsidRPr="39A9081C">
        <w:t>Surveys</w:t>
      </w:r>
    </w:p>
    <w:p w14:paraId="61B4E214" w14:textId="77777777" w:rsidR="00BA7A00" w:rsidRDefault="00BA7A00" w:rsidP="004D5370">
      <w:pPr>
        <w:pStyle w:val="Heading4"/>
      </w:pPr>
    </w:p>
    <w:p w14:paraId="0163E13D" w14:textId="77777777" w:rsidR="00BA7A00" w:rsidRDefault="00BA7A00" w:rsidP="004D5370">
      <w:pPr>
        <w:pStyle w:val="Heading4"/>
      </w:pPr>
    </w:p>
    <w:p w14:paraId="2CF8C554" w14:textId="0F7472C6" w:rsidR="004D5370" w:rsidRDefault="004D5370" w:rsidP="004D5370">
      <w:pPr>
        <w:pStyle w:val="Heading4"/>
      </w:pPr>
      <w:r>
        <w:lastRenderedPageBreak/>
        <w:t>Capability frameworks</w:t>
      </w:r>
    </w:p>
    <w:p w14:paraId="5EB6EA93" w14:textId="77777777" w:rsidR="004D5370" w:rsidRPr="00767ED9" w:rsidRDefault="004D5370" w:rsidP="004D5370">
      <w:pPr>
        <w:pStyle w:val="Text"/>
      </w:pPr>
      <w:r w:rsidRPr="00767ED9">
        <w:t>Some interviewees reported that their RTOs had developed their own capability frameworks or teaching standards, in some cases using the former IBSA VET Practitioner Capability Framework as a foundation. These frameworks provide a structured way to identify common skill development needs, highlight areas where additional support may be required, and promote greater consistency in teaching practice across the organisation.</w:t>
      </w:r>
    </w:p>
    <w:p w14:paraId="2A51F90C" w14:textId="77777777" w:rsidR="004D5370" w:rsidRPr="00767ED9" w:rsidRDefault="004D5370" w:rsidP="004D5370">
      <w:pPr>
        <w:pStyle w:val="Text"/>
      </w:pPr>
      <w:r w:rsidRPr="00767ED9">
        <w:t>They also serve as a useful tool for individual reflection, helping teachers assess their own practice and supporting discussions with managers about professional development priorities and opportunities for growth.</w:t>
      </w:r>
    </w:p>
    <w:p w14:paraId="25CC0D90" w14:textId="5B134D52" w:rsidR="004D5370" w:rsidRDefault="004D5370" w:rsidP="004D5370">
      <w:pPr>
        <w:pStyle w:val="Quote"/>
      </w:pPr>
      <w:r>
        <w:t xml:space="preserve">We have our own capability framework that we map to, which we created in consultation with the delivery areas. I think it keeps us on track and keeps it targeted. </w:t>
      </w:r>
      <w:r w:rsidR="000A317F">
        <w:t>W</w:t>
      </w:r>
      <w:r>
        <w:t>e can also come back to the capability frame[work] and go, well, how does that fit within the role of the teacher and what is the support we want to provide around explicit teaching or session planning</w:t>
      </w:r>
      <w:r w:rsidR="00B002F1">
        <w:t>. W</w:t>
      </w:r>
      <w:r>
        <w:t>e keep on using that framework to keep guiding us. (ID15, Manager-Quality Learning and Teaching, Vic.)</w:t>
      </w:r>
    </w:p>
    <w:p w14:paraId="20311CBD" w14:textId="44F5A87F" w:rsidR="004D5370" w:rsidRDefault="008A084E" w:rsidP="004D5370">
      <w:pPr>
        <w:pStyle w:val="Quote"/>
      </w:pPr>
      <w:r>
        <w:t>W</w:t>
      </w:r>
      <w:r w:rsidR="004D5370">
        <w:t>e have developed educator capability standards, so a framework if you like for self-reflection.</w:t>
      </w:r>
      <w:r>
        <w:t xml:space="preserve"> E</w:t>
      </w:r>
      <w:r w:rsidR="004D5370">
        <w:t>ducators can use that as a self-reflection to start to think about their development and have conversations with their manager around their growth and development. (ID44, Director-Professional Teaching Practice, Vic.)</w:t>
      </w:r>
    </w:p>
    <w:p w14:paraId="172846D2" w14:textId="77777777" w:rsidR="004D5370" w:rsidRDefault="004D5370" w:rsidP="004D5370">
      <w:pPr>
        <w:pStyle w:val="Text"/>
      </w:pPr>
      <w:r w:rsidRPr="007F0CF2">
        <w:t>The Educator Passport, developed by Chisholm Institute's Professional Educator College, and its associated capability framework, was another tool mentioned by several interviewees. Some reported that it was already being used within their RTO, while others indicated that implementation was planned for 2026. The Educator Passport includes a self-assessment tool that enables teachers to identify capability gaps and career aspirations, supporting the development of targeted professional learning and development activities (Chisholm Institute 2026).</w:t>
      </w:r>
    </w:p>
    <w:p w14:paraId="7F3196B0" w14:textId="25C7956C" w:rsidR="004D5370" w:rsidRDefault="004D5370" w:rsidP="004D5370">
      <w:pPr>
        <w:pStyle w:val="Quote"/>
      </w:pPr>
      <w:r>
        <w:t xml:space="preserve">Now in terms of how we work out what kind of PD we're going to run in the educator passport, there's a self-assessment tool. It's called the profiling tool. </w:t>
      </w:r>
      <w:proofErr w:type="gramStart"/>
      <w:r>
        <w:t>So</w:t>
      </w:r>
      <w:proofErr w:type="gramEnd"/>
      <w:r>
        <w:t xml:space="preserve"> we have a capability framework for our educators that sits within the educator passport tool. So annually the educator will self-assess themselves against that framework. There's also opportunity for their supervisor to add their assessment and it's also possible to have either a department or an organisation ideal. And what it does, it spits out a spider graph which </w:t>
      </w:r>
      <w:proofErr w:type="gramStart"/>
      <w:r>
        <w:t>really clearly</w:t>
      </w:r>
      <w:proofErr w:type="gramEnd"/>
      <w:r>
        <w:t xml:space="preserve"> shows where the strengths are and where the opportunities are for growth and we encourage our education teams to use those outputs</w:t>
      </w:r>
      <w:r w:rsidR="00AA5969">
        <w:t>. T</w:t>
      </w:r>
      <w:r>
        <w:t>hey do it at the start of the year for their performance development review meetings and to select their PD so that their PD is more targeted. (ID54, Manager-Teacher Capability, Vic.)</w:t>
      </w:r>
    </w:p>
    <w:p w14:paraId="2C6EEB2E" w14:textId="77777777" w:rsidR="004D5370" w:rsidRDefault="004D5370" w:rsidP="004D5370">
      <w:pPr>
        <w:pStyle w:val="Heading4"/>
      </w:pPr>
      <w:r>
        <w:t>Skills matrices</w:t>
      </w:r>
    </w:p>
    <w:p w14:paraId="36410653" w14:textId="77777777" w:rsidR="004D5370" w:rsidRDefault="004D5370" w:rsidP="004D5370">
      <w:pPr>
        <w:pStyle w:val="Text"/>
      </w:pPr>
      <w:r w:rsidRPr="00220716">
        <w:t xml:space="preserve">Another formal approach used by some RTOs was the use of skills matrices. These tools typically involve self-assessment, enabling VET teachers to identify areas where their skills may require further development. RTO leaders can then use the results to identify common </w:t>
      </w:r>
      <w:r w:rsidRPr="00220716">
        <w:lastRenderedPageBreak/>
        <w:t>development needs across the organisation, inform professional development planning, and provide targeted support to individual teachers where required.</w:t>
      </w:r>
    </w:p>
    <w:p w14:paraId="779C63FC" w14:textId="77777777" w:rsidR="004D5370" w:rsidRDefault="004D5370" w:rsidP="004D5370">
      <w:pPr>
        <w:pStyle w:val="Quote"/>
      </w:pPr>
      <w:r>
        <w:t xml:space="preserve">We have a skills matrix. </w:t>
      </w:r>
      <w:proofErr w:type="gramStart"/>
      <w:r>
        <w:t>So</w:t>
      </w:r>
      <w:proofErr w:type="gramEnd"/>
      <w:r>
        <w:t xml:space="preserve"> we use that and then they identify what they can and can't do in the skills matrix and then we pick it up from there. (ID4, Chief Executive Officer, SA)</w:t>
      </w:r>
    </w:p>
    <w:p w14:paraId="45B49F7A" w14:textId="10A5D210" w:rsidR="004D5370" w:rsidRDefault="004D5370" w:rsidP="004D5370">
      <w:pPr>
        <w:pStyle w:val="Text"/>
        <w:rPr>
          <w:b/>
        </w:rPr>
      </w:pPr>
      <w:r w:rsidRPr="002B5661">
        <w:t xml:space="preserve">Further research into how RTOs identify and select the skills included in their skills matrices would be beneficial. </w:t>
      </w:r>
    </w:p>
    <w:p w14:paraId="3D56D892" w14:textId="77777777" w:rsidR="004D5370" w:rsidRDefault="004D5370" w:rsidP="004D5370">
      <w:pPr>
        <w:pStyle w:val="Heading4"/>
      </w:pPr>
      <w:r>
        <w:t>Surveys</w:t>
      </w:r>
    </w:p>
    <w:p w14:paraId="47BF3D4B" w14:textId="77777777" w:rsidR="004D5370" w:rsidRDefault="004D5370" w:rsidP="004D5370">
      <w:pPr>
        <w:pStyle w:val="Text"/>
      </w:pPr>
      <w:r w:rsidRPr="00BC2F7C">
        <w:t>Similarly, surveys of VET educators can help identify strengths and development needs across different areas of teaching practice. The results can be used by leaders to identify common professional learning needs across teams and inform the design of targeted professional development activities.</w:t>
      </w:r>
    </w:p>
    <w:p w14:paraId="0E9F4170" w14:textId="5C79DD8A" w:rsidR="004D5370" w:rsidRDefault="004D5370" w:rsidP="004D5370">
      <w:pPr>
        <w:pStyle w:val="Quote"/>
      </w:pPr>
      <w:r>
        <w:t>We do what's called a people matter survey that goes out to the whole institute. But then it's drilled down so that I can see areas where they feel confident or where they're not feeling confident or where the responses might say that they want more support from leadership. (ID40, Education Leader, Vic.)</w:t>
      </w:r>
    </w:p>
    <w:p w14:paraId="0E9E1B57" w14:textId="37BF668C" w:rsidR="004D5370" w:rsidRDefault="004D5370" w:rsidP="004D5370">
      <w:pPr>
        <w:pStyle w:val="Text"/>
      </w:pPr>
      <w:r>
        <w:t xml:space="preserve">When surveys are completed anonymously, they might best be used in conjunction with other methods of </w:t>
      </w:r>
      <w:r w:rsidR="00456DB6">
        <w:t xml:space="preserve">skills needs </w:t>
      </w:r>
      <w:r>
        <w:t>identification, such as conversations, to help determine individual development needs.</w:t>
      </w:r>
    </w:p>
    <w:p w14:paraId="628B8E2D" w14:textId="77777777" w:rsidR="004D5370" w:rsidRDefault="004D5370" w:rsidP="004D5370">
      <w:pPr>
        <w:pStyle w:val="Heading3"/>
      </w:pPr>
      <w:r>
        <w:t>Monitoring teacher practice</w:t>
      </w:r>
    </w:p>
    <w:p w14:paraId="1EDA4FAF" w14:textId="77777777" w:rsidR="004D5370" w:rsidRPr="00C67937" w:rsidRDefault="004D5370" w:rsidP="004D5370">
      <w:pPr>
        <w:pStyle w:val="Text"/>
      </w:pPr>
      <w:r w:rsidRPr="00C67937">
        <w:t>Another common approach used by RTO leaders to identify the professional development needs of VET teachers is performance monitoring. In this context, performance monitoring refers to processes that assess and support teaching practice, including regular performance reviews and development plans, observations of teaching, and analysis of student and industry feedback.</w:t>
      </w:r>
    </w:p>
    <w:p w14:paraId="382F9F4D" w14:textId="77777777" w:rsidR="004D5370" w:rsidRPr="00C67937" w:rsidRDefault="004D5370" w:rsidP="004D5370">
      <w:pPr>
        <w:pStyle w:val="Text"/>
      </w:pPr>
      <w:r w:rsidRPr="00C67937">
        <w:t>As one interviewee in a leadership position noted, performance monitoring is most effective when it is approached as a positive and collaborative process that supports teacher growth and development rather than being viewed solely as an evaluative exercise:</w:t>
      </w:r>
    </w:p>
    <w:p w14:paraId="15FF25B1" w14:textId="5BF6EE02" w:rsidR="004D5370" w:rsidRDefault="004D5370" w:rsidP="004D5370">
      <w:pPr>
        <w:pStyle w:val="Quote"/>
      </w:pPr>
      <w:r>
        <w:t>we try not to have it from our side of things, we want it to be a positive experience for the lecturer, so it's really working side by side with them and not like a punitive or a policing of what they do. (ID51, Manager-Professional Development, WA)</w:t>
      </w:r>
    </w:p>
    <w:p w14:paraId="7855AD2C" w14:textId="77777777" w:rsidR="004D5370" w:rsidRDefault="004D5370" w:rsidP="004D5370">
      <w:pPr>
        <w:pStyle w:val="Text"/>
      </w:pPr>
      <w:r>
        <w:t>These activities can be useful as teachers may not necessarily be aware of where their teaching practices could be enhanced, as expressed by this interviewee:</w:t>
      </w:r>
    </w:p>
    <w:p w14:paraId="09E161D4" w14:textId="2B15A017" w:rsidR="004D5370" w:rsidRDefault="004D5370" w:rsidP="004D5370">
      <w:pPr>
        <w:pStyle w:val="Quote"/>
      </w:pPr>
      <w:r>
        <w:t>The other thing too, is that a lot of educators</w:t>
      </w:r>
      <w:r w:rsidR="001160DB">
        <w:t xml:space="preserve">, </w:t>
      </w:r>
      <w:r>
        <w:t>they're not always going to be aware of what their limitations are or where they could make improvements because you don't know what you don't know, right? (ID44, Director-Professional Teaching Practice, Vic.)</w:t>
      </w:r>
    </w:p>
    <w:p w14:paraId="52503B5E" w14:textId="77777777" w:rsidR="00BA7A00" w:rsidRDefault="00BA7A00" w:rsidP="004D5370">
      <w:pPr>
        <w:pStyle w:val="Heading4"/>
      </w:pPr>
    </w:p>
    <w:p w14:paraId="065F9AED" w14:textId="77777777" w:rsidR="00BA7A00" w:rsidRDefault="00BA7A00" w:rsidP="004D5370">
      <w:pPr>
        <w:pStyle w:val="Heading4"/>
      </w:pPr>
    </w:p>
    <w:p w14:paraId="2672CAC6" w14:textId="03198DBF" w:rsidR="004D5370" w:rsidRDefault="004D5370" w:rsidP="004D5370">
      <w:pPr>
        <w:pStyle w:val="Heading4"/>
      </w:pPr>
      <w:r>
        <w:lastRenderedPageBreak/>
        <w:t>Regular performance reviews or plans and conversations</w:t>
      </w:r>
    </w:p>
    <w:p w14:paraId="1CD9CFB8" w14:textId="77777777" w:rsidR="004D5370" w:rsidRDefault="004D5370" w:rsidP="004D5370">
      <w:pPr>
        <w:pStyle w:val="Text"/>
      </w:pPr>
      <w:r w:rsidRPr="007465B4">
        <w:t>Most VET teachers reported participating in performance reviews at least annually. These reviews typically involved discussions about their teaching performance, areas where they would like to further develop their skills, and their professional goals for the coming year. In many cases, the review process resulted in the development of an individual learning or development plan that included agreed professional development activities. Examples provided by interviewees include:</w:t>
      </w:r>
    </w:p>
    <w:p w14:paraId="6B028BC0" w14:textId="608031DE" w:rsidR="004D5370" w:rsidRDefault="004E44CF" w:rsidP="004D5370">
      <w:pPr>
        <w:pStyle w:val="Quote"/>
      </w:pPr>
      <w:r>
        <w:t>W</w:t>
      </w:r>
      <w:r w:rsidR="004D5370">
        <w:t xml:space="preserve">e have a performance management plan. </w:t>
      </w:r>
      <w:r>
        <w:t>E</w:t>
      </w:r>
      <w:r w:rsidR="004D5370">
        <w:t>very year</w:t>
      </w:r>
      <w:r>
        <w:t xml:space="preserve">, </w:t>
      </w:r>
      <w:r w:rsidR="004D5370">
        <w:t xml:space="preserve">we have a chat </w:t>
      </w:r>
      <w:r>
        <w:t>one-on-</w:t>
      </w:r>
      <w:r w:rsidR="004D5370">
        <w:t>one about the goals that they wish to achieve for the year and what development they wish to look at for the year</w:t>
      </w:r>
      <w:r w:rsidR="003B7742">
        <w:t>.</w:t>
      </w:r>
      <w:r w:rsidR="004D5370">
        <w:t xml:space="preserve"> (ID27, Educational Team Leader, Qld)</w:t>
      </w:r>
    </w:p>
    <w:p w14:paraId="5BB830A5" w14:textId="2461F7E8" w:rsidR="004D5370" w:rsidRDefault="003B7742" w:rsidP="004D5370">
      <w:pPr>
        <w:pStyle w:val="Quote"/>
      </w:pPr>
      <w:r>
        <w:t xml:space="preserve">As </w:t>
      </w:r>
      <w:r w:rsidR="004D5370">
        <w:t xml:space="preserve">part of that performance </w:t>
      </w:r>
      <w:proofErr w:type="gramStart"/>
      <w:r w:rsidR="004D5370">
        <w:t>plan</w:t>
      </w:r>
      <w:proofErr w:type="gramEnd"/>
      <w:r w:rsidR="004D5370">
        <w:t xml:space="preserve"> we have performance goals and development goals, which every staff member has</w:t>
      </w:r>
      <w:r w:rsidR="006734A9">
        <w:t>,</w:t>
      </w:r>
      <w:r w:rsidR="004D5370">
        <w:t xml:space="preserve"> and part of that development goal would be that they need to participate in the specified PD that all teachers get for 12 months. And it might also include</w:t>
      </w:r>
      <w:r w:rsidR="006734A9">
        <w:t>,</w:t>
      </w:r>
      <w:r w:rsidR="004D5370">
        <w:t xml:space="preserve"> for a teacher</w:t>
      </w:r>
      <w:r w:rsidR="006734A9">
        <w:t>,</w:t>
      </w:r>
      <w:r w:rsidR="004D5370">
        <w:t xml:space="preserve"> industry currency as well</w:t>
      </w:r>
      <w:r w:rsidR="00E10492">
        <w:t xml:space="preserve">, </w:t>
      </w:r>
      <w:r w:rsidR="004D5370">
        <w:t>what they need to complete</w:t>
      </w:r>
      <w:r w:rsidR="00E10492">
        <w:t>. S</w:t>
      </w:r>
      <w:r w:rsidR="004D5370">
        <w:t>o that is monitored and anything from those discussions would create that next conversation around</w:t>
      </w:r>
      <w:r w:rsidR="001B48A3">
        <w:t>,</w:t>
      </w:r>
      <w:r w:rsidR="004D5370">
        <w:t xml:space="preserve"> well, perhaps we need to look at some development for you further down the track. (ID36, Education Manager-Teacher Development, Vic.)</w:t>
      </w:r>
    </w:p>
    <w:p w14:paraId="442F195C" w14:textId="77777777" w:rsidR="004D5370" w:rsidRDefault="004D5370" w:rsidP="004D5370">
      <w:pPr>
        <w:pStyle w:val="Heading4"/>
      </w:pPr>
      <w:r>
        <w:t>Observations of teaching practice</w:t>
      </w:r>
    </w:p>
    <w:p w14:paraId="5DECBC15" w14:textId="7F10B887" w:rsidR="004D5370" w:rsidRDefault="004D5370" w:rsidP="004D5370">
      <w:pPr>
        <w:pStyle w:val="Text"/>
      </w:pPr>
      <w:r w:rsidRPr="00D31D98">
        <w:t xml:space="preserve">Interviews and workshops highlighted two complementary uses of teaching observations. First, observations of a teacher's practice can be used to identify </w:t>
      </w:r>
      <w:r>
        <w:t xml:space="preserve">strengths, </w:t>
      </w:r>
      <w:r w:rsidRPr="00D31D98">
        <w:t>professional development needs and inform targeted feedback. Second, opportunities for teachers to observe the practice of their colleagues were seen as a form of professional development, enabling them to learn new teaching strategies and reflect on their own practice.</w:t>
      </w:r>
      <w:r w:rsidRPr="00AC5B63">
        <w:t xml:space="preserve"> As an identification tool, observations may involve watching a teacher deliver a class, reviewing recordings of online sessions, or identifying areas for improvement through the review of assessments and other teaching materials. </w:t>
      </w:r>
    </w:p>
    <w:p w14:paraId="5DF84D6A" w14:textId="7DFCFE9B" w:rsidR="004D5370" w:rsidRDefault="002D7EC2" w:rsidP="004D5370">
      <w:pPr>
        <w:pStyle w:val="Quote"/>
      </w:pPr>
      <w:r>
        <w:t>W</w:t>
      </w:r>
      <w:r w:rsidR="004D5370">
        <w:t xml:space="preserve">e'll observe their </w:t>
      </w:r>
      <w:proofErr w:type="gramStart"/>
      <w:r w:rsidR="004D5370">
        <w:t>practice,</w:t>
      </w:r>
      <w:proofErr w:type="gramEnd"/>
      <w:r w:rsidR="004D5370">
        <w:t xml:space="preserve"> we'll observe areas that may need some developments. </w:t>
      </w:r>
      <w:proofErr w:type="spellStart"/>
      <w:r w:rsidR="00E44A40">
        <w:t>R</w:t>
      </w:r>
      <w:r w:rsidR="004D5370">
        <w:t>or</w:t>
      </w:r>
      <w:proofErr w:type="spellEnd"/>
      <w:r w:rsidR="004D5370">
        <w:t xml:space="preserve"> example, we'll speak with our colleagues in the design team and if they've identified, for example, that we're noticing a lot of educators are really struggling with mapping assessment, for example, we'll make a note of that and then we'll maybe look at developing some training for that to fill those gaps. (ID80, Experienced teacher, ACT)</w:t>
      </w:r>
    </w:p>
    <w:p w14:paraId="19BEC8E8" w14:textId="0CE6B527" w:rsidR="004D5370" w:rsidRDefault="000F46AC" w:rsidP="004D5370">
      <w:pPr>
        <w:pStyle w:val="Quote"/>
      </w:pPr>
      <w:r>
        <w:t>S</w:t>
      </w:r>
      <w:r w:rsidR="004D5370">
        <w:t>ome of it is operational</w:t>
      </w:r>
      <w:r>
        <w:t>,</w:t>
      </w:r>
      <w:r w:rsidR="004D5370">
        <w:t xml:space="preserve"> so things that we see happening or things that are emerging. </w:t>
      </w:r>
      <w:proofErr w:type="gramStart"/>
      <w:r w:rsidR="004D5370">
        <w:t>So</w:t>
      </w:r>
      <w:proofErr w:type="gramEnd"/>
      <w:r w:rsidR="004D5370">
        <w:t xml:space="preserve"> then we turn that into a teaching opportunity. Other times it's based on feedback from students or things that we've seen when we've sat into a class. (ID42, Chief Executive Officer/TAE trainer, Qld)</w:t>
      </w:r>
    </w:p>
    <w:p w14:paraId="472E2740" w14:textId="5CD8E193" w:rsidR="004D5370" w:rsidRDefault="004D5370" w:rsidP="004D5370">
      <w:pPr>
        <w:pStyle w:val="Quote"/>
      </w:pPr>
      <w:r>
        <w:t xml:space="preserve">If we get to the end of that term and we identify that students aren't finishing when they should, then that can sometimes trigger </w:t>
      </w:r>
      <w:r w:rsidR="00526379">
        <w:t>‘</w:t>
      </w:r>
      <w:r>
        <w:t xml:space="preserve">OK </w:t>
      </w:r>
      <w:r w:rsidR="00526379">
        <w:t>…  i</w:t>
      </w:r>
      <w:r>
        <w:t>s there any professional development needed for the trainer?</w:t>
      </w:r>
      <w:r w:rsidR="003B26F1">
        <w:t>’.</w:t>
      </w:r>
      <w:r>
        <w:t xml:space="preserve">  (ID27, Educational Team Leader, Qld)</w:t>
      </w:r>
    </w:p>
    <w:p w14:paraId="73281DDF" w14:textId="77777777" w:rsidR="000C6B14" w:rsidRDefault="000C6B14" w:rsidP="004D5370">
      <w:pPr>
        <w:pStyle w:val="Heading4"/>
      </w:pPr>
    </w:p>
    <w:p w14:paraId="055206A2" w14:textId="77777777" w:rsidR="000C6B14" w:rsidRDefault="000C6B14" w:rsidP="004D5370">
      <w:pPr>
        <w:pStyle w:val="Heading4"/>
      </w:pPr>
    </w:p>
    <w:p w14:paraId="50A49A37" w14:textId="650ED6C4" w:rsidR="004D5370" w:rsidRDefault="004D5370" w:rsidP="004D5370">
      <w:pPr>
        <w:pStyle w:val="Heading4"/>
      </w:pPr>
      <w:r>
        <w:lastRenderedPageBreak/>
        <w:t>Student feedback</w:t>
      </w:r>
    </w:p>
    <w:p w14:paraId="55BD1342" w14:textId="77777777" w:rsidR="004D5370" w:rsidRDefault="004D5370" w:rsidP="004D5370">
      <w:pPr>
        <w:pStyle w:val="Text"/>
      </w:pPr>
      <w:r w:rsidRPr="001609C6">
        <w:t>Student feedback was identified by both RTO leaders and VET teachers as an important source of information for monitoring teaching performance and identifying areas where professional development may be beneficial. This feedback is often collected through student surveys, such as end-of-course satisfaction surveys, and can provide valuable insights into teaching practices and the learner experience. As noted by the following interviewees:</w:t>
      </w:r>
    </w:p>
    <w:p w14:paraId="5198BEAA" w14:textId="45C6C90A" w:rsidR="004D5370" w:rsidRDefault="00EC7BAC" w:rsidP="004D5370">
      <w:pPr>
        <w:pStyle w:val="Quote"/>
      </w:pPr>
      <w:r>
        <w:t>W</w:t>
      </w:r>
      <w:r w:rsidR="004D5370">
        <w:t>e review our learner satisfaction survey that we administer every semester</w:t>
      </w:r>
      <w:r w:rsidR="007F3E68">
        <w:t>, a</w:t>
      </w:r>
      <w:r w:rsidR="004D5370">
        <w:t xml:space="preserve">nd we look at themes from there. </w:t>
      </w:r>
      <w:r w:rsidR="007F3E68">
        <w:t>W</w:t>
      </w:r>
      <w:r w:rsidR="004D5370">
        <w:t xml:space="preserve">e pull out themes, particularly relating to digital online learning, learning, teaching practice and then based on that, we create a semester programme on a range of workshops, </w:t>
      </w:r>
      <w:r w:rsidR="007F3E68">
        <w:t>face-to-</w:t>
      </w:r>
      <w:r w:rsidR="004D5370">
        <w:t>face workshops, online webinars, because we go across many campuses. (ID51, Manager-Professional Development, WA)</w:t>
      </w:r>
    </w:p>
    <w:p w14:paraId="6BD76AFA" w14:textId="14B6261B" w:rsidR="004D5370" w:rsidRDefault="004D5370" w:rsidP="004D5370">
      <w:pPr>
        <w:pStyle w:val="Quote"/>
      </w:pPr>
      <w:r w:rsidRPr="3D5FF3E8">
        <w:t>We also have our student Support Officer. She</w:t>
      </w:r>
      <w:r w:rsidR="00724AED">
        <w:t>,</w:t>
      </w:r>
      <w:r w:rsidRPr="3D5FF3E8">
        <w:t xml:space="preserve"> on a quarterly basis</w:t>
      </w:r>
      <w:r w:rsidR="00724AED">
        <w:t>,</w:t>
      </w:r>
      <w:r w:rsidRPr="3D5FF3E8">
        <w:t xml:space="preserve"> will randomly select students that have finished the course with the trainer and will ring them</w:t>
      </w:r>
      <w:r w:rsidRPr="2827AF8A">
        <w:t xml:space="preserve"> and</w:t>
      </w:r>
      <w:r w:rsidRPr="3D5FF3E8">
        <w:t xml:space="preserve"> ask them a set number of questions about the performance of the trainer</w:t>
      </w:r>
      <w:r w:rsidR="00724AED">
        <w:t xml:space="preserve"> - </w:t>
      </w:r>
      <w:r w:rsidRPr="3D5FF3E8">
        <w:t>how the course ran, how the admin team went, etcetera. I think there needs to be a mechanism</w:t>
      </w:r>
      <w:r w:rsidR="00D95E7F">
        <w:t>,</w:t>
      </w:r>
      <w:r w:rsidRPr="3D5FF3E8">
        <w:t xml:space="preserve"> and any sort of monitoring tool of trainers and assessors</w:t>
      </w:r>
      <w:r w:rsidR="00D95E7F">
        <w:t>,</w:t>
      </w:r>
      <w:r w:rsidRPr="3D5FF3E8">
        <w:t xml:space="preserve"> that includes student reviewer feedback. </w:t>
      </w:r>
      <w:r w:rsidRPr="00AF33BB">
        <w:t xml:space="preserve">(ID22, TAE teacher, Qld) </w:t>
      </w:r>
    </w:p>
    <w:p w14:paraId="422FF640" w14:textId="77777777" w:rsidR="004D5370" w:rsidRDefault="004D5370" w:rsidP="004D5370">
      <w:pPr>
        <w:pStyle w:val="Text"/>
      </w:pPr>
      <w:r w:rsidRPr="00BB7CA8">
        <w:t>Another source of student feedback is complaints, whether raised informally with other RTO staff or through formal complaints processes. Such complaints can alert RTOs to potential issues in teaching practice and may indicate a need for additional support or professional development. This is particularly the case when similar concerns are raised repeatedly or reveal a recurring pattern.</w:t>
      </w:r>
    </w:p>
    <w:p w14:paraId="4506D1C9" w14:textId="050B8E39" w:rsidR="004D5370" w:rsidRDefault="0092768C" w:rsidP="004D5370">
      <w:pPr>
        <w:pStyle w:val="Quote"/>
      </w:pPr>
      <w:r>
        <w:t>So,</w:t>
      </w:r>
      <w:r w:rsidR="004D5370">
        <w:t xml:space="preserve"> if we're getting a lot of complaints, or a theme in our complaints around teachers or learning materials or whatever, we might go</w:t>
      </w:r>
      <w:r>
        <w:t xml:space="preserve"> ‘</w:t>
      </w:r>
      <w:r w:rsidR="004D5370">
        <w:t>right, that's something we need to focus on</w:t>
      </w:r>
      <w:r>
        <w:t>’</w:t>
      </w:r>
      <w:r w:rsidR="004D5370">
        <w:t xml:space="preserve"> and we'll do something about it. And that's our continuous improvement process of saying we've identified there's an issue. (ID15, Manager-Quality Teaching and Learning, Vic.)</w:t>
      </w:r>
    </w:p>
    <w:p w14:paraId="31AAF25F" w14:textId="77777777" w:rsidR="004D5370" w:rsidRDefault="004D5370" w:rsidP="004D5370">
      <w:pPr>
        <w:pStyle w:val="Text"/>
      </w:pPr>
      <w:r w:rsidRPr="00CE73C9">
        <w:t>Teachers may also use student engagement as a form of feedback on their own practice. By observing how students participate and respond during classes, teachers can identify areas where changes or adjustments to their teaching approach may be needed to improve engagement, participation and learning outcomes.</w:t>
      </w:r>
    </w:p>
    <w:p w14:paraId="06210500" w14:textId="0807AAD6" w:rsidR="004D5370" w:rsidRDefault="004D5370" w:rsidP="004D5370">
      <w:pPr>
        <w:pStyle w:val="Quote"/>
      </w:pPr>
      <w:r>
        <w:t xml:space="preserve">The students themselves are great in terms of giving feedback because you soon know what's working just by their level of engagement. </w:t>
      </w:r>
      <w:r w:rsidR="00F31AC7">
        <w:t>So,</w:t>
      </w:r>
      <w:r>
        <w:t xml:space="preserve"> I found I was able to modify and change what I was doing based on what was working. I had the privilege of trying things in the classroom and making changes as needed. (ID41, Novice teacher, Vic.)</w:t>
      </w:r>
    </w:p>
    <w:p w14:paraId="3BC98659" w14:textId="2931954E" w:rsidR="004D5370" w:rsidRDefault="004D5370" w:rsidP="004D5370">
      <w:pPr>
        <w:pStyle w:val="Text"/>
      </w:pPr>
      <w:r w:rsidRPr="0089766A">
        <w:t xml:space="preserve">Although less common than other forms of student feedback, one interviewee described a practice used within their RTO where a </w:t>
      </w:r>
      <w:r w:rsidR="00F31AC7">
        <w:t>‘</w:t>
      </w:r>
      <w:r w:rsidRPr="0089766A">
        <w:t>mystery customer</w:t>
      </w:r>
      <w:r w:rsidR="00F31AC7">
        <w:t>’</w:t>
      </w:r>
      <w:r w:rsidRPr="0089766A">
        <w:t xml:space="preserve"> enrols as a student and provides feedback on the teacher’s performance. According to the interviewee, this approach is applied across the organisation, including </w:t>
      </w:r>
      <w:r w:rsidR="000E0522">
        <w:t>involvement of</w:t>
      </w:r>
      <w:r w:rsidR="000E0522" w:rsidRPr="0089766A">
        <w:t xml:space="preserve"> </w:t>
      </w:r>
      <w:r w:rsidRPr="0089766A">
        <w:t>the RTO owner. While this method can provide unique insights into the student experience, it may not be appropriate or feasible in all RTO contexts.</w:t>
      </w:r>
    </w:p>
    <w:p w14:paraId="3D33EAC2" w14:textId="54FB85E3" w:rsidR="004D5370" w:rsidRDefault="00483CA8" w:rsidP="004D5370">
      <w:pPr>
        <w:pStyle w:val="Quote"/>
      </w:pPr>
      <w:r>
        <w:lastRenderedPageBreak/>
        <w:t xml:space="preserve">We </w:t>
      </w:r>
      <w:r w:rsidR="004D5370">
        <w:t xml:space="preserve">have a process where we do a mystery customer. </w:t>
      </w:r>
      <w:r w:rsidR="007B7842">
        <w:t>So,</w:t>
      </w:r>
      <w:r w:rsidR="004D5370">
        <w:t xml:space="preserve"> a mystery customer sits in your classroom</w:t>
      </w:r>
      <w:r w:rsidR="00563672">
        <w:t>, y</w:t>
      </w:r>
      <w:r w:rsidR="004D5370">
        <w:t>ou don't even know that they're not a real student</w:t>
      </w:r>
      <w:r w:rsidR="00563672">
        <w:t>,</w:t>
      </w:r>
      <w:r w:rsidR="004D5370">
        <w:t xml:space="preserve"> to give feedback on the trainer. And it's great. I love it because I get it too. I have a mystery customer. As the owner of the business, someone sits in my classroom. </w:t>
      </w:r>
      <w:r w:rsidR="004D5370" w:rsidRPr="002870BB">
        <w:t>(ID22, TAE teacher, Qld)</w:t>
      </w:r>
    </w:p>
    <w:p w14:paraId="0BC1F9EF" w14:textId="77777777" w:rsidR="004D5370" w:rsidRDefault="004D5370" w:rsidP="004D5370">
      <w:pPr>
        <w:pStyle w:val="Heading4"/>
      </w:pPr>
      <w:r>
        <w:t>Industry feedback</w:t>
      </w:r>
    </w:p>
    <w:p w14:paraId="2B9DF70E" w14:textId="77777777" w:rsidR="004D5370" w:rsidRPr="00AC4AE9" w:rsidRDefault="004D5370" w:rsidP="004D5370">
      <w:pPr>
        <w:pStyle w:val="Text"/>
      </w:pPr>
      <w:r w:rsidRPr="00AC4AE9">
        <w:t xml:space="preserve">In a similar way to student feedback, feedback from industry can also be used by RTOs to monitor teaching performance and identify professional development needs. Industry feedback can provide valuable insights into the extent to which training and assessment practices are meeting workplace requirements and learner needs. For enterprise RTOs, which deliver training to their own workforce, there are often established channels for obtaining feedback from </w:t>
      </w:r>
      <w:r>
        <w:t>supervisors and</w:t>
      </w:r>
      <w:r w:rsidRPr="00AC4AE9">
        <w:t xml:space="preserve"> managers about the effectiveness of teaching practices, as illustrated in the following quote:</w:t>
      </w:r>
    </w:p>
    <w:p w14:paraId="661B9486" w14:textId="6B1D096C" w:rsidR="004D5370" w:rsidRDefault="004D5370" w:rsidP="004D5370">
      <w:pPr>
        <w:pStyle w:val="Quote"/>
      </w:pPr>
      <w:r>
        <w:t xml:space="preserve">And being an enterprise RTO, we do get feedback from the </w:t>
      </w:r>
      <w:r w:rsidR="00A24DFD">
        <w:t xml:space="preserve">[business] </w:t>
      </w:r>
      <w:r>
        <w:t>managers and supervisors … on the training officer's ability,</w:t>
      </w:r>
      <w:r w:rsidR="00580366">
        <w:t xml:space="preserve"> </w:t>
      </w:r>
      <w:r>
        <w:t>certainly around technical tasks</w:t>
      </w:r>
      <w:r w:rsidR="00B10162">
        <w:t xml:space="preserve"> </w:t>
      </w:r>
      <w:r>
        <w:t>…</w:t>
      </w:r>
      <w:r w:rsidR="00B10162">
        <w:t xml:space="preserve"> </w:t>
      </w:r>
      <w:r>
        <w:t>so that gives us a bit of a clue about where we might have to focus. (ID12, Compliance Manager, NSW)</w:t>
      </w:r>
    </w:p>
    <w:p w14:paraId="4B1DBA9C" w14:textId="3312E7B7" w:rsidR="004D5370" w:rsidRPr="00930EA9" w:rsidRDefault="004D5370" w:rsidP="004D5370">
      <w:pPr>
        <w:pStyle w:val="Text"/>
      </w:pPr>
      <w:r w:rsidRPr="00930EA9">
        <w:t xml:space="preserve">For other RTOs, leaders may obtain feedback on teaching performance through their industry networks and relationships. The following example comes from a regional RTO, where the </w:t>
      </w:r>
      <w:r w:rsidR="0046685E">
        <w:t xml:space="preserve">education </w:t>
      </w:r>
      <w:r w:rsidRPr="00930EA9">
        <w:t>leader had previously worked in the industry and maintained strong connections with local employers that host students on placements or traineeships. These relationships provided an informal source of feedback on both student outcomes and teaching practices.</w:t>
      </w:r>
    </w:p>
    <w:p w14:paraId="4E8CDC05" w14:textId="2B57B776" w:rsidR="004D5370" w:rsidRDefault="004D5370" w:rsidP="004D5370">
      <w:pPr>
        <w:pStyle w:val="Quote"/>
      </w:pPr>
      <w:r>
        <w:t>I have worked in services prior to my job here</w:t>
      </w:r>
      <w:r w:rsidR="006868C7">
        <w:t xml:space="preserve">. </w:t>
      </w:r>
      <w:proofErr w:type="gramStart"/>
      <w:r w:rsidR="006868C7">
        <w:t>so</w:t>
      </w:r>
      <w:proofErr w:type="gramEnd"/>
      <w:r w:rsidR="006868C7">
        <w:t xml:space="preserve"> w</w:t>
      </w:r>
      <w:r>
        <w:t xml:space="preserve">e do have </w:t>
      </w:r>
      <w:proofErr w:type="gramStart"/>
      <w:r>
        <w:t>really great</w:t>
      </w:r>
      <w:proofErr w:type="gramEnd"/>
      <w:r>
        <w:t xml:space="preserve"> partnerships. And so often, like a director, or it might be a staff member that was a previous student, they might reach directly out to me</w:t>
      </w:r>
      <w:r w:rsidR="00732D1B">
        <w:t>. I</w:t>
      </w:r>
      <w:r>
        <w:t xml:space="preserve">t can be a challenge because I've had a director reach out </w:t>
      </w:r>
      <w:r w:rsidR="005A1CD1">
        <w:t xml:space="preserve">and </w:t>
      </w:r>
      <w:r>
        <w:t xml:space="preserve">be like </w:t>
      </w:r>
      <w:r w:rsidR="005A1CD1">
        <w:t>‘</w:t>
      </w:r>
      <w:r>
        <w:t>oh, but I don't want you to mention to the staff member</w:t>
      </w:r>
      <w:r w:rsidR="005A1CD1">
        <w:t>, b</w:t>
      </w:r>
      <w:r>
        <w:t>ut we're feeling this</w:t>
      </w:r>
      <w:r w:rsidR="00877028">
        <w:t>…</w:t>
      </w:r>
      <w:r>
        <w:t xml:space="preserve"> </w:t>
      </w:r>
      <w:r w:rsidR="005A1CD1">
        <w:t>So,</w:t>
      </w:r>
      <w:r>
        <w:t xml:space="preserve"> we're feeling </w:t>
      </w:r>
      <w:r w:rsidR="00367897">
        <w:t xml:space="preserve">… </w:t>
      </w:r>
      <w:r>
        <w:t>kind of not happy with</w:t>
      </w:r>
      <w:r w:rsidR="00877028">
        <w:t>,</w:t>
      </w:r>
      <w:r>
        <w:t xml:space="preserve"> maybe</w:t>
      </w:r>
      <w:r w:rsidR="00877028">
        <w:t>,</w:t>
      </w:r>
      <w:r>
        <w:t xml:space="preserve"> the tone of email</w:t>
      </w:r>
      <w:r w:rsidR="00D15B8D">
        <w:t xml:space="preserve">…’, </w:t>
      </w:r>
      <w:r>
        <w:t xml:space="preserve">you know. </w:t>
      </w:r>
      <w:r w:rsidRPr="008244D4">
        <w:t>(ID40, Education Leader, Vic.)</w:t>
      </w:r>
    </w:p>
    <w:p w14:paraId="0CE1947F" w14:textId="513C086D" w:rsidR="004D5370" w:rsidRDefault="004D5370" w:rsidP="004D5370">
      <w:pPr>
        <w:pStyle w:val="Text"/>
      </w:pPr>
      <w:r>
        <w:t>It should be noted that most of the examples provided were based on existing relationships that those in leadership positions had with industry and the feedback received was unsolicited, but helpful</w:t>
      </w:r>
      <w:r w:rsidR="0003243C">
        <w:t>,</w:t>
      </w:r>
      <w:r>
        <w:t xml:space="preserve"> in identifying areas for improvement.</w:t>
      </w:r>
    </w:p>
    <w:p w14:paraId="450A7619" w14:textId="77777777" w:rsidR="004D5370" w:rsidRDefault="004D5370" w:rsidP="004D5370">
      <w:pPr>
        <w:pStyle w:val="Heading3"/>
      </w:pPr>
      <w:r>
        <w:t>Meetings and conversations</w:t>
      </w:r>
    </w:p>
    <w:p w14:paraId="3D616C22" w14:textId="77777777" w:rsidR="004D5370" w:rsidRPr="00EA1DCF" w:rsidRDefault="004D5370" w:rsidP="004D5370">
      <w:pPr>
        <w:pStyle w:val="Text"/>
      </w:pPr>
      <w:r w:rsidRPr="00EA1DCF">
        <w:t>Teacher development staff and team leaders often use team meetings and regular conversations with teachers to identify professional development needs. These discussions provide opportunities for teachers to raise concerns about their teaching, discuss areas where they would like additional support, and share their professional goals. Unlike formal performance reviews, these interactions typically occur more frequently and are often informal in nature.</w:t>
      </w:r>
    </w:p>
    <w:p w14:paraId="5D7E2007" w14:textId="77777777" w:rsidR="004D5370" w:rsidRPr="00EA1DCF" w:rsidRDefault="004D5370" w:rsidP="004D5370">
      <w:pPr>
        <w:pStyle w:val="Text"/>
      </w:pPr>
      <w:r w:rsidRPr="00EA1DCF">
        <w:t xml:space="preserve">For teacher development staff, these conversations can provide valuable insights into emerging capability needs across the organisation. They can help identify common themes </w:t>
      </w:r>
      <w:r w:rsidRPr="00EA1DCF">
        <w:lastRenderedPageBreak/>
        <w:t>and priorities for skill development, informing the planning and delivery of professional development activities at an RTO level.</w:t>
      </w:r>
    </w:p>
    <w:p w14:paraId="4A9F97EA" w14:textId="2A67A644" w:rsidR="004D5370" w:rsidRDefault="004D5370" w:rsidP="004D5370">
      <w:pPr>
        <w:pStyle w:val="Quote"/>
      </w:pPr>
      <w:r>
        <w:t xml:space="preserve">We start meeting weekly so that we can see where their needs are or their areas of what they might want to work on or something they're not so confident in and then trying to align PD with that. </w:t>
      </w:r>
      <w:r w:rsidR="00F12FD6">
        <w:t>So,</w:t>
      </w:r>
      <w:r>
        <w:t xml:space="preserve"> in terms of VET teaching, it would be looking at if it's something that they're not confident with teaching online, it's trying to find where there might be some sort of professional development opportunity where that teacher can go to that training that will support their knowledge with that. </w:t>
      </w:r>
      <w:r w:rsidRPr="008244D4">
        <w:t>(ID40, Education Leader, Vic.)</w:t>
      </w:r>
    </w:p>
    <w:p w14:paraId="6793D102" w14:textId="52ABB06D" w:rsidR="004D5370" w:rsidRDefault="004D5370" w:rsidP="004D5370">
      <w:pPr>
        <w:pStyle w:val="Quote"/>
      </w:pPr>
      <w:r>
        <w:t>We will also work with individual teams in our organisation who approach us and we'll spend a bit of time really trying to understand what their goal is. We'll look at the data and evidence that they have</w:t>
      </w:r>
      <w:r w:rsidR="009D0FA6">
        <w:t xml:space="preserve">, </w:t>
      </w:r>
      <w:r>
        <w:t xml:space="preserve">we will formulate a goal and then we will design the professional learning around that goal. So that can look like, I mean, it can look like so many different things, but it can look like workshops with teams. </w:t>
      </w:r>
      <w:r w:rsidRPr="00AE4B04">
        <w:t>(ID44, Director-Professional Teaching Practice, Vic.)</w:t>
      </w:r>
    </w:p>
    <w:p w14:paraId="2CC6343C" w14:textId="42AB6627" w:rsidR="004D5370" w:rsidRDefault="004D5370" w:rsidP="004D5370">
      <w:pPr>
        <w:pStyle w:val="Quote"/>
      </w:pPr>
      <w:r>
        <w:t xml:space="preserve">We have our own community of practice type collaborations where we find out from the trainers what training you need, what </w:t>
      </w:r>
      <w:r w:rsidR="00285AA6">
        <w:t xml:space="preserve">are </w:t>
      </w:r>
      <w:r>
        <w:t>you looking for, what are the sort of things you need help in</w:t>
      </w:r>
      <w:r w:rsidR="00285AA6">
        <w:t>,</w:t>
      </w:r>
      <w:r>
        <w:t xml:space="preserve"> and we do it that way. </w:t>
      </w:r>
      <w:r w:rsidRPr="00E509BA">
        <w:t>(ID4, Chief Executive Officer, SA</w:t>
      </w:r>
      <w:r>
        <w:t>)</w:t>
      </w:r>
    </w:p>
    <w:p w14:paraId="4ACEBAF6" w14:textId="77777777" w:rsidR="004D5370" w:rsidRDefault="004D5370" w:rsidP="004D5370">
      <w:pPr>
        <w:pStyle w:val="Heading3"/>
      </w:pPr>
      <w:r>
        <w:t>Teacher interest</w:t>
      </w:r>
    </w:p>
    <w:p w14:paraId="77E74F0C" w14:textId="77777777" w:rsidR="004D5370" w:rsidRDefault="004D5370" w:rsidP="004D5370">
      <w:pPr>
        <w:pStyle w:val="Text"/>
      </w:pPr>
      <w:r>
        <w:t>One enterprise RTO spoke about being aware of their teacher’s interests and making professional development decisions around these interests and how it can have benefits for the RTO:</w:t>
      </w:r>
    </w:p>
    <w:p w14:paraId="7FD07DD6" w14:textId="574862D2" w:rsidR="004D5370" w:rsidRDefault="004D5370" w:rsidP="004D5370">
      <w:pPr>
        <w:pStyle w:val="Quote"/>
      </w:pPr>
      <w:r>
        <w:t>So yeah</w:t>
      </w:r>
      <w:r w:rsidR="00685478">
        <w:t xml:space="preserve"> … </w:t>
      </w:r>
      <w:r>
        <w:t>their own interests. Trying to leverage off their strengths. I</w:t>
      </w:r>
      <w:r w:rsidR="00FA0DB3">
        <w:t>’ve</w:t>
      </w:r>
      <w:r>
        <w:t xml:space="preserve"> got one who's awesome with training design</w:t>
      </w:r>
      <w:r w:rsidR="00FA0DB3">
        <w:t>, s</w:t>
      </w:r>
      <w:r>
        <w:t xml:space="preserve">o I sent over everything to do with engagement and student engagement. She comes back with ideas and trials it. We had a lot of positive student engagement activities put into our training </w:t>
      </w:r>
      <w:proofErr w:type="gramStart"/>
      <w:r>
        <w:t>as a result of</w:t>
      </w:r>
      <w:proofErr w:type="gramEnd"/>
      <w:r>
        <w:t xml:space="preserve"> her and her enthusiasm. </w:t>
      </w:r>
      <w:r w:rsidRPr="00C6183A">
        <w:t>(ID12, Compliance Manager, NSW)</w:t>
      </w:r>
    </w:p>
    <w:p w14:paraId="7C786BF5" w14:textId="77777777" w:rsidR="004D5370" w:rsidRDefault="004D5370" w:rsidP="004D5370">
      <w:pPr>
        <w:pStyle w:val="Heading3"/>
      </w:pPr>
      <w:r>
        <w:t>Change in student cohort</w:t>
      </w:r>
    </w:p>
    <w:p w14:paraId="32D28187" w14:textId="77777777" w:rsidR="004D5370" w:rsidRDefault="004D5370" w:rsidP="004D5370">
      <w:pPr>
        <w:pStyle w:val="Text"/>
      </w:pPr>
      <w:r>
        <w:t>For some RTOs and teachers, noticing a change in student cohort can lead to a need to build upon and strengthen teaching practices, as seen in the examples below:</w:t>
      </w:r>
    </w:p>
    <w:p w14:paraId="50BFE4B2" w14:textId="6AF68F7F" w:rsidR="004D5370" w:rsidRDefault="004D5370" w:rsidP="004D5370">
      <w:pPr>
        <w:pStyle w:val="Quote"/>
      </w:pPr>
      <w:proofErr w:type="gramStart"/>
      <w:r>
        <w:t>At the moment</w:t>
      </w:r>
      <w:proofErr w:type="gramEnd"/>
      <w:r>
        <w:t xml:space="preserve">, a lot of our students that are coming through early childhood are young, like it's youth, they're 16, they're 17. </w:t>
      </w:r>
      <w:r w:rsidR="00FB1757">
        <w:t>T</w:t>
      </w:r>
      <w:r>
        <w:t>hat is something that is a bit of a skills gap for us</w:t>
      </w:r>
      <w:r w:rsidR="00FC12EB">
        <w:t xml:space="preserve">, </w:t>
      </w:r>
      <w:r>
        <w:t xml:space="preserve">working with youth students. And </w:t>
      </w:r>
      <w:r w:rsidR="00FC12EB">
        <w:t>so,</w:t>
      </w:r>
      <w:r>
        <w:t xml:space="preserve"> there was a need for professional development that was put on through our VET in </w:t>
      </w:r>
      <w:proofErr w:type="gramStart"/>
      <w:r>
        <w:t>schools</w:t>
      </w:r>
      <w:proofErr w:type="gramEnd"/>
      <w:r>
        <w:t xml:space="preserve"> coordinator</w:t>
      </w:r>
      <w:r w:rsidR="00FC12EB">
        <w:t>,</w:t>
      </w:r>
      <w:r>
        <w:t xml:space="preserve"> to support our teachers that are teaching the </w:t>
      </w:r>
      <w:proofErr w:type="gramStart"/>
      <w:r>
        <w:t>youth</w:t>
      </w:r>
      <w:r w:rsidR="00B405FC">
        <w:t xml:space="preserve">, </w:t>
      </w:r>
      <w:r>
        <w:t xml:space="preserve"> to</w:t>
      </w:r>
      <w:proofErr w:type="gramEnd"/>
      <w:r>
        <w:t xml:space="preserve"> look at ways to engage them and support them as well. </w:t>
      </w:r>
      <w:r w:rsidRPr="00F2231E">
        <w:t>(ID40, Education Leader, Vic.)</w:t>
      </w:r>
    </w:p>
    <w:p w14:paraId="6CB55388" w14:textId="6B2FE91C" w:rsidR="004D5370" w:rsidRDefault="00B405FC" w:rsidP="004D5370">
      <w:pPr>
        <w:pStyle w:val="Quote"/>
      </w:pPr>
      <w:r>
        <w:t>I</w:t>
      </w:r>
      <w:r w:rsidR="004D5370">
        <w:t>n 2024 we had a lot of educators and teams and managers coming to us saying the cohort of students are changing</w:t>
      </w:r>
      <w:r>
        <w:t>, s</w:t>
      </w:r>
      <w:r w:rsidR="004D5370">
        <w:t>o we did a lot of learning internally ourselves around trauma-informed teaching strategies and we co-designed some professional learning with our student services team who have a lot of</w:t>
      </w:r>
      <w:r w:rsidR="00AF28B4">
        <w:t>,</w:t>
      </w:r>
      <w:r w:rsidR="004D5370">
        <w:t xml:space="preserve"> you know, they're subject matter experts. </w:t>
      </w:r>
      <w:r w:rsidR="004D5370" w:rsidRPr="009F6672">
        <w:t>(ID44, Director-Professional Teaching Practice, Vic.)</w:t>
      </w:r>
    </w:p>
    <w:p w14:paraId="1D342F5D" w14:textId="77777777" w:rsidR="00BA7A00" w:rsidRDefault="00BA7A00" w:rsidP="004D5370">
      <w:pPr>
        <w:pStyle w:val="Heading3"/>
      </w:pPr>
    </w:p>
    <w:p w14:paraId="03528491" w14:textId="774E9843" w:rsidR="004D5370" w:rsidRDefault="004D5370" w:rsidP="004D5370">
      <w:pPr>
        <w:pStyle w:val="Heading3"/>
      </w:pPr>
      <w:r>
        <w:t>Reflective practices</w:t>
      </w:r>
    </w:p>
    <w:p w14:paraId="0FB46168" w14:textId="77777777" w:rsidR="004D5370" w:rsidRPr="00B65F4B" w:rsidRDefault="004D5370" w:rsidP="004D5370">
      <w:pPr>
        <w:pStyle w:val="Text"/>
      </w:pPr>
      <w:r w:rsidRPr="00B65F4B">
        <w:t>During interviews, VET teachers highlighted self-reflection as an important way of identifying skill gaps and recognising areas where additional professional development may be beneficial. While self-reflection is often a highly individual process, it generally involves taking time to consider what worked well in a class, what could be improved, and whether further learning or development could help address any challenges identified. Reflection may occur independently, be guided by structured resources or frameworks, or take place collaboratively within teaching teams.</w:t>
      </w:r>
    </w:p>
    <w:p w14:paraId="16098523" w14:textId="2436FB7D" w:rsidR="004D5370" w:rsidRDefault="004D5370" w:rsidP="004D5370">
      <w:pPr>
        <w:pStyle w:val="Quote"/>
      </w:pPr>
      <w:r>
        <w:t>How I identify my professional development needs, I think it's probably through reflection</w:t>
      </w:r>
      <w:r w:rsidR="00C24FEE">
        <w:t>,</w:t>
      </w:r>
      <w:r>
        <w:t xml:space="preserve"> like reflecting on what student needs are, where I think I've got gaps. I think that's a major thing</w:t>
      </w:r>
      <w:r w:rsidR="00B77954">
        <w:t>,</w:t>
      </w:r>
      <w:r>
        <w:t xml:space="preserve"> that self-reflection.  (ID58, Experienced teacher, Vic.)</w:t>
      </w:r>
    </w:p>
    <w:p w14:paraId="06455C98" w14:textId="47FE04F1" w:rsidR="004D5370" w:rsidRDefault="004D5370" w:rsidP="004D5370">
      <w:pPr>
        <w:pStyle w:val="Quote"/>
      </w:pPr>
      <w:r>
        <w:t xml:space="preserve">I </w:t>
      </w:r>
      <w:r w:rsidR="00AC6079">
        <w:t>self-identify</w:t>
      </w:r>
      <w:r>
        <w:t xml:space="preserve"> a lot of gaps I have myself. And usually look for training. (Int 67)</w:t>
      </w:r>
    </w:p>
    <w:p w14:paraId="2DFDF4A2" w14:textId="771076A0" w:rsidR="004D5370" w:rsidRDefault="000A57CD" w:rsidP="004D5370">
      <w:pPr>
        <w:pStyle w:val="Quote"/>
      </w:pPr>
      <w:r>
        <w:t>U</w:t>
      </w:r>
      <w:r w:rsidR="004D5370">
        <w:t>nless we reflect on ourselves, we don't know where we need to improve, what is the area to improve. (ID9, Novice teacher, ACT)</w:t>
      </w:r>
    </w:p>
    <w:p w14:paraId="029EB449" w14:textId="77777777" w:rsidR="004D5370" w:rsidRDefault="004D5370" w:rsidP="004D5370">
      <w:pPr>
        <w:pStyle w:val="Heading3"/>
      </w:pPr>
      <w:r>
        <w:t>Ensuring identification of needs is useful</w:t>
      </w:r>
    </w:p>
    <w:p w14:paraId="1D77084C" w14:textId="77777777" w:rsidR="004D5370" w:rsidRPr="00497989" w:rsidRDefault="004D5370" w:rsidP="004D5370">
      <w:pPr>
        <w:pStyle w:val="Text"/>
      </w:pPr>
      <w:r w:rsidRPr="00497989">
        <w:t>The interviews highlighted a balance between the professional development priorities of the RTO and the development needs and interests of individual teachers. In some RTOs, professional development is largely driven by a top-down approach, with executive leaders setting the agenda for the year based on organisational priorities and strategic objectives. This may include a range of focus areas that leaders consider important for staff development and typically incorporates the mandatory professional development requirements that teachers are expected to complete each year.</w:t>
      </w:r>
    </w:p>
    <w:p w14:paraId="7A8612CA" w14:textId="12927A3D" w:rsidR="004D5370" w:rsidRDefault="008672EA" w:rsidP="004D5370">
      <w:pPr>
        <w:pStyle w:val="Quote"/>
      </w:pPr>
      <w:r>
        <w:t>W</w:t>
      </w:r>
      <w:r w:rsidR="004D5370">
        <w:t>hat happens is</w:t>
      </w:r>
      <w:r w:rsidR="00F45198">
        <w:t>,</w:t>
      </w:r>
      <w:r w:rsidR="004D5370">
        <w:t xml:space="preserve"> from an executive level at our academic governance board, they decide what is the focus for PD for the next 12 months. And we </w:t>
      </w:r>
      <w:proofErr w:type="gramStart"/>
      <w:r w:rsidR="004D5370">
        <w:t>actually do</w:t>
      </w:r>
      <w:proofErr w:type="gramEnd"/>
      <w:r w:rsidR="004D5370">
        <w:t xml:space="preserve"> have mandatory PD. </w:t>
      </w:r>
      <w:r w:rsidR="00B31071">
        <w:t>T</w:t>
      </w:r>
      <w:r w:rsidR="004D5370">
        <w:t>here's always three topics where people must attend and so that's done at that higher executive level around</w:t>
      </w:r>
      <w:r w:rsidR="00734EB8">
        <w:t>,</w:t>
      </w:r>
      <w:r w:rsidR="004D5370">
        <w:t xml:space="preserve"> well, where are we seeing over the </w:t>
      </w:r>
      <w:r w:rsidR="00734EB8">
        <w:t xml:space="preserve">institute </w:t>
      </w:r>
      <w:r w:rsidR="004D5370">
        <w:t xml:space="preserve">where there might be gaps or what are our compliance requirements that we need to meet and so that comes from there. We then go </w:t>
      </w:r>
      <w:r>
        <w:t>‘</w:t>
      </w:r>
      <w:r w:rsidR="004D5370">
        <w:t>O</w:t>
      </w:r>
      <w:r>
        <w:t>K,</w:t>
      </w:r>
      <w:r w:rsidR="004D5370">
        <w:t xml:space="preserve"> well that's the mandatory stuff</w:t>
      </w:r>
      <w:r>
        <w:t>,</w:t>
      </w:r>
      <w:r w:rsidR="004D5370">
        <w:t xml:space="preserve"> we have to do that</w:t>
      </w:r>
      <w:r>
        <w:t>’</w:t>
      </w:r>
      <w:r w:rsidR="004D5370">
        <w:t>. (ID34, Teacher Development Coordinator, Vic.)</w:t>
      </w:r>
    </w:p>
    <w:p w14:paraId="048BD5A9" w14:textId="557E792C" w:rsidR="004D5370" w:rsidRDefault="004D5370" w:rsidP="004D5370">
      <w:pPr>
        <w:pStyle w:val="Quote"/>
      </w:pPr>
      <w:r>
        <w:t>I can't say that I've ever directly</w:t>
      </w:r>
      <w:r w:rsidR="00B536D3">
        <w:t>,</w:t>
      </w:r>
      <w:r>
        <w:t xml:space="preserve"> off the top of my head</w:t>
      </w:r>
      <w:r w:rsidR="00B536D3">
        <w:t>,</w:t>
      </w:r>
      <w:r>
        <w:t xml:space="preserve"> been asked what PD I'm interested in. It seems to be a roll out. Seems to be like there's some PD for compliance. There's some PD for, you know, helping teachers in the classroom, student engagement. (ID66, Experienced teacher, WA)</w:t>
      </w:r>
    </w:p>
    <w:p w14:paraId="039054B1" w14:textId="4D28690D" w:rsidR="004D5370" w:rsidRDefault="004D5370" w:rsidP="004D5370">
      <w:pPr>
        <w:pStyle w:val="Text"/>
      </w:pPr>
      <w:r>
        <w:t xml:space="preserve">Sometimes professional development decisions are driven more by those </w:t>
      </w:r>
      <w:r w:rsidR="00A94A4A">
        <w:t xml:space="preserve">activities </w:t>
      </w:r>
      <w:r>
        <w:t>that are available rather than related to an identified need:</w:t>
      </w:r>
    </w:p>
    <w:p w14:paraId="530DC8CA" w14:textId="34B2EEDD" w:rsidR="004D5370" w:rsidRDefault="00387803" w:rsidP="004D5370">
      <w:pPr>
        <w:pStyle w:val="Quote"/>
      </w:pPr>
      <w:r>
        <w:t>W</w:t>
      </w:r>
      <w:r w:rsidR="004D5370">
        <w:t xml:space="preserve">o usually it's just, uh, what is available. </w:t>
      </w:r>
      <w:r>
        <w:t>So,</w:t>
      </w:r>
      <w:r w:rsidR="004D5370">
        <w:t xml:space="preserve"> there's not a lot of choice to say </w:t>
      </w:r>
      <w:r>
        <w:t>‘</w:t>
      </w:r>
      <w:r w:rsidR="004D5370">
        <w:t>OK, well, can we focus a little bit more in this area?</w:t>
      </w:r>
      <w:r>
        <w:t>’, b</w:t>
      </w:r>
      <w:r w:rsidR="004D5370">
        <w:t xml:space="preserve">ecause I think being such a big organisation, it just </w:t>
      </w:r>
      <w:r w:rsidR="004D5370">
        <w:lastRenderedPageBreak/>
        <w:t xml:space="preserve">kind of gets lost in the stream of whatever else is going on. </w:t>
      </w:r>
      <w:proofErr w:type="gramStart"/>
      <w:r w:rsidR="004D5370">
        <w:t>So</w:t>
      </w:r>
      <w:proofErr w:type="gramEnd"/>
      <w:r w:rsidR="004D5370">
        <w:t xml:space="preserve"> I base it on what I think I'm going to get most out of.  (ID61, Novice teacher, Qld)</w:t>
      </w:r>
    </w:p>
    <w:p w14:paraId="52DCD9F4" w14:textId="77777777" w:rsidR="004D5370" w:rsidRPr="00DB485A" w:rsidRDefault="004D5370" w:rsidP="004D5370">
      <w:pPr>
        <w:pStyle w:val="Text"/>
      </w:pPr>
      <w:r w:rsidRPr="00DB485A">
        <w:t>Some teachers emphasised that tools and processes used to identify skill gaps and professional development needs are only valuable when the findings lead to meaningful action and relevant learning opportunities. Without follow-through, these activities can lose their purpose. For some teachers, the identification of development needs did not result in access to appropriate professional learning, leading them to view the process as a compliance exercise or ‘box-ticking’ activity rather than a genuine opportunity for growth:</w:t>
      </w:r>
    </w:p>
    <w:p w14:paraId="7DA2470B" w14:textId="77777777" w:rsidR="004D5370" w:rsidRDefault="004D5370" w:rsidP="004D5370">
      <w:pPr>
        <w:pStyle w:val="Quote"/>
      </w:pPr>
      <w:r w:rsidRPr="04727ED1">
        <w:rPr>
          <w:rFonts w:eastAsia="Trebuchet MS" w:cs="Trebuchet MS"/>
          <w:szCs w:val="17"/>
        </w:rPr>
        <w:t>Sadly, the only thing they do is tick boxes. They sit with you, for example, to do a performance review. But it's just a tick a box. (I</w:t>
      </w:r>
      <w:r>
        <w:rPr>
          <w:rFonts w:eastAsia="Trebuchet MS" w:cs="Trebuchet MS"/>
          <w:szCs w:val="17"/>
        </w:rPr>
        <w:t>D</w:t>
      </w:r>
      <w:r w:rsidRPr="04727ED1">
        <w:rPr>
          <w:rFonts w:eastAsia="Trebuchet MS" w:cs="Trebuchet MS"/>
          <w:szCs w:val="17"/>
        </w:rPr>
        <w:t>29</w:t>
      </w:r>
      <w:r>
        <w:rPr>
          <w:rFonts w:eastAsia="Trebuchet MS" w:cs="Trebuchet MS"/>
          <w:szCs w:val="17"/>
        </w:rPr>
        <w:t>, Novice teacher, WA</w:t>
      </w:r>
      <w:r w:rsidRPr="04727ED1">
        <w:rPr>
          <w:rFonts w:eastAsia="Trebuchet MS" w:cs="Trebuchet MS"/>
          <w:szCs w:val="17"/>
        </w:rPr>
        <w:t>)</w:t>
      </w:r>
    </w:p>
    <w:p w14:paraId="558C764B" w14:textId="77777777" w:rsidR="004D5370" w:rsidRDefault="004D5370" w:rsidP="004D5370">
      <w:pPr>
        <w:pStyle w:val="Heading2"/>
      </w:pPr>
      <w:bookmarkStart w:id="52" w:name="_Toc241507536"/>
      <w:r w:rsidRPr="00993BAF">
        <w:rPr>
          <w:rFonts w:eastAsia="Arial"/>
        </w:rPr>
        <w:t>Professional development activities</w:t>
      </w:r>
      <w:bookmarkEnd w:id="52"/>
    </w:p>
    <w:p w14:paraId="08A2FA7C" w14:textId="21A79B9D" w:rsidR="004D5370" w:rsidRDefault="004D5370" w:rsidP="004D5370">
      <w:pPr>
        <w:pStyle w:val="Text"/>
      </w:pPr>
      <w:r>
        <w:t xml:space="preserve">This section highlights four different types of professional development activities – </w:t>
      </w:r>
      <w:r w:rsidR="001C5510">
        <w:t>‘</w:t>
      </w:r>
      <w:r>
        <w:t>traditional</w:t>
      </w:r>
      <w:r w:rsidR="001C5510">
        <w:t>’</w:t>
      </w:r>
      <w:r>
        <w:t xml:space="preserve"> activities, higher-level qualifications, peer-to-peer learning and action research. The focus is on how they are used in different contexts rather than describing what they are.</w:t>
      </w:r>
    </w:p>
    <w:p w14:paraId="6F70155A" w14:textId="77777777" w:rsidR="004D5370" w:rsidRDefault="004D5370" w:rsidP="004D5370">
      <w:pPr>
        <w:pStyle w:val="Heading3"/>
        <w:rPr>
          <w:i/>
          <w:iCs/>
          <w:szCs w:val="19"/>
        </w:rPr>
      </w:pPr>
      <w:r w:rsidRPr="53ADDA5A">
        <w:rPr>
          <w:rFonts w:eastAsia="Arial"/>
        </w:rPr>
        <w:t>Traditional professional development activities</w:t>
      </w:r>
    </w:p>
    <w:p w14:paraId="39F00147" w14:textId="77777777" w:rsidR="004D5370" w:rsidRPr="00482E15" w:rsidRDefault="004D5370" w:rsidP="004D5370">
      <w:pPr>
        <w:pStyle w:val="Text"/>
      </w:pPr>
      <w:r w:rsidRPr="00482E15">
        <w:t>For the purposes of this discussion, traditional professional development activities include workshops, conferences, webinars, online learning programs and professional subscriptions.</w:t>
      </w:r>
    </w:p>
    <w:p w14:paraId="476DC3B4" w14:textId="78F524DF" w:rsidR="004D5370" w:rsidRPr="00482E15" w:rsidRDefault="004D5370" w:rsidP="004D5370">
      <w:pPr>
        <w:pStyle w:val="Text"/>
      </w:pPr>
      <w:r w:rsidRPr="00482E15">
        <w:t xml:space="preserve">There is already a substantial body of research examining VET teachers’ participation in continuing professional development, including the types of activities undertaken </w:t>
      </w:r>
      <w:r w:rsidR="00364310">
        <w:t xml:space="preserve">(often these traditional types) </w:t>
      </w:r>
      <w:r w:rsidRPr="00482E15">
        <w:t xml:space="preserve">and the barriers and enablers to engagement. However, the interviews and workshops conducted for this project highlighted notable differences in how professional development is accessed, organised and delivered across RTOs. </w:t>
      </w:r>
      <w:r w:rsidR="00EF33A2" w:rsidRPr="00482E15">
        <w:t>These</w:t>
      </w:r>
      <w:r w:rsidRPr="00482E15">
        <w:t xml:space="preserve"> differences appeared to </w:t>
      </w:r>
      <w:r w:rsidR="002D3738">
        <w:t xml:space="preserve">often </w:t>
      </w:r>
      <w:r w:rsidRPr="00482E15">
        <w:t>be influenced by the size of the RTO and the number of teaching staff employed.</w:t>
      </w:r>
    </w:p>
    <w:p w14:paraId="58F9B219" w14:textId="77777777" w:rsidR="004D5370" w:rsidRDefault="004D5370" w:rsidP="004D5370">
      <w:pPr>
        <w:pStyle w:val="Heading4"/>
      </w:pPr>
      <w:r>
        <w:t>Current access and provision to professional development resources</w:t>
      </w:r>
    </w:p>
    <w:p w14:paraId="7E323D86" w14:textId="77777777" w:rsidR="004D5370" w:rsidRPr="00CE13EE" w:rsidRDefault="004D5370" w:rsidP="004D5370">
      <w:pPr>
        <w:pStyle w:val="Text"/>
      </w:pPr>
      <w:r w:rsidRPr="00CE13EE">
        <w:t>Larger RTOs, particularly TAFEs and dual-sector providers, often have dedicated teams or departments focused on educator capability development. These teams are typically responsible for coordinating professional development related to teaching practice across the organisation, and in some cases, also oversee industry currency activities.</w:t>
      </w:r>
    </w:p>
    <w:p w14:paraId="686F32B7" w14:textId="77777777" w:rsidR="004D5370" w:rsidRPr="00CE13EE" w:rsidRDefault="004D5370" w:rsidP="004D5370">
      <w:pPr>
        <w:pStyle w:val="Text"/>
      </w:pPr>
      <w:r w:rsidRPr="00CE13EE">
        <w:t>A common feature of these larger RTOs is their ability to develop professional learning programs in-house, including training modules, workshops and masterclasses. As a result, they often maintain extensive repositories of professional learning resources that can be shared with teams or individual teachers as needed. These resources also support self-directed learning, enabling teachers to access professional development at a time and pace that suits their needs.</w:t>
      </w:r>
    </w:p>
    <w:p w14:paraId="0CF98C32" w14:textId="77777777" w:rsidR="004D5370" w:rsidRPr="00CE13EE" w:rsidRDefault="004D5370" w:rsidP="004D5370">
      <w:pPr>
        <w:pStyle w:val="Text"/>
      </w:pPr>
      <w:r w:rsidRPr="00CE13EE">
        <w:t>Examples provided by interviewees include:</w:t>
      </w:r>
    </w:p>
    <w:p w14:paraId="5C841B5A" w14:textId="295739CE" w:rsidR="004D5370" w:rsidRDefault="00F23CA5" w:rsidP="004D5370">
      <w:pPr>
        <w:pStyle w:val="Quote"/>
      </w:pPr>
      <w:r>
        <w:t xml:space="preserve">Our </w:t>
      </w:r>
      <w:r w:rsidR="004D5370">
        <w:t xml:space="preserve">policy </w:t>
      </w:r>
      <w:r w:rsidR="003B7D63">
        <w:t>is i</w:t>
      </w:r>
      <w:r w:rsidR="004D5370">
        <w:t xml:space="preserve">f we can deliver it in house, then educators need to do it with us. </w:t>
      </w:r>
      <w:r w:rsidR="004D5370" w:rsidRPr="00691166">
        <w:t>(ID44, Director-Professional Teaching Practice, Vic.)</w:t>
      </w:r>
    </w:p>
    <w:p w14:paraId="531A2695" w14:textId="0F628F69" w:rsidR="004D5370" w:rsidRDefault="004D5370" w:rsidP="004D5370">
      <w:pPr>
        <w:pStyle w:val="Quote"/>
      </w:pPr>
      <w:proofErr w:type="gramStart"/>
      <w:r>
        <w:lastRenderedPageBreak/>
        <w:t>So</w:t>
      </w:r>
      <w:proofErr w:type="gramEnd"/>
      <w:r>
        <w:t xml:space="preserve"> the Skills Hub is where we've landed with our PD and everything sits under that as a brand. I can suggest some PD to people</w:t>
      </w:r>
      <w:r w:rsidR="00F63670">
        <w:t xml:space="preserve">, </w:t>
      </w:r>
      <w:r>
        <w:t xml:space="preserve">I can </w:t>
      </w:r>
      <w:proofErr w:type="gramStart"/>
      <w:r>
        <w:t>say</w:t>
      </w:r>
      <w:proofErr w:type="gramEnd"/>
      <w:r>
        <w:t xml:space="preserve"> </w:t>
      </w:r>
      <w:r w:rsidR="00F63670">
        <w:t>‘</w:t>
      </w:r>
      <w:r>
        <w:t>look we've got this recording of a PD</w:t>
      </w:r>
      <w:r w:rsidR="00F63670">
        <w:t>’</w:t>
      </w:r>
      <w:r>
        <w:t xml:space="preserve"> or </w:t>
      </w:r>
      <w:r w:rsidR="00F63670">
        <w:t>‘</w:t>
      </w:r>
      <w:r>
        <w:t>we've got this or we could do that</w:t>
      </w:r>
      <w:r w:rsidR="00F63670">
        <w:t>’</w:t>
      </w:r>
      <w:r>
        <w:t xml:space="preserve"> or I </w:t>
      </w:r>
      <w:r w:rsidR="0027057B">
        <w:t xml:space="preserve">could </w:t>
      </w:r>
      <w:r>
        <w:t xml:space="preserve">suggest you </w:t>
      </w:r>
      <w:r w:rsidR="005445C7">
        <w:t>‘</w:t>
      </w:r>
      <w:r>
        <w:t>go and talk to Bridget who just did this PD on</w:t>
      </w:r>
      <w:r w:rsidR="0027057B">
        <w:t>..</w:t>
      </w:r>
      <w:r>
        <w:t xml:space="preserve">. </w:t>
      </w:r>
      <w:r w:rsidR="0027057B">
        <w:t xml:space="preserve">she </w:t>
      </w:r>
      <w:r>
        <w:t>might be able to help you with that</w:t>
      </w:r>
      <w:r w:rsidR="005445C7">
        <w:t>’</w:t>
      </w:r>
      <w:r w:rsidR="0027057B">
        <w:t xml:space="preserve">. </w:t>
      </w:r>
      <w:proofErr w:type="gramStart"/>
      <w:r w:rsidR="0027057B">
        <w:t>So</w:t>
      </w:r>
      <w:proofErr w:type="gramEnd"/>
      <w:r w:rsidR="0027057B">
        <w:t xml:space="preserve"> </w:t>
      </w:r>
      <w:r>
        <w:t xml:space="preserve">we can sort of feed it out as well, rather it just being on this day of the year, you're all going to do </w:t>
      </w:r>
      <w:r w:rsidR="005445C7">
        <w:t xml:space="preserve">eight </w:t>
      </w:r>
      <w:r>
        <w:t xml:space="preserve">hours of </w:t>
      </w:r>
      <w:proofErr w:type="gramStart"/>
      <w:r>
        <w:t>PD</w:t>
      </w:r>
      <w:proofErr w:type="gramEnd"/>
      <w:r>
        <w:t xml:space="preserve"> and we'll tick that box and then next year we'll have to do all this again. It just doesn't work. </w:t>
      </w:r>
      <w:r w:rsidRPr="0059100F">
        <w:t>(ID36, Education Manager-Teacher Development, Vic.)</w:t>
      </w:r>
    </w:p>
    <w:p w14:paraId="2D4708A2" w14:textId="477810DC" w:rsidR="004D5370" w:rsidRDefault="004D5370" w:rsidP="004D5370">
      <w:pPr>
        <w:pStyle w:val="Quote"/>
      </w:pPr>
      <w:proofErr w:type="gramStart"/>
      <w:r>
        <w:t>So</w:t>
      </w:r>
      <w:proofErr w:type="gramEnd"/>
      <w:r>
        <w:t xml:space="preserve"> our </w:t>
      </w:r>
      <w:r w:rsidR="005445C7">
        <w:t>e-</w:t>
      </w:r>
      <w:r>
        <w:t>learning team will release</w:t>
      </w:r>
      <w:r w:rsidR="00D65F88">
        <w:t>,</w:t>
      </w:r>
      <w:r>
        <w:t xml:space="preserve"> what we call</w:t>
      </w:r>
      <w:r w:rsidR="00D65F88">
        <w:t>,</w:t>
      </w:r>
      <w:r>
        <w:t xml:space="preserve"> an </w:t>
      </w:r>
      <w:r w:rsidR="00C32C66">
        <w:t>e-</w:t>
      </w:r>
      <w:r>
        <w:t>learning byte every week</w:t>
      </w:r>
      <w:r w:rsidR="00D65F88">
        <w:t>, a</w:t>
      </w:r>
      <w:r>
        <w:t>nd then they can access the whole suite that we've released within the last couple of years</w:t>
      </w:r>
      <w:r w:rsidR="00D65F88">
        <w:t>. T</w:t>
      </w:r>
      <w:r>
        <w:t>hey're all very short</w:t>
      </w:r>
      <w:r w:rsidR="00D65F88">
        <w:t>,</w:t>
      </w:r>
      <w:r>
        <w:t xml:space="preserve"> under 10 minutes. And </w:t>
      </w:r>
      <w:proofErr w:type="gramStart"/>
      <w:r>
        <w:t>typically</w:t>
      </w:r>
      <w:proofErr w:type="gramEnd"/>
      <w:r>
        <w:t xml:space="preserve"> it's like a video, a short video accompanied with some bullet point text just to reinforce the main points. </w:t>
      </w:r>
      <w:r w:rsidRPr="001C63A4">
        <w:t>(ID51, Manager-Professional Development, WA)</w:t>
      </w:r>
    </w:p>
    <w:p w14:paraId="1922F4EA" w14:textId="77777777" w:rsidR="004D5370" w:rsidRDefault="004D5370" w:rsidP="004D5370">
      <w:pPr>
        <w:pStyle w:val="Text"/>
      </w:pPr>
      <w:r>
        <w:t>In addition to developing their own programs, they also access professional development through subscription services like VELG and the VET Development Centre (VDC), attend conferences and participate in other external activities.</w:t>
      </w:r>
    </w:p>
    <w:p w14:paraId="6D1A621D" w14:textId="642BB158" w:rsidR="004D5370" w:rsidRDefault="004D5370" w:rsidP="004D5370">
      <w:pPr>
        <w:pStyle w:val="Quote"/>
      </w:pPr>
      <w:proofErr w:type="gramStart"/>
      <w:r>
        <w:t>So</w:t>
      </w:r>
      <w:proofErr w:type="gramEnd"/>
      <w:r>
        <w:t xml:space="preserve"> we do work with [professional development provider] quite a lot and she has her online PD, which all of [RTO] has access to. They just need to register with PD and get access that way. We also have LinkedIn learning for all our staff. (ID48, Consultant-Teacher Development Staff, WA) </w:t>
      </w:r>
    </w:p>
    <w:p w14:paraId="2832D9B7" w14:textId="2BA400EB" w:rsidR="004D5370" w:rsidRDefault="004D5370" w:rsidP="004D5370">
      <w:pPr>
        <w:pStyle w:val="Quote"/>
      </w:pPr>
      <w:proofErr w:type="gramStart"/>
      <w:r>
        <w:t>So</w:t>
      </w:r>
      <w:proofErr w:type="gramEnd"/>
      <w:r>
        <w:t xml:space="preserve"> we try and either develop it all ourselves</w:t>
      </w:r>
      <w:r w:rsidR="006C5200">
        <w:t>,</w:t>
      </w:r>
      <w:r>
        <w:t xml:space="preserve"> in house</w:t>
      </w:r>
      <w:r w:rsidR="006C5200">
        <w:t>,</w:t>
      </w:r>
      <w:r>
        <w:t xml:space="preserve"> or we </w:t>
      </w:r>
      <w:proofErr w:type="gramStart"/>
      <w:r w:rsidR="008266FB">
        <w:t>say</w:t>
      </w:r>
      <w:proofErr w:type="gramEnd"/>
      <w:r w:rsidR="008266FB">
        <w:t xml:space="preserve"> ‘</w:t>
      </w:r>
      <w:r>
        <w:t xml:space="preserve">look, there's </w:t>
      </w:r>
      <w:proofErr w:type="gramStart"/>
      <w:r>
        <w:t>that skills</w:t>
      </w:r>
      <w:proofErr w:type="gramEnd"/>
      <w:r>
        <w:t xml:space="preserve"> first funding through VDC which is free</w:t>
      </w:r>
      <w:r w:rsidR="00181D3F">
        <w:t>, s</w:t>
      </w:r>
      <w:r>
        <w:t>o why don't you guys have a look and get into all of that kind of stuff</w:t>
      </w:r>
      <w:r w:rsidR="00181D3F">
        <w:t>’. I</w:t>
      </w:r>
      <w:r>
        <w:t xml:space="preserve">t can be tricky for us to do </w:t>
      </w:r>
      <w:r w:rsidR="00181D3F">
        <w:t>face-to-</w:t>
      </w:r>
      <w:r>
        <w:t xml:space="preserve">face because we are regional. </w:t>
      </w:r>
      <w:r w:rsidRPr="00FC68F0">
        <w:t>(ID34, Teacher Development Coordinator, Vic.)</w:t>
      </w:r>
    </w:p>
    <w:p w14:paraId="41D6F99A" w14:textId="77777777" w:rsidR="004D5370" w:rsidRDefault="004D5370" w:rsidP="004D5370">
      <w:pPr>
        <w:pStyle w:val="Text"/>
      </w:pPr>
      <w:r w:rsidRPr="00635D8B">
        <w:t xml:space="preserve">In contrast, other types of RTOs tend to rely more heavily on external professional development providers rather than developing their own learning resources. Many reported using subscriptions to organisations they view as trusted sources of professional learning, such as VELG Training and VET Development Centre, to meet their professional development needs. </w:t>
      </w:r>
    </w:p>
    <w:p w14:paraId="6F3264A8" w14:textId="77777777" w:rsidR="004D5370" w:rsidRDefault="004D5370" w:rsidP="004D5370">
      <w:pPr>
        <w:pStyle w:val="Quote"/>
      </w:pPr>
      <w:r>
        <w:t>I always recommend VDC for the trainers and put things in the chat group all the time. They're running this, they're running that, like, let's get on it. I always do that. (ID13, VET Coordinator-Quality Teaching and Learning, Vic.)</w:t>
      </w:r>
    </w:p>
    <w:p w14:paraId="7B4C6774" w14:textId="216F296E" w:rsidR="004D5370" w:rsidRDefault="00DA09C2" w:rsidP="004D5370">
      <w:pPr>
        <w:pStyle w:val="Quote"/>
      </w:pPr>
      <w:r>
        <w:t xml:space="preserve">We're </w:t>
      </w:r>
      <w:r w:rsidR="004D5370">
        <w:t xml:space="preserve">with two resource providers, one's VELG and the other one's </w:t>
      </w:r>
      <w:proofErr w:type="spellStart"/>
      <w:r w:rsidR="004D5370">
        <w:t>vetr</w:t>
      </w:r>
      <w:proofErr w:type="spellEnd"/>
      <w:r w:rsidR="004D5370">
        <w:t xml:space="preserve">. And </w:t>
      </w:r>
      <w:proofErr w:type="gramStart"/>
      <w:r w:rsidR="004D5370">
        <w:t>so</w:t>
      </w:r>
      <w:proofErr w:type="gramEnd"/>
      <w:r w:rsidR="004D5370">
        <w:t xml:space="preserve"> we continuously have PD running all the time with the libraries that they go into. </w:t>
      </w:r>
      <w:r w:rsidR="004D5370" w:rsidRPr="009A4C68">
        <w:t>(ID4, Chief Executive Officer, SA)</w:t>
      </w:r>
    </w:p>
    <w:p w14:paraId="3D29D908" w14:textId="40951CE7" w:rsidR="004D5370" w:rsidRPr="00571F72" w:rsidRDefault="00B412A6" w:rsidP="004D5370">
      <w:pPr>
        <w:pStyle w:val="Text"/>
      </w:pPr>
      <w:r>
        <w:t>Smaller RTOs are</w:t>
      </w:r>
      <w:r w:rsidR="004D5370" w:rsidRPr="00571F72">
        <w:t xml:space="preserve"> more likely to rely on a single individual to coordinate teacher development activities. In some cases, this is a dedicated educator capability or professional development role; in others, responsibility for teacher development is combined with other duties. Individuals in these positions often draw on their own knowledge, experience and professional networks to provide advice, recommend professional learning opportunities and respond to identified skill development needs. Some also develop and share their own training resources to support teachers across the organisation:</w:t>
      </w:r>
    </w:p>
    <w:p w14:paraId="0977E68B" w14:textId="32081257" w:rsidR="004D5370" w:rsidRDefault="004D5370" w:rsidP="004D5370">
      <w:pPr>
        <w:pStyle w:val="Quote"/>
      </w:pPr>
      <w:r>
        <w:lastRenderedPageBreak/>
        <w:t>I'm constantly making little videos about our LMS and how to mark appropriately</w:t>
      </w:r>
      <w:r w:rsidR="008F6946">
        <w:t>,</w:t>
      </w:r>
      <w:r>
        <w:t xml:space="preserve"> what the dates mean... Yeah, it's a constant thing</w:t>
      </w:r>
      <w:r w:rsidR="008F6946">
        <w:t>,</w:t>
      </w:r>
      <w:r>
        <w:t xml:space="preserve"> creating these little videos of myself talking to nobody and then emailing them out to people. Even trainers who have been here for a while still want to watch them</w:t>
      </w:r>
      <w:r w:rsidR="0087218C">
        <w:t>,</w:t>
      </w:r>
      <w:r>
        <w:t xml:space="preserve"> just to make sure that they're doing the right thing as well. </w:t>
      </w:r>
      <w:r w:rsidRPr="009D4E19">
        <w:t>(ID13, VET Coordinator-Quality Teaching and Learning, Vic.)</w:t>
      </w:r>
    </w:p>
    <w:p w14:paraId="57D425C8" w14:textId="77777777" w:rsidR="004D5370" w:rsidRPr="00A618B9" w:rsidRDefault="004D5370" w:rsidP="004D5370">
      <w:pPr>
        <w:pStyle w:val="Text"/>
      </w:pPr>
      <w:r w:rsidRPr="00A618B9">
        <w:t>A common approach is to distribute professional learning opportunities and relevant resources via email. These may include articles, webinars, workshops or other materials that staff responsible for teacher development believe may be of interest to teachers. Unlike targeted professional development linked to identified skill gaps, these opportunities are generally offered on an optional basis, allowing teachers to engage according to their interests and individual development needs.</w:t>
      </w:r>
    </w:p>
    <w:p w14:paraId="00BA47D8" w14:textId="60B95FB0" w:rsidR="004D5370" w:rsidRDefault="004D5370" w:rsidP="004D5370">
      <w:pPr>
        <w:pStyle w:val="Quote"/>
      </w:pPr>
      <w:r>
        <w:t>And sometimes it's just... I might send an email, oh, that's an interesting topic or an interesting subject, or oh yeah, I've heard that speaker speak before somewhere else</w:t>
      </w:r>
      <w:r w:rsidR="00B933E0">
        <w:t>,</w:t>
      </w:r>
      <w:r>
        <w:t xml:space="preserve"> be </w:t>
      </w:r>
      <w:proofErr w:type="gramStart"/>
      <w:r>
        <w:t>really good</w:t>
      </w:r>
      <w:proofErr w:type="gramEnd"/>
      <w:r>
        <w:t xml:space="preserve">. And then we might sign up for it. So yeah, predominantly, I suppose, the networks you know, and you kind of keep on using them. </w:t>
      </w:r>
      <w:r w:rsidRPr="00435F86">
        <w:t>(ID12, Compliance Manager, NSW)</w:t>
      </w:r>
    </w:p>
    <w:p w14:paraId="0562E950" w14:textId="5D5341EC" w:rsidR="004D5370" w:rsidRDefault="0096483B" w:rsidP="004D5370">
      <w:pPr>
        <w:pStyle w:val="Quote"/>
      </w:pPr>
      <w:r>
        <w:t xml:space="preserve">We've </w:t>
      </w:r>
      <w:r w:rsidR="004D5370">
        <w:t>got obviously memberships with a range of different organisations</w:t>
      </w:r>
      <w:r>
        <w:t>.</w:t>
      </w:r>
      <w:r w:rsidR="004D5370">
        <w:t xml:space="preserve"> </w:t>
      </w:r>
      <w:proofErr w:type="gramStart"/>
      <w:r w:rsidR="004D5370">
        <w:t>So</w:t>
      </w:r>
      <w:proofErr w:type="gramEnd"/>
      <w:r w:rsidR="004D5370">
        <w:t xml:space="preserve"> what happens is</w:t>
      </w:r>
      <w:r>
        <w:t>,</w:t>
      </w:r>
      <w:r w:rsidR="004D5370">
        <w:t xml:space="preserve"> when the opportunity for PD comes through, we send an e-mail out to </w:t>
      </w:r>
      <w:proofErr w:type="gramStart"/>
      <w:r w:rsidR="004D5370">
        <w:t>all of</w:t>
      </w:r>
      <w:proofErr w:type="gramEnd"/>
      <w:r w:rsidR="004D5370">
        <w:t xml:space="preserve"> our trainers and assessors saying there's a PD workshop on such and such on this </w:t>
      </w:r>
      <w:proofErr w:type="gramStart"/>
      <w:r w:rsidR="004D5370">
        <w:t>particular day</w:t>
      </w:r>
      <w:proofErr w:type="gramEnd"/>
      <w:r w:rsidR="004D5370">
        <w:t>. Is anyone interested in registering for this PD workshop? And if someone</w:t>
      </w:r>
      <w:r>
        <w:t>,</w:t>
      </w:r>
      <w:r w:rsidR="004D5370">
        <w:t xml:space="preserve"> for example</w:t>
      </w:r>
      <w:r>
        <w:t>,</w:t>
      </w:r>
      <w:r w:rsidR="004D5370">
        <w:t xml:space="preserve"> wants to do that, then absolutely they'll e-mail her back and they'll book in. Now this is outside of their professional development plan. </w:t>
      </w:r>
      <w:r w:rsidR="004D5370" w:rsidRPr="007A11F1">
        <w:t>(ID22,</w:t>
      </w:r>
      <w:r w:rsidR="004D5370">
        <w:t xml:space="preserve"> </w:t>
      </w:r>
      <w:r w:rsidR="004D5370" w:rsidRPr="007A11F1">
        <w:t>TAE teacher, Qld)</w:t>
      </w:r>
    </w:p>
    <w:p w14:paraId="3E9D4C40" w14:textId="77777777" w:rsidR="004D5370" w:rsidRDefault="004D5370" w:rsidP="004D5370">
      <w:pPr>
        <w:pStyle w:val="Heading4"/>
      </w:pPr>
      <w:r w:rsidRPr="04727ED1">
        <w:rPr>
          <w:rFonts w:eastAsia="Tahoma"/>
        </w:rPr>
        <w:t>Sector-wide online library</w:t>
      </w:r>
    </w:p>
    <w:p w14:paraId="3382FC57" w14:textId="77777777" w:rsidR="004D5370" w:rsidRPr="000C1C59" w:rsidRDefault="004D5370" w:rsidP="004D5370">
      <w:pPr>
        <w:pStyle w:val="Text"/>
      </w:pPr>
      <w:proofErr w:type="gramStart"/>
      <w:r w:rsidRPr="000C1C59">
        <w:t>Similar to</w:t>
      </w:r>
      <w:proofErr w:type="gramEnd"/>
      <w:r w:rsidRPr="000C1C59">
        <w:t xml:space="preserve"> the educator capability hubs and resource repositories developed by some larger RTOs, </w:t>
      </w:r>
      <w:r>
        <w:t xml:space="preserve">a suggestion was put forth </w:t>
      </w:r>
      <w:r w:rsidRPr="000C1C59">
        <w:t>that a sector-wide online library of professional development resources could provide significant benefits for VET teachers. Such a resource would be particularly valuable for teachers working in smaller RTOs, which may have limited capacity to develop and curate their own professional learning materials.</w:t>
      </w:r>
    </w:p>
    <w:p w14:paraId="43175BF7" w14:textId="5CD3F4D3" w:rsidR="004D5370" w:rsidRDefault="004D5370" w:rsidP="004D5370">
      <w:pPr>
        <w:pStyle w:val="Quote"/>
      </w:pPr>
      <w:r>
        <w:t>If there was an online library kind of a system</w:t>
      </w:r>
      <w:r w:rsidR="001865C2">
        <w:t>,</w:t>
      </w:r>
      <w:r>
        <w:t xml:space="preserve"> where things were available, you don't have to search for them, you know, finding different forums. There's one venue where I can go and read about it or find video about it</w:t>
      </w:r>
      <w:r w:rsidR="009644E3">
        <w:t>,</w:t>
      </w:r>
      <w:r>
        <w:t xml:space="preserve"> or some useful things, </w:t>
      </w:r>
      <w:r w:rsidR="0067363B">
        <w:t>[when]</w:t>
      </w:r>
      <w:r>
        <w:t xml:space="preserve"> I have time. Let's say they might be happy to give me </w:t>
      </w:r>
      <w:r w:rsidR="004F774D">
        <w:t xml:space="preserve">two hours </w:t>
      </w:r>
      <w:r>
        <w:t>every two weeks</w:t>
      </w:r>
      <w:r w:rsidR="004F774D">
        <w:t xml:space="preserve"> </w:t>
      </w:r>
      <w:r w:rsidR="004E244C">
        <w:t>[for]</w:t>
      </w:r>
      <w:r>
        <w:t xml:space="preserve"> study or PD. And then I can </w:t>
      </w:r>
      <w:proofErr w:type="gramStart"/>
      <w:r>
        <w:t>actually have</w:t>
      </w:r>
      <w:proofErr w:type="gramEnd"/>
      <w:r>
        <w:t xml:space="preserve"> that one area where I can go and find</w:t>
      </w:r>
      <w:r w:rsidR="004E244C">
        <w:t xml:space="preserve"> </w:t>
      </w:r>
      <w:r>
        <w:t>the different topics</w:t>
      </w:r>
      <w:r w:rsidR="004E244C">
        <w:t>.</w:t>
      </w:r>
      <w:r>
        <w:t xml:space="preserve"> (ID8, Experienced teacher, CIT)</w:t>
      </w:r>
    </w:p>
    <w:p w14:paraId="722FDBB5" w14:textId="77777777" w:rsidR="004D5370" w:rsidRPr="00FA6C9C" w:rsidRDefault="004D5370" w:rsidP="004D5370">
      <w:pPr>
        <w:pStyle w:val="Text"/>
      </w:pPr>
      <w:r w:rsidRPr="00FA6C9C">
        <w:t xml:space="preserve">NCVER has taken steps towards providing this type of resource through its VET Practitioner </w:t>
      </w:r>
      <w:r>
        <w:t>Resource</w:t>
      </w:r>
      <w:r w:rsidRPr="00FA6C9C">
        <w:t xml:space="preserve"> on </w:t>
      </w:r>
      <w:proofErr w:type="spellStart"/>
      <w:r w:rsidRPr="00FA6C9C">
        <w:t>VOCEDplus</w:t>
      </w:r>
      <w:proofErr w:type="spellEnd"/>
      <w:r w:rsidRPr="00FA6C9C">
        <w:t>. Rather than developing professional development resources itself, the collection acts as a central access point to resources already available across the sector, including those developed by organisations such as VELG Training and VET Development Centre. This approach helps connect VET practitioners with existing professional learning opportunities and resources from a range of providers.</w:t>
      </w:r>
    </w:p>
    <w:p w14:paraId="4E1ABE5D" w14:textId="77777777" w:rsidR="008054D2" w:rsidRDefault="008054D2" w:rsidP="004D5370">
      <w:pPr>
        <w:pStyle w:val="Heading3"/>
        <w:rPr>
          <w:rFonts w:eastAsia="Arial"/>
        </w:rPr>
      </w:pPr>
    </w:p>
    <w:p w14:paraId="310CABCF" w14:textId="4514E825" w:rsidR="004D5370" w:rsidRDefault="004D5370" w:rsidP="004D5370">
      <w:pPr>
        <w:pStyle w:val="Heading3"/>
        <w:rPr>
          <w:i/>
        </w:rPr>
      </w:pPr>
      <w:r w:rsidRPr="4650196E">
        <w:rPr>
          <w:rFonts w:eastAsia="Arial"/>
        </w:rPr>
        <w:lastRenderedPageBreak/>
        <w:t>Higher-level teaching qualifications</w:t>
      </w:r>
    </w:p>
    <w:p w14:paraId="4E28042F" w14:textId="77777777" w:rsidR="004D5370" w:rsidRPr="007662DD" w:rsidRDefault="004D5370" w:rsidP="004D5370">
      <w:pPr>
        <w:pStyle w:val="Text"/>
      </w:pPr>
      <w:r w:rsidRPr="007662DD">
        <w:t>Given that the Certificate IV in Training and Assessment is often the entry-level qualification for becoming a VET teacher, interviewees and workshop participants were asked about their experiences with higher-level teaching qualifications and the extent to which these qualifications had contributed to the development of their teaching knowledge and skills.</w:t>
      </w:r>
    </w:p>
    <w:p w14:paraId="70354CB3" w14:textId="77777777" w:rsidR="004D5370" w:rsidRDefault="004D5370" w:rsidP="004D5370">
      <w:pPr>
        <w:pStyle w:val="Heading4"/>
      </w:pPr>
      <w:r w:rsidRPr="4650196E">
        <w:rPr>
          <w:rFonts w:eastAsia="Tahoma"/>
        </w:rPr>
        <w:t xml:space="preserve">Reasons for doing higher-level teaching qualifications </w:t>
      </w:r>
    </w:p>
    <w:p w14:paraId="47CC4FC2" w14:textId="77777777" w:rsidR="004D5370" w:rsidRPr="00F55E1B" w:rsidRDefault="004D5370" w:rsidP="004D5370">
      <w:pPr>
        <w:pStyle w:val="Text"/>
      </w:pPr>
      <w:r>
        <w:t>One of t</w:t>
      </w:r>
      <w:r w:rsidRPr="00F55E1B">
        <w:t xml:space="preserve">he </w:t>
      </w:r>
      <w:proofErr w:type="gramStart"/>
      <w:r w:rsidRPr="00F55E1B">
        <w:t>most commonly cited</w:t>
      </w:r>
      <w:proofErr w:type="gramEnd"/>
      <w:r w:rsidRPr="00F55E1B">
        <w:t xml:space="preserve"> reason for undertaking a higher-level teaching qualification was to improve salary or career progression opportunities.</w:t>
      </w:r>
      <w:r>
        <w:t xml:space="preserve"> I</w:t>
      </w:r>
      <w:r w:rsidRPr="00F55E1B">
        <w:t xml:space="preserve">n some jurisdictions, obtaining an AQF Level 5 teaching qualification </w:t>
      </w:r>
      <w:r>
        <w:t>results</w:t>
      </w:r>
      <w:r w:rsidRPr="00F55E1B">
        <w:t xml:space="preserve"> in a higher pay rate</w:t>
      </w:r>
      <w:r>
        <w:t xml:space="preserve">. In other cases, a higher-level teaching qualification </w:t>
      </w:r>
      <w:r w:rsidRPr="00F55E1B">
        <w:t>was required to access promotional opportunities or move into more senior roles.</w:t>
      </w:r>
    </w:p>
    <w:p w14:paraId="041CB280" w14:textId="02345A6B" w:rsidR="004D5370" w:rsidRDefault="00366095" w:rsidP="004D5370">
      <w:pPr>
        <w:pStyle w:val="Quote"/>
      </w:pPr>
      <w:r>
        <w:t>I</w:t>
      </w:r>
      <w:r w:rsidR="004D5370">
        <w:t xml:space="preserve">t was a requirement of my role to have an AQF 6. </w:t>
      </w:r>
      <w:r w:rsidR="004D5370" w:rsidRPr="00A61F43">
        <w:t>(ID40, Education Leader, Vic.)</w:t>
      </w:r>
    </w:p>
    <w:p w14:paraId="5BF896FD" w14:textId="2D7D5E50" w:rsidR="004D5370" w:rsidRDefault="005D2D7F" w:rsidP="004D5370">
      <w:pPr>
        <w:pStyle w:val="Quote"/>
      </w:pPr>
      <w:r>
        <w:t>O</w:t>
      </w:r>
      <w:r w:rsidR="004D5370">
        <w:t xml:space="preserve">nce they get a higher qualification, they can get paid more under our enterprise agreement, which is Victorian wide. </w:t>
      </w:r>
      <w:r w:rsidR="004D5370" w:rsidRPr="00BB290C">
        <w:t>(ID34, Teacher Development Coordinator, Vic.)</w:t>
      </w:r>
    </w:p>
    <w:p w14:paraId="6AC5547B" w14:textId="77777777" w:rsidR="004D5370" w:rsidRDefault="004D5370" w:rsidP="004D5370">
      <w:pPr>
        <w:pStyle w:val="Text"/>
      </w:pPr>
      <w:r>
        <w:t>Additionally, some mentioned that, due to credentialing policies, once they had a higher-level VET teaching qualification, they no longer had to continue to update their Certificate IV in Training and Assessment when new releases occurred.</w:t>
      </w:r>
    </w:p>
    <w:p w14:paraId="2F46D417" w14:textId="3D97F9AF" w:rsidR="004D5370" w:rsidRDefault="005D2D7F" w:rsidP="004D5370">
      <w:pPr>
        <w:pStyle w:val="Quote"/>
      </w:pPr>
      <w:r>
        <w:t xml:space="preserve">The </w:t>
      </w:r>
      <w:r w:rsidR="004D5370">
        <w:t xml:space="preserve">credential policy allows for if you've got that higher education qualification, you no longer </w:t>
      </w:r>
      <w:proofErr w:type="gramStart"/>
      <w:r w:rsidR="004D5370">
        <w:t>have to</w:t>
      </w:r>
      <w:proofErr w:type="gramEnd"/>
      <w:r w:rsidR="004D5370">
        <w:t xml:space="preserve"> churn through the updated [TAE]. (ID26, Manager-VET Workforce Capability, NT)</w:t>
      </w:r>
    </w:p>
    <w:p w14:paraId="4B43554A" w14:textId="77777777" w:rsidR="004D5370" w:rsidRDefault="004D5370" w:rsidP="004D5370">
      <w:pPr>
        <w:pStyle w:val="Text"/>
      </w:pPr>
      <w:r>
        <w:t xml:space="preserve">While these may have been the initial motivations, most teachers reported that they developed many useful strategies they were able to implement into their classrooms: </w:t>
      </w:r>
    </w:p>
    <w:p w14:paraId="712BD70A" w14:textId="3EBE27D4" w:rsidR="004D5370" w:rsidRDefault="004D5370" w:rsidP="004D5370">
      <w:pPr>
        <w:pStyle w:val="Quote"/>
      </w:pPr>
      <w:r>
        <w:t xml:space="preserve">When you went around the room, </w:t>
      </w:r>
      <w:r w:rsidR="002F12EA">
        <w:t xml:space="preserve">asked </w:t>
      </w:r>
      <w:r>
        <w:t xml:space="preserve">why are you doing a high </w:t>
      </w:r>
      <w:proofErr w:type="gramStart"/>
      <w:r>
        <w:t>qual?</w:t>
      </w:r>
      <w:r w:rsidR="00C1421F">
        <w:t>.</w:t>
      </w:r>
      <w:proofErr w:type="gramEnd"/>
      <w:r w:rsidR="00C1421F">
        <w:t xml:space="preserve"> ‘B</w:t>
      </w:r>
      <w:r>
        <w:t>ecause it's going to get me a pay rise</w:t>
      </w:r>
      <w:r w:rsidR="00C1421F">
        <w:t>’</w:t>
      </w:r>
      <w:r>
        <w:t xml:space="preserve"> and all that sort of stuff. And that's fine</w:t>
      </w:r>
      <w:r w:rsidR="00C1421F">
        <w:t>, b</w:t>
      </w:r>
      <w:r>
        <w:t xml:space="preserve">ut near the end they were </w:t>
      </w:r>
      <w:proofErr w:type="gramStart"/>
      <w:r>
        <w:t>actually really</w:t>
      </w:r>
      <w:proofErr w:type="gramEnd"/>
      <w:r>
        <w:t xml:space="preserve"> engaging in conversations around their teaching practice and applied learning and what they've learnt and what they've taken away from </w:t>
      </w:r>
      <w:proofErr w:type="gramStart"/>
      <w:r>
        <w:t>it</w:t>
      </w:r>
      <w:proofErr w:type="gramEnd"/>
      <w:r>
        <w:t xml:space="preserve"> and they've gotten so much more out of it. </w:t>
      </w:r>
      <w:proofErr w:type="gramStart"/>
      <w:r>
        <w:t>So</w:t>
      </w:r>
      <w:proofErr w:type="gramEnd"/>
      <w:r>
        <w:t xml:space="preserve"> I found that was </w:t>
      </w:r>
      <w:proofErr w:type="gramStart"/>
      <w:r>
        <w:t>really good</w:t>
      </w:r>
      <w:proofErr w:type="gramEnd"/>
      <w:r>
        <w:t xml:space="preserve">. </w:t>
      </w:r>
      <w:r w:rsidRPr="00A32549">
        <w:t>(ID15, Manager-Quality Learning and Teaching, Vic.)</w:t>
      </w:r>
    </w:p>
    <w:p w14:paraId="39E58EB3" w14:textId="77777777" w:rsidR="004D5370" w:rsidRPr="000C341A" w:rsidRDefault="004D5370" w:rsidP="004D5370">
      <w:pPr>
        <w:pStyle w:val="Text"/>
      </w:pPr>
      <w:r w:rsidRPr="000C341A">
        <w:t>For some teachers, the main motivation for undertaking a higher-level teaching qualification was to deepen their understanding of teaching and learning and further develop their teaching capabilities.</w:t>
      </w:r>
    </w:p>
    <w:p w14:paraId="36A02A71" w14:textId="77777777" w:rsidR="004D5370" w:rsidRDefault="004D5370" w:rsidP="004D5370">
      <w:pPr>
        <w:pStyle w:val="Quote"/>
      </w:pPr>
      <w:r>
        <w:t>Once I got settled into my role, when I first started, I started to enjoy teaching. But I wanted to get better at it. (ID37, Experienced teacher, Vic.)</w:t>
      </w:r>
    </w:p>
    <w:p w14:paraId="3988FA7B" w14:textId="51E06BF7" w:rsidR="004D5370" w:rsidRDefault="004D5370" w:rsidP="004D5370">
      <w:pPr>
        <w:pStyle w:val="Quote"/>
      </w:pPr>
      <w:r>
        <w:t>Well, I want to be in front of the curve a little bit because that's just who I am. I wanted to understand a bit more about the training environment that I'm in. I've always kind of considered that I want to be the best. I want to be the expert in any field that I'm in. The uptick, the uptick in pay is a benefit. The uptick in levels is a benefit, but that wasn't the sole decision-making. (ID56,</w:t>
      </w:r>
      <w:r w:rsidRPr="003635FF">
        <w:t xml:space="preserve"> Mid-career</w:t>
      </w:r>
      <w:r>
        <w:t xml:space="preserve"> teacher, Vic)</w:t>
      </w:r>
    </w:p>
    <w:p w14:paraId="4223117A" w14:textId="77777777" w:rsidR="008054D2" w:rsidRDefault="008054D2" w:rsidP="004D5370">
      <w:pPr>
        <w:pStyle w:val="Heading4"/>
        <w:rPr>
          <w:rFonts w:eastAsia="Tahoma"/>
        </w:rPr>
      </w:pPr>
    </w:p>
    <w:p w14:paraId="56FE1AD2" w14:textId="7305D757" w:rsidR="004D5370" w:rsidRDefault="004D5370" w:rsidP="004D5370">
      <w:pPr>
        <w:pStyle w:val="Heading4"/>
      </w:pPr>
      <w:r w:rsidRPr="04727ED1">
        <w:rPr>
          <w:rFonts w:eastAsia="Tahoma"/>
        </w:rPr>
        <w:lastRenderedPageBreak/>
        <w:t xml:space="preserve">Benefits </w:t>
      </w:r>
    </w:p>
    <w:p w14:paraId="6D57D7D5" w14:textId="77777777" w:rsidR="004D5370" w:rsidRPr="00A700D3" w:rsidRDefault="004D5370" w:rsidP="004D5370">
      <w:pPr>
        <w:pStyle w:val="Text"/>
      </w:pPr>
      <w:r w:rsidRPr="00A700D3">
        <w:t xml:space="preserve">The </w:t>
      </w:r>
      <w:proofErr w:type="gramStart"/>
      <w:r w:rsidRPr="00A700D3">
        <w:t>most commonly reported</w:t>
      </w:r>
      <w:proofErr w:type="gramEnd"/>
      <w:r w:rsidRPr="00A700D3">
        <w:t xml:space="preserve"> benefit of undertaking a higher-level teaching qualification was the development of teaching knowledge and skills. Many interviewees described feeling more confident in the classroom, attributing this to a greater understanding of teaching and assessment practices and access to a broader range of strategies for engaging learners. Several participants noted that these qualifications explored topics in greater depth than the Certificate IV in Training and Assessment, helping them to strengthen their teaching practice. Some also reported observing positive impacts on student engagement and learning outcomes as a result.</w:t>
      </w:r>
    </w:p>
    <w:p w14:paraId="5DFFF5A5" w14:textId="4F969F3E" w:rsidR="004D5370" w:rsidRDefault="004D5370" w:rsidP="004D5370">
      <w:pPr>
        <w:pStyle w:val="Quote"/>
      </w:pPr>
      <w:r>
        <w:t>It’s given me absolutely 100% confidence. Even just going through</w:t>
      </w:r>
      <w:r w:rsidR="00535F5D">
        <w:t xml:space="preserve"> </w:t>
      </w:r>
      <w:r>
        <w:t>learning theories which</w:t>
      </w:r>
      <w:r w:rsidR="00602616">
        <w:t>,</w:t>
      </w:r>
      <w:r>
        <w:t xml:space="preserve"> when I first sort of read it, I went </w:t>
      </w:r>
      <w:r w:rsidR="00002907">
        <w:t>‘</w:t>
      </w:r>
      <w:r>
        <w:t>what the hell</w:t>
      </w:r>
      <w:r w:rsidR="00C31F1F">
        <w:t>… w</w:t>
      </w:r>
      <w:r>
        <w:t>hat is this going to be about?</w:t>
      </w:r>
      <w:r w:rsidR="00002907">
        <w:t>’</w:t>
      </w:r>
      <w:r>
        <w:t xml:space="preserve"> But it is so relevant every step of the way</w:t>
      </w:r>
      <w:r w:rsidR="00535F5D">
        <w:t>,</w:t>
      </w:r>
      <w:r>
        <w:t xml:space="preserve"> was so relevant to what I was </w:t>
      </w:r>
      <w:proofErr w:type="gramStart"/>
      <w:r>
        <w:t>actually doing</w:t>
      </w:r>
      <w:proofErr w:type="gramEnd"/>
      <w:r>
        <w:t xml:space="preserve"> and experiencing. (ID35, Novice teacher, Vic.)</w:t>
      </w:r>
    </w:p>
    <w:p w14:paraId="3F7FB11B" w14:textId="6067EC15" w:rsidR="004D5370" w:rsidRDefault="00002907" w:rsidP="004D5370">
      <w:pPr>
        <w:pStyle w:val="Quote"/>
      </w:pPr>
      <w:r>
        <w:t>W</w:t>
      </w:r>
      <w:r w:rsidR="004D5370">
        <w:t xml:space="preserve">ith the TAE, it almost kind of just touches on little things in areas, so you get a little snippet of everything, but it doesn't give you the whole picture. </w:t>
      </w:r>
      <w:proofErr w:type="gramStart"/>
      <w:r w:rsidR="004D5370">
        <w:t>So</w:t>
      </w:r>
      <w:proofErr w:type="gramEnd"/>
      <w:r w:rsidR="004D5370">
        <w:t xml:space="preserve"> it's a good foundation, but I think with the degree</w:t>
      </w:r>
      <w:r w:rsidR="00020CB3">
        <w:t>,</w:t>
      </w:r>
      <w:r w:rsidR="004D5370">
        <w:t xml:space="preserve"> it really </w:t>
      </w:r>
      <w:proofErr w:type="gramStart"/>
      <w:r w:rsidR="004D5370">
        <w:t>opens up</w:t>
      </w:r>
      <w:proofErr w:type="gramEnd"/>
      <w:r w:rsidR="004D5370">
        <w:t xml:space="preserve"> the opportunity for teaching. </w:t>
      </w:r>
      <w:proofErr w:type="gramStart"/>
      <w:r w:rsidR="004D5370">
        <w:t>So</w:t>
      </w:r>
      <w:proofErr w:type="gramEnd"/>
      <w:r w:rsidR="004D5370">
        <w:t xml:space="preserve"> you can really broaden where you can teach, what kind of cohort you can teach to, and obviously to build my confidence. </w:t>
      </w:r>
      <w:r w:rsidR="004D5370" w:rsidRPr="0020374C">
        <w:t>(ID61, Novice teacher, Qld)</w:t>
      </w:r>
    </w:p>
    <w:p w14:paraId="20BA1D72" w14:textId="42642531" w:rsidR="004D5370" w:rsidRDefault="00020CB3" w:rsidP="004D5370">
      <w:pPr>
        <w:pStyle w:val="Quote"/>
      </w:pPr>
      <w:r>
        <w:t>I</w:t>
      </w:r>
      <w:r w:rsidR="004D5370">
        <w:t xml:space="preserve">t probably wasn't until I started doing this course, the </w:t>
      </w:r>
      <w:r>
        <w:t xml:space="preserve">grad </w:t>
      </w:r>
      <w:r w:rsidR="004D5370">
        <w:t xml:space="preserve">cert, that I had just a massive moment where I went </w:t>
      </w:r>
      <w:r w:rsidR="00C61476">
        <w:t>‘</w:t>
      </w:r>
      <w:r w:rsidR="004D5370">
        <w:t>all this is the stuff I wish I knew from day one</w:t>
      </w:r>
      <w:r w:rsidR="00C61476">
        <w:t>’</w:t>
      </w:r>
      <w:r w:rsidR="004D5370">
        <w:t xml:space="preserve">. </w:t>
      </w:r>
      <w:r w:rsidR="00C61476">
        <w:t>It’s</w:t>
      </w:r>
      <w:r w:rsidR="004D5370">
        <w:t xml:space="preserve"> made such a big difference to me and to the students. </w:t>
      </w:r>
      <w:r w:rsidR="004D5370" w:rsidRPr="007A3CFD">
        <w:t>(ID35, Novice teacher, Vic.)</w:t>
      </w:r>
    </w:p>
    <w:p w14:paraId="1F086094" w14:textId="77777777" w:rsidR="004D5370" w:rsidRDefault="004D5370" w:rsidP="004D5370">
      <w:pPr>
        <w:pStyle w:val="Text"/>
      </w:pPr>
      <w:r>
        <w:t xml:space="preserve">One interviewee highlighted the increasing complexity of learners and shared a view that higher-level teaching qualifications will be necessary for the future. </w:t>
      </w:r>
    </w:p>
    <w:p w14:paraId="1F6DD028" w14:textId="77777777" w:rsidR="004D5370" w:rsidRDefault="004D5370" w:rsidP="004D5370">
      <w:pPr>
        <w:pStyle w:val="Heading4"/>
      </w:pPr>
      <w:r w:rsidRPr="001A6C0E">
        <w:rPr>
          <w:rFonts w:eastAsia="Tahoma"/>
        </w:rPr>
        <w:t>Contexts – trade teachers</w:t>
      </w:r>
      <w:r w:rsidRPr="5A992E3F">
        <w:rPr>
          <w:rFonts w:eastAsia="Tahoma"/>
        </w:rPr>
        <w:t xml:space="preserve"> and casual teachers</w:t>
      </w:r>
    </w:p>
    <w:p w14:paraId="52D73F75" w14:textId="77777777" w:rsidR="004D5370" w:rsidRPr="00EF3473" w:rsidRDefault="004D5370" w:rsidP="004D5370">
      <w:pPr>
        <w:pStyle w:val="Text"/>
      </w:pPr>
      <w:r w:rsidRPr="00EF3473">
        <w:t>Participants acknowledged that many people entering VET teaching, particularly those from trade backgrounds, may not have completed secondary school or may hold industry qualifications at AQF Level 4 or below. As a result, some may lack confidence in undertaking a higher-level teaching qualification and perceive it as academically challenging.</w:t>
      </w:r>
    </w:p>
    <w:p w14:paraId="26AA5CCC" w14:textId="77777777" w:rsidR="004D5370" w:rsidRPr="00EF3473" w:rsidRDefault="004D5370" w:rsidP="004D5370">
      <w:pPr>
        <w:pStyle w:val="Text"/>
      </w:pPr>
      <w:r w:rsidRPr="00EF3473">
        <w:t>However, the experiences shared by several interviewees suggest that, with appropriate support, these qualifications are achievable. While some participants reported needing assistance with aspects of academic study, they also highlighted the significant benefits gained from undertaking higher-level qualifications. For these teachers, the improvements in teaching knowledge, skills and confidence outweighed any initial concerns about academic capability.</w:t>
      </w:r>
    </w:p>
    <w:p w14:paraId="70B6CA29" w14:textId="584EEDEF" w:rsidR="004D5370" w:rsidRDefault="004D5370" w:rsidP="004D5370">
      <w:pPr>
        <w:pStyle w:val="Quote"/>
      </w:pPr>
      <w:r>
        <w:t xml:space="preserve">I still remember when I put university up on the pedestal and I thought, </w:t>
      </w:r>
      <w:r w:rsidR="007D3FB9">
        <w:t>‘</w:t>
      </w:r>
      <w:r>
        <w:t>Oh no, I'm not an academic</w:t>
      </w:r>
      <w:r w:rsidR="007D3FB9">
        <w:t>’</w:t>
      </w:r>
      <w:r>
        <w:t>, but</w:t>
      </w:r>
      <w:r w:rsidR="007D3FB9">
        <w:t xml:space="preserve"> o</w:t>
      </w:r>
      <w:r>
        <w:t>nce I enrolled in that that qualification and started going through the process</w:t>
      </w:r>
      <w:r w:rsidR="00171D52">
        <w:t xml:space="preserve">, </w:t>
      </w:r>
      <w:r>
        <w:t xml:space="preserve">I'm like, </w:t>
      </w:r>
      <w:r w:rsidR="00171D52">
        <w:t>‘</w:t>
      </w:r>
      <w:r>
        <w:t>what was I concerned about?</w:t>
      </w:r>
      <w:r w:rsidR="00171D52">
        <w:t>’.</w:t>
      </w:r>
      <w:r>
        <w:t xml:space="preserve"> </w:t>
      </w:r>
      <w:r w:rsidRPr="00367453">
        <w:t>(ID37, Experienced teacher, Vic.)</w:t>
      </w:r>
    </w:p>
    <w:p w14:paraId="2F766EBF" w14:textId="77777777" w:rsidR="004D5370" w:rsidRDefault="004D5370" w:rsidP="004D5370">
      <w:pPr>
        <w:pStyle w:val="Quote"/>
      </w:pPr>
      <w:r>
        <w:t xml:space="preserve">Writing the essays, that's what I really found intimidating. You want me to write a </w:t>
      </w:r>
      <w:proofErr w:type="gramStart"/>
      <w:r>
        <w:t>3000 word</w:t>
      </w:r>
      <w:proofErr w:type="gramEnd"/>
      <w:r>
        <w:t xml:space="preserve"> essay? Come on. And reference. Referencing was the biggest stumbling block for me, </w:t>
      </w:r>
      <w:r>
        <w:lastRenderedPageBreak/>
        <w:t xml:space="preserve">but I just pushed through </w:t>
      </w:r>
      <w:proofErr w:type="gramStart"/>
      <w:r>
        <w:t>it</w:t>
      </w:r>
      <w:proofErr w:type="gramEnd"/>
      <w:r>
        <w:t xml:space="preserve"> and I used AI a bit to research and just learn. </w:t>
      </w:r>
      <w:r w:rsidRPr="008912C8">
        <w:t>(ID56, Mid-career teacher, Vic</w:t>
      </w:r>
      <w:r>
        <w:t>.</w:t>
      </w:r>
      <w:r w:rsidRPr="008912C8">
        <w:t>)</w:t>
      </w:r>
    </w:p>
    <w:p w14:paraId="6D8365EF" w14:textId="3D44F05F" w:rsidR="004D5370" w:rsidRDefault="004D5370" w:rsidP="004D5370">
      <w:pPr>
        <w:pStyle w:val="Quote"/>
      </w:pPr>
      <w:r>
        <w:t xml:space="preserve">But particularly in the </w:t>
      </w:r>
      <w:proofErr w:type="gramStart"/>
      <w:r>
        <w:t>trades</w:t>
      </w:r>
      <w:proofErr w:type="gramEnd"/>
      <w:r>
        <w:t xml:space="preserve"> areas, those who have gone and done the grad cert or have engaged in the grad cert or the associate degree where they are required to do</w:t>
      </w:r>
      <w:r w:rsidR="00DA015E">
        <w:t>…</w:t>
      </w:r>
      <w:r>
        <w:t xml:space="preserve"> I think as part of it, they </w:t>
      </w:r>
      <w:proofErr w:type="gramStart"/>
      <w:r>
        <w:t>have to</w:t>
      </w:r>
      <w:proofErr w:type="gramEnd"/>
      <w:r>
        <w:t xml:space="preserve"> do an applied research project. They </w:t>
      </w:r>
      <w:proofErr w:type="gramStart"/>
      <w:r>
        <w:t>have to</w:t>
      </w:r>
      <w:proofErr w:type="gramEnd"/>
      <w:r>
        <w:t xml:space="preserve"> engage in reflective practice. They </w:t>
      </w:r>
      <w:proofErr w:type="gramStart"/>
      <w:r>
        <w:t>have to</w:t>
      </w:r>
      <w:proofErr w:type="gramEnd"/>
      <w:r>
        <w:t xml:space="preserve"> </w:t>
      </w:r>
      <w:r w:rsidR="004374B0">
        <w:t>engage</w:t>
      </w:r>
      <w:r>
        <w:t xml:space="preserve"> with educational theory, like learning theory. What I'm noticing with those educators is that's where I see the shift in their practice</w:t>
      </w:r>
      <w:r w:rsidR="00631894">
        <w:t>,</w:t>
      </w:r>
      <w:r>
        <w:t xml:space="preserve"> and the</w:t>
      </w:r>
      <w:r w:rsidR="009B6492">
        <w:t>y</w:t>
      </w:r>
      <w:r>
        <w:t xml:space="preserve"> kind of go on to see themselves as </w:t>
      </w:r>
      <w:r w:rsidR="00631894">
        <w:t>understanding</w:t>
      </w:r>
      <w:r>
        <w:t xml:space="preserve"> the student and making their practice, you know, really understand what student-centred practice is. </w:t>
      </w:r>
      <w:r w:rsidRPr="002F4CA1">
        <w:t>(ID44, Director-Professional Teaching Practice, Vic.)</w:t>
      </w:r>
    </w:p>
    <w:p w14:paraId="64EA65C7" w14:textId="77777777" w:rsidR="004D5370" w:rsidRDefault="004D5370" w:rsidP="004D5370">
      <w:r w:rsidRPr="5684EE13">
        <w:rPr>
          <w:rStyle w:val="TextChar"/>
        </w:rPr>
        <w:t xml:space="preserve">Casual teachers may experience less incentive to undertake a higher-level teaching qualification as they cannot personally justify the cost </w:t>
      </w:r>
      <w:r w:rsidRPr="1A1A9893">
        <w:rPr>
          <w:rStyle w:val="TextChar"/>
        </w:rPr>
        <w:t xml:space="preserve">or </w:t>
      </w:r>
      <w:r w:rsidRPr="5684EE13">
        <w:rPr>
          <w:rStyle w:val="TextChar"/>
        </w:rPr>
        <w:t>time commitments with the small number of hours that they teach</w:t>
      </w:r>
      <w:r w:rsidRPr="4D185691">
        <w:rPr>
          <w:rFonts w:eastAsia="Trebuchet MS" w:cs="Trebuchet MS"/>
        </w:rPr>
        <w:t>.</w:t>
      </w:r>
    </w:p>
    <w:p w14:paraId="0F4F6920" w14:textId="36033959" w:rsidR="004D5370" w:rsidRDefault="004D5370" w:rsidP="004D5370">
      <w:pPr>
        <w:pStyle w:val="Quote"/>
      </w:pPr>
      <w:r>
        <w:t>I've considered it</w:t>
      </w:r>
      <w:r w:rsidR="0096200F">
        <w:t>, b</w:t>
      </w:r>
      <w:r>
        <w:t>ut now that I'm going to be casual, which means, you know, the work may be quite fluctuating</w:t>
      </w:r>
      <w:r w:rsidR="00E91614">
        <w:t>,</w:t>
      </w:r>
      <w:r>
        <w:t xml:space="preserve"> I don't know how much work I'll get. And I am doing work in a lot of other areas. I don't think the cost</w:t>
      </w:r>
      <w:r w:rsidR="00E91614">
        <w:t>-</w:t>
      </w:r>
      <w:r>
        <w:t xml:space="preserve">benefit return would </w:t>
      </w:r>
      <w:proofErr w:type="gramStart"/>
      <w:r>
        <w:t>actually justify</w:t>
      </w:r>
      <w:proofErr w:type="gramEnd"/>
      <w:r>
        <w:t xml:space="preserve"> it for me in this current situation. </w:t>
      </w:r>
      <w:r w:rsidRPr="003E530F">
        <w:t>(ID41, Novice teacher, Vic.)</w:t>
      </w:r>
    </w:p>
    <w:p w14:paraId="74809E54" w14:textId="77777777" w:rsidR="004D5370" w:rsidRDefault="004D5370" w:rsidP="004D5370">
      <w:pPr>
        <w:pStyle w:val="Heading4"/>
      </w:pPr>
      <w:r w:rsidRPr="04727ED1">
        <w:rPr>
          <w:rFonts w:eastAsia="Tahoma"/>
        </w:rPr>
        <w:t>Advanced skill sets for trainers and assessors</w:t>
      </w:r>
    </w:p>
    <w:p w14:paraId="0546F514" w14:textId="77777777" w:rsidR="004D5370" w:rsidRPr="00225552" w:rsidRDefault="004D5370" w:rsidP="004D5370">
      <w:pPr>
        <w:pStyle w:val="Text"/>
      </w:pPr>
      <w:r w:rsidRPr="00225552">
        <w:t>Participants who had completed higher-level teaching qualifications reported substantial benefits for their teaching practice and often described these qualifications as providing the knowledge and skills they felt were missing from their initial teacher training. However, they also recognised that not all VET teachers have the capacity, opportunity or desire to undertake a full higher-level qualification.</w:t>
      </w:r>
    </w:p>
    <w:p w14:paraId="0E34BDC9" w14:textId="77777777" w:rsidR="004D5370" w:rsidRPr="00225552" w:rsidRDefault="004D5370" w:rsidP="004D5370">
      <w:pPr>
        <w:pStyle w:val="Text"/>
      </w:pPr>
      <w:r w:rsidRPr="00225552">
        <w:t>One suggestion raised during the interviews and workshops was the development of advanced skill sets that would allow teachers to build expertise in specific areas without committing to a full qualification. Potential topics included advanced teaching practice, learner engagement and managing psychosocial challenges in the classroom. Participants suggested that these skill sets could be designed for more experienced teachers and provide a flexible pathway for continuing to develop teaching capabilities beyond the Certificate IV in Training and Assessment.</w:t>
      </w:r>
    </w:p>
    <w:p w14:paraId="1861805E" w14:textId="5D06E1A3" w:rsidR="004D5370" w:rsidRDefault="004D5370" w:rsidP="004D5370">
      <w:pPr>
        <w:pStyle w:val="Quote"/>
      </w:pPr>
      <w:r>
        <w:t xml:space="preserve">I think there should be some other </w:t>
      </w:r>
      <w:r w:rsidR="00C678C5">
        <w:t xml:space="preserve">(TAE) </w:t>
      </w:r>
      <w:r>
        <w:t>skill sets that are there</w:t>
      </w:r>
      <w:r w:rsidR="00C678C5">
        <w:t>,</w:t>
      </w:r>
      <w:r>
        <w:t xml:space="preserve"> like advanced assessment or RPL, that trainers and assessors such as myself can do. That would then be seen as a PD activity while I'm updating and refreshing my skills at the same time. (ID21, TAE teacher, Qld)</w:t>
      </w:r>
    </w:p>
    <w:p w14:paraId="6F866066" w14:textId="77777777" w:rsidR="004D5370" w:rsidRDefault="004D5370" w:rsidP="004D5370">
      <w:pPr>
        <w:pStyle w:val="Heading3"/>
        <w:rPr>
          <w:i/>
          <w:iCs/>
          <w:szCs w:val="19"/>
        </w:rPr>
      </w:pPr>
      <w:r w:rsidRPr="04727ED1">
        <w:rPr>
          <w:rFonts w:eastAsia="Arial"/>
        </w:rPr>
        <w:t>Peer-to-peer learning</w:t>
      </w:r>
    </w:p>
    <w:p w14:paraId="112D297C" w14:textId="77777777" w:rsidR="004D5370" w:rsidRPr="0076422E" w:rsidRDefault="004D5370" w:rsidP="004D5370">
      <w:pPr>
        <w:pStyle w:val="Text"/>
      </w:pPr>
      <w:r w:rsidRPr="0076422E">
        <w:t>Peer-to-peer learning, including mentoring, observations of teaching practice and informal discussions with colleagues, was viewed as highly valuable for teachers at all stages of their careers. For ongoing teacher development, interviewees particularly emphasised the benefits of observing other teachers and engaging in conversations and networking with peers to share ideas, experiences and teaching strategies.</w:t>
      </w:r>
    </w:p>
    <w:p w14:paraId="0C9D3A6A" w14:textId="77777777" w:rsidR="004D5370" w:rsidRPr="0076422E" w:rsidRDefault="004D5370" w:rsidP="004D5370">
      <w:pPr>
        <w:pStyle w:val="Text"/>
      </w:pPr>
      <w:r w:rsidRPr="0076422E">
        <w:lastRenderedPageBreak/>
        <w:t>However, participants noted that peer-to-peer learning is often constrained by the same barriers that affect other forms of professional development, including limited time, heavy workloads and financial pressures. In addition, its effectiveness can be reduced when teachers are reluctant to share their practice or lack the confidence to participate openly in collaborative learning activities.</w:t>
      </w:r>
    </w:p>
    <w:p w14:paraId="06D6A91C" w14:textId="77777777" w:rsidR="004D5370" w:rsidRDefault="004D5370" w:rsidP="004D5370">
      <w:pPr>
        <w:pStyle w:val="Heading4"/>
      </w:pPr>
      <w:r w:rsidRPr="04727ED1">
        <w:rPr>
          <w:rFonts w:eastAsia="Tahoma"/>
        </w:rPr>
        <w:t>Observations</w:t>
      </w:r>
    </w:p>
    <w:p w14:paraId="74225E47" w14:textId="77777777" w:rsidR="004D5370" w:rsidRDefault="004D5370" w:rsidP="004D5370">
      <w:pPr>
        <w:pStyle w:val="Text"/>
      </w:pPr>
      <w:r w:rsidRPr="00847921">
        <w:t>Observing the teaching practices of colleagues was identified as a valuable approach for improving teaching practice. Some RTOs have established formal peer observation programs that provide teachers with opportunities to observe others</w:t>
      </w:r>
      <w:r>
        <w:t>, as described by the following interviewees:</w:t>
      </w:r>
    </w:p>
    <w:p w14:paraId="6587B217" w14:textId="353FF835" w:rsidR="004D5370" w:rsidRDefault="00A07D8F" w:rsidP="004D5370">
      <w:pPr>
        <w:pStyle w:val="Quote"/>
      </w:pPr>
      <w:r>
        <w:t xml:space="preserve">We </w:t>
      </w:r>
      <w:r w:rsidR="004D5370">
        <w:t xml:space="preserve">allow our trainers once a year to go and spend </w:t>
      </w:r>
      <w:r w:rsidR="000E2598">
        <w:t xml:space="preserve">two </w:t>
      </w:r>
      <w:r w:rsidR="004D5370">
        <w:t xml:space="preserve">days with one of the other trainers and watch them deliver the TAE. Just to see how they do it and what they add to it, because whilst we might all be delivering the same session plan and the same content in a day, everyone brings something different to that content. </w:t>
      </w:r>
      <w:proofErr w:type="gramStart"/>
      <w:r w:rsidR="004D5370">
        <w:t>So</w:t>
      </w:r>
      <w:proofErr w:type="gramEnd"/>
      <w:r w:rsidR="004D5370">
        <w:t xml:space="preserve"> it's an opportunity to do that. And the other thing that they do is they give the trainer delivering feedback. (ID22, Chief Executive Officer/TAE teacher, Qld)</w:t>
      </w:r>
    </w:p>
    <w:p w14:paraId="21C81691" w14:textId="50B0566B" w:rsidR="004D5370" w:rsidRDefault="00A07D8F" w:rsidP="004D5370">
      <w:pPr>
        <w:pStyle w:val="Quote"/>
      </w:pPr>
      <w:r>
        <w:t xml:space="preserve">We </w:t>
      </w:r>
      <w:r w:rsidR="004D5370">
        <w:t xml:space="preserve">ran what we called open door classrooms where educators opened their doors to other colleagues and provided context prior to people coming in and observing. You know who the cohort was, what this unit was, what they were covering and what activities would be happening on the day. Peers went and observed other teachers teaching and then had some nice professional conversations afterwards. It was </w:t>
      </w:r>
      <w:proofErr w:type="gramStart"/>
      <w:r w:rsidR="004D5370">
        <w:t>really rich</w:t>
      </w:r>
      <w:proofErr w:type="gramEnd"/>
      <w:r w:rsidR="004D5370">
        <w:t xml:space="preserve"> learning. (ID73, Head of Department-Educator Capability, ACT)</w:t>
      </w:r>
    </w:p>
    <w:p w14:paraId="141675F8" w14:textId="77777777" w:rsidR="004D5370" w:rsidRPr="0028132A" w:rsidRDefault="004D5370" w:rsidP="004D5370">
      <w:pPr>
        <w:pStyle w:val="Text"/>
        <w:rPr>
          <w:rFonts w:eastAsia="Trebuchet MS" w:cs="Trebuchet MS"/>
        </w:rPr>
      </w:pPr>
      <w:r w:rsidRPr="0028132A">
        <w:rPr>
          <w:rFonts w:eastAsia="Trebuchet MS" w:cs="Trebuchet MS"/>
        </w:rPr>
        <w:t>Other RTOs adopted a more informal approach, where teachers arranged opportunities to observe colleagues or be observed themselves when they wanted to develop skills in a particular area.</w:t>
      </w:r>
    </w:p>
    <w:p w14:paraId="3CB874E6" w14:textId="77777777" w:rsidR="004D5370" w:rsidRPr="0028132A" w:rsidRDefault="004D5370" w:rsidP="004D5370">
      <w:pPr>
        <w:pStyle w:val="Text"/>
        <w:rPr>
          <w:rFonts w:eastAsia="Trebuchet MS" w:cs="Trebuchet MS"/>
        </w:rPr>
      </w:pPr>
      <w:r w:rsidRPr="0028132A">
        <w:rPr>
          <w:rFonts w:eastAsia="Trebuchet MS" w:cs="Trebuchet MS"/>
        </w:rPr>
        <w:t>Interviewees highlighted that observing teaching practice can benefit both the observer and the teacher being observed. Observers gain exposure to different teaching approaches, strategies and classroom techniques, while those being observed can receive feedback and reflect on their own practice. As a result, many participants suggested that peer observation should become a more common and routine feature of professional development within RTOs.</w:t>
      </w:r>
    </w:p>
    <w:p w14:paraId="0B69722D" w14:textId="30ABD60B" w:rsidR="004D5370" w:rsidRDefault="004D5370" w:rsidP="004D5370">
      <w:pPr>
        <w:pStyle w:val="Quote"/>
      </w:pPr>
      <w:r>
        <w:t>I did notice</w:t>
      </w:r>
      <w:r w:rsidR="00283B01">
        <w:t>,</w:t>
      </w:r>
      <w:r>
        <w:t xml:space="preserve"> </w:t>
      </w:r>
      <w:r w:rsidRPr="006A2C66">
        <w:t>even sitting in on my colleagues</w:t>
      </w:r>
      <w:r w:rsidR="00283B01">
        <w:t>,</w:t>
      </w:r>
      <w:r>
        <w:t xml:space="preserve"> a big variation in quality, and there was one teacher who was far better than another. So, you know, I think if it was just standard that everyone would sit in on another teacher's class once a year, just standard, you know, I think every teacher would benefit from just seeing the different things that people do. And even the person whose class is being sat in on would benefit from that as well. </w:t>
      </w:r>
      <w:r w:rsidRPr="00186891">
        <w:t>(ID41, Novice teacher, Vic.)</w:t>
      </w:r>
    </w:p>
    <w:p w14:paraId="674DDAEC" w14:textId="77777777" w:rsidR="004D5370" w:rsidRDefault="004D5370" w:rsidP="004D5370">
      <w:pPr>
        <w:pStyle w:val="Quote"/>
      </w:pPr>
      <w:r>
        <w:t xml:space="preserve">My personal belief is that every educator should have people come into their classroom and observe. </w:t>
      </w:r>
      <w:r w:rsidRPr="00DF6C81">
        <w:t>(ID80, Experienced teacher, ACT)</w:t>
      </w:r>
    </w:p>
    <w:p w14:paraId="14166E7C" w14:textId="77777777" w:rsidR="008054D2" w:rsidRDefault="008054D2" w:rsidP="004D5370">
      <w:pPr>
        <w:pStyle w:val="Heading4"/>
        <w:rPr>
          <w:rFonts w:eastAsia="Tahoma"/>
        </w:rPr>
      </w:pPr>
    </w:p>
    <w:p w14:paraId="30D480E1" w14:textId="56624C50" w:rsidR="004D5370" w:rsidRDefault="004D5370" w:rsidP="004D5370">
      <w:pPr>
        <w:pStyle w:val="Heading4"/>
      </w:pPr>
      <w:r w:rsidRPr="04727ED1">
        <w:rPr>
          <w:rFonts w:eastAsia="Tahoma"/>
        </w:rPr>
        <w:lastRenderedPageBreak/>
        <w:t>Conversations/networking</w:t>
      </w:r>
    </w:p>
    <w:p w14:paraId="6360F5DA" w14:textId="77777777" w:rsidR="004D5370" w:rsidRPr="00336E4A" w:rsidRDefault="004D5370" w:rsidP="004D5370">
      <w:pPr>
        <w:pStyle w:val="Text"/>
      </w:pPr>
      <w:r w:rsidRPr="00336E4A">
        <w:t>Interviewees and workshop participants consistently identified opportunities to connect with other teachers and share knowledge as one of the most effective ways to develop teaching skills. Creating a collaborative culture within RTOs and across the broader VET sector was seen as critical to providing the time and space needed for meaningful conversations, networking and professional learning.</w:t>
      </w:r>
    </w:p>
    <w:p w14:paraId="19C49C4A" w14:textId="77777777" w:rsidR="004D5370" w:rsidRPr="00336E4A" w:rsidRDefault="004D5370" w:rsidP="004D5370">
      <w:pPr>
        <w:pStyle w:val="Text"/>
      </w:pPr>
      <w:r w:rsidRPr="00336E4A">
        <w:t>Formal mechanisms for sharing knowledge, such as team meetings and communities of practice, were viewed as valuable for validating ideas, connecting with peers and exchanging experiences and teaching strategies. Communities of practice may operate at the RTO, jurisdictional or national level, and participants expressed interest in establishing more groups with a specific focus</w:t>
      </w:r>
      <w:r>
        <w:t xml:space="preserve">. For example, some already exist with a focus on </w:t>
      </w:r>
      <w:r w:rsidRPr="00336E4A">
        <w:t>Universal Design for Learning</w:t>
      </w:r>
      <w:r>
        <w:t>, and teaching and learning more generally</w:t>
      </w:r>
      <w:r w:rsidRPr="00336E4A">
        <w:t>.</w:t>
      </w:r>
    </w:p>
    <w:p w14:paraId="26AC9289" w14:textId="77777777" w:rsidR="004D5370" w:rsidRPr="00336E4A" w:rsidRDefault="004D5370" w:rsidP="004D5370">
      <w:pPr>
        <w:pStyle w:val="Text"/>
      </w:pPr>
      <w:r w:rsidRPr="00336E4A">
        <w:t xml:space="preserve">Most notably, the interviews and workshops highlighted the importance of </w:t>
      </w:r>
      <w:r>
        <w:t xml:space="preserve">creating the opportunity for </w:t>
      </w:r>
      <w:r w:rsidRPr="00336E4A">
        <w:t>informal conversations. Participants frequently described these interactions as one of the most valuable ways to share knowledge, learn from the experiences of others and build professional connections with fellow educators.</w:t>
      </w:r>
    </w:p>
    <w:p w14:paraId="457E4878" w14:textId="06BF2FA1" w:rsidR="004D5370" w:rsidRDefault="00853414" w:rsidP="004D5370">
      <w:pPr>
        <w:pStyle w:val="Quote"/>
      </w:pPr>
      <w:r>
        <w:t>I</w:t>
      </w:r>
      <w:r w:rsidR="004D5370">
        <w:t xml:space="preserve">t allows them just to ask the questions freely and share that knowledge, which I think is </w:t>
      </w:r>
      <w:proofErr w:type="gramStart"/>
      <w:r w:rsidR="004D5370">
        <w:t>really important</w:t>
      </w:r>
      <w:proofErr w:type="gramEnd"/>
      <w:r w:rsidR="004D5370">
        <w:t xml:space="preserve"> because chances are</w:t>
      </w:r>
      <w:r>
        <w:t>,</w:t>
      </w:r>
      <w:r w:rsidR="004D5370">
        <w:t xml:space="preserve"> if one of them has got the issue, the other one will need to or don't know how to solve it. </w:t>
      </w:r>
      <w:proofErr w:type="gramStart"/>
      <w:r w:rsidR="004D5370">
        <w:t>So</w:t>
      </w:r>
      <w:proofErr w:type="gramEnd"/>
      <w:r w:rsidR="004D5370">
        <w:t xml:space="preserve"> I think that informal networking and learning is a powerful tool for spreading the knowledge around the department. </w:t>
      </w:r>
      <w:r w:rsidR="004D5370" w:rsidRPr="00C03246">
        <w:t>(ID12, Compliance Manager, NSW)</w:t>
      </w:r>
    </w:p>
    <w:p w14:paraId="18AEEE00" w14:textId="71BEE2E2" w:rsidR="004D5370" w:rsidRDefault="003600C6" w:rsidP="004D5370">
      <w:pPr>
        <w:pStyle w:val="Quote"/>
      </w:pPr>
      <w:r>
        <w:t>T</w:t>
      </w:r>
      <w:r w:rsidR="004D5370">
        <w:t>hose tearoom conversations or those sitting at your desk conversations, I think they're sort of worthwhile and people don't see that</w:t>
      </w:r>
      <w:r w:rsidR="00672573">
        <w:t>,</w:t>
      </w:r>
      <w:r w:rsidR="004D5370">
        <w:t xml:space="preserve"> you know, it doesn't always have to be formal. </w:t>
      </w:r>
      <w:r w:rsidR="004D5370" w:rsidRPr="00A00C75">
        <w:t>(ID58, Experienced teacher, Vic.)</w:t>
      </w:r>
    </w:p>
    <w:p w14:paraId="09ED37A4" w14:textId="4748B70D" w:rsidR="004D5370" w:rsidRDefault="003600C6" w:rsidP="004D5370">
      <w:pPr>
        <w:pStyle w:val="Quote"/>
      </w:pPr>
      <w:r>
        <w:t xml:space="preserve">Having </w:t>
      </w:r>
      <w:r w:rsidR="004D5370">
        <w:t>the avenue to say</w:t>
      </w:r>
      <w:r w:rsidR="00672573">
        <w:t xml:space="preserve"> ‘</w:t>
      </w:r>
      <w:r w:rsidR="004D5370">
        <w:t>Hey, this isn't working</w:t>
      </w:r>
      <w:r w:rsidR="00672573">
        <w:t>’</w:t>
      </w:r>
      <w:r w:rsidR="004D5370">
        <w:t xml:space="preserve">, or </w:t>
      </w:r>
      <w:r w:rsidR="00672573">
        <w:t>‘</w:t>
      </w:r>
      <w:r w:rsidR="004D5370">
        <w:t>can you help me with this?</w:t>
      </w:r>
      <w:r w:rsidR="00672573">
        <w:t>’.</w:t>
      </w:r>
      <w:r w:rsidR="004D5370">
        <w:t xml:space="preserve"> </w:t>
      </w:r>
      <w:r w:rsidR="004D5370" w:rsidRPr="00154A87">
        <w:t>(ID12, Compliance Manager, NSW)</w:t>
      </w:r>
    </w:p>
    <w:p w14:paraId="6C7C468C" w14:textId="77777777" w:rsidR="004D5370" w:rsidRDefault="004D5370" w:rsidP="004D5370">
      <w:pPr>
        <w:pStyle w:val="Text"/>
      </w:pPr>
      <w:r>
        <w:t>These conversations are beneficial across all teaching experience levels, with more experienced teachers finding that they also have much that they can learn from others, including newer teachers.</w:t>
      </w:r>
    </w:p>
    <w:p w14:paraId="76AB5CFF" w14:textId="246F698B" w:rsidR="004D5370" w:rsidRDefault="003C4603" w:rsidP="004D5370">
      <w:pPr>
        <w:pStyle w:val="Quote"/>
      </w:pPr>
      <w:r>
        <w:t xml:space="preserve">Every </w:t>
      </w:r>
      <w:r w:rsidR="004D5370">
        <w:t>person is bringing their own sort of skills, competencies, knowledge</w:t>
      </w:r>
      <w:r>
        <w:t>, wh</w:t>
      </w:r>
      <w:r w:rsidR="004D5370">
        <w:t>ich we discuss a lot. We do help each other. I have learned so many new things from these new trainers</w:t>
      </w:r>
      <w:r>
        <w:t>.</w:t>
      </w:r>
      <w:r w:rsidR="004D5370">
        <w:t xml:space="preserve"> </w:t>
      </w:r>
      <w:r w:rsidR="004D5370" w:rsidRPr="00FF6AB3">
        <w:t xml:space="preserve">(ID8, Experienced teacher, </w:t>
      </w:r>
      <w:r w:rsidR="004D5370">
        <w:t>ACT</w:t>
      </w:r>
      <w:r w:rsidR="004D5370" w:rsidRPr="00FF6AB3">
        <w:t>)</w:t>
      </w:r>
    </w:p>
    <w:p w14:paraId="271B9175" w14:textId="77777777" w:rsidR="004D5370" w:rsidRDefault="004D5370" w:rsidP="004D5370">
      <w:pPr>
        <w:pStyle w:val="Text"/>
      </w:pPr>
      <w:r>
        <w:t>These conversations can also be online, with group chats being used as an example.</w:t>
      </w:r>
    </w:p>
    <w:p w14:paraId="67A801DB" w14:textId="277C0F2F" w:rsidR="004D5370" w:rsidRDefault="004D5370" w:rsidP="004D5370">
      <w:pPr>
        <w:pStyle w:val="Quote"/>
      </w:pPr>
      <w:r>
        <w:t>So</w:t>
      </w:r>
      <w:r w:rsidR="0048789A">
        <w:t xml:space="preserve">, </w:t>
      </w:r>
      <w:r>
        <w:t>for instance</w:t>
      </w:r>
      <w:r w:rsidR="0048789A">
        <w:t>,</w:t>
      </w:r>
      <w:r>
        <w:t xml:space="preserve"> we have our learning leader channel. </w:t>
      </w:r>
      <w:r w:rsidR="0048789A">
        <w:t>W</w:t>
      </w:r>
      <w:r>
        <w:t>e can have a conversation between people</w:t>
      </w:r>
      <w:r w:rsidR="0048789A">
        <w:t>,</w:t>
      </w:r>
      <w:r>
        <w:t xml:space="preserve"> can ask questions there</w:t>
      </w:r>
      <w:r w:rsidR="0048789A">
        <w:t>,</w:t>
      </w:r>
      <w:r>
        <w:t xml:space="preserve"> and it's just amongst the members of the time. And then we also have a situation where we'll hashtag things, we'll say, </w:t>
      </w:r>
      <w:r w:rsidR="00AE6E38">
        <w:t>‘</w:t>
      </w:r>
      <w:r>
        <w:t>hey, if there's an issue or an idea</w:t>
      </w:r>
      <w:r w:rsidR="00AE6E38">
        <w:t>,</w:t>
      </w:r>
      <w:r>
        <w:t xml:space="preserve"> hashtag that</w:t>
      </w:r>
      <w:r w:rsidR="00AE6E38">
        <w:t>’</w:t>
      </w:r>
      <w:r>
        <w:t>. (ID42, Chief Executive Officer/TAE trainer, Qld)</w:t>
      </w:r>
    </w:p>
    <w:p w14:paraId="335C0BEC" w14:textId="77777777" w:rsidR="004D5370" w:rsidRDefault="004D5370" w:rsidP="004D5370">
      <w:pPr>
        <w:pStyle w:val="Text"/>
      </w:pPr>
      <w:r w:rsidRPr="04727ED1">
        <w:rPr>
          <w:rFonts w:eastAsia="Trebuchet MS" w:cs="Trebuchet MS"/>
          <w:szCs w:val="19"/>
        </w:rPr>
        <w:t>Some teachers also spoke about using their connections at other RTOs, such as former colleagues, to seek advice or share ideas with. Most of these interactions occurred in an informal manner and only because of their pre-existing relationship.</w:t>
      </w:r>
    </w:p>
    <w:p w14:paraId="6D421CA5" w14:textId="09B1D291" w:rsidR="004D5370" w:rsidRDefault="004D5370" w:rsidP="004D5370">
      <w:pPr>
        <w:pStyle w:val="Quote"/>
      </w:pPr>
      <w:r>
        <w:lastRenderedPageBreak/>
        <w:t>I know a couple of directors in RTOs, so I liaise with them, but there's nothing that's sort of like a practice by our RTO to do that</w:t>
      </w:r>
      <w:r w:rsidR="00C17FDD">
        <w:t xml:space="preserve">. </w:t>
      </w:r>
      <w:r>
        <w:t>Oh, so many benefits</w:t>
      </w:r>
      <w:r w:rsidR="00C17FDD">
        <w:t>, ju</w:t>
      </w:r>
      <w:r>
        <w:t xml:space="preserve">st what the innovations they have in the classrooms towards assessments, their interpretation of criteria. I could go </w:t>
      </w:r>
      <w:proofErr w:type="gramStart"/>
      <w:r>
        <w:t>on,</w:t>
      </w:r>
      <w:proofErr w:type="gramEnd"/>
      <w:r>
        <w:t xml:space="preserve"> there's so many benefits to having relationships with other RTOs. </w:t>
      </w:r>
      <w:r w:rsidRPr="005311D2">
        <w:t>(ID13, VET Coordinator-Quality Teaching and Learning, Vic.)</w:t>
      </w:r>
    </w:p>
    <w:p w14:paraId="1C51E3D3" w14:textId="77777777" w:rsidR="004D5370" w:rsidRPr="00626E16" w:rsidRDefault="004D5370" w:rsidP="004D5370">
      <w:pPr>
        <w:pStyle w:val="Text"/>
      </w:pPr>
      <w:r w:rsidRPr="00626E16">
        <w:t>While interviewees and workshop participants highlighted many benefits of a collaborative teaching culture, they also noted that not all teachers are willing to participate in knowledge-sharing activities. Some participants suggested that this reluctance may stem from concerns about sharing expertise or a perception that doing so could diminish their own value or advantage.</w:t>
      </w:r>
    </w:p>
    <w:p w14:paraId="2397C318" w14:textId="3BFB4D83" w:rsidR="00D76E9A" w:rsidRDefault="00D76E9A" w:rsidP="00D76E9A">
      <w:pPr>
        <w:pStyle w:val="Quote"/>
      </w:pPr>
      <w:r>
        <w:t xml:space="preserve">Some people are very protective of their skills and </w:t>
      </w:r>
      <w:proofErr w:type="gramStart"/>
      <w:r>
        <w:t>knowledge</w:t>
      </w:r>
      <w:proofErr w:type="gramEnd"/>
      <w:r>
        <w:t xml:space="preserve"> and they don't want to share it. Some trainers just refuse to share anything. You also get the ones that share the wrong information, like</w:t>
      </w:r>
      <w:r w:rsidR="001035C4">
        <w:t xml:space="preserve">, </w:t>
      </w:r>
      <w:r>
        <w:t>that give</w:t>
      </w:r>
      <w:r w:rsidR="001035C4">
        <w:t>s</w:t>
      </w:r>
      <w:r>
        <w:t xml:space="preserve"> them bad habits or bad processes</w:t>
      </w:r>
      <w:r w:rsidR="00945BCD">
        <w:t xml:space="preserve"> </w:t>
      </w:r>
      <w:r>
        <w:t xml:space="preserve">you don't want, but I find it's mostly a power thing. </w:t>
      </w:r>
      <w:r w:rsidRPr="00E62647">
        <w:t>(ID12, Compliance Manager, NSW)</w:t>
      </w:r>
    </w:p>
    <w:p w14:paraId="10242AFE" w14:textId="2D1D2BFC" w:rsidR="00D76E9A" w:rsidRDefault="00D76E9A" w:rsidP="00D76E9A">
      <w:pPr>
        <w:pStyle w:val="Quote"/>
      </w:pPr>
      <w:proofErr w:type="gramStart"/>
      <w:r>
        <w:t>So</w:t>
      </w:r>
      <w:proofErr w:type="gramEnd"/>
      <w:r>
        <w:t xml:space="preserve"> they don't see the benefit and the value of working together, combining strength and weaknesses to be stronger. They don't see it like that. They're looking for the weak point just to, you know</w:t>
      </w:r>
      <w:r w:rsidR="00945BCD">
        <w:t xml:space="preserve">, </w:t>
      </w:r>
      <w:r>
        <w:t xml:space="preserve">take you down. </w:t>
      </w:r>
      <w:r w:rsidRPr="00D84DD0">
        <w:t>(ID29, Novice teacher, WA)</w:t>
      </w:r>
    </w:p>
    <w:p w14:paraId="0C9DCF20" w14:textId="60995071" w:rsidR="004D5370" w:rsidRPr="00626E16" w:rsidRDefault="004D5370" w:rsidP="004D5370">
      <w:pPr>
        <w:pStyle w:val="Text"/>
      </w:pPr>
      <w:r w:rsidRPr="00626E16">
        <w:t>Participants also recognised that barriers to participation are not always attitudinal. Casual teachers, those working in small RTOs, and teachers who work remotely or in isolation may have fewer opportunities to engage in collaborative activities, making it more difficult for them to participate in communities of practice, networking opportunities and informal knowledge-sharing with peers.</w:t>
      </w:r>
    </w:p>
    <w:p w14:paraId="34700178" w14:textId="77777777" w:rsidR="004D5370" w:rsidRDefault="004D5370" w:rsidP="004D5370">
      <w:pPr>
        <w:pStyle w:val="Heading4"/>
      </w:pPr>
      <w:r>
        <w:t>Strategies for s</w:t>
      </w:r>
      <w:r w:rsidRPr="01028DDF">
        <w:rPr>
          <w:rFonts w:eastAsia="Tahoma" w:cs="Tahoma"/>
        </w:rPr>
        <w:t>mall RTOs</w:t>
      </w:r>
    </w:p>
    <w:p w14:paraId="47F51729" w14:textId="77777777" w:rsidR="004D5370" w:rsidRPr="00797A04" w:rsidRDefault="004D5370" w:rsidP="004D5370">
      <w:pPr>
        <w:pStyle w:val="Text"/>
      </w:pPr>
      <w:r w:rsidRPr="00797A04">
        <w:t>Some workshop participants worked in very small RTOs</w:t>
      </w:r>
      <w:r>
        <w:t>, including those</w:t>
      </w:r>
      <w:r w:rsidRPr="00797A04">
        <w:t xml:space="preserve"> where they were the sole teacher, raising questions about how educators in these settings can engage in peer-to-peer learning. Workshop discussions explored a range of approaches to overcoming this challenge, including:</w:t>
      </w:r>
    </w:p>
    <w:p w14:paraId="20864D13" w14:textId="77777777" w:rsidR="004D5370" w:rsidRPr="00797A04" w:rsidRDefault="004D5370" w:rsidP="00ED34DA">
      <w:pPr>
        <w:pStyle w:val="Dotpoint1"/>
      </w:pPr>
      <w:r w:rsidRPr="00797A04">
        <w:t>Building relationships with teachers from other RTOs to share knowledge, experiences and teaching practices.</w:t>
      </w:r>
    </w:p>
    <w:p w14:paraId="5B4788D3" w14:textId="77777777" w:rsidR="004D5370" w:rsidRPr="00797A04" w:rsidRDefault="004D5370" w:rsidP="00ED34DA">
      <w:pPr>
        <w:pStyle w:val="Dotpoint1"/>
      </w:pPr>
      <w:r w:rsidRPr="00797A04">
        <w:t>Participating in broader networking opportunities, such as online communities of practice, professional networks and LinkedIn groups.</w:t>
      </w:r>
    </w:p>
    <w:p w14:paraId="6258E5F6" w14:textId="77777777" w:rsidR="004D5370" w:rsidRPr="00797A04" w:rsidRDefault="004D5370" w:rsidP="004D5370">
      <w:pPr>
        <w:pStyle w:val="Text"/>
      </w:pPr>
      <w:r w:rsidRPr="00797A04">
        <w:t>These approaches were seen as important ways for teachers working in isolation to access professional support, exchange ideas and remain connected with the wider VET teaching community.</w:t>
      </w:r>
    </w:p>
    <w:p w14:paraId="077AEA02" w14:textId="77777777" w:rsidR="004D5370" w:rsidRDefault="004D5370" w:rsidP="004D5370">
      <w:pPr>
        <w:pStyle w:val="Heading3"/>
        <w:rPr>
          <w:i/>
          <w:iCs/>
          <w:szCs w:val="19"/>
        </w:rPr>
      </w:pPr>
      <w:r w:rsidRPr="04727ED1">
        <w:rPr>
          <w:rFonts w:eastAsia="Arial"/>
        </w:rPr>
        <w:t>Action research</w:t>
      </w:r>
    </w:p>
    <w:p w14:paraId="117007D3" w14:textId="77777777" w:rsidR="004D5370" w:rsidRPr="008402E2" w:rsidRDefault="004D5370" w:rsidP="004D5370">
      <w:pPr>
        <w:pStyle w:val="Text"/>
      </w:pPr>
      <w:r w:rsidRPr="008402E2">
        <w:t xml:space="preserve">Of all the professional development approaches discussed during the workshops, action research was the least familiar to participants. In most jurisdictions, participants reported having little understanding of action research or did not believe they had ever participated in it. Victoria was a notable exception, with participants pointing to more formal opportunities, </w:t>
      </w:r>
      <w:r w:rsidRPr="008402E2">
        <w:lastRenderedPageBreak/>
        <w:t>such as the International Specialised Skills Institute (ISSI) Fellowships, that support practitioner-led inquiry and research.</w:t>
      </w:r>
    </w:p>
    <w:p w14:paraId="11E8ECDE" w14:textId="77777777" w:rsidR="004D5370" w:rsidRPr="008402E2" w:rsidRDefault="004D5370" w:rsidP="004D5370">
      <w:pPr>
        <w:pStyle w:val="Text"/>
      </w:pPr>
      <w:r w:rsidRPr="008402E2">
        <w:t xml:space="preserve">Participants also noted that funding and opportunities for formal action research projects have declined over the past decade. One example raised was the former Community of Practice Scholarships for VET practitioners, previously administered by NCVER. However, there </w:t>
      </w:r>
      <w:r>
        <w:t>is some possibility that</w:t>
      </w:r>
      <w:r w:rsidRPr="008402E2">
        <w:t xml:space="preserve"> opportunities may increase in the future, with the National TAFE Network identifying the development of applied research capability as a priority for the TAFE sector (National TAFE Network Committee 2025).</w:t>
      </w:r>
    </w:p>
    <w:p w14:paraId="2FD3B181" w14:textId="77777777" w:rsidR="004D5370" w:rsidRPr="008402E2" w:rsidRDefault="004D5370" w:rsidP="004D5370">
      <w:pPr>
        <w:pStyle w:val="Text"/>
      </w:pPr>
      <w:r w:rsidRPr="008402E2">
        <w:t xml:space="preserve">Despite its limited recognition as a professional development approach, workshop participants suggested that many teachers may already be engaging in forms of action research as part of their everyday practice. As one participant observed, “we do it but haven’t named it or shared it.” Teachers often trial new approaches, reflect on outcomes and </w:t>
      </w:r>
      <w:proofErr w:type="gramStart"/>
      <w:r w:rsidRPr="008402E2">
        <w:t>make adjustments to</w:t>
      </w:r>
      <w:proofErr w:type="gramEnd"/>
      <w:r w:rsidRPr="008402E2">
        <w:t xml:space="preserve"> their practice, but these activities are rarely identified as action research or documented in a systematic way.</w:t>
      </w:r>
    </w:p>
    <w:p w14:paraId="674D65D2" w14:textId="77777777" w:rsidR="004D5370" w:rsidRPr="008402E2" w:rsidRDefault="004D5370" w:rsidP="004D5370">
      <w:pPr>
        <w:pStyle w:val="Text"/>
      </w:pPr>
      <w:r w:rsidRPr="008402E2">
        <w:t>Participants suggested that action research could be more formally embedded within teaching practice, as it provides a structured way to evaluate and document the impact of teaching innovations and changes. At present, action research appears to be largely driven by individual teachers from the bottom up, and the findings are often not shared beyond the immediate context unless they form part of a formal initiative, such as an ISSI Fellowship.</w:t>
      </w:r>
    </w:p>
    <w:p w14:paraId="1F481FD4" w14:textId="77777777" w:rsidR="004D5370" w:rsidRDefault="004D5370" w:rsidP="004D5370">
      <w:pPr>
        <w:pStyle w:val="Text"/>
      </w:pPr>
      <w:r>
        <w:t>The benefits of projects conducted through action research can extend across both the individual and the RTO as expressed by these interviewees:</w:t>
      </w:r>
    </w:p>
    <w:p w14:paraId="2CF9C921" w14:textId="77777777" w:rsidR="004D5370" w:rsidRDefault="004D5370" w:rsidP="004D5370">
      <w:pPr>
        <w:pStyle w:val="Quote"/>
      </w:pPr>
      <w:r w:rsidRPr="07725E5F">
        <w:rPr>
          <w:rFonts w:eastAsia="Trebuchet MS" w:cs="Trebuchet MS"/>
        </w:rPr>
        <w:t xml:space="preserve">So funnily enough, I did a research project a couple of years ago on industry currency and from that research that we did, I </w:t>
      </w:r>
      <w:proofErr w:type="gramStart"/>
      <w:r w:rsidRPr="07725E5F">
        <w:rPr>
          <w:rFonts w:eastAsia="Trebuchet MS" w:cs="Trebuchet MS"/>
        </w:rPr>
        <w:t>actually developed</w:t>
      </w:r>
      <w:proofErr w:type="gramEnd"/>
      <w:r w:rsidRPr="07725E5F">
        <w:rPr>
          <w:rFonts w:eastAsia="Trebuchet MS" w:cs="Trebuchet MS"/>
        </w:rPr>
        <w:t xml:space="preserve"> an industry currency toolkit. </w:t>
      </w:r>
      <w:r w:rsidRPr="00255837">
        <w:rPr>
          <w:rFonts w:eastAsia="Trebuchet MS" w:cs="Trebuchet MS"/>
        </w:rPr>
        <w:t>(ID34, Teacher Development Coordinator, Vic.)</w:t>
      </w:r>
    </w:p>
    <w:p w14:paraId="05A5CAE9" w14:textId="0683EA9D" w:rsidR="004D5370" w:rsidRDefault="004D5370" w:rsidP="004D5370">
      <w:pPr>
        <w:pStyle w:val="Quote"/>
      </w:pPr>
      <w:proofErr w:type="gramStart"/>
      <w:r w:rsidRPr="0738F7A2">
        <w:rPr>
          <w:rFonts w:eastAsia="Trebuchet MS" w:cs="Trebuchet MS"/>
        </w:rPr>
        <w:t>So</w:t>
      </w:r>
      <w:proofErr w:type="gramEnd"/>
      <w:r w:rsidRPr="0738F7A2">
        <w:rPr>
          <w:rFonts w:eastAsia="Trebuchet MS" w:cs="Trebuchet MS"/>
        </w:rPr>
        <w:t xml:space="preserve"> they approached me about an international scholarship </w:t>
      </w:r>
      <w:r>
        <w:rPr>
          <w:rFonts w:eastAsia="Trebuchet MS" w:cs="Trebuchet MS"/>
        </w:rPr>
        <w:t>….</w:t>
      </w:r>
      <w:r w:rsidRPr="0738F7A2">
        <w:rPr>
          <w:rFonts w:eastAsia="Trebuchet MS" w:cs="Trebuchet MS"/>
        </w:rPr>
        <w:t xml:space="preserve"> </w:t>
      </w:r>
      <w:r w:rsidR="0036656D">
        <w:rPr>
          <w:rFonts w:eastAsia="Trebuchet MS" w:cs="Trebuchet MS"/>
        </w:rPr>
        <w:t>i</w:t>
      </w:r>
      <w:r w:rsidR="0036656D" w:rsidRPr="0738F7A2">
        <w:rPr>
          <w:rFonts w:eastAsia="Trebuchet MS" w:cs="Trebuchet MS"/>
        </w:rPr>
        <w:t xml:space="preserve">t's </w:t>
      </w:r>
      <w:r w:rsidRPr="0E527978">
        <w:rPr>
          <w:rFonts w:eastAsia="Trebuchet MS" w:cs="Trebuchet MS"/>
        </w:rPr>
        <w:t>an</w:t>
      </w:r>
      <w:r w:rsidRPr="0738F7A2">
        <w:rPr>
          <w:rFonts w:eastAsia="Trebuchet MS" w:cs="Trebuchet MS"/>
        </w:rPr>
        <w:t xml:space="preserve"> applied research thing </w:t>
      </w:r>
      <w:r>
        <w:rPr>
          <w:rFonts w:eastAsia="Trebuchet MS" w:cs="Trebuchet MS"/>
        </w:rPr>
        <w:t>f</w:t>
      </w:r>
      <w:r w:rsidRPr="0738F7A2">
        <w:rPr>
          <w:rFonts w:eastAsia="Trebuchet MS" w:cs="Trebuchet MS"/>
        </w:rPr>
        <w:t xml:space="preserve">ellowship. And you know the last research paper I did, they want to put in this little sort of published magazine thing for VET teachers. Basically, </w:t>
      </w:r>
      <w:r>
        <w:rPr>
          <w:rFonts w:eastAsia="Trebuchet MS" w:cs="Trebuchet MS"/>
        </w:rPr>
        <w:t>I’ve gone,</w:t>
      </w:r>
      <w:r w:rsidRPr="0738F7A2">
        <w:rPr>
          <w:rFonts w:eastAsia="Trebuchet MS" w:cs="Trebuchet MS"/>
        </w:rPr>
        <w:t xml:space="preserve"> I don't have to stop here. </w:t>
      </w:r>
      <w:r w:rsidRPr="00680234">
        <w:rPr>
          <w:rFonts w:eastAsia="Trebuchet MS" w:cs="Trebuchet MS"/>
        </w:rPr>
        <w:t>(ID35, Novice teacher, Vic.)</w:t>
      </w:r>
    </w:p>
    <w:p w14:paraId="446610E7" w14:textId="77777777" w:rsidR="004D5370" w:rsidRDefault="004D5370" w:rsidP="004D5370">
      <w:pPr>
        <w:pStyle w:val="Heading3"/>
        <w:rPr>
          <w:i/>
          <w:iCs/>
          <w:szCs w:val="19"/>
        </w:rPr>
      </w:pPr>
      <w:r w:rsidRPr="04727ED1">
        <w:rPr>
          <w:rFonts w:eastAsia="Arial"/>
        </w:rPr>
        <w:t xml:space="preserve">Suggestions by educators to help enable participation in professional development </w:t>
      </w:r>
    </w:p>
    <w:p w14:paraId="1AA359F8" w14:textId="2C979DC0" w:rsidR="004D5370" w:rsidRPr="001A675F" w:rsidRDefault="004D5370" w:rsidP="004D5370">
      <w:pPr>
        <w:pStyle w:val="Text"/>
      </w:pPr>
      <w:r w:rsidRPr="001A675F">
        <w:t>The main report outlines participants’ suggestions for</w:t>
      </w:r>
      <w:r>
        <w:t xml:space="preserve"> enabling </w:t>
      </w:r>
      <w:r w:rsidRPr="001A675F">
        <w:t xml:space="preserve">participation in professional development. However, interviews and workshops also identified additional barriers that were specific to </w:t>
      </w:r>
      <w:proofErr w:type="gramStart"/>
      <w:r w:rsidRPr="001A675F">
        <w:t>particular teaching</w:t>
      </w:r>
      <w:proofErr w:type="gramEnd"/>
      <w:r w:rsidRPr="001A675F">
        <w:t xml:space="preserve"> contexts, as summarised in </w:t>
      </w:r>
      <w:r w:rsidR="004D74E8">
        <w:t>t</w:t>
      </w:r>
      <w:r w:rsidRPr="001A675F">
        <w:t xml:space="preserve">able </w:t>
      </w:r>
      <w:r w:rsidR="004D74E8">
        <w:t>7</w:t>
      </w:r>
      <w:r w:rsidRPr="001A675F">
        <w:t>.</w:t>
      </w:r>
    </w:p>
    <w:p w14:paraId="07BF2FBA" w14:textId="77777777" w:rsidR="004D5370" w:rsidRPr="001A675F" w:rsidRDefault="004D5370" w:rsidP="004D5370">
      <w:pPr>
        <w:pStyle w:val="Text"/>
      </w:pPr>
      <w:r w:rsidRPr="001A675F">
        <w:t>One issue raised during the workshops was that low participation in professional development among casual teachers is not always due to a lack of time, funding or access. Participants suggested that some casual teachers may be reluctant to seek professional development opportunities because they fear it could be interpreted as evidence of a skills deficit. In turn, they may worry that this perception could affect their reputation or influence future teaching opportunities and contract renewals.</w:t>
      </w:r>
    </w:p>
    <w:p w14:paraId="4C96A1A0" w14:textId="52FD434E" w:rsidR="004D5370" w:rsidRDefault="004D5370" w:rsidP="00304F5C">
      <w:pPr>
        <w:pStyle w:val="Tabletitle0"/>
      </w:pPr>
      <w:bookmarkStart w:id="53" w:name="_Toc231209707"/>
      <w:bookmarkStart w:id="54" w:name="_Toc241744010"/>
      <w:r>
        <w:lastRenderedPageBreak/>
        <w:t xml:space="preserve">Table </w:t>
      </w:r>
      <w:r w:rsidR="004D74E8">
        <w:t>7</w:t>
      </w:r>
      <w:r>
        <w:t xml:space="preserve"> Context specific barriers to professional development</w:t>
      </w:r>
      <w:bookmarkEnd w:id="53"/>
      <w:bookmarkEnd w:id="54"/>
    </w:p>
    <w:tbl>
      <w:tblPr>
        <w:tblStyle w:val="TableGrid"/>
        <w:tblW w:w="0" w:type="auto"/>
        <w:tblLook w:val="06A0" w:firstRow="1" w:lastRow="0" w:firstColumn="1" w:lastColumn="0" w:noHBand="1" w:noVBand="1"/>
      </w:tblPr>
      <w:tblGrid>
        <w:gridCol w:w="1833"/>
        <w:gridCol w:w="3119"/>
        <w:gridCol w:w="4093"/>
      </w:tblGrid>
      <w:tr w:rsidR="004D5370" w14:paraId="248F0FBA" w14:textId="77777777" w:rsidTr="00012970">
        <w:trPr>
          <w:trHeight w:val="300"/>
        </w:trPr>
        <w:tc>
          <w:tcPr>
            <w:tcW w:w="1833" w:type="dxa"/>
            <w:tcBorders>
              <w:top w:val="single" w:sz="8" w:space="0" w:color="0F112A" w:themeColor="text1"/>
              <w:left w:val="single" w:sz="8" w:space="0" w:color="0F112A" w:themeColor="text1"/>
              <w:bottom w:val="single" w:sz="8" w:space="0" w:color="0F112A" w:themeColor="text1"/>
              <w:right w:val="single" w:sz="8" w:space="0" w:color="0F112A" w:themeColor="text1"/>
            </w:tcBorders>
            <w:tcMar>
              <w:left w:w="108" w:type="dxa"/>
              <w:right w:w="108" w:type="dxa"/>
            </w:tcMar>
          </w:tcPr>
          <w:p w14:paraId="49C353A9" w14:textId="77777777" w:rsidR="004D5370" w:rsidRDefault="004D5370" w:rsidP="00012970">
            <w:pPr>
              <w:pStyle w:val="Tablehead1"/>
            </w:pPr>
            <w:r>
              <w:t>Context</w:t>
            </w:r>
          </w:p>
        </w:tc>
        <w:tc>
          <w:tcPr>
            <w:tcW w:w="3119" w:type="dxa"/>
            <w:tcBorders>
              <w:top w:val="single" w:sz="8" w:space="0" w:color="0F112A" w:themeColor="text1"/>
              <w:left w:val="single" w:sz="8" w:space="0" w:color="0F112A" w:themeColor="text1"/>
              <w:bottom w:val="single" w:sz="8" w:space="0" w:color="0F112A" w:themeColor="text1"/>
              <w:right w:val="single" w:sz="8" w:space="0" w:color="0F112A" w:themeColor="text1"/>
            </w:tcBorders>
            <w:tcMar>
              <w:left w:w="108" w:type="dxa"/>
              <w:right w:w="108" w:type="dxa"/>
            </w:tcMar>
          </w:tcPr>
          <w:p w14:paraId="656D60BF" w14:textId="77777777" w:rsidR="004D5370" w:rsidRDefault="004D5370" w:rsidP="00012970">
            <w:pPr>
              <w:pStyle w:val="Tablehead1"/>
            </w:pPr>
            <w:r>
              <w:t>Issue</w:t>
            </w:r>
          </w:p>
        </w:tc>
        <w:tc>
          <w:tcPr>
            <w:tcW w:w="4093" w:type="dxa"/>
            <w:tcBorders>
              <w:top w:val="single" w:sz="8" w:space="0" w:color="0F112A" w:themeColor="text1"/>
              <w:left w:val="single" w:sz="8" w:space="0" w:color="0F112A" w:themeColor="text1"/>
              <w:bottom w:val="single" w:sz="8" w:space="0" w:color="0F112A" w:themeColor="text1"/>
              <w:right w:val="single" w:sz="8" w:space="0" w:color="0F112A" w:themeColor="text1"/>
            </w:tcBorders>
            <w:tcMar>
              <w:left w:w="108" w:type="dxa"/>
              <w:right w:w="108" w:type="dxa"/>
            </w:tcMar>
          </w:tcPr>
          <w:p w14:paraId="30255DDF" w14:textId="77777777" w:rsidR="004D5370" w:rsidRDefault="004D5370" w:rsidP="00012970">
            <w:pPr>
              <w:pStyle w:val="Tablehead1"/>
            </w:pPr>
            <w:r>
              <w:t>Related quote</w:t>
            </w:r>
          </w:p>
        </w:tc>
      </w:tr>
      <w:tr w:rsidR="004D5370" w14:paraId="45A65BE6" w14:textId="77777777" w:rsidTr="00012970">
        <w:trPr>
          <w:trHeight w:val="300"/>
        </w:trPr>
        <w:tc>
          <w:tcPr>
            <w:tcW w:w="1833" w:type="dxa"/>
            <w:tcBorders>
              <w:top w:val="single" w:sz="8" w:space="0" w:color="0F112A" w:themeColor="text1"/>
              <w:left w:val="single" w:sz="8" w:space="0" w:color="0F112A" w:themeColor="text1"/>
              <w:bottom w:val="single" w:sz="8" w:space="0" w:color="0F112A" w:themeColor="text1"/>
              <w:right w:val="single" w:sz="8" w:space="0" w:color="0F112A" w:themeColor="text1"/>
            </w:tcBorders>
            <w:tcMar>
              <w:left w:w="108" w:type="dxa"/>
              <w:right w:w="108" w:type="dxa"/>
            </w:tcMar>
          </w:tcPr>
          <w:p w14:paraId="1F5B12A3" w14:textId="77777777" w:rsidR="004D5370" w:rsidRDefault="004D5370" w:rsidP="00ED34DA">
            <w:pPr>
              <w:pStyle w:val="Tabletext"/>
            </w:pPr>
            <w:r w:rsidRPr="04727ED1">
              <w:rPr>
                <w:rFonts w:eastAsia="Arial"/>
              </w:rPr>
              <w:t>Not-for-profit sector</w:t>
            </w:r>
          </w:p>
        </w:tc>
        <w:tc>
          <w:tcPr>
            <w:tcW w:w="3119" w:type="dxa"/>
            <w:tcBorders>
              <w:top w:val="single" w:sz="8" w:space="0" w:color="0F112A" w:themeColor="text1"/>
              <w:left w:val="single" w:sz="8" w:space="0" w:color="0F112A" w:themeColor="text1"/>
              <w:bottom w:val="single" w:sz="8" w:space="0" w:color="0F112A" w:themeColor="text1"/>
              <w:right w:val="single" w:sz="8" w:space="0" w:color="0F112A" w:themeColor="text1"/>
            </w:tcBorders>
            <w:tcMar>
              <w:left w:w="108" w:type="dxa"/>
              <w:right w:w="108" w:type="dxa"/>
            </w:tcMar>
          </w:tcPr>
          <w:p w14:paraId="03E6B64F" w14:textId="77777777" w:rsidR="004D5370" w:rsidRDefault="004D5370" w:rsidP="00ED34DA">
            <w:pPr>
              <w:pStyle w:val="Tabletext"/>
            </w:pPr>
            <w:r w:rsidRPr="04727ED1">
              <w:rPr>
                <w:rFonts w:eastAsia="Arial"/>
              </w:rPr>
              <w:t>Budget</w:t>
            </w:r>
          </w:p>
        </w:tc>
        <w:tc>
          <w:tcPr>
            <w:tcW w:w="4093" w:type="dxa"/>
            <w:tcBorders>
              <w:top w:val="single" w:sz="8" w:space="0" w:color="0F112A" w:themeColor="text1"/>
              <w:left w:val="single" w:sz="8" w:space="0" w:color="0F112A" w:themeColor="text1"/>
              <w:bottom w:val="single" w:sz="8" w:space="0" w:color="0F112A" w:themeColor="text1"/>
              <w:right w:val="single" w:sz="8" w:space="0" w:color="0F112A" w:themeColor="text1"/>
            </w:tcBorders>
            <w:tcMar>
              <w:left w:w="108" w:type="dxa"/>
              <w:right w:w="108" w:type="dxa"/>
            </w:tcMar>
          </w:tcPr>
          <w:p w14:paraId="44ECA5ED" w14:textId="584FC510" w:rsidR="004D5370" w:rsidRDefault="004D5370" w:rsidP="004D74E8">
            <w:pPr>
              <w:pStyle w:val="Tabletext"/>
              <w:tabs>
                <w:tab w:val="left" w:pos="257"/>
              </w:tabs>
            </w:pPr>
            <w:r w:rsidRPr="04727ED1">
              <w:rPr>
                <w:rFonts w:eastAsia="Arial"/>
              </w:rPr>
              <w:t>“</w:t>
            </w:r>
            <w:proofErr w:type="gramStart"/>
            <w:r w:rsidRPr="04727ED1">
              <w:rPr>
                <w:rFonts w:eastAsia="Arial"/>
              </w:rPr>
              <w:t>So</w:t>
            </w:r>
            <w:proofErr w:type="gramEnd"/>
            <w:r w:rsidRPr="04727ED1">
              <w:rPr>
                <w:rFonts w:eastAsia="Arial"/>
              </w:rPr>
              <w:t xml:space="preserve"> I would say budget is</w:t>
            </w:r>
            <w:r w:rsidR="00B63475">
              <w:rPr>
                <w:rFonts w:eastAsia="Arial"/>
              </w:rPr>
              <w:t xml:space="preserve"> … w</w:t>
            </w:r>
            <w:r w:rsidRPr="270CDD10">
              <w:rPr>
                <w:rFonts w:eastAsia="Arial"/>
              </w:rPr>
              <w:t>e</w:t>
            </w:r>
            <w:r w:rsidRPr="04727ED1">
              <w:rPr>
                <w:rFonts w:eastAsia="Arial"/>
              </w:rPr>
              <w:t xml:space="preserve"> are not-for-profit organi</w:t>
            </w:r>
            <w:r w:rsidR="00B63475">
              <w:rPr>
                <w:rFonts w:eastAsia="Arial"/>
              </w:rPr>
              <w:t>s</w:t>
            </w:r>
            <w:r w:rsidRPr="04727ED1">
              <w:rPr>
                <w:rFonts w:eastAsia="Arial"/>
              </w:rPr>
              <w:t>ations, so budget could be a biggest</w:t>
            </w:r>
            <w:r w:rsidR="006C632E">
              <w:rPr>
                <w:rFonts w:eastAsia="Arial"/>
              </w:rPr>
              <w:t xml:space="preserve"> </w:t>
            </w:r>
            <w:r w:rsidRPr="04727ED1">
              <w:rPr>
                <w:rFonts w:eastAsia="Arial"/>
              </w:rPr>
              <w:t xml:space="preserve">issue. Not that </w:t>
            </w:r>
            <w:r w:rsidR="002B1C95">
              <w:rPr>
                <w:rFonts w:eastAsia="Arial"/>
              </w:rPr>
              <w:t xml:space="preserve">the </w:t>
            </w:r>
            <w:r w:rsidRPr="04727ED1">
              <w:rPr>
                <w:rFonts w:eastAsia="Arial"/>
              </w:rPr>
              <w:t>manager doesn't want to, but if they don't have budget</w:t>
            </w:r>
            <w:r w:rsidR="002B1C95">
              <w:rPr>
                <w:rFonts w:eastAsia="Arial"/>
              </w:rPr>
              <w:t>,</w:t>
            </w:r>
            <w:r w:rsidRPr="04727ED1">
              <w:rPr>
                <w:rFonts w:eastAsia="Arial"/>
              </w:rPr>
              <w:t xml:space="preserve"> and budget for everyone, it will be hard. And I'm talking about professional development in both directions, my sector, my industry and VET.” </w:t>
            </w:r>
            <w:r w:rsidRPr="005253F6">
              <w:rPr>
                <w:rFonts w:eastAsia="Arial"/>
              </w:rPr>
              <w:t xml:space="preserve">(ID8, Experienced teacher, </w:t>
            </w:r>
            <w:r>
              <w:rPr>
                <w:rFonts w:eastAsia="Arial"/>
              </w:rPr>
              <w:t>ACT</w:t>
            </w:r>
            <w:r w:rsidRPr="005253F6">
              <w:rPr>
                <w:rFonts w:eastAsia="Arial"/>
              </w:rPr>
              <w:t>)</w:t>
            </w:r>
          </w:p>
        </w:tc>
      </w:tr>
      <w:tr w:rsidR="004D5370" w14:paraId="7E868001" w14:textId="77777777" w:rsidTr="00012970">
        <w:trPr>
          <w:trHeight w:val="300"/>
        </w:trPr>
        <w:tc>
          <w:tcPr>
            <w:tcW w:w="1833" w:type="dxa"/>
            <w:tcBorders>
              <w:top w:val="single" w:sz="8" w:space="0" w:color="0F112A" w:themeColor="text1"/>
              <w:left w:val="single" w:sz="8" w:space="0" w:color="0F112A" w:themeColor="text1"/>
              <w:bottom w:val="single" w:sz="8" w:space="0" w:color="0F112A" w:themeColor="text1"/>
              <w:right w:val="single" w:sz="8" w:space="0" w:color="0F112A" w:themeColor="text1"/>
            </w:tcBorders>
            <w:tcMar>
              <w:left w:w="108" w:type="dxa"/>
              <w:right w:w="108" w:type="dxa"/>
            </w:tcMar>
          </w:tcPr>
          <w:p w14:paraId="1A20687D" w14:textId="77777777" w:rsidR="004D5370" w:rsidRDefault="004D5370" w:rsidP="00ED34DA">
            <w:pPr>
              <w:pStyle w:val="Tabletext"/>
            </w:pPr>
            <w:r w:rsidRPr="04727ED1">
              <w:rPr>
                <w:rFonts w:eastAsia="Arial"/>
              </w:rPr>
              <w:t>Regional RTOs</w:t>
            </w:r>
          </w:p>
        </w:tc>
        <w:tc>
          <w:tcPr>
            <w:tcW w:w="3119" w:type="dxa"/>
            <w:tcBorders>
              <w:top w:val="single" w:sz="8" w:space="0" w:color="0F112A" w:themeColor="text1"/>
              <w:left w:val="single" w:sz="8" w:space="0" w:color="0F112A" w:themeColor="text1"/>
              <w:bottom w:val="single" w:sz="8" w:space="0" w:color="0F112A" w:themeColor="text1"/>
              <w:right w:val="single" w:sz="8" w:space="0" w:color="0F112A" w:themeColor="text1"/>
            </w:tcBorders>
            <w:tcMar>
              <w:left w:w="108" w:type="dxa"/>
              <w:right w:w="108" w:type="dxa"/>
            </w:tcMar>
          </w:tcPr>
          <w:p w14:paraId="68554665" w14:textId="77777777" w:rsidR="004D5370" w:rsidRDefault="004D5370" w:rsidP="00ED34DA">
            <w:pPr>
              <w:pStyle w:val="Tabletext"/>
            </w:pPr>
            <w:r w:rsidRPr="04727ED1">
              <w:rPr>
                <w:rFonts w:eastAsia="Arial"/>
              </w:rPr>
              <w:t>Availability of professional development</w:t>
            </w:r>
          </w:p>
        </w:tc>
        <w:tc>
          <w:tcPr>
            <w:tcW w:w="4093" w:type="dxa"/>
            <w:tcBorders>
              <w:top w:val="single" w:sz="8" w:space="0" w:color="0F112A" w:themeColor="text1"/>
              <w:left w:val="single" w:sz="8" w:space="0" w:color="0F112A" w:themeColor="text1"/>
              <w:bottom w:val="single" w:sz="8" w:space="0" w:color="0F112A" w:themeColor="text1"/>
              <w:right w:val="single" w:sz="8" w:space="0" w:color="0F112A" w:themeColor="text1"/>
            </w:tcBorders>
            <w:tcMar>
              <w:left w:w="108" w:type="dxa"/>
              <w:right w:w="108" w:type="dxa"/>
            </w:tcMar>
          </w:tcPr>
          <w:p w14:paraId="2A7A795E" w14:textId="23B2706A" w:rsidR="004D5370" w:rsidRDefault="004D5370" w:rsidP="00ED34DA">
            <w:pPr>
              <w:pStyle w:val="Tabletext"/>
            </w:pPr>
            <w:r w:rsidRPr="04727ED1">
              <w:rPr>
                <w:rFonts w:eastAsia="Arial"/>
              </w:rPr>
              <w:t xml:space="preserve">“Because we're rural ... </w:t>
            </w:r>
            <w:r w:rsidR="002B1C95">
              <w:rPr>
                <w:rFonts w:eastAsia="Arial"/>
              </w:rPr>
              <w:t>i</w:t>
            </w:r>
            <w:r w:rsidRPr="04727ED1">
              <w:rPr>
                <w:rFonts w:eastAsia="Arial"/>
              </w:rPr>
              <w:t>t's a real challenge for teachers to access in a rural location</w:t>
            </w:r>
            <w:r w:rsidR="000905DB">
              <w:rPr>
                <w:rFonts w:eastAsia="Arial"/>
              </w:rPr>
              <w:t>,</w:t>
            </w:r>
            <w:r w:rsidRPr="04727ED1">
              <w:rPr>
                <w:rFonts w:eastAsia="Arial"/>
              </w:rPr>
              <w:t xml:space="preserve"> PD. Whilst yes, we are now in the world of screens and can connect that way, not everybody feels comfortable in that environment and some people prefer that</w:t>
            </w:r>
            <w:r w:rsidR="000905DB">
              <w:rPr>
                <w:rFonts w:eastAsia="Arial"/>
              </w:rPr>
              <w:t xml:space="preserve">, </w:t>
            </w:r>
            <w:r w:rsidRPr="04727ED1">
              <w:rPr>
                <w:rFonts w:eastAsia="Arial"/>
              </w:rPr>
              <w:t xml:space="preserve">well maybe not prefer, but I think some people feel that they get more value from </w:t>
            </w:r>
            <w:r w:rsidR="000905DB" w:rsidRPr="0A833B45">
              <w:rPr>
                <w:rFonts w:eastAsia="Arial"/>
              </w:rPr>
              <w:t>face</w:t>
            </w:r>
            <w:r w:rsidR="000905DB">
              <w:rPr>
                <w:rFonts w:eastAsia="Arial"/>
              </w:rPr>
              <w:t>-</w:t>
            </w:r>
            <w:r w:rsidR="000905DB" w:rsidRPr="04727ED1">
              <w:rPr>
                <w:rFonts w:eastAsia="Arial"/>
              </w:rPr>
              <w:t>to</w:t>
            </w:r>
            <w:r w:rsidR="000905DB">
              <w:rPr>
                <w:rFonts w:eastAsia="Arial"/>
              </w:rPr>
              <w:t>-</w:t>
            </w:r>
            <w:r w:rsidRPr="04727ED1">
              <w:rPr>
                <w:rFonts w:eastAsia="Arial"/>
              </w:rPr>
              <w:t>face PD</w:t>
            </w:r>
            <w:r w:rsidR="008C3A24">
              <w:rPr>
                <w:rFonts w:eastAsia="Arial"/>
              </w:rPr>
              <w:t>.</w:t>
            </w:r>
            <w:r w:rsidRPr="4FC44211">
              <w:rPr>
                <w:rFonts w:eastAsia="Arial"/>
              </w:rPr>
              <w:t xml:space="preserve">” </w:t>
            </w:r>
            <w:r w:rsidRPr="00617409">
              <w:rPr>
                <w:rFonts w:eastAsia="Arial"/>
              </w:rPr>
              <w:t>(ID36, Education Manager-Teacher Development, Vic.)</w:t>
            </w:r>
          </w:p>
          <w:p w14:paraId="378EDB79" w14:textId="77777777" w:rsidR="004D5370" w:rsidRDefault="004D5370" w:rsidP="00ED34DA">
            <w:pPr>
              <w:pStyle w:val="Tabletext"/>
            </w:pPr>
            <w:r w:rsidRPr="04727ED1">
              <w:rPr>
                <w:rFonts w:eastAsia="Arial"/>
              </w:rPr>
              <w:t xml:space="preserve">“Or if we get somebody here, it's generally very expensive.” </w:t>
            </w:r>
            <w:r w:rsidRPr="00617409">
              <w:rPr>
                <w:rFonts w:eastAsia="Arial"/>
              </w:rPr>
              <w:t>(ID36, Education Manager-Teacher Development, Vic.)</w:t>
            </w:r>
          </w:p>
        </w:tc>
      </w:tr>
      <w:tr w:rsidR="004D5370" w14:paraId="0F9761E5" w14:textId="77777777" w:rsidTr="00012970">
        <w:trPr>
          <w:trHeight w:val="300"/>
        </w:trPr>
        <w:tc>
          <w:tcPr>
            <w:tcW w:w="1833" w:type="dxa"/>
            <w:tcBorders>
              <w:top w:val="single" w:sz="8" w:space="0" w:color="0F112A" w:themeColor="text1"/>
              <w:left w:val="single" w:sz="8" w:space="0" w:color="0F112A" w:themeColor="text1"/>
              <w:bottom w:val="single" w:sz="8" w:space="0" w:color="0F112A" w:themeColor="text1"/>
              <w:right w:val="single" w:sz="8" w:space="0" w:color="0F112A" w:themeColor="text1"/>
            </w:tcBorders>
            <w:tcMar>
              <w:left w:w="108" w:type="dxa"/>
              <w:right w:w="108" w:type="dxa"/>
            </w:tcMar>
          </w:tcPr>
          <w:p w14:paraId="08E99868" w14:textId="77777777" w:rsidR="004D5370" w:rsidRDefault="004D5370" w:rsidP="00ED34DA">
            <w:pPr>
              <w:pStyle w:val="Tabletext"/>
            </w:pPr>
            <w:r w:rsidRPr="04727ED1">
              <w:rPr>
                <w:rFonts w:eastAsia="Arial"/>
              </w:rPr>
              <w:t>Casual teachers</w:t>
            </w:r>
          </w:p>
        </w:tc>
        <w:tc>
          <w:tcPr>
            <w:tcW w:w="3119" w:type="dxa"/>
            <w:tcBorders>
              <w:top w:val="single" w:sz="8" w:space="0" w:color="0F112A" w:themeColor="text1"/>
              <w:left w:val="single" w:sz="8" w:space="0" w:color="0F112A" w:themeColor="text1"/>
              <w:bottom w:val="single" w:sz="8" w:space="0" w:color="0F112A" w:themeColor="text1"/>
              <w:right w:val="single" w:sz="8" w:space="0" w:color="0F112A" w:themeColor="text1"/>
            </w:tcBorders>
            <w:tcMar>
              <w:left w:w="108" w:type="dxa"/>
              <w:right w:w="108" w:type="dxa"/>
            </w:tcMar>
          </w:tcPr>
          <w:p w14:paraId="048892F2" w14:textId="77777777" w:rsidR="004D5370" w:rsidRDefault="004D5370" w:rsidP="00ED34DA">
            <w:pPr>
              <w:pStyle w:val="Tabletext"/>
            </w:pPr>
            <w:r w:rsidRPr="04727ED1">
              <w:rPr>
                <w:rFonts w:eastAsia="Arial"/>
              </w:rPr>
              <w:t>No time or budget available for PD, noting, however, that some RTOs do have allocations for casual teachers to participate in professional development</w:t>
            </w:r>
          </w:p>
        </w:tc>
        <w:tc>
          <w:tcPr>
            <w:tcW w:w="4093" w:type="dxa"/>
            <w:tcBorders>
              <w:top w:val="single" w:sz="8" w:space="0" w:color="0F112A" w:themeColor="text1"/>
              <w:left w:val="single" w:sz="8" w:space="0" w:color="0F112A" w:themeColor="text1"/>
              <w:bottom w:val="single" w:sz="8" w:space="0" w:color="0F112A" w:themeColor="text1"/>
              <w:right w:val="single" w:sz="8" w:space="0" w:color="0F112A" w:themeColor="text1"/>
            </w:tcBorders>
            <w:tcMar>
              <w:left w:w="108" w:type="dxa"/>
              <w:right w:w="108" w:type="dxa"/>
            </w:tcMar>
          </w:tcPr>
          <w:p w14:paraId="0679F422" w14:textId="7D9C6B71" w:rsidR="004D5370" w:rsidRDefault="004D5370" w:rsidP="004D74E8">
            <w:pPr>
              <w:pStyle w:val="Tabletext"/>
              <w:tabs>
                <w:tab w:val="clear" w:pos="559"/>
                <w:tab w:val="decimal" w:pos="177"/>
              </w:tabs>
            </w:pPr>
            <w:r w:rsidRPr="04727ED1">
              <w:rPr>
                <w:rFonts w:eastAsia="Arial"/>
              </w:rPr>
              <w:t>“</w:t>
            </w:r>
            <w:r w:rsidR="008C3A24">
              <w:rPr>
                <w:rFonts w:eastAsia="Arial"/>
              </w:rPr>
              <w:t>I</w:t>
            </w:r>
            <w:r w:rsidR="008C3A24" w:rsidRPr="04727ED1">
              <w:rPr>
                <w:rFonts w:eastAsia="Arial"/>
              </w:rPr>
              <w:t xml:space="preserve">t's </w:t>
            </w:r>
            <w:r w:rsidRPr="04727ED1">
              <w:rPr>
                <w:rFonts w:eastAsia="Arial"/>
              </w:rPr>
              <w:t>probably more the system itself</w:t>
            </w:r>
            <w:r w:rsidR="008C3A24">
              <w:rPr>
                <w:rFonts w:eastAsia="Arial"/>
              </w:rPr>
              <w:t>,</w:t>
            </w:r>
            <w:r w:rsidRPr="3EEFAE4A">
              <w:rPr>
                <w:rFonts w:eastAsia="Arial"/>
              </w:rPr>
              <w:t xml:space="preserve"> in</w:t>
            </w:r>
            <w:r w:rsidRPr="04727ED1">
              <w:rPr>
                <w:rFonts w:eastAsia="Arial"/>
              </w:rPr>
              <w:t xml:space="preserve"> terms of the time that you have for teaching and marking</w:t>
            </w:r>
            <w:r w:rsidR="00C117A5">
              <w:rPr>
                <w:rFonts w:eastAsia="Arial"/>
              </w:rPr>
              <w:t>,</w:t>
            </w:r>
            <w:r w:rsidRPr="04727ED1">
              <w:rPr>
                <w:rFonts w:eastAsia="Arial"/>
              </w:rPr>
              <w:t xml:space="preserve"> and the complicated formula that applies means that you really, in your paid hours, you don't have much time for PD</w:t>
            </w:r>
            <w:r w:rsidR="00C117A5">
              <w:rPr>
                <w:rFonts w:eastAsia="Arial"/>
              </w:rPr>
              <w:t>. Be</w:t>
            </w:r>
            <w:r w:rsidRPr="04727ED1">
              <w:rPr>
                <w:rFonts w:eastAsia="Arial"/>
              </w:rPr>
              <w:t>cause of the marking</w:t>
            </w:r>
            <w:r w:rsidR="006E2535">
              <w:rPr>
                <w:rFonts w:eastAsia="Arial"/>
              </w:rPr>
              <w:t>,</w:t>
            </w:r>
            <w:r w:rsidRPr="04727ED1">
              <w:rPr>
                <w:rFonts w:eastAsia="Arial"/>
              </w:rPr>
              <w:t xml:space="preserve"> and that </w:t>
            </w:r>
            <w:r w:rsidR="00D45ADC">
              <w:rPr>
                <w:rFonts w:eastAsia="Arial"/>
              </w:rPr>
              <w:t xml:space="preserve">the </w:t>
            </w:r>
            <w:r w:rsidRPr="04727ED1">
              <w:rPr>
                <w:rFonts w:eastAsia="Arial"/>
              </w:rPr>
              <w:t>formula doesn't take into account the number of students you've got in the classroom</w:t>
            </w:r>
            <w:r w:rsidR="00A525A0">
              <w:rPr>
                <w:rFonts w:eastAsia="Arial"/>
              </w:rPr>
              <w:t xml:space="preserve"> </w:t>
            </w:r>
            <w:r w:rsidR="00D45ADC">
              <w:rPr>
                <w:rFonts w:eastAsia="Arial"/>
              </w:rPr>
              <w:t>..</w:t>
            </w:r>
            <w:r w:rsidRPr="04727ED1">
              <w:rPr>
                <w:rFonts w:eastAsia="Arial"/>
              </w:rPr>
              <w:t xml:space="preserve">. </w:t>
            </w:r>
            <w:r w:rsidR="00A525A0">
              <w:rPr>
                <w:rFonts w:eastAsia="Arial"/>
              </w:rPr>
              <w:t>s</w:t>
            </w:r>
            <w:r w:rsidR="00A525A0" w:rsidRPr="04727ED1">
              <w:rPr>
                <w:rFonts w:eastAsia="Arial"/>
              </w:rPr>
              <w:t xml:space="preserve">o </w:t>
            </w:r>
            <w:r w:rsidRPr="04727ED1">
              <w:rPr>
                <w:rFonts w:eastAsia="Arial"/>
              </w:rPr>
              <w:t xml:space="preserve">sometimes if you've got a lot of </w:t>
            </w:r>
            <w:r w:rsidR="00D45ADC" w:rsidRPr="04727ED1">
              <w:rPr>
                <w:rFonts w:eastAsia="Arial"/>
              </w:rPr>
              <w:t>students,</w:t>
            </w:r>
            <w:r w:rsidRPr="04727ED1">
              <w:rPr>
                <w:rFonts w:eastAsia="Arial"/>
              </w:rPr>
              <w:t xml:space="preserve"> you can have a lot of marking but you're still only teaching for about </w:t>
            </w:r>
            <w:r w:rsidR="005E0D64">
              <w:rPr>
                <w:rFonts w:eastAsia="Arial"/>
              </w:rPr>
              <w:t>three</w:t>
            </w:r>
            <w:r w:rsidR="005E0D64" w:rsidRPr="04727ED1">
              <w:rPr>
                <w:rFonts w:eastAsia="Arial"/>
              </w:rPr>
              <w:t xml:space="preserve"> </w:t>
            </w:r>
            <w:r w:rsidRPr="04727ED1">
              <w:rPr>
                <w:rFonts w:eastAsia="Arial"/>
              </w:rPr>
              <w:t>hours and that's how the formula is worked on. So that's probably, I'll just say the system isn't really designed for doing much PD in your teaching hours</w:t>
            </w:r>
            <w:r w:rsidRPr="70E7C619">
              <w:rPr>
                <w:rFonts w:eastAsia="Arial"/>
              </w:rPr>
              <w:t>.</w:t>
            </w:r>
            <w:r w:rsidRPr="04727ED1">
              <w:rPr>
                <w:rFonts w:eastAsia="Arial"/>
              </w:rPr>
              <w:t xml:space="preserve"> </w:t>
            </w:r>
            <w:r w:rsidRPr="3AE54B1F">
              <w:rPr>
                <w:rFonts w:eastAsia="Arial"/>
              </w:rPr>
              <w:t xml:space="preserve">It </w:t>
            </w:r>
            <w:r w:rsidRPr="04727ED1">
              <w:rPr>
                <w:rFonts w:eastAsia="Arial"/>
              </w:rPr>
              <w:t xml:space="preserve">was my experience of it anyway.” </w:t>
            </w:r>
            <w:r w:rsidRPr="000D4CAD">
              <w:rPr>
                <w:rFonts w:eastAsia="Arial"/>
              </w:rPr>
              <w:t>(ID41, Novice teacher,</w:t>
            </w:r>
            <w:r w:rsidR="00F25A3B">
              <w:rPr>
                <w:rFonts w:eastAsia="Arial"/>
              </w:rPr>
              <w:t xml:space="preserve"> </w:t>
            </w:r>
            <w:r w:rsidRPr="000D4CAD">
              <w:rPr>
                <w:rFonts w:eastAsia="Arial"/>
              </w:rPr>
              <w:t>Vic.)</w:t>
            </w:r>
          </w:p>
        </w:tc>
      </w:tr>
    </w:tbl>
    <w:p w14:paraId="3D9341BE" w14:textId="2AEE695D" w:rsidR="004D5370" w:rsidRDefault="004D5370" w:rsidP="004D5370">
      <w:pPr>
        <w:pStyle w:val="Heading2"/>
      </w:pPr>
      <w:bookmarkStart w:id="55" w:name="_Toc241507537"/>
      <w:r w:rsidRPr="46EE0549">
        <w:rPr>
          <w:rFonts w:eastAsia="Arial"/>
        </w:rPr>
        <w:t xml:space="preserve">Implementing new </w:t>
      </w:r>
      <w:r w:rsidR="00EE6353">
        <w:rPr>
          <w:rFonts w:eastAsia="Arial"/>
        </w:rPr>
        <w:t xml:space="preserve">teaching </w:t>
      </w:r>
      <w:r w:rsidRPr="46EE0549">
        <w:rPr>
          <w:rFonts w:eastAsia="Arial"/>
        </w:rPr>
        <w:t>skills – practices that help</w:t>
      </w:r>
      <w:bookmarkEnd w:id="55"/>
    </w:p>
    <w:p w14:paraId="554DEEAA" w14:textId="77777777" w:rsidR="004D5370" w:rsidRDefault="004D5370" w:rsidP="004D5370">
      <w:pPr>
        <w:pStyle w:val="Text"/>
      </w:pPr>
      <w:r w:rsidRPr="00CA0123">
        <w:t>Professional development can only strengthen teaching capability when VET teachers have opportunities to apply and embed the knowledge and skills they have gained. Some interviewees observed that teachers do not always have the opportunity, support or confidence to implement new approaches in their practice, limiting the potential benefits of professional learning.</w:t>
      </w:r>
    </w:p>
    <w:p w14:paraId="29C9C507" w14:textId="4AECEE23" w:rsidR="004D5370" w:rsidRDefault="004D5370" w:rsidP="004D5370">
      <w:pPr>
        <w:pStyle w:val="Quote"/>
      </w:pPr>
      <w:r>
        <w:t>We don't like the idea, often PD, particularly if you go to one- or two-hour workshop</w:t>
      </w:r>
      <w:r w:rsidR="00C27096">
        <w:t>s</w:t>
      </w:r>
      <w:r>
        <w:t>, it's like a sugar hit, you know. People come out</w:t>
      </w:r>
      <w:r w:rsidR="00C27096">
        <w:t>, w</w:t>
      </w:r>
      <w:r>
        <w:t>e always get amazing exit surveys - ‘Oh yeah, it was incredible’</w:t>
      </w:r>
      <w:r w:rsidR="00C27096">
        <w:t>,</w:t>
      </w:r>
      <w:r>
        <w:t xml:space="preserve"> ‘</w:t>
      </w:r>
      <w:r w:rsidR="00F525C2">
        <w:t>i</w:t>
      </w:r>
      <w:r>
        <w:t>t was amazing’</w:t>
      </w:r>
      <w:r w:rsidR="00F525C2">
        <w:t xml:space="preserve"> or</w:t>
      </w:r>
      <w:r>
        <w:t xml:space="preserve"> </w:t>
      </w:r>
      <w:r w:rsidR="00F525C2">
        <w:t>‘i</w:t>
      </w:r>
      <w:r>
        <w:t>t was this and that’. And then you ask them two weeks later, have you applied that? And they're like, ‘yeah, no’. (ID54, Manager-Teacher Capability, Vic.)</w:t>
      </w:r>
    </w:p>
    <w:p w14:paraId="3C986C25" w14:textId="77777777" w:rsidR="004D5370" w:rsidRDefault="004D5370" w:rsidP="004D5370">
      <w:pPr>
        <w:pStyle w:val="Text"/>
      </w:pPr>
      <w:r w:rsidRPr="00E33069">
        <w:t xml:space="preserve">This section provides further detail on the activities that workshop and interview participants found helpful for applying new skills in practice, as outlined in the main report. It also examines </w:t>
      </w:r>
      <w:r w:rsidRPr="00E33069">
        <w:lastRenderedPageBreak/>
        <w:t>the supportive conditions that RTOs can create to enable the successful implementation of new teaching approaches.</w:t>
      </w:r>
    </w:p>
    <w:p w14:paraId="3E798FAC" w14:textId="5BEDD06B" w:rsidR="004D5370" w:rsidRDefault="004D5370" w:rsidP="004D5370">
      <w:pPr>
        <w:pStyle w:val="Heading3"/>
        <w:rPr>
          <w:i/>
          <w:u w:val="single"/>
        </w:rPr>
      </w:pPr>
      <w:r w:rsidRPr="2FF0902E">
        <w:rPr>
          <w:rFonts w:eastAsia="Arial"/>
        </w:rPr>
        <w:t>Helpful activities</w:t>
      </w:r>
    </w:p>
    <w:p w14:paraId="58899738" w14:textId="77777777" w:rsidR="004D5370" w:rsidRDefault="004D5370" w:rsidP="004D5370">
      <w:pPr>
        <w:pStyle w:val="Heading4"/>
      </w:pPr>
      <w:r w:rsidRPr="04727ED1">
        <w:rPr>
          <w:rFonts w:eastAsia="Tahoma"/>
        </w:rPr>
        <w:t>Formal sharing</w:t>
      </w:r>
    </w:p>
    <w:p w14:paraId="317B221A" w14:textId="48A2729C" w:rsidR="004D5370" w:rsidRDefault="004D5370" w:rsidP="004D5370">
      <w:pPr>
        <w:pStyle w:val="Text"/>
      </w:pPr>
      <w:r w:rsidRPr="00BD041A">
        <w:t xml:space="preserve">A common approach used across different RTOs to support the </w:t>
      </w:r>
      <w:r w:rsidR="00F13D84">
        <w:t>application</w:t>
      </w:r>
      <w:r w:rsidR="00F13D84" w:rsidRPr="00BD041A">
        <w:t xml:space="preserve"> </w:t>
      </w:r>
      <w:r w:rsidRPr="00BD041A">
        <w:t xml:space="preserve">of new knowledge gained through professional development is to have participants share key learnings with their colleagues. In many RTOs, this is a standard expectation for teachers who attend professional development activities. </w:t>
      </w:r>
    </w:p>
    <w:p w14:paraId="5BD8025B" w14:textId="1B13A08B" w:rsidR="004D5370" w:rsidRDefault="004D5370" w:rsidP="004D5370">
      <w:pPr>
        <w:pStyle w:val="Quote"/>
      </w:pPr>
      <w:proofErr w:type="gramStart"/>
      <w:r>
        <w:t>So</w:t>
      </w:r>
      <w:proofErr w:type="gramEnd"/>
      <w:r>
        <w:t xml:space="preserve"> every time we do PD, we'll make sure that we're sharing what we've learnt. (ID7, Novice teacher, ACT)</w:t>
      </w:r>
    </w:p>
    <w:p w14:paraId="08DF3EC5" w14:textId="77777777" w:rsidR="004D5370" w:rsidRPr="00661AC8" w:rsidRDefault="004D5370" w:rsidP="004D5370">
      <w:pPr>
        <w:pStyle w:val="Text"/>
      </w:pPr>
      <w:r w:rsidRPr="00661AC8">
        <w:t xml:space="preserve">This sharing typically occurs within teaching teams, </w:t>
      </w:r>
      <w:r>
        <w:t>and sometimes</w:t>
      </w:r>
      <w:r w:rsidRPr="00661AC8">
        <w:t xml:space="preserve"> across departments. In smaller RTOs, professional development learnings may be shared with all staff.</w:t>
      </w:r>
    </w:p>
    <w:p w14:paraId="7777B9A5" w14:textId="77777777" w:rsidR="004D5370" w:rsidRPr="00661AC8" w:rsidRDefault="004D5370" w:rsidP="004D5370">
      <w:pPr>
        <w:pStyle w:val="Text"/>
      </w:pPr>
      <w:r w:rsidRPr="00661AC8">
        <w:t>Participants identified two key benefits of this approach:</w:t>
      </w:r>
    </w:p>
    <w:p w14:paraId="4719E3FB" w14:textId="77777777" w:rsidR="004D5370" w:rsidRPr="00661AC8" w:rsidRDefault="004D5370" w:rsidP="00ED34DA">
      <w:pPr>
        <w:pStyle w:val="Dotpoint1"/>
      </w:pPr>
      <w:r w:rsidRPr="00661AC8">
        <w:t>It helps reinforce and consolidate learning for the teacher who attended the professional development activity, increasing the likelihood that new knowledge and skills will be retained and applied.</w:t>
      </w:r>
    </w:p>
    <w:p w14:paraId="474BE388" w14:textId="77777777" w:rsidR="004D5370" w:rsidRPr="00661AC8" w:rsidRDefault="004D5370" w:rsidP="00ED34DA">
      <w:pPr>
        <w:pStyle w:val="Dotpoint1"/>
      </w:pPr>
      <w:r w:rsidRPr="00661AC8">
        <w:t>It enables other staff to benefit from the professional development, even if they did not attend, exposing them to new ideas and approaches that may enhance their own teaching practice.</w:t>
      </w:r>
    </w:p>
    <w:p w14:paraId="4564BFF5" w14:textId="77777777" w:rsidR="004D5370" w:rsidRPr="00661AC8" w:rsidRDefault="004D5370" w:rsidP="004D5370">
      <w:pPr>
        <w:pStyle w:val="Text"/>
      </w:pPr>
      <w:r w:rsidRPr="00661AC8">
        <w:t>The sharing of professional development learnings can take a variety of forms, including presentations, discussions during team meetings, emails, written reports and recorded presentations. The following interview excerpts illustrate how this approach is used in practice:</w:t>
      </w:r>
    </w:p>
    <w:p w14:paraId="4524F4E4" w14:textId="77777777" w:rsidR="004D5370" w:rsidRDefault="004D5370" w:rsidP="004D5370">
      <w:pPr>
        <w:pStyle w:val="Quote"/>
      </w:pPr>
      <w:r w:rsidRPr="46EE0549">
        <w:rPr>
          <w:rFonts w:eastAsia="Trebuchet MS" w:cs="Trebuchet MS"/>
        </w:rPr>
        <w:t xml:space="preserve">They </w:t>
      </w:r>
      <w:proofErr w:type="gramStart"/>
      <w:r w:rsidRPr="46EE0549">
        <w:rPr>
          <w:rFonts w:eastAsia="Trebuchet MS" w:cs="Trebuchet MS"/>
        </w:rPr>
        <w:t>actually write</w:t>
      </w:r>
      <w:proofErr w:type="gramEnd"/>
      <w:r w:rsidRPr="46EE0549">
        <w:rPr>
          <w:rFonts w:eastAsia="Trebuchet MS" w:cs="Trebuchet MS"/>
        </w:rPr>
        <w:t xml:space="preserve"> an e-mail as part of their PD requirements. They write an e-mail. It's a summary of the workshop. And anything that was positive out of that workshop that we might be able to implement. </w:t>
      </w:r>
      <w:r w:rsidRPr="00EA015D">
        <w:rPr>
          <w:rFonts w:eastAsia="Trebuchet MS" w:cs="Trebuchet MS"/>
        </w:rPr>
        <w:t>(ID22, Chief Executive Officer/TAE teacher, Qld)</w:t>
      </w:r>
    </w:p>
    <w:p w14:paraId="35D3B555" w14:textId="77777777" w:rsidR="004D5370" w:rsidRDefault="004D5370" w:rsidP="004D5370">
      <w:pPr>
        <w:pStyle w:val="Quote"/>
      </w:pPr>
      <w:r w:rsidRPr="46EE0549">
        <w:rPr>
          <w:rFonts w:eastAsia="Trebuchet MS" w:cs="Trebuchet MS"/>
        </w:rPr>
        <w:t xml:space="preserve">And then you come back and then at the end of it, you do a presentation to your </w:t>
      </w:r>
      <w:proofErr w:type="gramStart"/>
      <w:r w:rsidRPr="46EE0549">
        <w:rPr>
          <w:rFonts w:eastAsia="Trebuchet MS" w:cs="Trebuchet MS"/>
        </w:rPr>
        <w:t>peers</w:t>
      </w:r>
      <w:proofErr w:type="gramEnd"/>
      <w:r w:rsidRPr="46EE0549">
        <w:rPr>
          <w:rFonts w:eastAsia="Trebuchet MS" w:cs="Trebuchet MS"/>
        </w:rPr>
        <w:t xml:space="preserve"> or you bring it to a recorded presentation to your peers where they can see your learnings. (I</w:t>
      </w:r>
      <w:r>
        <w:rPr>
          <w:rFonts w:eastAsia="Trebuchet MS" w:cs="Trebuchet MS"/>
        </w:rPr>
        <w:t>D</w:t>
      </w:r>
      <w:r w:rsidRPr="46EE0549">
        <w:rPr>
          <w:rFonts w:eastAsia="Trebuchet MS" w:cs="Trebuchet MS"/>
        </w:rPr>
        <w:t>49</w:t>
      </w:r>
      <w:r>
        <w:rPr>
          <w:rFonts w:eastAsia="Trebuchet MS" w:cs="Trebuchet MS"/>
        </w:rPr>
        <w:t xml:space="preserve">, </w:t>
      </w:r>
      <w:r w:rsidRPr="00861AB8">
        <w:rPr>
          <w:rFonts w:eastAsia="Trebuchet MS" w:cs="Trebuchet MS"/>
        </w:rPr>
        <w:t>Mid-career</w:t>
      </w:r>
      <w:r>
        <w:rPr>
          <w:rFonts w:eastAsia="Trebuchet MS" w:cs="Trebuchet MS"/>
        </w:rPr>
        <w:t xml:space="preserve"> teacher, WA</w:t>
      </w:r>
      <w:r w:rsidRPr="46EE0549">
        <w:rPr>
          <w:rFonts w:eastAsia="Trebuchet MS" w:cs="Trebuchet MS"/>
        </w:rPr>
        <w:t>)</w:t>
      </w:r>
    </w:p>
    <w:p w14:paraId="15E043F1" w14:textId="0561D385" w:rsidR="004D5370" w:rsidRDefault="004D5370" w:rsidP="004D5370">
      <w:pPr>
        <w:pStyle w:val="Quote"/>
        <w:rPr>
          <w:rFonts w:eastAsia="Trebuchet MS" w:cs="Trebuchet MS"/>
          <w:szCs w:val="17"/>
        </w:rPr>
      </w:pPr>
      <w:proofErr w:type="gramStart"/>
      <w:r w:rsidRPr="04727ED1">
        <w:rPr>
          <w:rFonts w:eastAsia="Trebuchet MS" w:cs="Trebuchet MS"/>
          <w:szCs w:val="17"/>
        </w:rPr>
        <w:t>So</w:t>
      </w:r>
      <w:proofErr w:type="gramEnd"/>
      <w:r w:rsidRPr="04727ED1">
        <w:rPr>
          <w:rFonts w:eastAsia="Trebuchet MS" w:cs="Trebuchet MS"/>
          <w:szCs w:val="17"/>
        </w:rPr>
        <w:t xml:space="preserve"> I think where it's different for us is our trainers do a lot of </w:t>
      </w:r>
      <w:proofErr w:type="gramStart"/>
      <w:r w:rsidRPr="04727ED1">
        <w:rPr>
          <w:rFonts w:eastAsia="Trebuchet MS" w:cs="Trebuchet MS"/>
          <w:szCs w:val="17"/>
        </w:rPr>
        <w:t>PD</w:t>
      </w:r>
      <w:proofErr w:type="gramEnd"/>
      <w:r w:rsidRPr="04727ED1">
        <w:rPr>
          <w:rFonts w:eastAsia="Trebuchet MS" w:cs="Trebuchet MS"/>
          <w:szCs w:val="17"/>
        </w:rPr>
        <w:t xml:space="preserve"> and come back and teach us what they did at that PD workshop. </w:t>
      </w:r>
      <w:r w:rsidRPr="00EA015D">
        <w:rPr>
          <w:rFonts w:eastAsia="Trebuchet MS" w:cs="Trebuchet MS"/>
          <w:szCs w:val="17"/>
        </w:rPr>
        <w:t>(ID22, Chief Executive Officer/TAE teacher, Qld)</w:t>
      </w:r>
    </w:p>
    <w:p w14:paraId="579B21A8" w14:textId="77777777" w:rsidR="004D5370" w:rsidRDefault="004D5370" w:rsidP="004D5370">
      <w:pPr>
        <w:pStyle w:val="Heading4"/>
      </w:pPr>
      <w:r w:rsidRPr="04727ED1">
        <w:rPr>
          <w:rFonts w:eastAsia="Tahoma"/>
        </w:rPr>
        <w:t>Ongoing conversations</w:t>
      </w:r>
    </w:p>
    <w:p w14:paraId="75671134" w14:textId="77777777" w:rsidR="004D5370" w:rsidRPr="00BD5456" w:rsidRDefault="004D5370" w:rsidP="004D5370">
      <w:pPr>
        <w:pStyle w:val="Text"/>
      </w:pPr>
      <w:r w:rsidRPr="00BD5456">
        <w:t>Similarly, ongoing conversations following professional development activities can play an important role in translating new knowledge into teaching practice. These discussions provide opportunities for participants to reflect on what they have learned, share experiences of implementation and seek advice on challenges they encounter.</w:t>
      </w:r>
    </w:p>
    <w:p w14:paraId="0E0BFCAB" w14:textId="77777777" w:rsidR="004D5370" w:rsidRPr="00BD5456" w:rsidRDefault="004D5370" w:rsidP="004D5370">
      <w:pPr>
        <w:pStyle w:val="Text"/>
      </w:pPr>
      <w:r w:rsidRPr="00BD5456">
        <w:t xml:space="preserve">Such conversations often occur among teachers who participated in the same professional development activity. In RTOs with dedicated educator development teams, more structured </w:t>
      </w:r>
      <w:r w:rsidRPr="00BD5456">
        <w:lastRenderedPageBreak/>
        <w:t>opportunities may be provided, such as communities of practice or online discussion forums (for example, Microsoft Teams channels) that enable participants to remain connected and continue sharing ideas over time.</w:t>
      </w:r>
    </w:p>
    <w:p w14:paraId="7CE8DA80" w14:textId="1C2FDB3B" w:rsidR="004D5370" w:rsidRPr="00BD5456" w:rsidRDefault="004D5370" w:rsidP="004D5370">
      <w:pPr>
        <w:pStyle w:val="Text"/>
      </w:pPr>
      <w:r w:rsidRPr="00BD5456">
        <w:t xml:space="preserve">The following examples from interviewees illustrate how structured follow-up conversations are used to support the </w:t>
      </w:r>
      <w:r w:rsidR="00F13D84">
        <w:t>application</w:t>
      </w:r>
      <w:r w:rsidR="00F13D84" w:rsidRPr="00BD5456">
        <w:t xml:space="preserve"> </w:t>
      </w:r>
      <w:r w:rsidRPr="00BD5456">
        <w:t>of new teaching practices:</w:t>
      </w:r>
    </w:p>
    <w:p w14:paraId="0C134B0D" w14:textId="72FA15EF" w:rsidR="004D5370" w:rsidRDefault="00437DD6" w:rsidP="004D5370">
      <w:pPr>
        <w:pStyle w:val="Quote"/>
      </w:pPr>
      <w:r>
        <w:t xml:space="preserve">We </w:t>
      </w:r>
      <w:r w:rsidR="004D5370">
        <w:t xml:space="preserve">also have embedded in each of our longer courses, so anything that is longer than a webinar, like a community aspect of it where we've created a chat to go along with the course. And that's ongoing even after the course finishes, where the lecturers interact with each other </w:t>
      </w:r>
      <w:proofErr w:type="gramStart"/>
      <w:r w:rsidR="004D5370">
        <w:t>and also</w:t>
      </w:r>
      <w:proofErr w:type="gramEnd"/>
      <w:r w:rsidR="004D5370">
        <w:t xml:space="preserve"> share how they've implemented any of the learnings or some of the new things they've tried as well and showcasing some of the things they do. </w:t>
      </w:r>
      <w:r w:rsidR="004D5370" w:rsidRPr="00350FAD">
        <w:t>(ID51, Manager-Professional Development, WA)</w:t>
      </w:r>
    </w:p>
    <w:p w14:paraId="5B32F096" w14:textId="33B1EDC4" w:rsidR="004D5370" w:rsidRDefault="004D5370" w:rsidP="004D5370">
      <w:pPr>
        <w:pStyle w:val="Quote"/>
      </w:pPr>
      <w:r>
        <w:t xml:space="preserve">The only time I've had that experience is out of the scholarship. They dedicated a community </w:t>
      </w:r>
      <w:r w:rsidR="00976DD5">
        <w:t xml:space="preserve">of </w:t>
      </w:r>
      <w:r>
        <w:t>practice for the year. So those people that got the scholarship, basically we met every month, and just talked about our experiences and what we were doing and what we're studying and that sort of stuff</w:t>
      </w:r>
      <w:r w:rsidR="00153019">
        <w:t>. T</w:t>
      </w:r>
      <w:r>
        <w:t xml:space="preserve">hat was a structured </w:t>
      </w:r>
      <w:proofErr w:type="gramStart"/>
      <w:r>
        <w:t>mechanism</w:t>
      </w:r>
      <w:proofErr w:type="gramEnd"/>
      <w:r>
        <w:t xml:space="preserve"> I guess. </w:t>
      </w:r>
      <w:r w:rsidRPr="006E48BF">
        <w:t>(ID35, Novice teacher, Vic.)</w:t>
      </w:r>
    </w:p>
    <w:p w14:paraId="4C44938B" w14:textId="77777777" w:rsidR="004D5370" w:rsidRDefault="004D5370" w:rsidP="004D5370">
      <w:pPr>
        <w:pStyle w:val="Text"/>
      </w:pPr>
      <w:r>
        <w:t>Ongoing conversations can also be within a teacher’s team or with their supervisor. Interviewees spoke about the benefits of being able to have ongoing conversations with their team after professional development:</w:t>
      </w:r>
    </w:p>
    <w:p w14:paraId="7DDD084B" w14:textId="77F02900" w:rsidR="004D5370" w:rsidRDefault="00696FEA" w:rsidP="004D5370">
      <w:pPr>
        <w:pStyle w:val="Quote"/>
        <w:rPr>
          <w:rFonts w:eastAsia="Trebuchet MS" w:cs="Trebuchet MS"/>
        </w:rPr>
      </w:pPr>
      <w:proofErr w:type="gramStart"/>
      <w:r>
        <w:rPr>
          <w:rFonts w:eastAsia="Trebuchet MS" w:cs="Trebuchet MS"/>
        </w:rPr>
        <w:t>A</w:t>
      </w:r>
      <w:r w:rsidRPr="46EE0549">
        <w:rPr>
          <w:rFonts w:eastAsia="Trebuchet MS" w:cs="Trebuchet MS"/>
        </w:rPr>
        <w:t>lso</w:t>
      </w:r>
      <w:proofErr w:type="gramEnd"/>
      <w:r w:rsidRPr="46EE0549">
        <w:rPr>
          <w:rFonts w:eastAsia="Trebuchet MS" w:cs="Trebuchet MS"/>
        </w:rPr>
        <w:t xml:space="preserve"> </w:t>
      </w:r>
      <w:r w:rsidR="004D5370" w:rsidRPr="46EE0549">
        <w:rPr>
          <w:rFonts w:eastAsia="Trebuchet MS" w:cs="Trebuchet MS"/>
        </w:rPr>
        <w:t>discussion with colleagues if they've been to the same PD</w:t>
      </w:r>
      <w:r>
        <w:rPr>
          <w:rFonts w:eastAsia="Trebuchet MS" w:cs="Trebuchet MS"/>
        </w:rPr>
        <w:t>, ‘D</w:t>
      </w:r>
      <w:r w:rsidR="004D5370" w:rsidRPr="46EE0549">
        <w:rPr>
          <w:rFonts w:eastAsia="Trebuchet MS" w:cs="Trebuchet MS"/>
        </w:rPr>
        <w:t>o you think you'll use that</w:t>
      </w:r>
      <w:r>
        <w:rPr>
          <w:rFonts w:eastAsia="Trebuchet MS" w:cs="Trebuchet MS"/>
        </w:rPr>
        <w:t>?</w:t>
      </w:r>
      <w:r w:rsidR="004D5370" w:rsidRPr="46EE0549">
        <w:rPr>
          <w:rFonts w:eastAsia="Trebuchet MS" w:cs="Trebuchet MS"/>
        </w:rPr>
        <w:t xml:space="preserve"> or </w:t>
      </w:r>
      <w:r w:rsidR="00C45174">
        <w:rPr>
          <w:rFonts w:eastAsia="Trebuchet MS" w:cs="Trebuchet MS"/>
        </w:rPr>
        <w:t>‘</w:t>
      </w:r>
      <w:r w:rsidR="004D5370" w:rsidRPr="46EE0549">
        <w:rPr>
          <w:rFonts w:eastAsia="Trebuchet MS" w:cs="Trebuchet MS"/>
        </w:rPr>
        <w:t>how will you do it?</w:t>
      </w:r>
      <w:r w:rsidR="00C45174">
        <w:rPr>
          <w:rFonts w:eastAsia="Trebuchet MS" w:cs="Trebuchet MS"/>
        </w:rPr>
        <w:t>’ or ‘</w:t>
      </w:r>
      <w:r w:rsidR="004D5370" w:rsidRPr="46EE0549">
        <w:rPr>
          <w:rFonts w:eastAsia="Trebuchet MS" w:cs="Trebuchet MS"/>
        </w:rPr>
        <w:t>have you tried that?’</w:t>
      </w:r>
      <w:r w:rsidR="00C45174">
        <w:rPr>
          <w:rFonts w:eastAsia="Trebuchet MS" w:cs="Trebuchet MS"/>
        </w:rPr>
        <w:t>.</w:t>
      </w:r>
      <w:r w:rsidR="004D5370" w:rsidRPr="46EE0549">
        <w:rPr>
          <w:rFonts w:eastAsia="Trebuchet MS" w:cs="Trebuchet MS"/>
        </w:rPr>
        <w:t xml:space="preserve"> There's a </w:t>
      </w:r>
      <w:r w:rsidR="00DA1306">
        <w:rPr>
          <w:rFonts w:eastAsia="Trebuchet MS" w:cs="Trebuchet MS"/>
        </w:rPr>
        <w:t>b</w:t>
      </w:r>
      <w:r w:rsidR="004D5370" w:rsidRPr="46EE0549">
        <w:rPr>
          <w:rFonts w:eastAsia="Trebuchet MS" w:cs="Trebuchet MS"/>
        </w:rPr>
        <w:t xml:space="preserve">it of that, talking with colleagues and asking, ‘what do you think? What, how did you find that? Do you think you're going to use it?’ And then your own sort of independent way of thinking. ‘Oh, OK. I might try that in next week and see what happens’. </w:t>
      </w:r>
      <w:r w:rsidR="004D5370" w:rsidRPr="00E63227">
        <w:rPr>
          <w:rFonts w:eastAsia="Trebuchet MS" w:cs="Trebuchet MS"/>
        </w:rPr>
        <w:t>(ID58, Experienced teacher, Vic.)</w:t>
      </w:r>
    </w:p>
    <w:p w14:paraId="23942C6B" w14:textId="5361DDB5" w:rsidR="004D5370" w:rsidRDefault="004D5370" w:rsidP="004D5370">
      <w:pPr>
        <w:pStyle w:val="Text"/>
      </w:pPr>
      <w:r>
        <w:t xml:space="preserve">Those in teacher development roles also spoke of the importance in getting supervisors on board with the professional development and encouraging them to have ongoing conversations with the teachers who participated in professional development to help them to </w:t>
      </w:r>
      <w:r w:rsidR="0050524E">
        <w:t xml:space="preserve">embed </w:t>
      </w:r>
      <w:r>
        <w:t>learnings:</w:t>
      </w:r>
    </w:p>
    <w:p w14:paraId="0678D26D" w14:textId="31050930" w:rsidR="004D5370" w:rsidRDefault="004D5370" w:rsidP="004D5370">
      <w:pPr>
        <w:pStyle w:val="Quote"/>
      </w:pPr>
      <w:r>
        <w:t>We also work with the supervisors too</w:t>
      </w:r>
      <w:r w:rsidR="00613702">
        <w:t>,</w:t>
      </w:r>
      <w:r>
        <w:t xml:space="preserve"> so that they understand what their educators are learning about, so that they can then have those conversations as well. Because it's all those little micro learning or opportunities</w:t>
      </w:r>
      <w:r w:rsidR="00D52F37">
        <w:t>,</w:t>
      </w:r>
      <w:r>
        <w:t xml:space="preserve"> I suppose</w:t>
      </w:r>
      <w:r w:rsidR="00D52F37">
        <w:t>,</w:t>
      </w:r>
      <w:r>
        <w:t xml:space="preserve"> where it can be as simple as a supervisor saying, ‘hey, I know you did the workshop on blah last week. Have you had a chance to trial it in class? You know, how did that go?’</w:t>
      </w:r>
      <w:r w:rsidR="00D52F37">
        <w:t>.</w:t>
      </w:r>
      <w:r>
        <w:t xml:space="preserve"> You know, it's all that sort of stuff that we need to generate because the collegiality</w:t>
      </w:r>
      <w:r w:rsidR="001512DD">
        <w:t>,</w:t>
      </w:r>
      <w:r>
        <w:t xml:space="preserve"> I found, it's not what it used to </w:t>
      </w:r>
      <w:r w:rsidR="00962F7B">
        <w:t>be,</w:t>
      </w:r>
      <w:r>
        <w:t xml:space="preserve"> and I think that's just because of the pressure environment. </w:t>
      </w:r>
      <w:r w:rsidRPr="008B6B19">
        <w:t>(ID54, Manager-</w:t>
      </w:r>
      <w:r>
        <w:t>Teacher Capability</w:t>
      </w:r>
      <w:r w:rsidRPr="008B6B19">
        <w:t>, Vic.)</w:t>
      </w:r>
    </w:p>
    <w:p w14:paraId="642D52FF" w14:textId="074F3D5A" w:rsidR="004D5370" w:rsidRDefault="004D5370" w:rsidP="004D5370">
      <w:pPr>
        <w:pStyle w:val="Quote"/>
      </w:pPr>
      <w:r>
        <w:t>It's all those conversations you have outside the classroom</w:t>
      </w:r>
      <w:r w:rsidR="00962F7B">
        <w:t>,</w:t>
      </w:r>
      <w:r>
        <w:t xml:space="preserve"> ‘</w:t>
      </w:r>
      <w:r w:rsidR="00962F7B">
        <w:t>w</w:t>
      </w:r>
      <w:r>
        <w:t xml:space="preserve">ell, I did this and it went pear-shaped’ or ‘this happened and I had no idea what to do. What would you have done?’. All that stuff is </w:t>
      </w:r>
      <w:proofErr w:type="gramStart"/>
      <w:r>
        <w:t>really important</w:t>
      </w:r>
      <w:proofErr w:type="gramEnd"/>
      <w:r>
        <w:t xml:space="preserve"> in terms of the support that people feel, </w:t>
      </w:r>
      <w:r w:rsidR="00962F7B">
        <w:t>be</w:t>
      </w:r>
      <w:r>
        <w:t xml:space="preserve">cause a classroom can be daunting, you know? </w:t>
      </w:r>
      <w:r w:rsidRPr="008B6B19">
        <w:t>(ID54, Manager-</w:t>
      </w:r>
      <w:r w:rsidRPr="00B02FF2">
        <w:t>Teacher Capability</w:t>
      </w:r>
      <w:r w:rsidRPr="008B6B19">
        <w:t>, Vic.)</w:t>
      </w:r>
    </w:p>
    <w:p w14:paraId="39D5F1B4" w14:textId="77777777" w:rsidR="004D5370" w:rsidRDefault="004D5370" w:rsidP="004D5370">
      <w:pPr>
        <w:pStyle w:val="Text"/>
      </w:pPr>
      <w:r>
        <w:t xml:space="preserve">Workshop participants shared that these ongoing conversations were helpful for bouncing ideas off each other, learning collaboratively and sharing pain points. </w:t>
      </w:r>
    </w:p>
    <w:p w14:paraId="5FA663E6" w14:textId="30D092E2" w:rsidR="004D5370" w:rsidRDefault="004D5370" w:rsidP="004D5370">
      <w:pPr>
        <w:pStyle w:val="Heading4"/>
      </w:pPr>
      <w:r w:rsidRPr="04727ED1">
        <w:rPr>
          <w:rFonts w:eastAsia="Tahoma"/>
        </w:rPr>
        <w:lastRenderedPageBreak/>
        <w:t>Building in reflective practice</w:t>
      </w:r>
    </w:p>
    <w:p w14:paraId="0D5362C6" w14:textId="77777777" w:rsidR="004D5370" w:rsidRDefault="004D5370" w:rsidP="004D5370">
      <w:r w:rsidRPr="46EE0549">
        <w:rPr>
          <w:rStyle w:val="TextChar"/>
        </w:rPr>
        <w:t>Both workshop participants and interviewees highlighted the usefulness of reflective practice to help with implementing new teaching skills.</w:t>
      </w:r>
      <w:r w:rsidRPr="46EE0549">
        <w:rPr>
          <w:rFonts w:eastAsia="Trebuchet MS" w:cs="Trebuchet MS"/>
        </w:rPr>
        <w:t xml:space="preserve"> </w:t>
      </w:r>
    </w:p>
    <w:p w14:paraId="5300EED7" w14:textId="77777777" w:rsidR="004D5370" w:rsidRDefault="004D5370" w:rsidP="004D5370">
      <w:pPr>
        <w:pStyle w:val="Text"/>
      </w:pPr>
      <w:r>
        <w:t>There are three main stages where reflection takes place:</w:t>
      </w:r>
    </w:p>
    <w:p w14:paraId="65D78EB0" w14:textId="77777777" w:rsidR="004D5370" w:rsidRPr="00936E70" w:rsidRDefault="004D5370" w:rsidP="004D5370">
      <w:pPr>
        <w:pStyle w:val="Dotpoint1"/>
      </w:pPr>
      <w:r w:rsidRPr="00936E70">
        <w:t>Before or at the very start of professional learning to think about what the teacher would like to achieve or get out of the activity.</w:t>
      </w:r>
    </w:p>
    <w:p w14:paraId="1989D4F3" w14:textId="77777777" w:rsidR="004D5370" w:rsidRPr="00936E70" w:rsidRDefault="004D5370" w:rsidP="004D5370">
      <w:pPr>
        <w:pStyle w:val="Dotpoint1"/>
      </w:pPr>
      <w:r w:rsidRPr="00936E70">
        <w:t xml:space="preserve">During and immediately at the end of the professional learning to think about the key learnings and how they may be able to include them in their teaching practices. </w:t>
      </w:r>
    </w:p>
    <w:p w14:paraId="57BB2E0A" w14:textId="77777777" w:rsidR="004D5370" w:rsidRPr="00936E70" w:rsidRDefault="004D5370" w:rsidP="004D5370">
      <w:pPr>
        <w:pStyle w:val="Dotpoint1"/>
      </w:pPr>
      <w:r w:rsidRPr="00936E70">
        <w:t>Ongoing reflection post professional learning to reflect on any changes implemented and refine teaching practices.</w:t>
      </w:r>
    </w:p>
    <w:p w14:paraId="42E22593" w14:textId="77777777" w:rsidR="004D5370" w:rsidRDefault="004D5370" w:rsidP="004D5370">
      <w:pPr>
        <w:pStyle w:val="Text"/>
      </w:pPr>
      <w:r>
        <w:t>One interviewee in a training and development role highlighted the importance of establishing goals at the beginning of professional development:</w:t>
      </w:r>
    </w:p>
    <w:p w14:paraId="78C86079" w14:textId="75CD68D3" w:rsidR="004D5370" w:rsidRDefault="00881358" w:rsidP="004D5370">
      <w:pPr>
        <w:pStyle w:val="Quote"/>
      </w:pPr>
      <w:r>
        <w:t xml:space="preserve">We </w:t>
      </w:r>
      <w:r w:rsidR="004D5370">
        <w:t xml:space="preserve">really need to have people that are not just motivated but that come in Week 1, clear in the knowledge of how they hope to be able to transfer those skills after the programme has finished, so we work hard on our training or learning needs analysis at the beginning of the programmes. (ID50, Professional Development Staff, WA)  </w:t>
      </w:r>
    </w:p>
    <w:p w14:paraId="3A2A0DA0" w14:textId="77777777" w:rsidR="004D5370" w:rsidRDefault="004D5370" w:rsidP="004D5370">
      <w:pPr>
        <w:pStyle w:val="Text"/>
      </w:pPr>
      <w:r>
        <w:t>Interviewees who played a role in professional development in their RTOs spoke about the need for building time for reflection into the professional development activity. Suggestions included having time for feedback at the end of sessions and using quizzes to test knowledge and encourage teachers to think about how to implement learnings.</w:t>
      </w:r>
    </w:p>
    <w:p w14:paraId="7A597CC7" w14:textId="04EFC880" w:rsidR="004D5370" w:rsidRDefault="009E2D82" w:rsidP="004D5370">
      <w:pPr>
        <w:pStyle w:val="Quote"/>
      </w:pPr>
      <w:r w:rsidRPr="46EE0549">
        <w:rPr>
          <w:rFonts w:eastAsia="Trebuchet MS" w:cs="Trebuchet MS"/>
        </w:rPr>
        <w:t>So,</w:t>
      </w:r>
      <w:r w:rsidR="004D5370" w:rsidRPr="46EE0549">
        <w:rPr>
          <w:rFonts w:eastAsia="Trebuchet MS" w:cs="Trebuchet MS"/>
        </w:rPr>
        <w:t xml:space="preserve"> after </w:t>
      </w:r>
      <w:proofErr w:type="gramStart"/>
      <w:r w:rsidR="004D5370" w:rsidRPr="46EE0549">
        <w:rPr>
          <w:rFonts w:eastAsia="Trebuchet MS" w:cs="Trebuchet MS"/>
        </w:rPr>
        <w:t>all of</w:t>
      </w:r>
      <w:proofErr w:type="gramEnd"/>
      <w:r w:rsidR="004D5370" w:rsidRPr="46EE0549">
        <w:rPr>
          <w:rFonts w:eastAsia="Trebuchet MS" w:cs="Trebuchet MS"/>
        </w:rPr>
        <w:t xml:space="preserve"> our professional learning programs we use a feedback form, an evaluation form that tries to measure impact, not just enjoyment of a session or whatever</w:t>
      </w:r>
      <w:r w:rsidR="00333E0C">
        <w:rPr>
          <w:rFonts w:eastAsia="Trebuchet MS" w:cs="Trebuchet MS"/>
        </w:rPr>
        <w:t>. O</w:t>
      </w:r>
      <w:r w:rsidR="004D5370" w:rsidRPr="46EE0549">
        <w:rPr>
          <w:rFonts w:eastAsia="Trebuchet MS" w:cs="Trebuchet MS"/>
        </w:rPr>
        <w:t>ur feedback is always, it's very, very strong</w:t>
      </w:r>
      <w:r w:rsidR="00333E0C">
        <w:rPr>
          <w:rFonts w:eastAsia="Trebuchet MS" w:cs="Trebuchet MS"/>
        </w:rPr>
        <w:t>,</w:t>
      </w:r>
      <w:r w:rsidR="004D5370" w:rsidRPr="46EE0549">
        <w:rPr>
          <w:rFonts w:eastAsia="Trebuchet MS" w:cs="Trebuchet MS"/>
        </w:rPr>
        <w:t xml:space="preserve"> our feedback in terms of</w:t>
      </w:r>
      <w:r w:rsidR="00333E0C">
        <w:rPr>
          <w:rFonts w:eastAsia="Trebuchet MS" w:cs="Trebuchet MS"/>
        </w:rPr>
        <w:t xml:space="preserve"> ‘</w:t>
      </w:r>
      <w:r>
        <w:rPr>
          <w:rFonts w:eastAsia="Trebuchet MS" w:cs="Trebuchet MS"/>
        </w:rPr>
        <w:t>o</w:t>
      </w:r>
      <w:r w:rsidR="004D5370" w:rsidRPr="46EE0549">
        <w:rPr>
          <w:rFonts w:eastAsia="Trebuchet MS" w:cs="Trebuchet MS"/>
        </w:rPr>
        <w:t>f what I've learned and what I'm putting into practice</w:t>
      </w:r>
      <w:r>
        <w:rPr>
          <w:rFonts w:eastAsia="Trebuchet MS" w:cs="Trebuchet MS"/>
        </w:rPr>
        <w:t>’</w:t>
      </w:r>
      <w:r w:rsidR="004D5370" w:rsidRPr="46EE0549">
        <w:rPr>
          <w:rFonts w:eastAsia="Trebuchet MS" w:cs="Trebuchet MS"/>
        </w:rPr>
        <w:t xml:space="preserve">. What we need to get better at is then going back in six months’ time and having conversations. </w:t>
      </w:r>
      <w:r w:rsidR="004D5370" w:rsidRPr="000F4E8B">
        <w:rPr>
          <w:rFonts w:eastAsia="Trebuchet MS" w:cs="Trebuchet MS"/>
        </w:rPr>
        <w:t>(ID44, Director-Professional Teaching Practice, Vic.)</w:t>
      </w:r>
    </w:p>
    <w:p w14:paraId="5614CD56" w14:textId="7DEB9609" w:rsidR="004D5370" w:rsidRDefault="004D5370" w:rsidP="004D5370">
      <w:pPr>
        <w:pStyle w:val="Quote"/>
      </w:pPr>
      <w:r w:rsidRPr="46EE0549">
        <w:rPr>
          <w:rFonts w:eastAsia="Trebuchet MS" w:cs="Trebuchet MS"/>
        </w:rPr>
        <w:t>And we've learnt</w:t>
      </w:r>
      <w:r w:rsidR="00673961">
        <w:rPr>
          <w:rFonts w:eastAsia="Trebuchet MS" w:cs="Trebuchet MS"/>
        </w:rPr>
        <w:t xml:space="preserve"> </w:t>
      </w:r>
      <w:r w:rsidRPr="46EE0549">
        <w:rPr>
          <w:rFonts w:eastAsia="Trebuchet MS" w:cs="Trebuchet MS"/>
        </w:rPr>
        <w:t>[to]</w:t>
      </w:r>
      <w:r w:rsidR="00673961">
        <w:rPr>
          <w:rFonts w:eastAsia="Trebuchet MS" w:cs="Trebuchet MS"/>
        </w:rPr>
        <w:t xml:space="preserve"> </w:t>
      </w:r>
      <w:r w:rsidRPr="46EE0549">
        <w:rPr>
          <w:rFonts w:eastAsia="Trebuchet MS" w:cs="Trebuchet MS"/>
        </w:rPr>
        <w:t xml:space="preserve">create those embedded quizzes and tools to </w:t>
      </w:r>
      <w:proofErr w:type="gramStart"/>
      <w:r w:rsidRPr="46EE0549">
        <w:rPr>
          <w:rFonts w:eastAsia="Trebuchet MS" w:cs="Trebuchet MS"/>
        </w:rPr>
        <w:t>actually test</w:t>
      </w:r>
      <w:proofErr w:type="gramEnd"/>
      <w:r w:rsidRPr="46EE0549">
        <w:rPr>
          <w:rFonts w:eastAsia="Trebuchet MS" w:cs="Trebuchet MS"/>
        </w:rPr>
        <w:t xml:space="preserve"> their knowledge. </w:t>
      </w:r>
      <w:proofErr w:type="gramStart"/>
      <w:r w:rsidRPr="46EE0549">
        <w:rPr>
          <w:rFonts w:eastAsia="Trebuchet MS" w:cs="Trebuchet MS"/>
        </w:rPr>
        <w:t>So</w:t>
      </w:r>
      <w:proofErr w:type="gramEnd"/>
      <w:r w:rsidRPr="46EE0549">
        <w:rPr>
          <w:rFonts w:eastAsia="Trebuchet MS" w:cs="Trebuchet MS"/>
        </w:rPr>
        <w:t xml:space="preserve"> we know that they've got something out of it because they've had to read the learning resources and then complete some tests. </w:t>
      </w:r>
      <w:r w:rsidRPr="000805CC">
        <w:rPr>
          <w:rFonts w:eastAsia="Trebuchet MS" w:cs="Trebuchet MS"/>
        </w:rPr>
        <w:t>(ID36, Education Manager-Teacher Development, Vic.)</w:t>
      </w:r>
    </w:p>
    <w:p w14:paraId="77163D92" w14:textId="77777777" w:rsidR="004D5370" w:rsidRDefault="004D5370" w:rsidP="004D5370">
      <w:pPr>
        <w:pStyle w:val="Text"/>
      </w:pPr>
      <w:r>
        <w:t>Undertaking reflection was viewed both as an individual exercise and as something that could be shared in groups. During workshops, self-reflection was seen to include elements such as journalling, self-assessing delivery and revisiting motivation to undertake learning to guide improvements. Some leaders of teachers within RTOs spoke about having group reflection sessions with their staff to help guide the process.</w:t>
      </w:r>
    </w:p>
    <w:p w14:paraId="2B45085F" w14:textId="77777777" w:rsidR="004D5370" w:rsidRDefault="004D5370" w:rsidP="004D5370">
      <w:pPr>
        <w:pStyle w:val="Quote"/>
      </w:pPr>
      <w:r>
        <w:t xml:space="preserve">Let's have a reflection session on all the PD that you've done this year or attended this year and how are you implementing anything and what could be a barrier if not. </w:t>
      </w:r>
      <w:r w:rsidRPr="000805CC">
        <w:t>(ID36, Education Manager-Teacher Development, Vic.)</w:t>
      </w:r>
    </w:p>
    <w:p w14:paraId="125EE195" w14:textId="77777777" w:rsidR="004D5370" w:rsidRDefault="004D5370" w:rsidP="004D5370">
      <w:pPr>
        <w:pStyle w:val="Text"/>
      </w:pPr>
      <w:r>
        <w:t>Some</w:t>
      </w:r>
      <w:r w:rsidRPr="000B5981">
        <w:t xml:space="preserve"> interviewees identified a need for greater guidance on reflective practice for VET teachers. They noted that effective reflection is a skill that cannot be assumed and that some </w:t>
      </w:r>
      <w:r w:rsidRPr="000B5981">
        <w:lastRenderedPageBreak/>
        <w:t>teachers may require support to develop the knowledge and techniques needed to engage in reflective practice effectively, as illustrated in the example below:</w:t>
      </w:r>
    </w:p>
    <w:p w14:paraId="5D00C607" w14:textId="6968F634" w:rsidR="004D5370" w:rsidRDefault="004D5370" w:rsidP="004D5370">
      <w:pPr>
        <w:pStyle w:val="Quote"/>
      </w:pPr>
      <w:r w:rsidRPr="46EE0549">
        <w:t>... reflection writing. None of them can do it, none. It's not really taught as part of the TAE, and maybe it should be... but I always said in my training... when you do some PD, I want a reflection of what you've learned, what you might do differently, how it affects you. 99% of them cannot write a reflection to save their life. They tell you what they watched, they tell you that they liked it, and that's it</w:t>
      </w:r>
      <w:r w:rsidR="00002413">
        <w:t>.</w:t>
      </w:r>
      <w:r w:rsidRPr="46EE0549">
        <w:t xml:space="preserve"> What you've </w:t>
      </w:r>
      <w:proofErr w:type="gramStart"/>
      <w:r w:rsidRPr="46EE0549">
        <w:t>actually learned</w:t>
      </w:r>
      <w:proofErr w:type="gramEnd"/>
      <w:r w:rsidRPr="46EE0549">
        <w:t xml:space="preserve">, how you put it into practice and what you might change in the future, not just that you're watching to tick off a number...I want to know what you've learned and that's a challenge. </w:t>
      </w:r>
      <w:r w:rsidRPr="00BA236C">
        <w:t>(ID12, Compliance Manager, NSW)</w:t>
      </w:r>
    </w:p>
    <w:p w14:paraId="01B9DD87" w14:textId="77777777" w:rsidR="004D5370" w:rsidRDefault="004D5370" w:rsidP="004D5370">
      <w:pPr>
        <w:pStyle w:val="Heading4"/>
      </w:pPr>
      <w:r w:rsidRPr="04727ED1">
        <w:rPr>
          <w:rFonts w:eastAsia="Tahoma"/>
        </w:rPr>
        <w:t>Introducing incremental changes</w:t>
      </w:r>
    </w:p>
    <w:p w14:paraId="5274357F" w14:textId="77777777" w:rsidR="004D5370" w:rsidRPr="000F595D" w:rsidRDefault="004D5370" w:rsidP="004D5370">
      <w:pPr>
        <w:pStyle w:val="Text"/>
      </w:pPr>
      <w:r w:rsidRPr="000F595D">
        <w:t xml:space="preserve">A </w:t>
      </w:r>
      <w:r>
        <w:t>common</w:t>
      </w:r>
      <w:r w:rsidRPr="000F595D">
        <w:t xml:space="preserve"> theme across the workshops was the </w:t>
      </w:r>
      <w:r>
        <w:t>value</w:t>
      </w:r>
      <w:r w:rsidRPr="000F595D">
        <w:t xml:space="preserve"> of making incremental changes to teaching practice and evaluating their effectiveness over time. Participants in both the Canberra and Melbourne workshops, for example, spoke about taking “small steps” and setting </w:t>
      </w:r>
      <w:r>
        <w:t>“</w:t>
      </w:r>
      <w:r w:rsidRPr="000F595D">
        <w:t>SMART goals</w:t>
      </w:r>
      <w:r>
        <w:t>”</w:t>
      </w:r>
      <w:r w:rsidRPr="000F595D">
        <w:t xml:space="preserve"> when implementing new skills in the classroom.</w:t>
      </w:r>
    </w:p>
    <w:p w14:paraId="4F351E7B" w14:textId="77777777" w:rsidR="004D5370" w:rsidRPr="000F595D" w:rsidRDefault="004D5370" w:rsidP="004D5370">
      <w:pPr>
        <w:pStyle w:val="Text"/>
      </w:pPr>
      <w:r w:rsidRPr="000F595D">
        <w:t>While professional learning can leave teachers feeling enthusiastic and motivated to adopt multiple new approaches, participants cautioned against trying to implement too many changes at once. Doing so was seen as potentially overwhelming for teachers and could also create confusion for students. Instead, workshop participants emphasised the value of focusing on one or two changes at a time, testing what works, and building on successes gradually.</w:t>
      </w:r>
    </w:p>
    <w:p w14:paraId="43DF4141" w14:textId="77777777" w:rsidR="004D5370" w:rsidRPr="000F595D" w:rsidRDefault="004D5370" w:rsidP="004D5370">
      <w:pPr>
        <w:pStyle w:val="Text"/>
      </w:pPr>
      <w:r w:rsidRPr="000F595D">
        <w:t>The overarching message from the workshops was that teachers need opportunities to experiment with new approaches and learn through practice—to simply “give it a go”.</w:t>
      </w:r>
    </w:p>
    <w:p w14:paraId="66D73C05" w14:textId="77777777" w:rsidR="004D5370" w:rsidRPr="000F595D" w:rsidRDefault="004D5370" w:rsidP="004D5370">
      <w:pPr>
        <w:pStyle w:val="Text"/>
      </w:pPr>
      <w:r w:rsidRPr="000F595D">
        <w:t>This view was also reflected in the interviews, with participants suggesting that one of the most effective ways to develop new teaching skills is to trial them in the classroom, reflect on the outcomes, and refine approaches based on experience:</w:t>
      </w:r>
    </w:p>
    <w:p w14:paraId="6A266AC0" w14:textId="77777777" w:rsidR="004D5370" w:rsidRDefault="004D5370" w:rsidP="004D5370">
      <w:pPr>
        <w:pStyle w:val="Quote"/>
      </w:pPr>
      <w:r>
        <w:t xml:space="preserve">Completing this course, I think every week after these classes on the Monday, I'd go back in and I was trying new things, and I was seeing results and I was, you know, saying it this way, I was saying it that way and just yeah, I think that's made a big difference. </w:t>
      </w:r>
      <w:r w:rsidRPr="00D81017">
        <w:t>(ID35, Novice teacher, Vic.)</w:t>
      </w:r>
    </w:p>
    <w:p w14:paraId="5EDA26E8" w14:textId="77777777" w:rsidR="004D5370" w:rsidRDefault="004D5370" w:rsidP="004D5370">
      <w:pPr>
        <w:pStyle w:val="Heading3"/>
        <w:rPr>
          <w:i/>
          <w:iCs/>
          <w:szCs w:val="19"/>
        </w:rPr>
      </w:pPr>
      <w:r w:rsidRPr="04727ED1">
        <w:rPr>
          <w:rFonts w:eastAsia="Arial"/>
        </w:rPr>
        <w:t>Supportive culture</w:t>
      </w:r>
    </w:p>
    <w:p w14:paraId="72138658" w14:textId="77777777" w:rsidR="004D5370" w:rsidRPr="0070063C" w:rsidRDefault="004D5370" w:rsidP="004D5370">
      <w:pPr>
        <w:pStyle w:val="Text"/>
      </w:pPr>
      <w:r w:rsidRPr="0070063C">
        <w:t>While the strategies discussed above are important for helping teachers implement new skills in practice, their effectiveness depends on the presence of a supportive culture within teaching teams and across the broader RTO. Interview and workshop participants consistently emphasised that organisational culture plays a critical role in enabling teachers to translate professional learning into changes in teaching practice.</w:t>
      </w:r>
    </w:p>
    <w:p w14:paraId="7215C5AB" w14:textId="77777777" w:rsidR="004D5370" w:rsidRPr="0070063C" w:rsidRDefault="004D5370" w:rsidP="004D5370">
      <w:pPr>
        <w:pStyle w:val="Text"/>
      </w:pPr>
      <w:r w:rsidRPr="0070063C">
        <w:t>Several common themes emerged regarding the conditions that RTOs can provide to support the implementation of new learning. These findings align closely with those reported by Griffin and Davidson (2025) and include:</w:t>
      </w:r>
    </w:p>
    <w:p w14:paraId="484D19F2" w14:textId="77777777" w:rsidR="004D5370" w:rsidRPr="0070063C" w:rsidRDefault="004D5370" w:rsidP="00ED34DA">
      <w:pPr>
        <w:pStyle w:val="Dotpoint1"/>
      </w:pPr>
      <w:r w:rsidRPr="0070063C">
        <w:t>Providing time and space for teachers to experiment with and embed new practices.</w:t>
      </w:r>
    </w:p>
    <w:p w14:paraId="50E93740" w14:textId="77777777" w:rsidR="004D5370" w:rsidRPr="0070063C" w:rsidRDefault="004D5370" w:rsidP="00ED34DA">
      <w:pPr>
        <w:pStyle w:val="Dotpoint1"/>
      </w:pPr>
      <w:r w:rsidRPr="0070063C">
        <w:lastRenderedPageBreak/>
        <w:t>Creating an environment of flexibility and trust that encourages teachers to make changes to their teaching approaches.</w:t>
      </w:r>
    </w:p>
    <w:p w14:paraId="1DF96007" w14:textId="77777777" w:rsidR="004D5370" w:rsidRPr="0070063C" w:rsidRDefault="004D5370" w:rsidP="00ED34DA">
      <w:pPr>
        <w:pStyle w:val="Dotpoint1"/>
      </w:pPr>
      <w:r w:rsidRPr="0070063C">
        <w:t>Following up on professional development and measuring the impact of changes over time.</w:t>
      </w:r>
    </w:p>
    <w:p w14:paraId="02E5B4DA" w14:textId="77777777" w:rsidR="004D5370" w:rsidRDefault="004D5370" w:rsidP="004D5370">
      <w:pPr>
        <w:pStyle w:val="Heading4"/>
      </w:pPr>
      <w:r w:rsidRPr="04727ED1">
        <w:rPr>
          <w:rFonts w:eastAsia="Tahoma"/>
        </w:rPr>
        <w:t>Time and space</w:t>
      </w:r>
    </w:p>
    <w:p w14:paraId="4157CD89" w14:textId="312734E0" w:rsidR="004D5370" w:rsidRPr="005C289C" w:rsidRDefault="004D5370" w:rsidP="004D5370">
      <w:pPr>
        <w:pStyle w:val="Text"/>
      </w:pPr>
      <w:r w:rsidRPr="005C289C">
        <w:t xml:space="preserve">Both interviewees and workshop participants reported that heavy workloads and limited time can make it difficult for teachers to </w:t>
      </w:r>
      <w:r w:rsidR="00CB3C12">
        <w:t>apply</w:t>
      </w:r>
      <w:r w:rsidR="00CB3C12" w:rsidRPr="005C289C">
        <w:t xml:space="preserve"> </w:t>
      </w:r>
      <w:r w:rsidRPr="005C289C">
        <w:t>new skills and approaches in their practice. When time pressures are high, participants noted that it is often easier to revert to familiar teaching methods rather than invest the additional effort required to trial, refine and embed new practices.</w:t>
      </w:r>
    </w:p>
    <w:p w14:paraId="6074DF68" w14:textId="482440FA" w:rsidR="004D5370" w:rsidRDefault="004D5370" w:rsidP="004D5370">
      <w:pPr>
        <w:pStyle w:val="Quote"/>
      </w:pPr>
      <w:r>
        <w:t xml:space="preserve">But you go to a conference, think, oh God, </w:t>
      </w:r>
      <w:r w:rsidR="00A9531F">
        <w:t xml:space="preserve">that’s </w:t>
      </w:r>
      <w:r>
        <w:t>great. Yep, Yep, I'll do that. And you come back and you just get straight back into what you're doing. (ID, RTO Manager, NT)</w:t>
      </w:r>
    </w:p>
    <w:p w14:paraId="7EAB7311" w14:textId="77777777" w:rsidR="004D5370" w:rsidRDefault="004D5370" w:rsidP="004D5370">
      <w:pPr>
        <w:pStyle w:val="Text"/>
      </w:pPr>
      <w:r>
        <w:t>Some even expressed that teachers with less teaching hours are more able to find the time to make changes:</w:t>
      </w:r>
    </w:p>
    <w:p w14:paraId="126A4EA9" w14:textId="31DD9B3A" w:rsidR="004D5370" w:rsidRDefault="004D5370" w:rsidP="004D5370">
      <w:pPr>
        <w:pStyle w:val="Quote"/>
      </w:pPr>
      <w:r>
        <w:t>I think it works for our staff who are on sort of lower time fractions who've got a little bit more time to think about how to integrate that into their teaching. Yeah. Otherwise sometimes</w:t>
      </w:r>
      <w:r w:rsidR="00666A10">
        <w:t>,</w:t>
      </w:r>
      <w:r>
        <w:t xml:space="preserve"> I think</w:t>
      </w:r>
      <w:r w:rsidR="00666A10">
        <w:t>,</w:t>
      </w:r>
      <w:r>
        <w:t xml:space="preserve"> staff do the training and they don't always get the opportunity to find ways... (ID57, Program leader, Vic.)</w:t>
      </w:r>
    </w:p>
    <w:p w14:paraId="13586A10" w14:textId="1D98C2D5" w:rsidR="004D5370" w:rsidRPr="00A9100D" w:rsidRDefault="004D5370" w:rsidP="004D5370">
      <w:pPr>
        <w:pStyle w:val="Text"/>
      </w:pPr>
      <w:r w:rsidRPr="00A9100D">
        <w:t xml:space="preserve">Participants suggested several ways to address this challenge and better support the </w:t>
      </w:r>
      <w:r w:rsidR="005E59DF">
        <w:t>application</w:t>
      </w:r>
      <w:r w:rsidR="005E59DF" w:rsidRPr="00A9100D">
        <w:t xml:space="preserve"> </w:t>
      </w:r>
      <w:r w:rsidRPr="00A9100D">
        <w:t>of new teaching practices:</w:t>
      </w:r>
    </w:p>
    <w:p w14:paraId="41E991EC" w14:textId="77777777" w:rsidR="004D5370" w:rsidRPr="00A9100D" w:rsidRDefault="004D5370" w:rsidP="004D5370">
      <w:pPr>
        <w:pStyle w:val="Dotpoint1"/>
      </w:pPr>
      <w:r w:rsidRPr="00CB3C12">
        <w:t>Providing</w:t>
      </w:r>
      <w:r w:rsidRPr="00A9100D">
        <w:t xml:space="preserve"> dedicated time within working hours following professional development for teachers to reflect on what they have learned and consider how it can be applied in their teaching.</w:t>
      </w:r>
    </w:p>
    <w:p w14:paraId="388FE7B9" w14:textId="77777777" w:rsidR="004D5370" w:rsidRPr="00A9100D" w:rsidRDefault="004D5370" w:rsidP="004D5370">
      <w:pPr>
        <w:pStyle w:val="Dotpoint1"/>
      </w:pPr>
      <w:r w:rsidRPr="00A9100D">
        <w:t>Reducing workloads, or providing administrative support, to create time for teachers to seek advice, collaborate with colleagues and test new ideas.</w:t>
      </w:r>
    </w:p>
    <w:p w14:paraId="03B967A6" w14:textId="77777777" w:rsidR="004D5370" w:rsidRPr="00A9100D" w:rsidRDefault="004D5370" w:rsidP="004D5370">
      <w:pPr>
        <w:pStyle w:val="Dotpoint1"/>
      </w:pPr>
      <w:r w:rsidRPr="00A9100D">
        <w:t>Creating opportunities and spaces for teachers to share insights and discuss the application of new learning with others following professional development activities.</w:t>
      </w:r>
    </w:p>
    <w:p w14:paraId="7AC9EAB2" w14:textId="77777777" w:rsidR="004D5370" w:rsidRPr="00A9100D" w:rsidRDefault="004D5370" w:rsidP="004D5370">
      <w:pPr>
        <w:pStyle w:val="Dotpoint1"/>
      </w:pPr>
      <w:r w:rsidRPr="00A9100D">
        <w:t>Ensuring professional development is closely aligned with the real challenges and needs teachers are experiencing in their practice, making it more relevant and therefore more likely to be implemented.</w:t>
      </w:r>
    </w:p>
    <w:p w14:paraId="2F3DB2FD" w14:textId="77777777" w:rsidR="004D5370" w:rsidRDefault="004D5370" w:rsidP="004D5370">
      <w:pPr>
        <w:pStyle w:val="Text"/>
      </w:pPr>
      <w:r>
        <w:t>As expressed by the following interviewee, if time and space is not provided to teachers then nothing will change:</w:t>
      </w:r>
    </w:p>
    <w:p w14:paraId="6D08655B" w14:textId="74C25656" w:rsidR="004D5370" w:rsidRDefault="00A334BE" w:rsidP="004D5370">
      <w:pPr>
        <w:pStyle w:val="Quote"/>
      </w:pPr>
      <w:r>
        <w:t>I</w:t>
      </w:r>
      <w:r w:rsidR="004D5370">
        <w:t xml:space="preserve">t's </w:t>
      </w:r>
      <w:proofErr w:type="gramStart"/>
      <w:r w:rsidR="004D5370">
        <w:t>really about</w:t>
      </w:r>
      <w:proofErr w:type="gramEnd"/>
      <w:r w:rsidR="004D5370">
        <w:t xml:space="preserve"> sharing and giving that space and freedom to </w:t>
      </w:r>
      <w:proofErr w:type="gramStart"/>
      <w:r w:rsidR="004D5370">
        <w:t>actually do</w:t>
      </w:r>
      <w:proofErr w:type="gramEnd"/>
      <w:r w:rsidR="004D5370">
        <w:t xml:space="preserve"> it. I think that's probably my </w:t>
      </w:r>
      <w:proofErr w:type="gramStart"/>
      <w:r w:rsidR="004D5370">
        <w:t>key way</w:t>
      </w:r>
      <w:proofErr w:type="gramEnd"/>
      <w:r w:rsidR="004D5370">
        <w:t xml:space="preserve"> of doing things. </w:t>
      </w:r>
      <w:r w:rsidR="00F52973">
        <w:t>So,</w:t>
      </w:r>
      <w:r w:rsidR="004D5370">
        <w:t xml:space="preserve"> saying bring your input, let's make the change because if we don't encourage that, people will keep the ideas to </w:t>
      </w:r>
      <w:proofErr w:type="gramStart"/>
      <w:r w:rsidR="004D5370">
        <w:t>themselves</w:t>
      </w:r>
      <w:proofErr w:type="gramEnd"/>
      <w:r w:rsidR="004D5370">
        <w:t xml:space="preserve"> and nothing will ever change. (ID81, Education Manager, Vic.)  </w:t>
      </w:r>
    </w:p>
    <w:p w14:paraId="2070CB8E" w14:textId="77777777" w:rsidR="004D74E8" w:rsidRDefault="004D74E8" w:rsidP="004D5370">
      <w:pPr>
        <w:pStyle w:val="Heading4"/>
        <w:rPr>
          <w:rFonts w:eastAsia="Tahoma"/>
        </w:rPr>
      </w:pPr>
    </w:p>
    <w:p w14:paraId="7834EB84" w14:textId="77777777" w:rsidR="004D74E8" w:rsidRDefault="004D74E8" w:rsidP="004D5370">
      <w:pPr>
        <w:pStyle w:val="Heading4"/>
        <w:rPr>
          <w:rFonts w:eastAsia="Tahoma"/>
        </w:rPr>
      </w:pPr>
    </w:p>
    <w:p w14:paraId="76253EE7" w14:textId="1D7A4EFC" w:rsidR="004D5370" w:rsidRDefault="004D5370" w:rsidP="004D5370">
      <w:pPr>
        <w:pStyle w:val="Heading4"/>
      </w:pPr>
      <w:r w:rsidRPr="04727ED1">
        <w:rPr>
          <w:rFonts w:eastAsia="Tahoma"/>
        </w:rPr>
        <w:lastRenderedPageBreak/>
        <w:t>Flexibility and trust to make changes</w:t>
      </w:r>
    </w:p>
    <w:p w14:paraId="0DEB2506" w14:textId="7AB99B4D" w:rsidR="004D5370" w:rsidRPr="00925B78" w:rsidRDefault="004D5370" w:rsidP="004D5370">
      <w:pPr>
        <w:pStyle w:val="Text"/>
      </w:pPr>
      <w:r w:rsidRPr="00925B78">
        <w:t xml:space="preserve">Having the flexibility to adapt teaching and assessment materials emerged as one of the strongest themes in the workshops regarding the successful </w:t>
      </w:r>
      <w:r w:rsidR="00F52973">
        <w:t>application</w:t>
      </w:r>
      <w:r w:rsidR="00F52973" w:rsidRPr="00925B78">
        <w:t xml:space="preserve"> </w:t>
      </w:r>
      <w:r w:rsidRPr="00925B78">
        <w:t>of new teaching skills. Participants reported considerable variation in the level of autonomy they had to modify course materials and trial new approaches in their classrooms.</w:t>
      </w:r>
    </w:p>
    <w:p w14:paraId="10F80976" w14:textId="77777777" w:rsidR="004D5370" w:rsidRPr="00925B78" w:rsidRDefault="004D5370" w:rsidP="004D5370">
      <w:pPr>
        <w:pStyle w:val="Text"/>
      </w:pPr>
      <w:r w:rsidRPr="00925B78">
        <w:t>Some workshop participants reported that their RTO either purchased course materials from external providers or supplied all teaching resources centrally, leaving little or no opportunity for teachers to make changes or experiment with new ideas. Participants suggested that a key reason for these restrictions was a desire to maintain consistency in the learning experience and content delivered across student cohorts.</w:t>
      </w:r>
    </w:p>
    <w:p w14:paraId="168FA2C6" w14:textId="77777777" w:rsidR="004D5370" w:rsidRPr="00925B78" w:rsidRDefault="004D5370" w:rsidP="004D5370">
      <w:pPr>
        <w:pStyle w:val="Text"/>
      </w:pPr>
      <w:r w:rsidRPr="00925B78">
        <w:t>In contrast, other teachers described having considerable flexibility to adapt teaching strategies, learning resources and assessment materials to meet the needs of their learners and incorporate new approaches arising from professional development. As illustrated by the following interview excerpts:</w:t>
      </w:r>
    </w:p>
    <w:p w14:paraId="1F645488" w14:textId="04310768" w:rsidR="004D5370" w:rsidRDefault="004D5370" w:rsidP="004D5370">
      <w:pPr>
        <w:pStyle w:val="Quote"/>
      </w:pPr>
      <w:r>
        <w:t xml:space="preserve">Our provider...[is] very flexible and I have my autonomy. </w:t>
      </w:r>
      <w:proofErr w:type="gramStart"/>
      <w:r>
        <w:t>So</w:t>
      </w:r>
      <w:proofErr w:type="gramEnd"/>
      <w:r>
        <w:t xml:space="preserve"> if I think I want to do this, so far no one stopped me. I learned this, I want to do this, they let me. But I don't just implement, I discuss before I implement and then seek some advice from my manager and senior trainer, but generally </w:t>
      </w:r>
      <w:r w:rsidR="00C36C66">
        <w:t>‘</w:t>
      </w:r>
      <w:r>
        <w:t>that's brilliant</w:t>
      </w:r>
      <w:r w:rsidR="00C36C66">
        <w:t>,</w:t>
      </w:r>
      <w:r>
        <w:t xml:space="preserve"> </w:t>
      </w:r>
      <w:r w:rsidR="00C36C66">
        <w:t>g</w:t>
      </w:r>
      <w:r>
        <w:t>o for it</w:t>
      </w:r>
      <w:r w:rsidR="00C36C66">
        <w:t>’</w:t>
      </w:r>
      <w:r>
        <w:t>. Yeah, very much</w:t>
      </w:r>
      <w:r w:rsidR="001049EB">
        <w:t>,</w:t>
      </w:r>
      <w:r>
        <w:t xml:space="preserve"> we have flexibility</w:t>
      </w:r>
      <w:r w:rsidR="00E47991">
        <w:t>,</w:t>
      </w:r>
      <w:r>
        <w:t xml:space="preserve"> a lot. </w:t>
      </w:r>
      <w:r w:rsidRPr="005A20C5">
        <w:t>(ID9, Novice teacher, ACT)</w:t>
      </w:r>
    </w:p>
    <w:p w14:paraId="670BADA3" w14:textId="67F5D814" w:rsidR="004D5370" w:rsidRDefault="004D5370" w:rsidP="004D5370">
      <w:pPr>
        <w:pStyle w:val="Quote"/>
      </w:pPr>
      <w:r>
        <w:t xml:space="preserve">I can develop anything that I want that I see fit to in a way that meets the institute's requirements, but also allows me to be a bit </w:t>
      </w:r>
      <w:proofErr w:type="gramStart"/>
      <w:r>
        <w:t>more fr</w:t>
      </w:r>
      <w:bookmarkStart w:id="56" w:name="_Int_vBpFKB5S"/>
      <w:r>
        <w:t>ee</w:t>
      </w:r>
      <w:proofErr w:type="gramEnd"/>
      <w:r>
        <w:t xml:space="preserve"> flowin</w:t>
      </w:r>
      <w:bookmarkEnd w:id="56"/>
      <w:r>
        <w:t xml:space="preserve">g within terms of how I deliver the content and I find that really quite invigorating and enjoyable... Where I feel if I somewhere else, that would be challenging. </w:t>
      </w:r>
      <w:r w:rsidRPr="003A465F">
        <w:t>(ID56, Mid-career teacher, Vic)</w:t>
      </w:r>
    </w:p>
    <w:p w14:paraId="461123F3" w14:textId="77777777" w:rsidR="004D5370" w:rsidRPr="001145CC" w:rsidRDefault="004D5370" w:rsidP="004D5370">
      <w:pPr>
        <w:pStyle w:val="Text"/>
      </w:pPr>
      <w:r w:rsidRPr="001145CC">
        <w:t>Workshop participants also recognised that reluctance to modify course materials or trial new teaching approaches can sometimes stem from teachers themselves, particularly where there is a fear of failure or concern about making mistakes.</w:t>
      </w:r>
      <w:r>
        <w:t xml:space="preserve"> </w:t>
      </w:r>
      <w:r w:rsidRPr="001145CC">
        <w:t>Participants suggested that addressing this issue requires RTOs to foster a culture of psychological safety and professional autonomy, where teachers feel supported and encouraged to experiment with new ideas in their classrooms. Several strategies were identified to help create this environment:</w:t>
      </w:r>
    </w:p>
    <w:p w14:paraId="1A9D0409" w14:textId="77777777" w:rsidR="004D5370" w:rsidRPr="001145CC" w:rsidRDefault="004D5370" w:rsidP="004D5370">
      <w:pPr>
        <w:pStyle w:val="Dotpoint1"/>
      </w:pPr>
      <w:r w:rsidRPr="001145CC">
        <w:t>Building a culture of continuous improvement that is actively modelled and supported by leaders at all levels of the organisation.</w:t>
      </w:r>
    </w:p>
    <w:p w14:paraId="14B0902F" w14:textId="77777777" w:rsidR="004D5370" w:rsidRPr="001145CC" w:rsidRDefault="004D5370" w:rsidP="004D5370">
      <w:pPr>
        <w:pStyle w:val="Dotpoint1"/>
      </w:pPr>
      <w:r w:rsidRPr="001145CC">
        <w:t>Encouraging trial and error, allowing teachers to experiment with different teaching strategies and identify what works best for their teaching style and learner cohorts.</w:t>
      </w:r>
    </w:p>
    <w:p w14:paraId="5498166B" w14:textId="77777777" w:rsidR="004D5370" w:rsidRPr="001145CC" w:rsidRDefault="004D5370" w:rsidP="004D5370">
      <w:pPr>
        <w:pStyle w:val="Dotpoint1"/>
      </w:pPr>
      <w:r w:rsidRPr="001145CC">
        <w:t>Creating a supportive environment in which teachers feel comfortable seeking advice, asking questions, testing new approaches and learning from unsuccessful attempts without fear of judgement or negative consequences.</w:t>
      </w:r>
    </w:p>
    <w:p w14:paraId="69A0DB50" w14:textId="77777777" w:rsidR="004D5370" w:rsidRPr="001145CC" w:rsidRDefault="004D5370" w:rsidP="004D5370">
      <w:pPr>
        <w:pStyle w:val="Text"/>
      </w:pPr>
      <w:r w:rsidRPr="001145CC">
        <w:t>Participants emphasised that when teachers feel trusted and supported to innovate, they are more likely to apply new learning from professional development and make meaningful improvements to their teaching practice.</w:t>
      </w:r>
    </w:p>
    <w:p w14:paraId="085C8256" w14:textId="77777777" w:rsidR="004D74E8" w:rsidRDefault="004D74E8" w:rsidP="004D5370">
      <w:pPr>
        <w:pStyle w:val="Heading4"/>
        <w:rPr>
          <w:rFonts w:eastAsia="Tahoma"/>
        </w:rPr>
      </w:pPr>
    </w:p>
    <w:p w14:paraId="5B0A8119" w14:textId="2DBB5FF2" w:rsidR="004D5370" w:rsidRDefault="004D5370" w:rsidP="004D5370">
      <w:pPr>
        <w:pStyle w:val="Heading4"/>
      </w:pPr>
      <w:r w:rsidRPr="04727ED1">
        <w:rPr>
          <w:rFonts w:eastAsia="Tahoma"/>
        </w:rPr>
        <w:lastRenderedPageBreak/>
        <w:t xml:space="preserve">Following up and measuring change </w:t>
      </w:r>
    </w:p>
    <w:p w14:paraId="3D0791A5" w14:textId="77777777" w:rsidR="004D5370" w:rsidRPr="00A02C51" w:rsidRDefault="004D5370" w:rsidP="004D5370">
      <w:pPr>
        <w:pStyle w:val="Text"/>
      </w:pPr>
      <w:r w:rsidRPr="00A02C51">
        <w:t>A theme emerging primarily from the interviews was the importance of ongoing follow-up during and after professional development activities. Some interviewees reported limited follow-up, which they believed reduced the likelihood of new learning being translated into practice and, in some cases, diminished motivation to implement change:</w:t>
      </w:r>
    </w:p>
    <w:p w14:paraId="666B408E" w14:textId="77777777" w:rsidR="004D5370" w:rsidRDefault="004D5370" w:rsidP="004D5370">
      <w:pPr>
        <w:pStyle w:val="Quote"/>
      </w:pPr>
      <w:r>
        <w:t xml:space="preserve">There's, from what I've seen, there's been no follow up. </w:t>
      </w:r>
      <w:r w:rsidRPr="00186780">
        <w:t>(ID35, Novice teacher, Vic.)</w:t>
      </w:r>
    </w:p>
    <w:p w14:paraId="3B986AB7" w14:textId="458B3485" w:rsidR="004D5370" w:rsidRDefault="004D5370" w:rsidP="004D5370">
      <w:pPr>
        <w:pStyle w:val="Text"/>
      </w:pPr>
      <w:r>
        <w:t>Interviewees in teacher development roles spoke about how continual follow up after professional development can help to solidify the knowledge learnt, provide examples of how new skills can be applied and encourage teachers to continuing reflecting on what they have learnt</w:t>
      </w:r>
      <w:r w:rsidR="00B161D4">
        <w:t>,</w:t>
      </w:r>
      <w:r>
        <w:t xml:space="preserve"> leading to greater implementation.</w:t>
      </w:r>
    </w:p>
    <w:p w14:paraId="6142D43B" w14:textId="77777777" w:rsidR="004D5370" w:rsidRDefault="004D5370" w:rsidP="004D5370">
      <w:pPr>
        <w:pStyle w:val="Text"/>
      </w:pPr>
      <w:r w:rsidRPr="003F4A09">
        <w:t>Follow-up discussions after professional development signal that an organisation values both the learning undertaken and its application in practice. Such conversations can encourage teachers to reflect on and implement new approaches, while also fostering a culture of support, collaboration and knowledge sharing.</w:t>
      </w:r>
    </w:p>
    <w:p w14:paraId="5BD4CEE6" w14:textId="1508FD1C" w:rsidR="004D5370" w:rsidRDefault="004D5370" w:rsidP="004D5370">
      <w:pPr>
        <w:pStyle w:val="Quote"/>
      </w:pPr>
      <w:r>
        <w:t xml:space="preserve">We do what we call nudges, which is post the events. We'll send out emails with articles related to the topic that they learned about, suggestions of how they could apply it, asking them, you know, </w:t>
      </w:r>
      <w:r w:rsidR="009C20F5">
        <w:t>‘</w:t>
      </w:r>
      <w:r>
        <w:t>what are you doing? How have you used it?</w:t>
      </w:r>
      <w:r w:rsidR="009C20F5">
        <w:t>’.</w:t>
      </w:r>
      <w:r>
        <w:t xml:space="preserve"> </w:t>
      </w:r>
      <w:r w:rsidRPr="006B2E9F">
        <w:t>(ID54, Manager-</w:t>
      </w:r>
      <w:r w:rsidRPr="006317D1">
        <w:t>Teacher Capability</w:t>
      </w:r>
      <w:r w:rsidRPr="006B2E9F">
        <w:t>, Vic.)</w:t>
      </w:r>
    </w:p>
    <w:p w14:paraId="0E1223E0" w14:textId="77777777" w:rsidR="004D5370" w:rsidRDefault="004D5370" w:rsidP="004D5370">
      <w:pPr>
        <w:pStyle w:val="Text"/>
      </w:pPr>
      <w:r w:rsidRPr="00300618">
        <w:t>Some participants also suggested that managers should be encouraged to follow up with team members after they have completed professional development. These conversations can help teachers feel supported in applying new knowledge and skills</w:t>
      </w:r>
      <w:r>
        <w:t>.</w:t>
      </w:r>
      <w:r w:rsidRPr="00300618">
        <w:t xml:space="preserve"> Participants noted that, in the absence of follow-up and encouragement, teachers facing significant time pressures may be less likely to prioritise implementing changes to their practice.</w:t>
      </w:r>
      <w:r>
        <w:t xml:space="preserve"> One interviewee shared their experience with a supportive manager:</w:t>
      </w:r>
    </w:p>
    <w:p w14:paraId="68F70570" w14:textId="620AC297" w:rsidR="004D5370" w:rsidRDefault="004D5370" w:rsidP="004D5370">
      <w:pPr>
        <w:pStyle w:val="Quote"/>
      </w:pPr>
      <w:r>
        <w:t xml:space="preserve">I think it depends on your </w:t>
      </w:r>
      <w:proofErr w:type="gramStart"/>
      <w:r>
        <w:t>manager</w:t>
      </w:r>
      <w:proofErr w:type="gramEnd"/>
      <w:r>
        <w:t xml:space="preserve"> and I think it depends on how much they're prepared to help. So yeah, I think my manager is quite flexible and helpful. She's happy to support. You know, if someone has an idea to improve student outcomes, improve teaching practices, I think she's usually happy to let us have a crack at it and maybe even reduce some teaching hours to help that happen. (ID65, Experienced teacher, WA)   </w:t>
      </w:r>
    </w:p>
    <w:p w14:paraId="67989B50" w14:textId="77777777" w:rsidR="004D5370" w:rsidRDefault="004D5370" w:rsidP="004D5370">
      <w:pPr>
        <w:pStyle w:val="Text"/>
      </w:pPr>
      <w:r>
        <w:t xml:space="preserve">It was also suggested that being able to measure any growth in capabilities post professional learning is an area that could be improved. </w:t>
      </w:r>
    </w:p>
    <w:p w14:paraId="648B2F0A" w14:textId="760E3239" w:rsidR="004D5370" w:rsidRDefault="004D5370" w:rsidP="004D5370">
      <w:pPr>
        <w:pStyle w:val="Quote"/>
      </w:pPr>
      <w:r>
        <w:t xml:space="preserve">The challenge is seeing where the value for the money is </w:t>
      </w:r>
      <w:r w:rsidR="002E4FFF">
        <w:t xml:space="preserve">when </w:t>
      </w:r>
      <w:r>
        <w:t>implemented further down the line... we find with developing our teachers is</w:t>
      </w:r>
      <w:r w:rsidR="002E4FFF">
        <w:t>,</w:t>
      </w:r>
      <w:r>
        <w:t xml:space="preserve"> </w:t>
      </w:r>
      <w:r w:rsidR="001A6607">
        <w:t>yes,</w:t>
      </w:r>
      <w:r>
        <w:t xml:space="preserve"> you can go and learn something, but how is it changing the practice down the track</w:t>
      </w:r>
      <w:r w:rsidR="001A6607">
        <w:t>?</w:t>
      </w:r>
      <w:r>
        <w:t>, how are we measuring that</w:t>
      </w:r>
      <w:r w:rsidR="001A6607">
        <w:t>?,</w:t>
      </w:r>
      <w:r>
        <w:t xml:space="preserve"> and that's probably a big gap in that space. </w:t>
      </w:r>
      <w:r w:rsidRPr="00EC1BDA">
        <w:t>(ID36, Education Manager-Teacher Development, Vic.)</w:t>
      </w:r>
    </w:p>
    <w:p w14:paraId="4A9890D0" w14:textId="77777777" w:rsidR="004D5370" w:rsidRDefault="004D5370" w:rsidP="004D5370">
      <w:pPr>
        <w:pStyle w:val="Text"/>
      </w:pPr>
      <w:r w:rsidRPr="003615EB">
        <w:t>Monitoring changes in teaching practice can help demonstrate an RTO’s commitment to professional development and its impact. It also communicates an expectation that professional learning will result in meaningful improvements to practice and learner outcomes.</w:t>
      </w:r>
    </w:p>
    <w:p w14:paraId="59F850E8" w14:textId="77777777" w:rsidR="004D5370" w:rsidRDefault="004D5370" w:rsidP="004D5370">
      <w:pPr>
        <w:spacing w:before="0" w:line="240" w:lineRule="auto"/>
        <w:rPr>
          <w:rFonts w:ascii="Arial" w:hAnsi="Arial" w:cs="Tahoma"/>
          <w:color w:val="000000"/>
          <w:kern w:val="28"/>
          <w:sz w:val="56"/>
          <w:szCs w:val="56"/>
        </w:rPr>
      </w:pPr>
      <w:r>
        <w:br w:type="page"/>
      </w:r>
    </w:p>
    <w:p w14:paraId="2644A9DA" w14:textId="77777777" w:rsidR="004D5370" w:rsidRPr="004D5370" w:rsidRDefault="004D5370" w:rsidP="004D5370">
      <w:pPr>
        <w:pStyle w:val="Heading1"/>
      </w:pPr>
      <w:bookmarkStart w:id="57" w:name="_Toc241507538"/>
      <w:r w:rsidRPr="004D5370">
        <w:lastRenderedPageBreak/>
        <w:t>References</w:t>
      </w:r>
      <w:bookmarkEnd w:id="57"/>
    </w:p>
    <w:p w14:paraId="3334D44E" w14:textId="77777777" w:rsidR="004D5370" w:rsidRPr="001330B3" w:rsidRDefault="004D5370" w:rsidP="004D5370">
      <w:pPr>
        <w:pStyle w:val="References"/>
      </w:pPr>
      <w:r w:rsidRPr="00296708">
        <w:t xml:space="preserve">Aha Psychological Services 2023, </w:t>
      </w:r>
      <w:r w:rsidRPr="00296708">
        <w:rPr>
          <w:i/>
        </w:rPr>
        <w:t>Strengthening mental health and psychosocial support for pre- and in-service teachers in Africa</w:t>
      </w:r>
      <w:r w:rsidRPr="00296708">
        <w:t>, UNESCO IICBA, Addis Ababa, Ethiopia, viewed Jul 2025, &lt;</w:t>
      </w:r>
      <w:r w:rsidRPr="006F077A">
        <w:t>https://www.teachertaskforce.org/knowledge-hub/strengthening-mental-health-and-psychosocial-support-pre-and-service-teachers-africa</w:t>
      </w:r>
      <w:r w:rsidRPr="001330B3">
        <w:t>&gt;.</w:t>
      </w:r>
    </w:p>
    <w:p w14:paraId="0CC19273" w14:textId="77777777" w:rsidR="004D5370" w:rsidRDefault="004D5370" w:rsidP="004D5370">
      <w:pPr>
        <w:pStyle w:val="References"/>
      </w:pPr>
      <w:r>
        <w:t xml:space="preserve">Ahmed, SK, Dabrowski, A, Dix, K &amp; </w:t>
      </w:r>
      <w:proofErr w:type="spellStart"/>
      <w:r>
        <w:t>Carslake</w:t>
      </w:r>
      <w:proofErr w:type="spellEnd"/>
      <w:r>
        <w:t xml:space="preserve">, T 2023, </w:t>
      </w:r>
      <w:r w:rsidRPr="00565253">
        <w:rPr>
          <w:i/>
        </w:rPr>
        <w:t>School-based interventions that support mental health and psychosocial wellbeing in low- and middle-income countries</w:t>
      </w:r>
      <w:r>
        <w:t xml:space="preserve">, Australian Council for Educational Research, Camberwell, Victoria, </w:t>
      </w:r>
      <w:r w:rsidRPr="009E39C9">
        <w:t>viewed</w:t>
      </w:r>
      <w:r>
        <w:t xml:space="preserve"> </w:t>
      </w:r>
      <w:r w:rsidRPr="009E39C9">
        <w:t>Jul 2025</w:t>
      </w:r>
      <w:r>
        <w:t>, &lt;https://doi.org/10.37517/978-1-74286-714-4&gt;.</w:t>
      </w:r>
    </w:p>
    <w:p w14:paraId="791BFEA5" w14:textId="77777777" w:rsidR="004D5370" w:rsidRPr="00EE2C27" w:rsidRDefault="004D5370" w:rsidP="004D5370">
      <w:pPr>
        <w:pStyle w:val="References"/>
      </w:pPr>
      <w:proofErr w:type="spellStart"/>
      <w:r w:rsidRPr="00EE2C27">
        <w:t>Andrahannadi</w:t>
      </w:r>
      <w:proofErr w:type="spellEnd"/>
      <w:r>
        <w:t>,</w:t>
      </w:r>
      <w:r w:rsidRPr="00EE2C27">
        <w:t xml:space="preserve"> U </w:t>
      </w:r>
      <w:r>
        <w:t xml:space="preserve">&amp; </w:t>
      </w:r>
      <w:r w:rsidRPr="00EE2C27">
        <w:t>Griffin</w:t>
      </w:r>
      <w:r>
        <w:t>,</w:t>
      </w:r>
      <w:r w:rsidRPr="00EE2C27">
        <w:t xml:space="preserve"> T</w:t>
      </w:r>
      <w:r>
        <w:t xml:space="preserve"> </w:t>
      </w:r>
      <w:r w:rsidRPr="00EE2C27">
        <w:t>2025</w:t>
      </w:r>
      <w:r>
        <w:t>,</w:t>
      </w:r>
      <w:r w:rsidRPr="004E1AB7">
        <w:t xml:space="preserve"> </w:t>
      </w:r>
      <w:r w:rsidRPr="00D752BB">
        <w:rPr>
          <w:i/>
          <w:iCs/>
        </w:rPr>
        <w:t>Student support: enabling the learner journey</w:t>
      </w:r>
      <w:r w:rsidRPr="00EE2C27">
        <w:t>, NCVER</w:t>
      </w:r>
      <w:r w:rsidRPr="004E1AB7">
        <w:t xml:space="preserve">, viewed </w:t>
      </w:r>
      <w:r>
        <w:t>July</w:t>
      </w:r>
      <w:r w:rsidRPr="004E1AB7">
        <w:t xml:space="preserve"> 2025,</w:t>
      </w:r>
      <w:r>
        <w:t xml:space="preserve"> &lt;</w:t>
      </w:r>
      <w:r w:rsidRPr="002279C3">
        <w:t xml:space="preserve"> https://www.ncver.edu.au/research-and-statistics/publications/all-publications/effective-student-support-enabling-the-learner-journey-good-practice-guide</w:t>
      </w:r>
      <w:r>
        <w:t>&gt;</w:t>
      </w:r>
      <w:r w:rsidRPr="00EE2C27">
        <w:t>.</w:t>
      </w:r>
    </w:p>
    <w:p w14:paraId="4204FAF9" w14:textId="77777777" w:rsidR="004D5370" w:rsidRPr="001330B3" w:rsidRDefault="004D5370" w:rsidP="004D5370">
      <w:pPr>
        <w:pStyle w:val="References"/>
      </w:pPr>
      <w:r w:rsidRPr="00296708">
        <w:t xml:space="preserve">Ainley, J &amp; Carstens, R 2018, </w:t>
      </w:r>
      <w:r w:rsidRPr="00296708">
        <w:rPr>
          <w:i/>
        </w:rPr>
        <w:t>Teaching and Learning International Survey (TALIS) 2018 Conceptual Framework</w:t>
      </w:r>
      <w:r w:rsidRPr="00296708">
        <w:t>, OECD Education Working Papers Paris, viewed Jul 2025, &lt;</w:t>
      </w:r>
      <w:r w:rsidRPr="006F077A">
        <w:t>https://doi.org/10.1787/799337c2-en</w:t>
      </w:r>
      <w:r w:rsidRPr="001330B3">
        <w:t>&gt;.</w:t>
      </w:r>
    </w:p>
    <w:p w14:paraId="541D0630" w14:textId="77777777" w:rsidR="004D5370" w:rsidRDefault="004D5370" w:rsidP="004D5370">
      <w:pPr>
        <w:pStyle w:val="References"/>
      </w:pPr>
      <w:r>
        <w:t xml:space="preserve">ASQA 2025 Practice Guide – </w:t>
      </w:r>
      <w:r w:rsidRPr="49E9A6F4">
        <w:rPr>
          <w:i/>
        </w:rPr>
        <w:t>Trainer and Assessor Competencies (Standards 3.2, 3.3)</w:t>
      </w:r>
      <w:r>
        <w:t>, viewed Aug 2025, &lt;</w:t>
      </w:r>
      <w:r w:rsidRPr="00A932AB">
        <w:t>https://www.asqa.gov.au/sites/default/files/2025-06/Practice%20Guide%20-%20Trainer%20and%20assessor%20competencies.pdf</w:t>
      </w:r>
      <w:r>
        <w:t xml:space="preserve">&gt;.  </w:t>
      </w:r>
    </w:p>
    <w:p w14:paraId="78833035" w14:textId="77777777" w:rsidR="004D5370" w:rsidRPr="004D5370" w:rsidRDefault="004D5370" w:rsidP="004D5370">
      <w:pPr>
        <w:pStyle w:val="References"/>
      </w:pPr>
      <w:r w:rsidRPr="004D5370">
        <w:t>Australian Children’s Education and Care Quality Authority 2025, Qualification requirements, viewed Aug 2025, &lt;</w:t>
      </w:r>
      <w:hyperlink r:id="rId23" w:history="1">
        <w:r w:rsidRPr="004D5370">
          <w:rPr>
            <w:rStyle w:val="Hyperlink"/>
            <w:rFonts w:ascii="Montserrat" w:hAnsi="Montserrat"/>
            <w:sz w:val="18"/>
          </w:rPr>
          <w:t>https://www.acecqa.gov.au/qualifications-0/qualification-requirements</w:t>
        </w:r>
      </w:hyperlink>
      <w:r w:rsidRPr="004D5370">
        <w:t>&gt;.</w:t>
      </w:r>
    </w:p>
    <w:p w14:paraId="5BDD5A1D" w14:textId="77777777" w:rsidR="004D5370" w:rsidRDefault="004D5370" w:rsidP="004D5370">
      <w:pPr>
        <w:pStyle w:val="References"/>
      </w:pPr>
      <w:r>
        <w:t>Australian Government 2025a, ‘2025 Standards for Registered Training Organisations’,</w:t>
      </w:r>
      <w:r w:rsidRPr="003D62EF">
        <w:t xml:space="preserve"> </w:t>
      </w:r>
      <w:r>
        <w:t>viewed Jul 2025,</w:t>
      </w:r>
    </w:p>
    <w:p w14:paraId="55D6E3EC" w14:textId="77777777" w:rsidR="004D5370" w:rsidRDefault="004D5370" w:rsidP="004D5370">
      <w:pPr>
        <w:pStyle w:val="References"/>
      </w:pPr>
      <w:r>
        <w:tab/>
        <w:t xml:space="preserve"> &lt;</w:t>
      </w:r>
      <w:r w:rsidRPr="00A932AB">
        <w:t>https://www.dewr.gov.au/standards-for-rtos</w:t>
      </w:r>
      <w:r>
        <w:t>&gt;.</w:t>
      </w:r>
    </w:p>
    <w:p w14:paraId="2FF2C953" w14:textId="77777777" w:rsidR="004D5370" w:rsidRDefault="004D5370" w:rsidP="004D5370">
      <w:pPr>
        <w:pStyle w:val="References"/>
      </w:pPr>
      <w:r>
        <w:t>Australian Government 2025b ‘Credential Policy, Standards for Registered Training Organisations, viewed Aug 2025, &lt;</w:t>
      </w:r>
      <w:r w:rsidRPr="00D973E3">
        <w:t xml:space="preserve"> https://www.dewr.gov.au/revisions-standards-registered-training-organisations/resources/policy-draft-credential-policy</w:t>
      </w:r>
      <w:r>
        <w:t>&gt;.</w:t>
      </w:r>
    </w:p>
    <w:p w14:paraId="102240E8" w14:textId="77777777" w:rsidR="004D5370" w:rsidRDefault="004D5370" w:rsidP="004D5370">
      <w:pPr>
        <w:pStyle w:val="References"/>
      </w:pPr>
      <w:r>
        <w:t>Australian Government 2025d, ‘Student Resilience and Wellbeing Resources’, viewed Jul 2025, &lt;https://www.education.gov.au/student-resilience-and-wellbeing/student-resilience-and-wellbeing-resources&gt;.</w:t>
      </w:r>
    </w:p>
    <w:p w14:paraId="0D20D043" w14:textId="77777777" w:rsidR="004D5370" w:rsidRDefault="004D5370" w:rsidP="004D5370">
      <w:pPr>
        <w:pStyle w:val="References"/>
      </w:pPr>
      <w:r>
        <w:t>Australian Government 2025c, ‘Student Wellbeing Hub, Educators section’, viewed Jul 2025, &lt;https://studentwellbeinghub.edu.au/educators/&gt;.</w:t>
      </w:r>
    </w:p>
    <w:p w14:paraId="3EE254DC" w14:textId="77777777" w:rsidR="004D5370" w:rsidRDefault="004D5370" w:rsidP="004D5370">
      <w:pPr>
        <w:pStyle w:val="References"/>
      </w:pPr>
      <w:proofErr w:type="spellStart"/>
      <w:r>
        <w:t>B</w:t>
      </w:r>
      <w:r w:rsidRPr="00AE21A8">
        <w:t>artušienė</w:t>
      </w:r>
      <w:proofErr w:type="spellEnd"/>
      <w:r w:rsidRPr="00AE21A8">
        <w:t xml:space="preserve">, D, </w:t>
      </w:r>
      <w:proofErr w:type="spellStart"/>
      <w:r w:rsidRPr="00AE21A8">
        <w:t>Gaižiūnaitė</w:t>
      </w:r>
      <w:proofErr w:type="spellEnd"/>
      <w:r w:rsidRPr="00AE21A8">
        <w:t xml:space="preserve">, R, </w:t>
      </w:r>
      <w:proofErr w:type="spellStart"/>
      <w:r w:rsidRPr="00AE21A8">
        <w:t>Jankauskaitė</w:t>
      </w:r>
      <w:proofErr w:type="spellEnd"/>
      <w:r w:rsidRPr="00AE21A8">
        <w:t xml:space="preserve">, S, </w:t>
      </w:r>
      <w:proofErr w:type="spellStart"/>
      <w:r w:rsidRPr="00AE21A8">
        <w:t>Jotautis</w:t>
      </w:r>
      <w:proofErr w:type="spellEnd"/>
      <w:r w:rsidRPr="00AE21A8">
        <w:t xml:space="preserve">, V, </w:t>
      </w:r>
      <w:proofErr w:type="spellStart"/>
      <w:r w:rsidRPr="00AE21A8">
        <w:t>Lamsodienė</w:t>
      </w:r>
      <w:proofErr w:type="spellEnd"/>
      <w:r w:rsidRPr="00AE21A8">
        <w:t xml:space="preserve">, E, </w:t>
      </w:r>
      <w:proofErr w:type="spellStart"/>
      <w:r w:rsidRPr="00AE21A8">
        <w:t>Liepinaitienė</w:t>
      </w:r>
      <w:proofErr w:type="spellEnd"/>
      <w:r w:rsidRPr="00AE21A8">
        <w:t xml:space="preserve">, A, </w:t>
      </w:r>
      <w:proofErr w:type="spellStart"/>
      <w:r w:rsidRPr="00AE21A8">
        <w:t>Navickienė</w:t>
      </w:r>
      <w:proofErr w:type="spellEnd"/>
      <w:r w:rsidRPr="00AE21A8">
        <w:t xml:space="preserve">, L, </w:t>
      </w:r>
      <w:proofErr w:type="spellStart"/>
      <w:r w:rsidRPr="00AE21A8">
        <w:t>Piščalkienė</w:t>
      </w:r>
      <w:proofErr w:type="spellEnd"/>
      <w:r w:rsidRPr="00AE21A8">
        <w:t xml:space="preserve">, V, </w:t>
      </w:r>
      <w:proofErr w:type="spellStart"/>
      <w:r w:rsidRPr="00AE21A8">
        <w:t>Vaitkienė</w:t>
      </w:r>
      <w:proofErr w:type="spellEnd"/>
      <w:r w:rsidRPr="00AE21A8">
        <w:t xml:space="preserve">, R &amp; </w:t>
      </w:r>
      <w:proofErr w:type="spellStart"/>
      <w:r w:rsidRPr="00AE21A8">
        <w:t>Valalytė</w:t>
      </w:r>
      <w:proofErr w:type="spellEnd"/>
      <w:r w:rsidRPr="00AE21A8">
        <w:t xml:space="preserve">, V 2024, </w:t>
      </w:r>
      <w:r w:rsidRPr="0078369A">
        <w:rPr>
          <w:i/>
        </w:rPr>
        <w:t>Success in higher education for students with learning and psychosocial health challenges</w:t>
      </w:r>
      <w:r w:rsidRPr="00AE21A8">
        <w:t xml:space="preserve">, Kauno </w:t>
      </w:r>
      <w:proofErr w:type="spellStart"/>
      <w:r w:rsidRPr="00AE21A8">
        <w:t>Kolegija</w:t>
      </w:r>
      <w:proofErr w:type="spellEnd"/>
      <w:r w:rsidRPr="00AE21A8">
        <w:t xml:space="preserve">/University of Applied Sciences, Kaunas, Lithuania, viewed </w:t>
      </w:r>
      <w:r w:rsidRPr="00060EB0">
        <w:t>Au</w:t>
      </w:r>
      <w:r>
        <w:t>g</w:t>
      </w:r>
      <w:r w:rsidRPr="00060EB0">
        <w:t xml:space="preserve"> 2025</w:t>
      </w:r>
      <w:r>
        <w:t>,</w:t>
      </w:r>
      <w:r w:rsidRPr="00AE21A8">
        <w:t xml:space="preserve"> &lt;https://dspace.kaunokolegija.lt/handle/123456789/9148&gt;.</w:t>
      </w:r>
    </w:p>
    <w:p w14:paraId="0BDE5072" w14:textId="77777777" w:rsidR="004D5370" w:rsidRPr="001330B3" w:rsidRDefault="004D5370" w:rsidP="004D5370">
      <w:pPr>
        <w:pStyle w:val="References"/>
      </w:pPr>
      <w:r w:rsidRPr="00296708">
        <w:t xml:space="preserve">Beames, JR, Spanos, S, Roberts, A, McGillivray, L, Li, S, Newby, JM, O’Dea, B &amp; Werner-Seidler, A 2023, 'Intervention programs targeting the mental health, professional burnout, and/or wellbeing of school teachers: systematic review and meta-analyses' </w:t>
      </w:r>
      <w:r w:rsidRPr="00296708">
        <w:rPr>
          <w:i/>
        </w:rPr>
        <w:t>Educational Psychology Review</w:t>
      </w:r>
      <w:r w:rsidRPr="00296708">
        <w:t>, vol.35, no.1, pp.1-26, viewed Aug 2025,&lt;</w:t>
      </w:r>
      <w:r w:rsidRPr="006F077A">
        <w:t>https://doi.org/10.1007/s10648-023-09720-w</w:t>
      </w:r>
      <w:r w:rsidRPr="001330B3">
        <w:t>&gt;.</w:t>
      </w:r>
    </w:p>
    <w:p w14:paraId="6AC0D4B1" w14:textId="77777777" w:rsidR="004D5370" w:rsidRDefault="004D5370" w:rsidP="004D5370">
      <w:pPr>
        <w:pStyle w:val="References"/>
      </w:pPr>
      <w:r w:rsidRPr="007C177D">
        <w:t>Bedi, G</w:t>
      </w:r>
      <w:r>
        <w:t xml:space="preserve"> &amp;</w:t>
      </w:r>
      <w:r w:rsidRPr="007C177D">
        <w:t xml:space="preserve"> </w:t>
      </w:r>
      <w:proofErr w:type="spellStart"/>
      <w:r w:rsidRPr="007C177D">
        <w:t>Germein</w:t>
      </w:r>
      <w:proofErr w:type="spellEnd"/>
      <w:r w:rsidRPr="007C177D">
        <w:t xml:space="preserve">, S 2014, </w:t>
      </w:r>
      <w:r w:rsidRPr="00B44020">
        <w:rPr>
          <w:i/>
          <w:iCs/>
        </w:rPr>
        <w:t xml:space="preserve">Education for Sustainability: an enabler of quality VET </w:t>
      </w:r>
      <w:proofErr w:type="gramStart"/>
      <w:r w:rsidRPr="00B44020">
        <w:rPr>
          <w:i/>
          <w:iCs/>
        </w:rPr>
        <w:t>pedagogy?,</w:t>
      </w:r>
      <w:proofErr w:type="gramEnd"/>
      <w:r w:rsidRPr="007C177D">
        <w:t xml:space="preserve"> AVETRA Secretariat, Sydney,</w:t>
      </w:r>
      <w:r w:rsidRPr="004E1AB7">
        <w:t xml:space="preserve"> viewed </w:t>
      </w:r>
      <w:r>
        <w:t>Jul</w:t>
      </w:r>
      <w:r w:rsidRPr="004E1AB7">
        <w:t xml:space="preserve"> 2025,</w:t>
      </w:r>
      <w:r>
        <w:t xml:space="preserve"> </w:t>
      </w:r>
      <w:r w:rsidRPr="007C177D">
        <w:t>&lt;https://static.avetra.org.au/data/Publications/Conference_Archives/Conference_Archive_2014/42._Gitanjali_Bedi.pdf&gt;.</w:t>
      </w:r>
    </w:p>
    <w:p w14:paraId="02AC7BBF" w14:textId="77777777" w:rsidR="004D5370" w:rsidRDefault="004D5370" w:rsidP="004D5370">
      <w:pPr>
        <w:pStyle w:val="References"/>
      </w:pPr>
      <w:r w:rsidRPr="00222228">
        <w:t>Bowman</w:t>
      </w:r>
      <w:r>
        <w:t>,</w:t>
      </w:r>
      <w:r w:rsidRPr="00222228">
        <w:t xml:space="preserve"> K </w:t>
      </w:r>
      <w:r>
        <w:t xml:space="preserve">&amp; </w:t>
      </w:r>
      <w:r w:rsidRPr="00222228">
        <w:t>Callan</w:t>
      </w:r>
      <w:r>
        <w:t>,</w:t>
      </w:r>
      <w:r w:rsidRPr="00222228">
        <w:t xml:space="preserve"> V 2012</w:t>
      </w:r>
      <w:r>
        <w:t>,</w:t>
      </w:r>
      <w:r w:rsidRPr="00222228">
        <w:t xml:space="preserve"> </w:t>
      </w:r>
      <w:r w:rsidRPr="00490472">
        <w:rPr>
          <w:i/>
          <w:iCs/>
        </w:rPr>
        <w:t>A pedagogic framework for socially inclusive VET: principles, strategies and capabilities</w:t>
      </w:r>
      <w:r w:rsidRPr="00222228">
        <w:t>, National VET Equity Advisory Council,</w:t>
      </w:r>
      <w:r>
        <w:t xml:space="preserve"> </w:t>
      </w:r>
      <w:r w:rsidRPr="00490472">
        <w:t xml:space="preserve">viewed Jul </w:t>
      </w:r>
      <w:r w:rsidRPr="00403C83">
        <w:t>2025, &lt;https://hdl.voced.edu.au/10707/268976&gt;.</w:t>
      </w:r>
    </w:p>
    <w:p w14:paraId="2E140204" w14:textId="77777777" w:rsidR="004D5370" w:rsidRPr="001330B3" w:rsidRDefault="004D5370" w:rsidP="004D5370">
      <w:pPr>
        <w:pStyle w:val="References"/>
      </w:pPr>
      <w:r w:rsidRPr="00296708">
        <w:lastRenderedPageBreak/>
        <w:t xml:space="preserve">Casselson, T 2024, </w:t>
      </w:r>
      <w:r w:rsidRPr="00296708">
        <w:rPr>
          <w:i/>
        </w:rPr>
        <w:t>Embedding mindfulness and wellbeing in VET and dual sector education for improved mental health, resilience and performance</w:t>
      </w:r>
      <w:r w:rsidRPr="00296708">
        <w:t>, International Specialised Skills Institute, Carlton, viewed Apr 2025, &lt;</w:t>
      </w:r>
      <w:r w:rsidRPr="00D84E82">
        <w:t>https://www.issinstitute.org.au/fellowship-report/education/canada%2C-united-states/embedding-mindfulness-%26-wellbeing-in-vet-%26-dual-sector-education-for-improved-mental-health%2C-resilience-%26-performance</w:t>
      </w:r>
      <w:r w:rsidRPr="001330B3">
        <w:t>&gt;.</w:t>
      </w:r>
    </w:p>
    <w:p w14:paraId="509E0CB3" w14:textId="77777777" w:rsidR="004D5370" w:rsidRDefault="004D5370" w:rsidP="004D5370">
      <w:pPr>
        <w:pStyle w:val="References"/>
      </w:pPr>
      <w:proofErr w:type="spellStart"/>
      <w:r>
        <w:t>Cedefop</w:t>
      </w:r>
      <w:proofErr w:type="spellEnd"/>
      <w:r>
        <w:t xml:space="preserve"> 2025, ‘VET toolkit for tackling early leaving’, viewed Jul 2025, &lt;https://www.cedefop.europa.eu/en/tools/vet-toolkit-tackling-early-leaving/intervention-approaches/psychosocial-support&gt;. </w:t>
      </w:r>
    </w:p>
    <w:p w14:paraId="5A5A172D" w14:textId="77777777" w:rsidR="004D5370" w:rsidRPr="004D5370" w:rsidRDefault="004D5370" w:rsidP="004D5370">
      <w:pPr>
        <w:pStyle w:val="References"/>
      </w:pPr>
      <w:r w:rsidRPr="004D5370">
        <w:t>Clayton B, Meyers D, Bateman A and Bluer R, 2010, Practitioner expectations and experiences with the Certificate IV in Training and Assessment (TAA40104), NCVER, viewed Aug 2025, &lt;</w:t>
      </w:r>
      <w:hyperlink r:id="rId24" w:history="1">
        <w:r w:rsidRPr="004D5370">
          <w:rPr>
            <w:rStyle w:val="Hyperlink"/>
            <w:rFonts w:ascii="Montserrat" w:hAnsi="Montserrat"/>
            <w:sz w:val="18"/>
          </w:rPr>
          <w:t>https://www.ncver.edu.au/research-and-statistics/publications/all-publications/practitioner-expectations-and-experiences-with-the-certificate-iv-in-training-and-assessment-taa40104</w:t>
        </w:r>
      </w:hyperlink>
      <w:r w:rsidRPr="004D5370">
        <w:t xml:space="preserve">&gt;. </w:t>
      </w:r>
    </w:p>
    <w:p w14:paraId="4D38059E" w14:textId="77777777" w:rsidR="004D5370" w:rsidRPr="004D5370" w:rsidRDefault="004D5370" w:rsidP="004D5370">
      <w:pPr>
        <w:pStyle w:val="References"/>
      </w:pPr>
      <w:r w:rsidRPr="004D5370">
        <w:t xml:space="preserve">Clayton, B, Jonas, P, Harding R, Harris M &amp; Toze, M 2013, Industry currency and professional obsolescence: what can industry tell </w:t>
      </w:r>
      <w:proofErr w:type="gramStart"/>
      <w:r w:rsidRPr="004D5370">
        <w:t>us?,</w:t>
      </w:r>
      <w:proofErr w:type="gramEnd"/>
      <w:r w:rsidRPr="004D5370">
        <w:t xml:space="preserve"> NCVER, viewed Jul 2025, &lt;https://www.ncver.edu.au/research-and-statistics/publications/all-publications/industry-currency-and-professional-obsolescence-what-can-industry-tell-us&gt;.</w:t>
      </w:r>
    </w:p>
    <w:p w14:paraId="793C6A4B" w14:textId="77777777" w:rsidR="004D5370" w:rsidRPr="004D5370" w:rsidRDefault="004D5370" w:rsidP="004D5370">
      <w:pPr>
        <w:pStyle w:val="References"/>
      </w:pPr>
      <w:r w:rsidRPr="004D5370">
        <w:t>Corben, H &amp; Thomson, K 2001, What makes a great teacher?: attributes of excellence in VET, [conference paper], TAFE Educational Services Research Conference, Sydney, New South Wales, viewed Jul 2025, &lt;</w:t>
      </w:r>
      <w:hyperlink r:id="rId25" w:history="1">
        <w:r w:rsidRPr="004D5370">
          <w:rPr>
            <w:rStyle w:val="Hyperlink"/>
            <w:rFonts w:ascii="Montserrat" w:hAnsi="Montserrat"/>
            <w:sz w:val="18"/>
          </w:rPr>
          <w:t>https://hdl.voced.edu.au/10707/162345</w:t>
        </w:r>
      </w:hyperlink>
      <w:r w:rsidRPr="004D5370">
        <w:t>&gt;.</w:t>
      </w:r>
    </w:p>
    <w:p w14:paraId="1DC6AEAB" w14:textId="77777777" w:rsidR="004D5370" w:rsidRDefault="004D5370" w:rsidP="004D5370">
      <w:pPr>
        <w:pStyle w:val="References"/>
      </w:pPr>
      <w:r w:rsidRPr="002E2518">
        <w:t xml:space="preserve">Collins, J 2024, </w:t>
      </w:r>
      <w:r w:rsidRPr="00256987">
        <w:rPr>
          <w:i/>
          <w:iCs/>
        </w:rPr>
        <w:t>The exploration of international best practice in the different strategies used to integrate support for autism spectrum disorder (ASD) students into the delivery of vocational education</w:t>
      </w:r>
      <w:r w:rsidRPr="002E2518">
        <w:t xml:space="preserve">, International Specialised Skills Institute, Carlton, </w:t>
      </w:r>
      <w:r w:rsidRPr="001E25E7">
        <w:t>viewed Jul 2025</w:t>
      </w:r>
      <w:r>
        <w:t>,</w:t>
      </w:r>
      <w:r w:rsidRPr="002E2518">
        <w:t xml:space="preserve"> </w:t>
      </w:r>
      <w:r w:rsidRPr="008D4C73">
        <w:t>&lt; https://www.issinstitute.org.au/fellowship-report/education%2C-vocational-education-/republic-of-ireland/the-exploration-of-international-best-practice-in-the-different-strategies-used-to-integrate-support-for-autism-spectrum-disorder-(asd)-students-into-the-delivery-of-vocational-education</w:t>
      </w:r>
      <w:r>
        <w:t>&gt;.</w:t>
      </w:r>
    </w:p>
    <w:p w14:paraId="6A278D7E" w14:textId="77777777" w:rsidR="004D5370" w:rsidRPr="00296708" w:rsidRDefault="004D5370" w:rsidP="004D5370">
      <w:pPr>
        <w:pStyle w:val="References"/>
      </w:pPr>
      <w:r w:rsidRPr="00296708">
        <w:t xml:space="preserve">Corbett, L, Bauman, A, Peralta, LR, </w:t>
      </w:r>
      <w:proofErr w:type="spellStart"/>
      <w:r w:rsidRPr="00296708">
        <w:t>Okely</w:t>
      </w:r>
      <w:proofErr w:type="spellEnd"/>
      <w:r w:rsidRPr="00296708">
        <w:t xml:space="preserve">, AD &amp; </w:t>
      </w:r>
      <w:proofErr w:type="spellStart"/>
      <w:r w:rsidRPr="00296708">
        <w:t>Phongsavan</w:t>
      </w:r>
      <w:proofErr w:type="spellEnd"/>
      <w:r w:rsidRPr="00296708">
        <w:t xml:space="preserve">, P 2023, 'Lifestyle and work-related correlates of psychosocial health among Australian teachers: a cross-sectional study' </w:t>
      </w:r>
      <w:r w:rsidRPr="00296708">
        <w:rPr>
          <w:i/>
        </w:rPr>
        <w:t xml:space="preserve">Z </w:t>
      </w:r>
      <w:proofErr w:type="spellStart"/>
      <w:r w:rsidRPr="00296708">
        <w:rPr>
          <w:i/>
        </w:rPr>
        <w:t>Gesundh</w:t>
      </w:r>
      <w:proofErr w:type="spellEnd"/>
      <w:r w:rsidRPr="00296708">
        <w:rPr>
          <w:i/>
        </w:rPr>
        <w:t xml:space="preserve"> Wiss</w:t>
      </w:r>
      <w:r w:rsidRPr="00296708">
        <w:t>, 1-11</w:t>
      </w:r>
      <w:r>
        <w:t>.</w:t>
      </w:r>
    </w:p>
    <w:p w14:paraId="0A6BFD88" w14:textId="77777777" w:rsidR="004D5370" w:rsidRDefault="004D5370" w:rsidP="004D5370">
      <w:pPr>
        <w:pStyle w:val="References"/>
      </w:pPr>
      <w:r w:rsidRPr="00D91EAB">
        <w:t>Cox</w:t>
      </w:r>
      <w:r>
        <w:t>,</w:t>
      </w:r>
      <w:r w:rsidRPr="00D91EAB">
        <w:t xml:space="preserve"> D </w:t>
      </w:r>
      <w:r>
        <w:t xml:space="preserve">&amp; </w:t>
      </w:r>
      <w:r w:rsidRPr="00D91EAB">
        <w:t>Prestridge</w:t>
      </w:r>
      <w:r>
        <w:t>,</w:t>
      </w:r>
      <w:r w:rsidRPr="00D91EAB">
        <w:t xml:space="preserve"> S 2020</w:t>
      </w:r>
      <w:r>
        <w:t>,</w:t>
      </w:r>
      <w:r w:rsidRPr="00D91EAB">
        <w:t xml:space="preserve"> </w:t>
      </w:r>
      <w:r w:rsidRPr="00D1342E">
        <w:rPr>
          <w:i/>
          <w:iCs/>
        </w:rPr>
        <w:t>Understanding fully online teaching in vocational education,</w:t>
      </w:r>
      <w:r w:rsidRPr="00D91EAB">
        <w:t xml:space="preserve"> Research and Practice in Technology Enhanced Learning, 15(6):1–22,</w:t>
      </w:r>
      <w:r>
        <w:t xml:space="preserve"> </w:t>
      </w:r>
      <w:r w:rsidRPr="00874451">
        <w:t>viewed Ju</w:t>
      </w:r>
      <w:r>
        <w:t>l</w:t>
      </w:r>
      <w:r w:rsidRPr="00874451">
        <w:t xml:space="preserve"> 2025, </w:t>
      </w:r>
      <w:r w:rsidRPr="00002442">
        <w:t>&lt;https://doi.org/10.1186/s41039-020-00138-4</w:t>
      </w:r>
      <w:r>
        <w:t>&gt;</w:t>
      </w:r>
      <w:r w:rsidRPr="00D91EAB">
        <w:t>.</w:t>
      </w:r>
    </w:p>
    <w:p w14:paraId="6BEA0D51" w14:textId="77777777" w:rsidR="004D5370" w:rsidRDefault="004D5370" w:rsidP="004D5370">
      <w:pPr>
        <w:pStyle w:val="References"/>
      </w:pPr>
      <w:r w:rsidRPr="001244B7">
        <w:t xml:space="preserve">Danielson, C 2014, </w:t>
      </w:r>
      <w:r w:rsidRPr="00870B7D">
        <w:rPr>
          <w:i/>
        </w:rPr>
        <w:t>Framework for Teaching</w:t>
      </w:r>
      <w:r w:rsidRPr="001244B7">
        <w:t xml:space="preserve">, viewed July 2025, </w:t>
      </w:r>
      <w:r>
        <w:t>&lt;</w:t>
      </w:r>
      <w:r w:rsidRPr="008A3D14">
        <w:t>https://danielsongroup.org/the-framework-for-teaching/</w:t>
      </w:r>
      <w:r>
        <w:t>&gt;.</w:t>
      </w:r>
    </w:p>
    <w:p w14:paraId="0D0DBE23" w14:textId="77777777" w:rsidR="004D5370" w:rsidRDefault="004D5370" w:rsidP="004D5370">
      <w:pPr>
        <w:pStyle w:val="References"/>
      </w:pPr>
      <w:r>
        <w:t>D</w:t>
      </w:r>
      <w:r w:rsidRPr="00755496">
        <w:t xml:space="preserve">avidson, S 2020, </w:t>
      </w:r>
      <w:r w:rsidRPr="006E593F">
        <w:rPr>
          <w:i/>
          <w:iCs/>
        </w:rPr>
        <w:t>Trauma-informed practices for postsecondary education: a guide, Education Northwest</w:t>
      </w:r>
      <w:r w:rsidRPr="00755496">
        <w:t xml:space="preserve">, Portland, Oregon, viewed </w:t>
      </w:r>
      <w:r w:rsidRPr="001244B7">
        <w:t>Jul 2025</w:t>
      </w:r>
      <w:r>
        <w:t>,</w:t>
      </w:r>
      <w:r w:rsidRPr="00755496">
        <w:t xml:space="preserve"> &lt;https://educationnorthwest.org/sites/default/files/resources/trauma-informed-practices-postsecondary-508.pdf&gt;.</w:t>
      </w:r>
    </w:p>
    <w:p w14:paraId="6343F2CB" w14:textId="77777777" w:rsidR="004D5370" w:rsidRPr="004D5370" w:rsidRDefault="004D5370" w:rsidP="004D5370">
      <w:pPr>
        <w:pStyle w:val="References"/>
      </w:pPr>
      <w:r w:rsidRPr="004D5370">
        <w:t>Dening, A 2016, Improving VET teachers’ skills and their approach to professional learning, in L Jackson (ed.), 24th National Vocational Education and Training Research Conference “No Frills”: refereed papers, NCVER, Adelaide, pp.45–52, viewed Jul 2025, &lt;</w:t>
      </w:r>
      <w:hyperlink r:id="rId26" w:anchor="page=46" w:history="1">
        <w:r w:rsidRPr="004D5370">
          <w:rPr>
            <w:rStyle w:val="Hyperlink"/>
            <w:rFonts w:ascii="Montserrat" w:hAnsi="Montserrat"/>
            <w:sz w:val="18"/>
          </w:rPr>
          <w:t>https://ro.ecu.edu.au/cgi/viewcontent.cgi?params=/context/ecuworkspost2013/article/3140/&amp;path_info=2015_no_frills_refereed_papers_2854_1.pdf#page=46</w:t>
        </w:r>
      </w:hyperlink>
      <w:r w:rsidRPr="004D5370">
        <w:t>&gt;.</w:t>
      </w:r>
    </w:p>
    <w:p w14:paraId="40C64AC9" w14:textId="77777777" w:rsidR="004D5370" w:rsidRPr="004D5370" w:rsidRDefault="004D5370" w:rsidP="004D5370">
      <w:pPr>
        <w:pStyle w:val="References"/>
      </w:pPr>
      <w:r w:rsidRPr="004D5370">
        <w:t>Dickinson, L &amp; Connolly, D 2022, A description of the factors that enable further education students to flourish: a photovoice and appreciative inquiry study, Research in Post-compulsory Education, 27(4): 686-708, viewed Jul 2025, &lt;</w:t>
      </w:r>
      <w:hyperlink r:id="rId27" w:history="1">
        <w:r w:rsidRPr="004D5370">
          <w:rPr>
            <w:rStyle w:val="Hyperlink"/>
            <w:rFonts w:ascii="Montserrat" w:hAnsi="Montserrat"/>
            <w:sz w:val="18"/>
          </w:rPr>
          <w:t>https://www.tandfonline.com/doi/full/10.1080/13596748.2022.2110780</w:t>
        </w:r>
      </w:hyperlink>
      <w:r w:rsidRPr="004D5370">
        <w:t>&gt;.</w:t>
      </w:r>
    </w:p>
    <w:p w14:paraId="122FD039" w14:textId="77777777" w:rsidR="004D5370" w:rsidRPr="001330B3" w:rsidRDefault="004D5370" w:rsidP="004D5370">
      <w:pPr>
        <w:pStyle w:val="References"/>
      </w:pPr>
      <w:r w:rsidRPr="00296708">
        <w:t xml:space="preserve">Dinnen, HL, </w:t>
      </w:r>
      <w:proofErr w:type="spellStart"/>
      <w:r w:rsidRPr="00296708">
        <w:t>Litvitskiy</w:t>
      </w:r>
      <w:proofErr w:type="spellEnd"/>
      <w:r w:rsidRPr="00296708">
        <w:t xml:space="preserve">, NS &amp; Flaspohler, PD 2024, 'Effective teacher professional development for school-based mental health promotion: a review of the literature' </w:t>
      </w:r>
      <w:proofErr w:type="spellStart"/>
      <w:r w:rsidRPr="00296708">
        <w:rPr>
          <w:i/>
        </w:rPr>
        <w:t>Behavioral</w:t>
      </w:r>
      <w:proofErr w:type="spellEnd"/>
      <w:r w:rsidRPr="00296708">
        <w:rPr>
          <w:i/>
        </w:rPr>
        <w:t xml:space="preserve"> Sciences</w:t>
      </w:r>
      <w:r w:rsidRPr="00296708">
        <w:t xml:space="preserve">, vol.14, no.9, pp. 1-29, viewed Aug </w:t>
      </w:r>
      <w:proofErr w:type="gramStart"/>
      <w:r w:rsidRPr="00296708">
        <w:t>2025,&lt;</w:t>
      </w:r>
      <w:proofErr w:type="gramEnd"/>
      <w:r w:rsidRPr="006F077A">
        <w:t>https://www.mdpi.com/2076-328X/14/9/780</w:t>
      </w:r>
      <w:r w:rsidRPr="001330B3">
        <w:t>&gt;.</w:t>
      </w:r>
    </w:p>
    <w:p w14:paraId="4F53CDF5" w14:textId="77777777" w:rsidR="004D5370" w:rsidRDefault="004D5370" w:rsidP="004D5370">
      <w:pPr>
        <w:pStyle w:val="References"/>
      </w:pPr>
      <w:r>
        <w:lastRenderedPageBreak/>
        <w:t>E</w:t>
      </w:r>
      <w:r w:rsidRPr="009B5D54">
        <w:t xml:space="preserve">ducation Support 2023, </w:t>
      </w:r>
      <w:r w:rsidRPr="006F3FA7">
        <w:rPr>
          <w:i/>
          <w:iCs/>
        </w:rPr>
        <w:t>Psychological safety in further education settings: a guide for FE manager and leaders</w:t>
      </w:r>
      <w:r w:rsidRPr="009B5D54">
        <w:t xml:space="preserve">, Education and Training Foundation, London, viewed </w:t>
      </w:r>
      <w:r>
        <w:t>Jul</w:t>
      </w:r>
      <w:r w:rsidRPr="009B5D54">
        <w:t xml:space="preserve"> 2025, &lt;https://www.et-foundation.co.uk/wp-content/uploads/2023/02/Psychological-Safety-in-Further-Education-Settings.pdf&gt;.</w:t>
      </w:r>
    </w:p>
    <w:p w14:paraId="5D111322" w14:textId="77777777" w:rsidR="004D5370" w:rsidRDefault="004D5370" w:rsidP="004D5370">
      <w:pPr>
        <w:pStyle w:val="References"/>
      </w:pPr>
      <w:r>
        <w:t>F</w:t>
      </w:r>
      <w:r w:rsidRPr="000C6453">
        <w:t>ane</w:t>
      </w:r>
      <w:r>
        <w:t>,</w:t>
      </w:r>
      <w:r w:rsidRPr="000C6453">
        <w:t xml:space="preserve"> J 2025, </w:t>
      </w:r>
      <w:r w:rsidRPr="00766C50">
        <w:rPr>
          <w:i/>
          <w:iCs/>
        </w:rPr>
        <w:t>Creating inclusive campuses: neuroinclusive policies and practices in post-secondary education</w:t>
      </w:r>
      <w:r w:rsidRPr="000C6453">
        <w:t xml:space="preserve">, Conference Board of Canada, Ottawa, Ontario, viewed </w:t>
      </w:r>
      <w:r w:rsidRPr="00180C3B">
        <w:t xml:space="preserve">Jul 2025, </w:t>
      </w:r>
      <w:r w:rsidRPr="000C6453">
        <w:t>&lt;</w:t>
      </w:r>
      <w:r w:rsidRPr="00E93D33">
        <w:t xml:space="preserve"> https://fsc-ccf.ca/wp-content/uploads/2025/02/Report_-creating-inclusive-campuses_feb2025.pdf </w:t>
      </w:r>
      <w:r w:rsidRPr="000C6453">
        <w:t>&gt;.</w:t>
      </w:r>
    </w:p>
    <w:p w14:paraId="7317E51A" w14:textId="77777777" w:rsidR="004D5370" w:rsidRDefault="004D5370" w:rsidP="004D5370">
      <w:pPr>
        <w:pStyle w:val="References"/>
      </w:pPr>
      <w:r w:rsidRPr="001D775D">
        <w:t>Faraday, S, Overton, C &amp; Cooper, S 2011</w:t>
      </w:r>
      <w:r>
        <w:t>,</w:t>
      </w:r>
      <w:r w:rsidRPr="001D775D">
        <w:t xml:space="preserve"> </w:t>
      </w:r>
      <w:r w:rsidRPr="004F5BAA">
        <w:rPr>
          <w:i/>
          <w:iCs/>
        </w:rPr>
        <w:t>Effective teaching and learning in vocational education</w:t>
      </w:r>
      <w:r>
        <w:t>,</w:t>
      </w:r>
      <w:r w:rsidRPr="001D775D">
        <w:t xml:space="preserve"> City and Guilds Centre for Skills Development/LSN Learning. London: LSN.</w:t>
      </w:r>
    </w:p>
    <w:p w14:paraId="76BD09E8" w14:textId="77777777" w:rsidR="004D5370" w:rsidRDefault="004D5370" w:rsidP="004D5370">
      <w:pPr>
        <w:pStyle w:val="References"/>
      </w:pPr>
      <w:r>
        <w:t>Francisco, S 2015, ‘</w:t>
      </w:r>
      <w:r w:rsidRPr="00261E5B">
        <w:rPr>
          <w:i/>
          <w:iCs/>
        </w:rPr>
        <w:t>Life rafts: supporting the continuing professional learning of novice VET teachers</w:t>
      </w:r>
      <w:r>
        <w:rPr>
          <w:i/>
          <w:iCs/>
        </w:rPr>
        <w:t>’</w:t>
      </w:r>
      <w:r>
        <w:t xml:space="preserve">, in T Griffin (ed.), </w:t>
      </w:r>
      <w:r w:rsidRPr="1D8D80AC">
        <w:rPr>
          <w:i/>
        </w:rPr>
        <w:t>2014 postgraduate research papers: a compendium</w:t>
      </w:r>
      <w:r>
        <w:t>, NCVER, Adelaide, pp.114–135.</w:t>
      </w:r>
    </w:p>
    <w:p w14:paraId="4D320609" w14:textId="77777777" w:rsidR="004D5370" w:rsidRDefault="004D5370" w:rsidP="004D5370">
      <w:pPr>
        <w:pStyle w:val="References"/>
      </w:pPr>
      <w:r>
        <w:t xml:space="preserve">Francisco, S 2020, </w:t>
      </w:r>
      <w:r w:rsidRPr="004F5BAA">
        <w:rPr>
          <w:i/>
          <w:iCs/>
        </w:rPr>
        <w:t>Developing a trellis of practices that support learning in the workplace</w:t>
      </w:r>
      <w:r>
        <w:t>, Studies in Continuing Education, 42(1):102–117, viewed Jul 2025, &lt;https://</w:t>
      </w:r>
      <w:r w:rsidRPr="003847AD">
        <w:t xml:space="preserve">www.tandfonline.com/doi/full/10.1080/0158037X.2018.1562439 </w:t>
      </w:r>
      <w:r>
        <w:t>&gt;.</w:t>
      </w:r>
    </w:p>
    <w:p w14:paraId="131E71BF" w14:textId="77777777" w:rsidR="004D5370" w:rsidRPr="004D5370" w:rsidRDefault="004D5370" w:rsidP="004D5370">
      <w:pPr>
        <w:pStyle w:val="References"/>
      </w:pPr>
      <w:r w:rsidRPr="004D5370">
        <w:t>Francisco, S 2020, What novice vocational education and training teachers learn in the teaching workplace. International Journal of Training Research, 18(1), 37–54, viewed Aug 2025, &lt;</w:t>
      </w:r>
      <w:hyperlink r:id="rId28" w:history="1">
        <w:r w:rsidRPr="004D5370">
          <w:rPr>
            <w:rStyle w:val="Hyperlink"/>
            <w:rFonts w:ascii="Montserrat" w:hAnsi="Montserrat"/>
            <w:sz w:val="18"/>
          </w:rPr>
          <w:t>https://doi.org/10.1080/14480220.2020.1747785</w:t>
        </w:r>
      </w:hyperlink>
      <w:r w:rsidRPr="004D5370">
        <w:t xml:space="preserve">&gt;. </w:t>
      </w:r>
    </w:p>
    <w:p w14:paraId="11FE6423" w14:textId="77777777" w:rsidR="004D5370" w:rsidRPr="001330B3" w:rsidRDefault="004D5370" w:rsidP="004D5370">
      <w:pPr>
        <w:pStyle w:val="References"/>
      </w:pPr>
      <w:r w:rsidRPr="00296708">
        <w:t xml:space="preserve">Gast, I, </w:t>
      </w:r>
      <w:proofErr w:type="spellStart"/>
      <w:r w:rsidRPr="00296708">
        <w:t>Neelen</w:t>
      </w:r>
      <w:proofErr w:type="spellEnd"/>
      <w:r w:rsidRPr="00296708">
        <w:t xml:space="preserve">, M, </w:t>
      </w:r>
      <w:proofErr w:type="spellStart"/>
      <w:r w:rsidRPr="00296708">
        <w:t>Delnoij</w:t>
      </w:r>
      <w:proofErr w:type="spellEnd"/>
      <w:r w:rsidRPr="00296708">
        <w:t xml:space="preserve">, L, Menten, M, Mihai, A &amp; </w:t>
      </w:r>
      <w:proofErr w:type="spellStart"/>
      <w:r w:rsidRPr="00296708">
        <w:t>Grohnert</w:t>
      </w:r>
      <w:proofErr w:type="spellEnd"/>
      <w:r w:rsidRPr="00296708">
        <w:t xml:space="preserve">, T 2022, 'Supporting the well-being of new university teachers through teacher professional development' </w:t>
      </w:r>
      <w:r w:rsidRPr="00296708">
        <w:rPr>
          <w:i/>
        </w:rPr>
        <w:t>Frontiers in Psychology</w:t>
      </w:r>
      <w:r w:rsidRPr="00296708">
        <w:t xml:space="preserve">, vol.13, pp.1-19, viewed Apr </w:t>
      </w:r>
      <w:proofErr w:type="gramStart"/>
      <w:r w:rsidRPr="00296708">
        <w:t>2025,&lt;</w:t>
      </w:r>
      <w:proofErr w:type="gramEnd"/>
      <w:r w:rsidRPr="006F077A">
        <w:t>https://www.frontiersin.org/journals/psychology/articles/10.3389/fpsyg.2022.866000</w:t>
      </w:r>
      <w:r w:rsidRPr="001330B3">
        <w:t>&gt;.</w:t>
      </w:r>
    </w:p>
    <w:p w14:paraId="67544B95" w14:textId="77777777" w:rsidR="004D5370" w:rsidRDefault="004D5370" w:rsidP="004D5370">
      <w:pPr>
        <w:pStyle w:val="References"/>
      </w:pPr>
      <w:r w:rsidRPr="00642799">
        <w:t xml:space="preserve">Goetze-Thies, S 2024, </w:t>
      </w:r>
      <w:r w:rsidRPr="00FD5860">
        <w:rPr>
          <w:i/>
          <w:iCs/>
        </w:rPr>
        <w:t>Strengths-based and trauma-informed teaching in VET</w:t>
      </w:r>
      <w:r w:rsidRPr="00642799">
        <w:t>, International Specialised Skills Institute, Carlton, viewed Apr 2025, &lt;https://www.issinstitute.org.au/fellowship-report/education/united-states/strengths-based-%26-trauma-informed-teaching-in-vet&gt;.</w:t>
      </w:r>
      <w:r>
        <w:t xml:space="preserve">  </w:t>
      </w:r>
    </w:p>
    <w:p w14:paraId="27E48E2A" w14:textId="77777777" w:rsidR="004D5370" w:rsidRDefault="004D5370" w:rsidP="004D5370">
      <w:pPr>
        <w:pStyle w:val="References"/>
      </w:pPr>
      <w:r>
        <w:t>G</w:t>
      </w:r>
      <w:r w:rsidRPr="007B0A0F">
        <w:t xml:space="preserve">riffin, EK 2020, Psychosocial techniques used in the classroom to captivate non-traditional community college students' Community College Journal of Research and Practice, vol.44, no.5, pp.329-346, viewed </w:t>
      </w:r>
      <w:r>
        <w:t>Jul 2025, &lt;</w:t>
      </w:r>
      <w:r w:rsidRPr="007B0A0F">
        <w:t>https://doi.org/10.1080/10668926.2019.1590252&gt;.</w:t>
      </w:r>
    </w:p>
    <w:p w14:paraId="062E9E7A" w14:textId="77777777" w:rsidR="004D5370" w:rsidRDefault="004D5370" w:rsidP="004D5370">
      <w:pPr>
        <w:pStyle w:val="References"/>
      </w:pPr>
      <w:r w:rsidRPr="00F7254A">
        <w:t xml:space="preserve">Griffin, T 2017, </w:t>
      </w:r>
      <w:r w:rsidRPr="00884247">
        <w:rPr>
          <w:i/>
          <w:iCs/>
        </w:rPr>
        <w:t>Are we all speaking the same language? Understanding ‘quality’ in the VET sector</w:t>
      </w:r>
      <w:r w:rsidRPr="00F7254A">
        <w:t>, NCVER, Adelaide</w:t>
      </w:r>
      <w:r>
        <w:t>, viewed Jul 2025, &lt;</w:t>
      </w:r>
      <w:r w:rsidRPr="009F3F96">
        <w:t>https://www.ncver.edu.au/research-and-statistics/publications/all-publications/are-we-all-speaking-the-same-language-understanding-quality-in-the-vet-sector</w:t>
      </w:r>
      <w:r>
        <w:t>&gt;.</w:t>
      </w:r>
    </w:p>
    <w:p w14:paraId="45827128" w14:textId="77777777" w:rsidR="004D5370" w:rsidRDefault="004D5370" w:rsidP="004D5370">
      <w:pPr>
        <w:pStyle w:val="References"/>
      </w:pPr>
      <w:r>
        <w:t xml:space="preserve">Griffin, T &amp; Davidson, N 2025, </w:t>
      </w:r>
      <w:r w:rsidRPr="06D37E98">
        <w:rPr>
          <w:i/>
        </w:rPr>
        <w:t>Effective teaching and learning: teacher perspectives on what works best for whom</w:t>
      </w:r>
      <w:r>
        <w:t>, NCVER, viewed Jul 2025, &lt;</w:t>
      </w:r>
      <w:r w:rsidRPr="00041166">
        <w:t>https://www.ncver.edu.au/research-and-statistics/publications/all-publications/effective-teaching-and-learning-teacher-perspectives-on-what-works-best-for-whom</w:t>
      </w:r>
      <w:r>
        <w:t>&gt;.</w:t>
      </w:r>
    </w:p>
    <w:p w14:paraId="383BE645" w14:textId="77777777" w:rsidR="004D5370" w:rsidRDefault="004D5370" w:rsidP="004D5370">
      <w:pPr>
        <w:pStyle w:val="References"/>
      </w:pPr>
      <w:r w:rsidRPr="00E90868">
        <w:t>Guthrie</w:t>
      </w:r>
      <w:r>
        <w:t>,</w:t>
      </w:r>
      <w:r w:rsidRPr="00E90868">
        <w:t xml:space="preserve"> H </w:t>
      </w:r>
      <w:r>
        <w:t>&amp;</w:t>
      </w:r>
      <w:r w:rsidRPr="00E90868">
        <w:t xml:space="preserve"> Waters</w:t>
      </w:r>
      <w:r>
        <w:t>,</w:t>
      </w:r>
      <w:r w:rsidRPr="00E90868">
        <w:t xml:space="preserve"> M </w:t>
      </w:r>
      <w:r w:rsidRPr="00457EAF">
        <w:t>2021</w:t>
      </w:r>
      <w:r>
        <w:t>,</w:t>
      </w:r>
      <w:r w:rsidRPr="00457EAF">
        <w:t xml:space="preserve"> </w:t>
      </w:r>
      <w:r w:rsidRPr="0027598E">
        <w:rPr>
          <w:i/>
          <w:iCs/>
        </w:rPr>
        <w:t>Unpacking the quality of VET delivery</w:t>
      </w:r>
      <w:r w:rsidRPr="00457EAF">
        <w:t xml:space="preserve">, NCVER, </w:t>
      </w:r>
      <w:r w:rsidRPr="00AB1478">
        <w:t>viewed Ju</w:t>
      </w:r>
      <w:r>
        <w:t>l</w:t>
      </w:r>
      <w:r w:rsidRPr="00AB1478">
        <w:t xml:space="preserve"> 2025</w:t>
      </w:r>
      <w:r>
        <w:t>, &lt;</w:t>
      </w:r>
      <w:r w:rsidRPr="0034219F">
        <w:rPr>
          <w:szCs w:val="18"/>
        </w:rPr>
        <w:t>https://www.ncver.edu.au/research-and-statistics/publications/all-publications/unpacking-the-quality-of-vet-delivery</w:t>
      </w:r>
      <w:r>
        <w:t>&gt;</w:t>
      </w:r>
      <w:r w:rsidRPr="00457EAF">
        <w:t>.</w:t>
      </w:r>
    </w:p>
    <w:p w14:paraId="6CFDBDA1" w14:textId="77777777" w:rsidR="004D5370" w:rsidRDefault="004D5370" w:rsidP="004D5370">
      <w:pPr>
        <w:pStyle w:val="References"/>
      </w:pPr>
      <w:r w:rsidRPr="00530AB6">
        <w:t xml:space="preserve">--- </w:t>
      </w:r>
      <w:r w:rsidRPr="00E90868">
        <w:t>2022</w:t>
      </w:r>
      <w:r>
        <w:t>,</w:t>
      </w:r>
      <w:r w:rsidRPr="00E90868">
        <w:t xml:space="preserve"> </w:t>
      </w:r>
      <w:r w:rsidRPr="00AB792C">
        <w:rPr>
          <w:i/>
          <w:iCs/>
        </w:rPr>
        <w:t xml:space="preserve">Delivering high-quality VET: what matters to </w:t>
      </w:r>
      <w:proofErr w:type="gramStart"/>
      <w:r w:rsidRPr="00AB792C">
        <w:rPr>
          <w:i/>
          <w:iCs/>
        </w:rPr>
        <w:t>RTOs?</w:t>
      </w:r>
      <w:r w:rsidRPr="00E90868">
        <w:t>,</w:t>
      </w:r>
      <w:proofErr w:type="gramEnd"/>
      <w:r w:rsidRPr="00E90868">
        <w:t xml:space="preserve"> NCVER, </w:t>
      </w:r>
      <w:r w:rsidRPr="003E1A99">
        <w:t xml:space="preserve">viewed Jul 2025, </w:t>
      </w:r>
      <w:r>
        <w:t>&lt;</w:t>
      </w:r>
      <w:r w:rsidRPr="001F16DE">
        <w:t>https://www.ncver.edu.au/research-and-statistics/publications/all-publications/delivering-high-quality-vet-what-matters-to-rtos</w:t>
      </w:r>
      <w:r>
        <w:t xml:space="preserve"> &gt;</w:t>
      </w:r>
      <w:r w:rsidRPr="00E90868">
        <w:t>.</w:t>
      </w:r>
    </w:p>
    <w:p w14:paraId="5D60BE26" w14:textId="77777777" w:rsidR="004D5370" w:rsidRDefault="004D5370" w:rsidP="004D5370">
      <w:pPr>
        <w:pStyle w:val="References"/>
      </w:pPr>
      <w:r>
        <w:t>Government of South Australia 2025a, ‘Wellbeing programs directory: providing wellbeing programs to South Australian schools’, viewed Jul 2025, &lt;https://www.education.sa.gov.au/working-us/service-providers/providing-wellbeing-programs-to-south-australian-schools&gt;.</w:t>
      </w:r>
    </w:p>
    <w:p w14:paraId="636BB0F6" w14:textId="77777777" w:rsidR="004D5370" w:rsidRDefault="004D5370" w:rsidP="004D5370">
      <w:pPr>
        <w:pStyle w:val="References"/>
      </w:pPr>
      <w:r>
        <w:t>---</w:t>
      </w:r>
      <w:r w:rsidRPr="008F3DD4">
        <w:t xml:space="preserve"> 2024b</w:t>
      </w:r>
      <w:r>
        <w:t>, ‘Wellbeing for Learning and Life framework’, viewed Jul 2025, &lt;https://www.education.sa.gov.au/schools-and-educators/strategies-and-initiatives/wellbeing-learning-and-life-framework&gt;.</w:t>
      </w:r>
    </w:p>
    <w:p w14:paraId="3570C28E" w14:textId="77777777" w:rsidR="004D5370" w:rsidRPr="004D5370" w:rsidRDefault="004D5370" w:rsidP="004D5370">
      <w:pPr>
        <w:pStyle w:val="References"/>
      </w:pPr>
      <w:r w:rsidRPr="004D5370">
        <w:lastRenderedPageBreak/>
        <w:t>--- 2024c, ‘The National Student Wellbeing Program for South Australian schools’, viewed Jul 2025, &lt;</w:t>
      </w:r>
      <w:hyperlink r:id="rId29" w:anchor="roles-and-responsibilities-of-pcws-and-swsos">
        <w:r w:rsidRPr="004D5370">
          <w:rPr>
            <w:rStyle w:val="Hyperlink"/>
            <w:rFonts w:ascii="Montserrat" w:hAnsi="Montserrat"/>
            <w:sz w:val="18"/>
          </w:rPr>
          <w:t>https://www.education.sa.gov.au/schools-and-educators/national-student-wellbeing-program/about-the-program#roles-and-responsibilities-of-pcws-and-swsos</w:t>
        </w:r>
      </w:hyperlink>
      <w:r w:rsidRPr="004D5370">
        <w:t>&gt;.</w:t>
      </w:r>
    </w:p>
    <w:p w14:paraId="41E49EB9" w14:textId="77777777" w:rsidR="004D5370" w:rsidRDefault="004D5370" w:rsidP="004D5370">
      <w:pPr>
        <w:pStyle w:val="References"/>
      </w:pPr>
      <w:r w:rsidRPr="00F653B0">
        <w:t>Hamer, J</w:t>
      </w:r>
      <w:r>
        <w:t xml:space="preserve"> &amp;</w:t>
      </w:r>
      <w:r w:rsidRPr="00F653B0">
        <w:t xml:space="preserve"> Smith, J 2021, </w:t>
      </w:r>
      <w:r w:rsidRPr="00696D41">
        <w:rPr>
          <w:i/>
          <w:iCs/>
        </w:rPr>
        <w:t>Online and blended delivery in further education: a literature review into pedagogy, including digital forms of assessment</w:t>
      </w:r>
      <w:r w:rsidRPr="00F653B0">
        <w:t>, DfE research report, no. DFE-RR1138, Department for Education, Manchester, viewed Apr 2025, &lt;https://www.gov.uk/government/publications/literature-review-into-online-and-blended-learning-in-fe&gt;.</w:t>
      </w:r>
    </w:p>
    <w:p w14:paraId="7AA9F093" w14:textId="77777777" w:rsidR="004D5370" w:rsidRPr="00296708" w:rsidRDefault="004D5370" w:rsidP="004D5370">
      <w:pPr>
        <w:pStyle w:val="References"/>
      </w:pPr>
      <w:r w:rsidRPr="00296708">
        <w:t xml:space="preserve">Harding, S, Morris, R, Gunnell, D, Ford, T, Hollingworth, W, Tilling, K, Evans, R, Bell, S, Grey, J, Brockman, R, Campbell, R, Araya, R, Murphy, S &amp; Kidger, J 2019, 'Is teachers' mental health and wellbeing associated with students' mental health and wellbeing?' </w:t>
      </w:r>
      <w:r w:rsidRPr="00296708">
        <w:rPr>
          <w:i/>
        </w:rPr>
        <w:t xml:space="preserve">J Affect </w:t>
      </w:r>
      <w:proofErr w:type="spellStart"/>
      <w:r w:rsidRPr="00296708">
        <w:rPr>
          <w:i/>
        </w:rPr>
        <w:t>Disord</w:t>
      </w:r>
      <w:proofErr w:type="spellEnd"/>
      <w:r w:rsidRPr="00296708">
        <w:t xml:space="preserve">, vol.242, 180-187, viewed Jul </w:t>
      </w:r>
      <w:proofErr w:type="gramStart"/>
      <w:r w:rsidRPr="00296708">
        <w:t>2025,&lt;</w:t>
      </w:r>
      <w:proofErr w:type="gramEnd"/>
      <w:r w:rsidRPr="00D96922">
        <w:t>https://pubmed.ncbi.nlm.nih.gov/30189355/</w:t>
      </w:r>
      <w:r>
        <w:t>&gt;.</w:t>
      </w:r>
    </w:p>
    <w:p w14:paraId="647F41A5" w14:textId="77777777" w:rsidR="004D5370" w:rsidRPr="001330B3" w:rsidRDefault="004D5370" w:rsidP="004D5370">
      <w:pPr>
        <w:pStyle w:val="References"/>
      </w:pPr>
      <w:r w:rsidRPr="00296708">
        <w:t xml:space="preserve">Hargreaves, J, Smith, E, Tuck, J, </w:t>
      </w:r>
      <w:proofErr w:type="spellStart"/>
      <w:r w:rsidRPr="00296708">
        <w:t>Tyter</w:t>
      </w:r>
      <w:proofErr w:type="spellEnd"/>
      <w:r w:rsidRPr="00296708">
        <w:t xml:space="preserve">, K, </w:t>
      </w:r>
      <w:proofErr w:type="spellStart"/>
      <w:r w:rsidRPr="00296708">
        <w:t>Wookey</w:t>
      </w:r>
      <w:proofErr w:type="spellEnd"/>
      <w:r w:rsidRPr="00296708">
        <w:t xml:space="preserve">, A, Howie, C &amp; Hart, G 2017, </w:t>
      </w:r>
      <w:r w:rsidRPr="00296708">
        <w:rPr>
          <w:i/>
        </w:rPr>
        <w:t xml:space="preserve">What makes for effective partnerships between employers and </w:t>
      </w:r>
      <w:proofErr w:type="gramStart"/>
      <w:r w:rsidRPr="00296708">
        <w:rPr>
          <w:i/>
        </w:rPr>
        <w:t>RTOs?,</w:t>
      </w:r>
      <w:proofErr w:type="gramEnd"/>
      <w:r w:rsidRPr="00296708">
        <w:t xml:space="preserve"> NCVER, Adelaide, viewed Mar 2024, &lt;</w:t>
      </w:r>
      <w:r w:rsidRPr="006F077A">
        <w:t>https://attendee.gotowebinar.com/recording/8675865107718756354</w:t>
      </w:r>
      <w:r w:rsidRPr="001330B3">
        <w:t>&gt;.</w:t>
      </w:r>
    </w:p>
    <w:p w14:paraId="010635BB" w14:textId="77777777" w:rsidR="004D5370" w:rsidRDefault="004D5370" w:rsidP="004D5370">
      <w:pPr>
        <w:pStyle w:val="References"/>
      </w:pPr>
      <w:r>
        <w:t>H</w:t>
      </w:r>
      <w:r w:rsidRPr="00EB4693">
        <w:t xml:space="preserve">ughes, G, Upsher, R, Nobili, A, Kirkman, A, Wilson, C, Bowers-Brown, T, Foster, J, Bradley, S &amp; Byrom, N 2022, </w:t>
      </w:r>
      <w:r w:rsidRPr="00D10BC3">
        <w:rPr>
          <w:i/>
        </w:rPr>
        <w:t>Education for mental health: enhancing student mental health through curriculum and pedagogy</w:t>
      </w:r>
      <w:r w:rsidRPr="00EB4693">
        <w:t xml:space="preserve">, Advance HE, London, viewed </w:t>
      </w:r>
      <w:r>
        <w:t xml:space="preserve">Jul 2025, </w:t>
      </w:r>
      <w:r w:rsidRPr="00EB4693">
        <w:t>&lt;https://documents.advance-he.ac.uk/download/file/document/10300&gt;.</w:t>
      </w:r>
    </w:p>
    <w:p w14:paraId="6647F1CA" w14:textId="77777777" w:rsidR="004D5370" w:rsidRDefault="004D5370" w:rsidP="004D5370">
      <w:pPr>
        <w:pStyle w:val="References"/>
      </w:pPr>
      <w:r w:rsidRPr="008D791D">
        <w:t xml:space="preserve">Hume, S, Griffin, T &amp; </w:t>
      </w:r>
      <w:proofErr w:type="spellStart"/>
      <w:r w:rsidRPr="008D791D">
        <w:t>Andrahannadi</w:t>
      </w:r>
      <w:proofErr w:type="spellEnd"/>
      <w:r w:rsidRPr="008D791D">
        <w:t xml:space="preserve">, U 2023, </w:t>
      </w:r>
      <w:r w:rsidRPr="008A35FC">
        <w:rPr>
          <w:i/>
          <w:iCs/>
        </w:rPr>
        <w:t>Effective teaching practices and student support services in online VET</w:t>
      </w:r>
      <w:r w:rsidRPr="008D791D">
        <w:t xml:space="preserve">, NCVER, Adelaide, viewed </w:t>
      </w:r>
      <w:r>
        <w:t>Jul</w:t>
      </w:r>
      <w:r w:rsidRPr="008D791D">
        <w:t xml:space="preserve"> 2025, &lt;https://www.ncver.edu.au/research-and-statistics/publications/all-publications/effective-teaching-practices-and-student-support-services-in-online-vet&gt;.</w:t>
      </w:r>
    </w:p>
    <w:p w14:paraId="7113CEB0" w14:textId="77777777" w:rsidR="004D5370" w:rsidRPr="004D5370" w:rsidRDefault="004D5370" w:rsidP="004D5370">
      <w:pPr>
        <w:pStyle w:val="References"/>
      </w:pPr>
      <w:r w:rsidRPr="004D5370">
        <w:t xml:space="preserve">Ibrahim, RZA, Zalam, WZM, Foster, B, </w:t>
      </w:r>
      <w:proofErr w:type="spellStart"/>
      <w:r w:rsidRPr="004D5370">
        <w:t>Afrizal</w:t>
      </w:r>
      <w:proofErr w:type="spellEnd"/>
      <w:r w:rsidRPr="004D5370">
        <w:t xml:space="preserve">, T, Johansyah, MD, Saputra, J, Bakar, AA, </w:t>
      </w:r>
      <w:proofErr w:type="spellStart"/>
      <w:r w:rsidRPr="004D5370">
        <w:t>Dagang</w:t>
      </w:r>
      <w:proofErr w:type="spellEnd"/>
      <w:r w:rsidRPr="004D5370">
        <w:t>, MM &amp; Ali, SNM 2021, 'Psychosocial work environment and teachers’ psychological well-being: the moderating role of job control and social support' International Journal of Environmental Research and Public Health, vol.18, no.14, pp.1-19, viewed Jul 2025, &lt;</w:t>
      </w:r>
      <w:hyperlink r:id="rId30" w:history="1">
        <w:r w:rsidRPr="004D5370">
          <w:rPr>
            <w:rStyle w:val="Hyperlink"/>
            <w:rFonts w:ascii="Montserrat" w:hAnsi="Montserrat"/>
            <w:sz w:val="18"/>
          </w:rPr>
          <w:t>https://www.mdpi.com/1660-4601/18/14/7308</w:t>
        </w:r>
      </w:hyperlink>
      <w:r w:rsidRPr="004D5370">
        <w:t>&gt;.</w:t>
      </w:r>
    </w:p>
    <w:p w14:paraId="1FED285B" w14:textId="77777777" w:rsidR="004D5370" w:rsidRPr="004D5370" w:rsidRDefault="004D5370" w:rsidP="004D5370">
      <w:pPr>
        <w:pStyle w:val="References"/>
      </w:pPr>
      <w:r w:rsidRPr="004D5370">
        <w:t>Joyce S 2019, Strengthening skills: expert review of Australia's vocational education and training system [Joyce review], Department of the Prime Minister and Cabinet, viewed Aug 2025, &lt;</w:t>
      </w:r>
      <w:hyperlink r:id="rId31" w:anchor=":~:text=This%20Review%20argues%20that%20there,alternative%20to%20classroom%2Dbased%20learning" w:history="1">
        <w:r w:rsidRPr="004D5370">
          <w:rPr>
            <w:rStyle w:val="Hyperlink"/>
            <w:rFonts w:ascii="Montserrat" w:hAnsi="Montserrat"/>
            <w:sz w:val="18"/>
          </w:rPr>
          <w:t>https://www.pmc.gov.au/resources/strengthening-skills-expert-review-australias-vocational-education-and-training-system#:~:text=This%20Review%20argues%20that%20there,alternative%20to%20classroom%2Dbased%20learning</w:t>
        </w:r>
      </w:hyperlink>
      <w:r w:rsidRPr="004D5370">
        <w:t>&gt;.</w:t>
      </w:r>
    </w:p>
    <w:p w14:paraId="6831EC9E" w14:textId="77777777" w:rsidR="004D5370" w:rsidRPr="004D5370" w:rsidRDefault="004D5370" w:rsidP="004D5370">
      <w:pPr>
        <w:pStyle w:val="References"/>
      </w:pPr>
      <w:r w:rsidRPr="004D5370">
        <w:t>JSA (Jobs and Skills Australia) 2024a, VET workforce study, Jobs and Skills Australia, viewed Aug 2025, &lt;https://www.jobsandskills.gov.au/studies/vet-workforce-study&gt;.</w:t>
      </w:r>
    </w:p>
    <w:p w14:paraId="5E4F6720" w14:textId="77777777" w:rsidR="004D5370" w:rsidRPr="004D5370" w:rsidRDefault="004D5370" w:rsidP="004D5370">
      <w:pPr>
        <w:pStyle w:val="References"/>
      </w:pPr>
      <w:r w:rsidRPr="004D5370">
        <w:t>--- 2024b, RTO Typology: methodology paper, Jobs and Skills Australia, viewed Aug 2025, &lt;https://www.jobsandskills.gov.au/publications/rto-typology&gt;.</w:t>
      </w:r>
    </w:p>
    <w:p w14:paraId="27342EE3" w14:textId="77777777" w:rsidR="004D5370" w:rsidRPr="004D5370" w:rsidRDefault="004D5370" w:rsidP="004D5370">
      <w:pPr>
        <w:pStyle w:val="References"/>
      </w:pPr>
      <w:r w:rsidRPr="004D5370">
        <w:t>Karnovsky, S &amp; Kelly, N 2025, Teachers' emotional experiences, Ed. Karnovsky, S &amp; Kelly, N, Palgrave Macmillan Cham, viewed Jun 2025, &lt;https://doi.org/10.1007/978-3-031-82259-9&gt;.</w:t>
      </w:r>
    </w:p>
    <w:p w14:paraId="17F78266" w14:textId="77777777" w:rsidR="004D5370" w:rsidRPr="00800703" w:rsidRDefault="004D5370" w:rsidP="004D5370">
      <w:pPr>
        <w:pStyle w:val="References"/>
        <w:rPr>
          <w:lang w:val="en-US"/>
        </w:rPr>
      </w:pPr>
      <w:r w:rsidRPr="004D5370">
        <w:t xml:space="preserve">Kemmis, S., Edwards-Groves, C., Wilkinson, J., &amp; Hardy, I. 2012, ‘Ecologies of practices. In P. Hager, </w:t>
      </w:r>
      <w:proofErr w:type="spellStart"/>
      <w:proofErr w:type="gramStart"/>
      <w:r w:rsidRPr="004D5370">
        <w:t>A.Reich</w:t>
      </w:r>
      <w:proofErr w:type="spellEnd"/>
      <w:proofErr w:type="gramEnd"/>
      <w:r w:rsidRPr="00343244">
        <w:rPr>
          <w:lang w:val="en-US"/>
        </w:rPr>
        <w:t xml:space="preserve"> &amp; A. Lee</w:t>
      </w:r>
      <w:r>
        <w:rPr>
          <w:lang w:val="en-US"/>
        </w:rPr>
        <w:t>’</w:t>
      </w:r>
      <w:r w:rsidRPr="00343244">
        <w:rPr>
          <w:lang w:val="en-US"/>
        </w:rPr>
        <w:t>(Eds.), Practice, learning and change (pp. 33–49). Netherlands: Springer.</w:t>
      </w:r>
    </w:p>
    <w:p w14:paraId="0D5244EC" w14:textId="77777777" w:rsidR="004D5370" w:rsidRPr="00800703" w:rsidRDefault="004D5370" w:rsidP="004D5370">
      <w:pPr>
        <w:pStyle w:val="References"/>
        <w:rPr>
          <w:lang w:val="en-US"/>
        </w:rPr>
      </w:pPr>
      <w:r w:rsidRPr="001E5FF3">
        <w:rPr>
          <w:lang w:val="en-US"/>
        </w:rPr>
        <w:t xml:space="preserve">Kennedy, K, Forsythe, D, Sharplin, G, Eckert, M &amp; Bryant, R 2020, </w:t>
      </w:r>
      <w:r w:rsidRPr="007E2B3D">
        <w:rPr>
          <w:i/>
          <w:iCs/>
          <w:lang w:val="en-US"/>
        </w:rPr>
        <w:t>An evidence-based discussion paper on VET disability education delivery</w:t>
      </w:r>
      <w:r w:rsidRPr="001E5FF3">
        <w:rPr>
          <w:lang w:val="en-US"/>
        </w:rPr>
        <w:t xml:space="preserve">, Skills IQ, Sydney, viewed </w:t>
      </w:r>
      <w:r>
        <w:rPr>
          <w:lang w:val="en-US"/>
        </w:rPr>
        <w:t>Jul</w:t>
      </w:r>
      <w:r w:rsidRPr="001E5FF3">
        <w:rPr>
          <w:lang w:val="en-US"/>
        </w:rPr>
        <w:t xml:space="preserve"> 2025, &lt;https://www.skillsiq.com.au/site/DefaultSite/filesystem/documents/Research/VET_Disability_Education_Discussion_Paper_Sept2020.pdf&gt;.</w:t>
      </w:r>
    </w:p>
    <w:p w14:paraId="282AB840" w14:textId="77777777" w:rsidR="004D5370" w:rsidRDefault="004D5370" w:rsidP="004D5370">
      <w:pPr>
        <w:pStyle w:val="References"/>
      </w:pPr>
      <w:r>
        <w:t xml:space="preserve">Knight, G, White, I &amp; Granfield, P 2020, </w:t>
      </w:r>
      <w:r w:rsidRPr="1FB0B8F9">
        <w:rPr>
          <w:i/>
        </w:rPr>
        <w:t>Understanding the Australian Vocational Education and Training workforce</w:t>
      </w:r>
      <w:r>
        <w:t xml:space="preserve">, NCVER, Adelaide, viewed Jul 2025, </w:t>
      </w:r>
      <w:r w:rsidRPr="00FE77C5">
        <w:t>&lt;</w:t>
      </w:r>
      <w:r w:rsidRPr="00FF55CE">
        <w:t>https://www.ncver.edu.au/research-and-</w:t>
      </w:r>
      <w:r w:rsidRPr="00FF55CE">
        <w:lastRenderedPageBreak/>
        <w:t>statistics/publications/all-publications/understanding-the-australian-vocational-education-and-training-workforce</w:t>
      </w:r>
      <w:r w:rsidRPr="00FE77C5">
        <w:t>&gt;.</w:t>
      </w:r>
    </w:p>
    <w:p w14:paraId="09EB30AB" w14:textId="77777777" w:rsidR="004D5370" w:rsidRDefault="004D5370" w:rsidP="004D5370">
      <w:pPr>
        <w:pStyle w:val="References"/>
      </w:pPr>
      <w:proofErr w:type="spellStart"/>
      <w:r w:rsidRPr="00F94140">
        <w:t>Kolho</w:t>
      </w:r>
      <w:proofErr w:type="spellEnd"/>
      <w:r w:rsidRPr="00F94140">
        <w:t xml:space="preserve">, P 2024, </w:t>
      </w:r>
      <w:r w:rsidRPr="002E735F">
        <w:rPr>
          <w:i/>
          <w:iCs/>
        </w:rPr>
        <w:t>A vocational education and training subject teacher for fostering students’ entrepreneurial skills: the development of a conceptual model</w:t>
      </w:r>
      <w:r w:rsidRPr="00F94140">
        <w:t xml:space="preserve">, International Journal of Training and Development, vol.28, no.4, pp.430–453, viewed </w:t>
      </w:r>
      <w:r w:rsidRPr="006142A5">
        <w:t>Jul</w:t>
      </w:r>
      <w:r w:rsidRPr="00F94140">
        <w:t xml:space="preserve"> 2025, &lt;https://doi.org/10.1111/ijtd.12335&gt;.</w:t>
      </w:r>
      <w:r>
        <w:t xml:space="preserve"> </w:t>
      </w:r>
    </w:p>
    <w:p w14:paraId="1EB6B331" w14:textId="77777777" w:rsidR="004D5370" w:rsidRDefault="004D5370" w:rsidP="004D5370">
      <w:pPr>
        <w:pStyle w:val="References"/>
      </w:pPr>
      <w:r w:rsidRPr="007F2857">
        <w:t xml:space="preserve">Kyle, M 2023, </w:t>
      </w:r>
      <w:r w:rsidRPr="00E73D8F">
        <w:rPr>
          <w:i/>
        </w:rPr>
        <w:t>International best practice blended learning for disadvantaged and vulnerable VET learners</w:t>
      </w:r>
      <w:r w:rsidRPr="007F2857">
        <w:t xml:space="preserve">, International Specialised Skills Institute, Carlton, viewed </w:t>
      </w:r>
      <w:r>
        <w:t>July</w:t>
      </w:r>
      <w:r w:rsidRPr="007F2857">
        <w:t xml:space="preserve"> 2025, &lt;https://www.issinstitute.org.au/fellowship-report/vocational-education-%26-training/singapore%2C-mauritius/international-best-practice-blended-learning-for-disadvantaged-and-vulnerable-vet-learners&gt;.</w:t>
      </w:r>
    </w:p>
    <w:p w14:paraId="62051293" w14:textId="77777777" w:rsidR="004D5370" w:rsidRPr="004D5370" w:rsidRDefault="004D5370" w:rsidP="004D5370">
      <w:pPr>
        <w:pStyle w:val="References"/>
      </w:pPr>
      <w:r w:rsidRPr="004D5370">
        <w:t xml:space="preserve">Ling, P, </w:t>
      </w:r>
      <w:proofErr w:type="spellStart"/>
      <w:r w:rsidRPr="004D5370">
        <w:t>Rabadanova</w:t>
      </w:r>
      <w:proofErr w:type="spellEnd"/>
      <w:r w:rsidRPr="004D5370">
        <w:t xml:space="preserve">, R, </w:t>
      </w:r>
      <w:proofErr w:type="spellStart"/>
      <w:r w:rsidRPr="004D5370">
        <w:t>Otcheskiy</w:t>
      </w:r>
      <w:proofErr w:type="spellEnd"/>
      <w:r w:rsidRPr="004D5370">
        <w:t xml:space="preserve">, I, </w:t>
      </w:r>
      <w:proofErr w:type="spellStart"/>
      <w:r w:rsidRPr="004D5370">
        <w:t>Basmanova</w:t>
      </w:r>
      <w:proofErr w:type="spellEnd"/>
      <w:r w:rsidRPr="004D5370">
        <w:t xml:space="preserve">, A &amp; </w:t>
      </w:r>
      <w:proofErr w:type="spellStart"/>
      <w:r w:rsidRPr="004D5370">
        <w:t>Biltekenova</w:t>
      </w:r>
      <w:proofErr w:type="spellEnd"/>
      <w:r w:rsidRPr="004D5370">
        <w:t>, G 2024, 'Implementation of variable technologies to improve the psychological safety of the educational environment' Education and Training, vol.9, pp.1-22, viewed Jul 2025, &lt;</w:t>
      </w:r>
      <w:hyperlink r:id="rId32" w:history="1">
        <w:r w:rsidRPr="004D5370">
          <w:rPr>
            <w:rStyle w:val="Hyperlink"/>
            <w:rFonts w:ascii="Montserrat" w:hAnsi="Montserrat"/>
            <w:sz w:val="18"/>
          </w:rPr>
          <w:t>http://educa.fcc.org.br/scielo.php?pid=S2448-35832024000100232&amp;script=sci_arttext</w:t>
        </w:r>
      </w:hyperlink>
      <w:r w:rsidRPr="004D5370">
        <w:t>&gt;.</w:t>
      </w:r>
    </w:p>
    <w:p w14:paraId="77A67EF2" w14:textId="77777777" w:rsidR="004D5370" w:rsidRDefault="004D5370" w:rsidP="004D5370">
      <w:pPr>
        <w:pStyle w:val="References"/>
      </w:pPr>
      <w:r w:rsidRPr="004D5370">
        <w:t xml:space="preserve">London, P, Tarena, E, Kuntz, J, Fleming, B, Prendergast, P, Macfarlane, S, Duncan, W, Kapa, J, Tainui, M, Armstrong, S, McIntyre, C &amp;  </w:t>
      </w:r>
      <w:proofErr w:type="spellStart"/>
      <w:r w:rsidRPr="004D5370">
        <w:t>Punivai</w:t>
      </w:r>
      <w:proofErr w:type="spellEnd"/>
      <w:r w:rsidRPr="004D5370">
        <w:t xml:space="preserve">, V 2019, Relational based practices for strengthening cultural connectedness for </w:t>
      </w:r>
      <w:proofErr w:type="spellStart"/>
      <w:r w:rsidRPr="004D5370">
        <w:t>Maori</w:t>
      </w:r>
      <w:proofErr w:type="spellEnd"/>
      <w:r w:rsidRPr="004D5370">
        <w:t xml:space="preserve"> learners in trades training, agriculture and the polytechnic sector, Ako Aotearoa (National Centre for Tertiary Teaching Excellence), viewed Jul 2025,</w:t>
      </w:r>
      <w:r>
        <w:t xml:space="preserve"> &lt;https://hdl.voced.edu.au/10707/573346&gt;.</w:t>
      </w:r>
    </w:p>
    <w:p w14:paraId="4960F92F" w14:textId="77777777" w:rsidR="004D5370" w:rsidRDefault="004D5370" w:rsidP="004D5370">
      <w:pPr>
        <w:pStyle w:val="References"/>
      </w:pPr>
      <w:r w:rsidRPr="00B36BAF">
        <w:t xml:space="preserve">Lucas, B, Spencer, E &amp; Claxton, G 2012, </w:t>
      </w:r>
      <w:r w:rsidRPr="007161A9">
        <w:rPr>
          <w:i/>
        </w:rPr>
        <w:t>How to teach vocational education: A theory of vocational pedagogy</w:t>
      </w:r>
      <w:r w:rsidRPr="00B36BAF">
        <w:t>, City and Guilds Centre for Skills Development, UK.</w:t>
      </w:r>
    </w:p>
    <w:p w14:paraId="28444FE0" w14:textId="77777777" w:rsidR="004D5370" w:rsidRDefault="004D5370" w:rsidP="004D5370">
      <w:pPr>
        <w:pStyle w:val="References"/>
      </w:pPr>
      <w:r>
        <w:t>M</w:t>
      </w:r>
      <w:r w:rsidRPr="00607342">
        <w:t xml:space="preserve">cGregor, S 2024, </w:t>
      </w:r>
      <w:r w:rsidRPr="0095521F">
        <w:rPr>
          <w:i/>
        </w:rPr>
        <w:t>Empowering under-represented learners in VET: strategic frameworks for addressing barriers</w:t>
      </w:r>
      <w:r w:rsidRPr="00607342">
        <w:t xml:space="preserve">, fostering belonging and ensuring post-completion success, International Specialised Skills Institute, Carlton, viewed </w:t>
      </w:r>
      <w:r>
        <w:t>Jul</w:t>
      </w:r>
      <w:r w:rsidRPr="00607342">
        <w:t xml:space="preserve"> 2025, &lt;</w:t>
      </w:r>
      <w:r w:rsidRPr="00B83A4C">
        <w:t xml:space="preserve"> https://www.issinstitute.org.au/fellowship-report/education/united-states%2C-canada/empowering-under-represented-learners-in-vet%3A-strategic-frameworks-for-addressing-barriers%2C-fostering-belonging-and-ensuring-post-completion-success</w:t>
      </w:r>
      <w:r>
        <w:t xml:space="preserve">&gt;. </w:t>
      </w:r>
    </w:p>
    <w:p w14:paraId="5FB90902" w14:textId="77777777" w:rsidR="004D5370" w:rsidRPr="00251931" w:rsidRDefault="004D5370" w:rsidP="004D5370">
      <w:pPr>
        <w:pStyle w:val="References"/>
      </w:pPr>
      <w:r w:rsidRPr="00251931">
        <w:t>Misko, J, Guthrie, H &amp; Waters, M 2021, Building capability and quality in VET teaching: opportunities and challenges, NCVER, viewed Jul 2025, &lt;https://www.ncver.edu.au/research-and-statistics/publications/all-publications/building-capability-and-quality-in-vet-teaching-opportunities-and-challenges&gt;.</w:t>
      </w:r>
    </w:p>
    <w:p w14:paraId="589B7A40" w14:textId="77777777" w:rsidR="004D5370" w:rsidRPr="004D5370" w:rsidRDefault="004D5370" w:rsidP="004D5370">
      <w:pPr>
        <w:pStyle w:val="References"/>
      </w:pPr>
      <w:r w:rsidRPr="004D5370">
        <w:t>Mitchell J (2000) Re-framing the Future: a report on the long-term impacts of Framing the Future, Framing the Future Office, viewed Aug 2025, &lt;</w:t>
      </w:r>
      <w:hyperlink r:id="rId33" w:history="1">
        <w:r w:rsidRPr="004D5370">
          <w:rPr>
            <w:rStyle w:val="Hyperlink"/>
            <w:rFonts w:ascii="Montserrat" w:hAnsi="Montserrat"/>
            <w:sz w:val="18"/>
          </w:rPr>
          <w:t>https://hdl.voced.edu.au/10707/10626</w:t>
        </w:r>
      </w:hyperlink>
      <w:r w:rsidRPr="004D5370">
        <w:t xml:space="preserve">&gt;. </w:t>
      </w:r>
    </w:p>
    <w:p w14:paraId="5FADD200" w14:textId="77777777" w:rsidR="004D5370" w:rsidRPr="004D5370" w:rsidRDefault="004D5370" w:rsidP="004D5370">
      <w:pPr>
        <w:pStyle w:val="References"/>
      </w:pPr>
      <w:proofErr w:type="spellStart"/>
      <w:r w:rsidRPr="004D5370">
        <w:t>Nadaillac</w:t>
      </w:r>
      <w:proofErr w:type="spellEnd"/>
      <w:r w:rsidRPr="004D5370">
        <w:t>, A 2023, Learner-centred teaching in technical and vocational education and training: perspectives and reviews of six Asia-Pacific countries, UNESCO Bangkok Office, Bangkok, viewed Jul 2025, &lt;https://unesdoc.unesco.org/ark:/48223/pf0000384610&gt;.</w:t>
      </w:r>
    </w:p>
    <w:p w14:paraId="2A5E214B" w14:textId="77777777" w:rsidR="004D5370" w:rsidRPr="004D5370" w:rsidRDefault="004D5370" w:rsidP="004D5370">
      <w:pPr>
        <w:pStyle w:val="References"/>
      </w:pPr>
      <w:r w:rsidRPr="004D5370">
        <w:t>National Vocational Education and Training Regulator 2025, Outcome Standards for Registered Training Organisations) Instrument 2025, viewed Aug 2025, &lt;https://www.legislation.gov.au/F2025L00354/asmade/text&gt;.</w:t>
      </w:r>
    </w:p>
    <w:p w14:paraId="7830052C" w14:textId="77777777" w:rsidR="004D5370" w:rsidRPr="004D5370" w:rsidRDefault="004D5370" w:rsidP="004D5370">
      <w:pPr>
        <w:pStyle w:val="References"/>
      </w:pPr>
      <w:r w:rsidRPr="004D5370">
        <w:t xml:space="preserve">NCVER 2025, ‘Special Collections &gt; </w:t>
      </w:r>
      <w:proofErr w:type="gramStart"/>
      <w:r w:rsidRPr="004D5370">
        <w:t>program based</w:t>
      </w:r>
      <w:proofErr w:type="gramEnd"/>
      <w:r w:rsidRPr="004D5370">
        <w:t xml:space="preserve"> collections’, viewed Aug 2025, &lt;https://www.voced.edu.au/special-collections-program-based&gt;.  </w:t>
      </w:r>
    </w:p>
    <w:p w14:paraId="65435B66" w14:textId="77777777" w:rsidR="004D5370" w:rsidRPr="004D5370" w:rsidRDefault="004D5370" w:rsidP="004D5370">
      <w:pPr>
        <w:pStyle w:val="References"/>
      </w:pPr>
      <w:r w:rsidRPr="004D5370">
        <w:t>New South Wales Government 2018, ‘Cognitive load theory in practice: examples for the classroom’, viewed Jul 2025, &lt;https://education.nsw.gov.au/about-us/education-data-and-research/cese/publications/practical-guides-for educators-/cognitive-load-theory-in-practice&gt;.</w:t>
      </w:r>
    </w:p>
    <w:p w14:paraId="64163FFA" w14:textId="77777777" w:rsidR="004D5370" w:rsidRPr="004D5370" w:rsidRDefault="004D5370" w:rsidP="004D5370">
      <w:pPr>
        <w:pStyle w:val="References"/>
      </w:pPr>
      <w:r w:rsidRPr="004D5370">
        <w:t>--- 2023, Simple guide to supporting student social and emotional wellbeing, viewed Aug 2025, &lt;</w:t>
      </w:r>
      <w:hyperlink r:id="rId34" w:history="1">
        <w:r w:rsidRPr="004D5370">
          <w:rPr>
            <w:rStyle w:val="Hyperlink"/>
            <w:rFonts w:ascii="Montserrat" w:hAnsi="Montserrat"/>
            <w:sz w:val="18"/>
          </w:rPr>
          <w:t>https://education.nsw.gov.au/campaigns/inclusive-practice-hub/all-resources/primary-resources/other-pdf-resources/simple-guide-to-supporting-student-social-and-emotional-wellbeing</w:t>
        </w:r>
      </w:hyperlink>
      <w:r w:rsidRPr="004D5370">
        <w:t>&gt;.</w:t>
      </w:r>
    </w:p>
    <w:p w14:paraId="44A1578D" w14:textId="77777777" w:rsidR="004D5370" w:rsidRDefault="004D5370" w:rsidP="004D5370">
      <w:pPr>
        <w:pStyle w:val="References"/>
      </w:pPr>
      <w:r>
        <w:lastRenderedPageBreak/>
        <w:t>Northern Territory Government 2025, ‘NT Social and Emotional Learning’, viewed Jul 2025, &lt;https://education.nt.gov.au/support-for-teachers/nt-social-and-emotional-learning&gt;.</w:t>
      </w:r>
    </w:p>
    <w:p w14:paraId="7CA88E1E" w14:textId="77777777" w:rsidR="004D5370" w:rsidRDefault="004D5370" w:rsidP="004D5370">
      <w:pPr>
        <w:pStyle w:val="References"/>
      </w:pPr>
      <w:r w:rsidRPr="00FC209B">
        <w:t xml:space="preserve">OECD 2025, </w:t>
      </w:r>
      <w:r w:rsidRPr="00FC209B">
        <w:rPr>
          <w:i/>
          <w:iCs/>
        </w:rPr>
        <w:t>Unlocking High-Quality Teaching</w:t>
      </w:r>
      <w:r w:rsidRPr="00FC209B">
        <w:t>, OECD Publishing, Paris,</w:t>
      </w:r>
      <w:r>
        <w:t xml:space="preserve"> viewed Aug 2025,</w:t>
      </w:r>
      <w:r w:rsidRPr="00FC209B">
        <w:t xml:space="preserve"> </w:t>
      </w:r>
      <w:r>
        <w:t>&lt;</w:t>
      </w:r>
      <w:r w:rsidRPr="00FC209B">
        <w:t>https://doi.org/10.1787/f5b82176-en</w:t>
      </w:r>
      <w:r>
        <w:t>&gt;</w:t>
      </w:r>
      <w:r w:rsidRPr="00FC209B">
        <w:t>.</w:t>
      </w:r>
    </w:p>
    <w:p w14:paraId="69610331" w14:textId="77777777" w:rsidR="004D5370" w:rsidRPr="001330B3" w:rsidRDefault="004D5370" w:rsidP="004D5370">
      <w:pPr>
        <w:pStyle w:val="References"/>
      </w:pPr>
      <w:r>
        <w:t>---</w:t>
      </w:r>
      <w:r w:rsidRPr="00296708">
        <w:t xml:space="preserve"> 2021, </w:t>
      </w:r>
      <w:r w:rsidRPr="00296708">
        <w:rPr>
          <w:i/>
        </w:rPr>
        <w:t>Teachers and Leaders in Vocational Education and Training</w:t>
      </w:r>
      <w:r w:rsidRPr="00296708">
        <w:t>, OECD Reviews of Vocational Education and Training Publishing, O, Paris, viewed Aug 2025, &lt;</w:t>
      </w:r>
      <w:r w:rsidRPr="006F077A">
        <w:t>https://www.oecd.org/en/publications/teachers-and-leaders-in-vocational-education-and-training_59d4fbb1-en.html</w:t>
      </w:r>
      <w:r w:rsidRPr="001330B3">
        <w:t>&gt;.</w:t>
      </w:r>
    </w:p>
    <w:p w14:paraId="49C45707" w14:textId="77777777" w:rsidR="004D5370" w:rsidRPr="004D5370" w:rsidRDefault="004D5370" w:rsidP="004D5370">
      <w:pPr>
        <w:pStyle w:val="References"/>
      </w:pPr>
      <w:r w:rsidRPr="004D5370">
        <w:t>Petridou, E &amp; Lao, L 2024, Identifying challenges and best practices for implementing AI additional qualifications in vocational and continuing education: a mixed methods analysis, International Journal of Lifelong Education, vol.43, no.4, pp.385–400, viewed Jul 2025, &lt;https://doi.org/10.1080/02601370.2024.2351076&gt;.</w:t>
      </w:r>
    </w:p>
    <w:p w14:paraId="0C4B746C" w14:textId="77777777" w:rsidR="004D5370" w:rsidRPr="004D5370" w:rsidRDefault="004D5370" w:rsidP="004D5370">
      <w:pPr>
        <w:pStyle w:val="References"/>
      </w:pPr>
      <w:r w:rsidRPr="004D5370">
        <w:t>Productivity Commission 2011, Vocational education and training workforce, Productivity Commission, viewed Aug 2025, &lt;</w:t>
      </w:r>
      <w:hyperlink r:id="rId35" w:history="1">
        <w:r w:rsidRPr="004D5370">
          <w:rPr>
            <w:rStyle w:val="Hyperlink"/>
            <w:rFonts w:ascii="Montserrat" w:hAnsi="Montserrat"/>
            <w:sz w:val="18"/>
          </w:rPr>
          <w:t>https://www.pc.gov.au/inquiries/completed/education-workforce-vocational/report</w:t>
        </w:r>
      </w:hyperlink>
      <w:r w:rsidRPr="004D5370">
        <w:t>&gt;.</w:t>
      </w:r>
    </w:p>
    <w:p w14:paraId="45BE14A6" w14:textId="77777777" w:rsidR="004D5370" w:rsidRPr="004D5370" w:rsidRDefault="004D5370" w:rsidP="004D5370">
      <w:pPr>
        <w:pStyle w:val="References"/>
      </w:pPr>
      <w:r w:rsidRPr="004D5370">
        <w:t>Queensland Government 2018, ‘Student Learning and Wellbeing Framework’, viewed Jul 2025, &lt;https://education.qld.gov.au/student/Documents/student-learning-wellbeing-framework.pdf&gt;.</w:t>
      </w:r>
    </w:p>
    <w:p w14:paraId="282AEDBC" w14:textId="77777777" w:rsidR="004D5370" w:rsidRPr="004D5370" w:rsidRDefault="004D5370" w:rsidP="004D5370">
      <w:pPr>
        <w:pStyle w:val="References"/>
      </w:pPr>
      <w:r w:rsidRPr="004D5370">
        <w:t>--- 2025, ‘Supporting students' mental health and wellbeing’, viewed Jul 2025, &lt;https://education.qld.gov.au/students/student-health-safety-wellbeing/student-wellbeing&gt;.</w:t>
      </w:r>
    </w:p>
    <w:p w14:paraId="11EF1F70" w14:textId="77777777" w:rsidR="004D5370" w:rsidRPr="004D5370" w:rsidRDefault="004D5370" w:rsidP="004D5370">
      <w:pPr>
        <w:pStyle w:val="References"/>
      </w:pPr>
      <w:r w:rsidRPr="004D5370">
        <w:t>Quirke M &amp; McCarthy P 2020, A conceptual framework of universal design for learning (UDL) for the Irish further education and training sector: where inclusion is everybody's business, SOLAS, viewed Jul 2025, &lt;https://www.solas.ie/f/70398/x/b1aa8a51b6/a-conceptual-framework-of-universal-design-for-learning-udl-for-the-ir.pdf &gt;.</w:t>
      </w:r>
    </w:p>
    <w:p w14:paraId="1D95D2DF" w14:textId="77777777" w:rsidR="004D5370" w:rsidRPr="004D5370" w:rsidRDefault="004D5370" w:rsidP="004D5370">
      <w:pPr>
        <w:pStyle w:val="References"/>
      </w:pPr>
      <w:r w:rsidRPr="004D5370">
        <w:t>Rahimi, M &amp; Arnold, B 2025, Understanding Australia's teacher shortage: the importance of psychosocial working conditions to turnover intentions, The Australian Educational Researcher, vol.52, no.1, pp.383-409, viewed Jul 2025, &lt;</w:t>
      </w:r>
      <w:hyperlink r:id="rId36" w:history="1">
        <w:r w:rsidRPr="004D5370">
          <w:rPr>
            <w:rStyle w:val="Hyperlink"/>
            <w:rFonts w:ascii="Montserrat" w:hAnsi="Montserrat"/>
            <w:sz w:val="18"/>
          </w:rPr>
          <w:t>https://doi.org/10.1007/s13384-024-00720-5</w:t>
        </w:r>
      </w:hyperlink>
      <w:r w:rsidRPr="004D5370">
        <w:t>&gt;.</w:t>
      </w:r>
    </w:p>
    <w:p w14:paraId="17C77DEB" w14:textId="77777777" w:rsidR="004D5370" w:rsidRPr="004D5370" w:rsidRDefault="004D5370" w:rsidP="004D5370">
      <w:pPr>
        <w:pStyle w:val="References"/>
      </w:pPr>
      <w:r w:rsidRPr="004D5370">
        <w:t>Relly, S 2021, Moving from competence to excellence: the role of training managers in providing pedagogical leadership in UK further education, Journal of Further and Higher Education, vol.45, no.5, pp.704–716, viewed Jul 2025, &lt; https://www.tandfonline.com/doi/full/10.1080/0309877X.2020.1812548&gt;.</w:t>
      </w:r>
    </w:p>
    <w:p w14:paraId="5B367018" w14:textId="77777777" w:rsidR="004D5370" w:rsidRPr="004D5370" w:rsidRDefault="004D5370" w:rsidP="004D5370">
      <w:pPr>
        <w:pStyle w:val="References"/>
      </w:pPr>
      <w:r w:rsidRPr="004D5370">
        <w:t>Robertson, I 2008, VET Teachers’ Knowledge and Expertise. International Journal of Training Research, 6(1), 1–22, viewed Aug 2025, &lt;</w:t>
      </w:r>
      <w:hyperlink r:id="rId37" w:history="1">
        <w:r w:rsidRPr="004D5370">
          <w:rPr>
            <w:rStyle w:val="Hyperlink"/>
            <w:rFonts w:ascii="Montserrat" w:hAnsi="Montserrat"/>
            <w:sz w:val="18"/>
          </w:rPr>
          <w:t>https://doi.org/10.5172/ijtr.6.1.1</w:t>
        </w:r>
      </w:hyperlink>
      <w:r w:rsidRPr="004D5370">
        <w:t>&gt;.</w:t>
      </w:r>
    </w:p>
    <w:p w14:paraId="52772CBF" w14:textId="77777777" w:rsidR="004D5370" w:rsidRPr="004D5370" w:rsidRDefault="004D5370" w:rsidP="004D5370">
      <w:pPr>
        <w:pStyle w:val="References"/>
      </w:pPr>
      <w:r w:rsidRPr="004D5370">
        <w:t>Safe Work Australia 2025, 'Psychosocial hazards', viewed Jul 2025, &lt;https://www.safeworkaustralia.gov.au/safety-topic/managing-health-and-safety/mental-health/psychosocial-hazards&gt;.</w:t>
      </w:r>
    </w:p>
    <w:p w14:paraId="40FC8808" w14:textId="77777777" w:rsidR="004D5370" w:rsidRPr="004D5370" w:rsidRDefault="004D5370" w:rsidP="004D5370">
      <w:pPr>
        <w:pStyle w:val="References"/>
      </w:pPr>
      <w:r w:rsidRPr="004D5370">
        <w:t>Save the Children 2021, ‘Enabling Teachers Foundations Course: Teacher professional development: Module 19: Psychosocial support and social emotional learning’, viewed Jul 2025, &lt;</w:t>
      </w:r>
      <w:hyperlink r:id="rId38">
        <w:r w:rsidRPr="004D5370">
          <w:rPr>
            <w:rStyle w:val="Hyperlink"/>
            <w:rFonts w:ascii="Montserrat" w:hAnsi="Montserrat"/>
            <w:sz w:val="18"/>
          </w:rPr>
          <w:t>https://resourcecentre.savethechildren.net/document/enabling-teachers-foundations-course-teacher-professional-development-module-19-psychosocial</w:t>
        </w:r>
      </w:hyperlink>
      <w:r w:rsidRPr="004D5370">
        <w:t>&gt;.</w:t>
      </w:r>
    </w:p>
    <w:p w14:paraId="32FB8348" w14:textId="77777777" w:rsidR="004D5370" w:rsidRDefault="004D5370" w:rsidP="004D5370">
      <w:pPr>
        <w:pStyle w:val="References"/>
      </w:pPr>
      <w:r>
        <w:t xml:space="preserve">Schmidt, T 2019, </w:t>
      </w:r>
      <w:r w:rsidRPr="043FA925">
        <w:rPr>
          <w:i/>
          <w:iCs/>
        </w:rPr>
        <w:t>When the whole is more than the sum of its parts: investigating ways that advanced skills for VET teachers are conceptualised and how they are developed</w:t>
      </w:r>
      <w:r>
        <w:t xml:space="preserve">, Griffith University, Brisbane, viewed Jul 2025, &lt;http://hdl.handle.net/10072/385555&gt;.   </w:t>
      </w:r>
    </w:p>
    <w:p w14:paraId="75E83BF7" w14:textId="77777777" w:rsidR="004D5370" w:rsidRDefault="004D5370" w:rsidP="004D5370">
      <w:pPr>
        <w:pStyle w:val="References"/>
      </w:pPr>
      <w:r>
        <w:t>S</w:t>
      </w:r>
      <w:r w:rsidRPr="009D5F8B">
        <w:t xml:space="preserve">im, G 2023, </w:t>
      </w:r>
      <w:r w:rsidRPr="008D746D">
        <w:rPr>
          <w:i/>
        </w:rPr>
        <w:t>Making wellbeing in the classroom: social and emotional learning in adult education</w:t>
      </w:r>
      <w:r w:rsidRPr="009D5F8B">
        <w:t xml:space="preserve">, International Specialised Skills Institute, Carlton, Victoria, viewed </w:t>
      </w:r>
      <w:r>
        <w:t xml:space="preserve">Jul 2025, </w:t>
      </w:r>
      <w:r w:rsidRPr="009D5F8B">
        <w:t>&lt;</w:t>
      </w:r>
      <w:r w:rsidRPr="008D69DB">
        <w:t xml:space="preserve"> https://www.issinstitute.org.au/fellowship-report/vocational-education-and-training/italy%2C-malaysia/making-wellbeing-in-the-classroom%3A-social-and-emotional-learning-in-adult-education&gt;.</w:t>
      </w:r>
    </w:p>
    <w:p w14:paraId="695178A0" w14:textId="77777777" w:rsidR="004D5370" w:rsidRPr="00AD389B" w:rsidRDefault="004D5370" w:rsidP="004D5370">
      <w:pPr>
        <w:pStyle w:val="References"/>
      </w:pPr>
      <w:r w:rsidRPr="00AD389B">
        <w:lastRenderedPageBreak/>
        <w:t xml:space="preserve">Simons, M., and E. Smith. 2008. </w:t>
      </w:r>
      <w:r>
        <w:t>‘</w:t>
      </w:r>
      <w:r w:rsidRPr="00AD389B">
        <w:t>The Understandings about Learners and Learning that are Imparted in Certificate IV Level Courses for VET Teachers and Trainers</w:t>
      </w:r>
      <w:r>
        <w:t>’,</w:t>
      </w:r>
      <w:r w:rsidRPr="00AD389B">
        <w:t xml:space="preserve"> </w:t>
      </w:r>
      <w:r w:rsidRPr="00AD389B">
        <w:rPr>
          <w:i/>
          <w:iCs/>
        </w:rPr>
        <w:t xml:space="preserve">International Journal of Training Research </w:t>
      </w:r>
      <w:r w:rsidRPr="00AD389B">
        <w:t>6 (1): 23–43.</w:t>
      </w:r>
    </w:p>
    <w:p w14:paraId="758D82BD" w14:textId="77777777" w:rsidR="004D5370" w:rsidRDefault="004D5370" w:rsidP="004D5370">
      <w:pPr>
        <w:pStyle w:val="References"/>
      </w:pPr>
      <w:r>
        <w:t>S</w:t>
      </w:r>
      <w:r w:rsidRPr="00882E8B">
        <w:t xml:space="preserve">inson, C 2021, </w:t>
      </w:r>
      <w:r w:rsidRPr="0045658C">
        <w:rPr>
          <w:i/>
          <w:iCs/>
        </w:rPr>
        <w:t>Teaching</w:t>
      </w:r>
      <w:r w:rsidRPr="0045658C">
        <w:rPr>
          <w:i/>
        </w:rPr>
        <w:t xml:space="preserve"> insights: psychological safety in teaching: what, why and </w:t>
      </w:r>
      <w:r w:rsidRPr="0045658C">
        <w:rPr>
          <w:i/>
          <w:iCs/>
        </w:rPr>
        <w:t>how</w:t>
      </w:r>
      <w:r>
        <w:t>,</w:t>
      </w:r>
      <w:r w:rsidRPr="00882E8B">
        <w:t xml:space="preserve"> Australian TAFE Teacher, vol.55, no.3, pp.21-22, viewed </w:t>
      </w:r>
      <w:r>
        <w:t xml:space="preserve">Jul </w:t>
      </w:r>
      <w:r w:rsidRPr="00882E8B">
        <w:t>2025,</w:t>
      </w:r>
      <w:r>
        <w:t xml:space="preserve"> &lt;h</w:t>
      </w:r>
      <w:r w:rsidRPr="00BA31D9">
        <w:t>ttps://search.informit.org/doi/10.3316/INFORMIT.103202360235488</w:t>
      </w:r>
      <w:r>
        <w:t>&gt;.</w:t>
      </w:r>
    </w:p>
    <w:p w14:paraId="50DD8D16" w14:textId="77777777" w:rsidR="004D5370" w:rsidRDefault="004D5370" w:rsidP="004D5370">
      <w:pPr>
        <w:pStyle w:val="References"/>
      </w:pPr>
      <w:r w:rsidRPr="004D4D7B">
        <w:t xml:space="preserve">Skiba, R 2020, Applications of trauma informed approaches in vocational education and training, Creative Education, vol.11, no.4, pp.488–499, viewed </w:t>
      </w:r>
      <w:r>
        <w:t>Jul</w:t>
      </w:r>
      <w:r w:rsidRPr="004D4D7B">
        <w:t xml:space="preserve"> 2025, &lt;https://doi.org/10.4236/ce.2020.114036&gt;.</w:t>
      </w:r>
    </w:p>
    <w:p w14:paraId="5E7A6BB8" w14:textId="77777777" w:rsidR="004D5370" w:rsidRPr="00C74773" w:rsidRDefault="004D5370" w:rsidP="004D5370">
      <w:pPr>
        <w:pStyle w:val="References"/>
      </w:pPr>
      <w:bookmarkStart w:id="58" w:name="_Hlk207210409"/>
      <w:r w:rsidRPr="00C74773">
        <w:t>Skills and Workforce Ministerial Council 2024</w:t>
      </w:r>
      <w:bookmarkEnd w:id="58"/>
      <w:r w:rsidRPr="00C74773">
        <w:t xml:space="preserve">, VET Workforce Blueprint, Department of Employment and Workplace Relations, Canberra, viewed Aug 2025, &lt;https://www.dewr.gov.au/vet-workforce-blueprint/resources/vet-workforce-blueprint&gt;.  </w:t>
      </w:r>
    </w:p>
    <w:p w14:paraId="19834CCF" w14:textId="77777777" w:rsidR="004D5370" w:rsidRPr="001330B3" w:rsidRDefault="004D5370" w:rsidP="004D5370">
      <w:pPr>
        <w:pStyle w:val="References"/>
      </w:pPr>
      <w:r w:rsidRPr="00296708">
        <w:t xml:space="preserve">Smith, E 2021, 'VET teachers' accounts of difficult teaching situations and how learning theories explain them' </w:t>
      </w:r>
      <w:r w:rsidRPr="00296708">
        <w:rPr>
          <w:i/>
        </w:rPr>
        <w:t>Fine Print</w:t>
      </w:r>
      <w:r w:rsidRPr="00296708">
        <w:t>, vol.44, no.3, 8-10, viewed Apr 2025,</w:t>
      </w:r>
      <w:r>
        <w:t xml:space="preserve"> </w:t>
      </w:r>
      <w:r w:rsidRPr="00296708">
        <w:t>&lt;</w:t>
      </w:r>
      <w:r w:rsidRPr="006F077A">
        <w:t>http://hdl.voced.edu.au/10707/601443</w:t>
      </w:r>
      <w:r w:rsidRPr="001330B3">
        <w:t>&gt;.</w:t>
      </w:r>
    </w:p>
    <w:p w14:paraId="5D26684E" w14:textId="77777777" w:rsidR="004D5370" w:rsidRPr="004D5370" w:rsidRDefault="004D5370" w:rsidP="004D5370">
      <w:pPr>
        <w:pStyle w:val="References"/>
      </w:pPr>
      <w:r w:rsidRPr="004D5370">
        <w:t xml:space="preserve">--- 2024, ‘VET teacher education in Australia: three levels across two sectors’, in Deissinger T and Melnyk O (eds), Partnership-based governance and standardization of vocational teacher education in Ukraine, </w:t>
      </w:r>
      <w:proofErr w:type="spellStart"/>
      <w:r w:rsidRPr="004D5370">
        <w:t>wbv</w:t>
      </w:r>
      <w:proofErr w:type="spellEnd"/>
      <w:r w:rsidRPr="004D5370">
        <w:t xml:space="preserve"> Media GmbH.</w:t>
      </w:r>
    </w:p>
    <w:p w14:paraId="257C60A3" w14:textId="77777777" w:rsidR="004D5370" w:rsidRPr="004D5370" w:rsidRDefault="004D5370" w:rsidP="004D5370">
      <w:pPr>
        <w:pStyle w:val="References"/>
      </w:pPr>
      <w:r w:rsidRPr="004D5370">
        <w:t>--- 2025, The oversight of VET teacher-education in Australia. Journal of Vocational Education &amp; Training, 1–24, viewed Aug 2025, &lt;</w:t>
      </w:r>
      <w:hyperlink r:id="rId39" w:history="1">
        <w:r w:rsidRPr="004D5370">
          <w:rPr>
            <w:rStyle w:val="Hyperlink"/>
            <w:rFonts w:ascii="Montserrat" w:hAnsi="Montserrat"/>
            <w:sz w:val="18"/>
          </w:rPr>
          <w:t>https://doi.org/10.1080/13636820.2025.2521817</w:t>
        </w:r>
      </w:hyperlink>
      <w:r w:rsidRPr="004D5370">
        <w:t>&gt;.</w:t>
      </w:r>
    </w:p>
    <w:p w14:paraId="2F942110" w14:textId="77777777" w:rsidR="004D5370" w:rsidRPr="004D5370" w:rsidRDefault="004D5370" w:rsidP="004D5370">
      <w:pPr>
        <w:pStyle w:val="References"/>
      </w:pPr>
      <w:r w:rsidRPr="004D5370">
        <w:t>Smith, E., &amp; Tuck, J 2023, Do the qualifications of vocational teachers make a difference to their teaching? Research in Post-Compulsory Education, 28(1), 1–25, viewed Aug 2025, &lt;</w:t>
      </w:r>
      <w:hyperlink r:id="rId40" w:history="1">
        <w:r w:rsidRPr="004D5370">
          <w:rPr>
            <w:rStyle w:val="Hyperlink"/>
            <w:rFonts w:ascii="Montserrat" w:hAnsi="Montserrat"/>
            <w:sz w:val="18"/>
          </w:rPr>
          <w:t>https://doi.org/10.1080/13596748.2023.2166690</w:t>
        </w:r>
      </w:hyperlink>
      <w:r w:rsidRPr="004D5370">
        <w:t>&gt;.</w:t>
      </w:r>
    </w:p>
    <w:p w14:paraId="60C5201A" w14:textId="77777777" w:rsidR="004D5370" w:rsidRPr="004D5370" w:rsidRDefault="004D5370" w:rsidP="004D5370">
      <w:pPr>
        <w:pStyle w:val="References"/>
      </w:pPr>
      <w:r w:rsidRPr="004D5370">
        <w:t>Smith, E, &amp; Yasukawa, K 2017, ‘What makes a good VET teacher: Views of Australian VET teachers and students', International Journal of Training Research, vol.15, no.1, pp.23−40, viewed July 2025, &lt;https://www.tandfonline.com/doi/epdf/10.1080/14480220.2017.1355301?needAccess=true &gt;.</w:t>
      </w:r>
    </w:p>
    <w:p w14:paraId="056D759E" w14:textId="77777777" w:rsidR="004D5370" w:rsidRPr="004D5370" w:rsidRDefault="004D5370" w:rsidP="004D5370">
      <w:pPr>
        <w:pStyle w:val="References"/>
      </w:pPr>
      <w:r w:rsidRPr="004D5370">
        <w:t>Smith, E, Yasukawa, K, Harris, R &amp; Tuck, J 2017, ‘Delphi 2 Consultation Paper (Policy stream), for ARC-funded research project ‘Would more highly-qualified teachers and trainers help to address quality problems in the Australian vocational education and training system?’, unpublished, Research project web site, viewed July 2025, &lt;</w:t>
      </w:r>
      <w:hyperlink r:id="rId41" w:history="1">
        <w:r w:rsidRPr="004D5370">
          <w:rPr>
            <w:rStyle w:val="Hyperlink"/>
            <w:rFonts w:ascii="Montserrat" w:hAnsi="Montserrat"/>
            <w:sz w:val="18"/>
          </w:rPr>
          <w:t>http://federation.edu.au/research-vet-quality</w:t>
        </w:r>
      </w:hyperlink>
      <w:r w:rsidRPr="004D5370">
        <w:t>&gt;.</w:t>
      </w:r>
    </w:p>
    <w:p w14:paraId="5345DEA7" w14:textId="77777777" w:rsidR="004D5370" w:rsidRPr="004D5370" w:rsidRDefault="004D5370" w:rsidP="004D5370">
      <w:pPr>
        <w:pStyle w:val="References"/>
      </w:pPr>
      <w:r w:rsidRPr="004D5370">
        <w:t xml:space="preserve">Smith, E., Yasukawa, K., &amp; Hodge, S 2015, Australian VET teacher education: What Is the benefit of pedagogical studies at University for VET teachers? In: </w:t>
      </w:r>
      <w:proofErr w:type="spellStart"/>
      <w:r w:rsidRPr="004D5370">
        <w:t>TVET@Asia</w:t>
      </w:r>
      <w:proofErr w:type="spellEnd"/>
      <w:r w:rsidRPr="004D5370">
        <w:t xml:space="preserve">, issue 5, 1-15. </w:t>
      </w:r>
    </w:p>
    <w:p w14:paraId="3A7B859C" w14:textId="77777777" w:rsidR="004D5370" w:rsidRPr="004D5370" w:rsidRDefault="004D5370" w:rsidP="004D5370">
      <w:pPr>
        <w:pStyle w:val="References"/>
      </w:pPr>
      <w:r w:rsidRPr="004D5370">
        <w:t>State Government of New South Wales, 2021, ‘Simple guide to supporting student social and emotional wellbeing’, viewed July 2025, &lt;https://education.nsw.gov.au/campaigns/inclusive-practice-hub/all-resources/primary-resources/other-pdf-resources/simple-guide-to-supporting-student-social-and-emotional-wellbeing&gt;.</w:t>
      </w:r>
    </w:p>
    <w:p w14:paraId="2FC17C74" w14:textId="77777777" w:rsidR="004D5370" w:rsidRPr="007241D4" w:rsidRDefault="004D5370" w:rsidP="004D5370">
      <w:pPr>
        <w:pStyle w:val="References"/>
      </w:pPr>
      <w:r w:rsidRPr="007241D4">
        <w:t>State Government of Victoria, 2024a, ‘High Impact Wellbeing Strategies’, viewed July 2025, &lt;https://www.education.vic.gov.au/Documents/school/teachers/teachingresources/practice/High-Impact-Wellbeing-Strategies-Resource2023.pdf&gt;.</w:t>
      </w:r>
    </w:p>
    <w:p w14:paraId="2CD02C42" w14:textId="77777777" w:rsidR="004D5370" w:rsidRPr="00C74773" w:rsidRDefault="004D5370" w:rsidP="004D5370">
      <w:pPr>
        <w:pStyle w:val="References"/>
      </w:pPr>
      <w:r>
        <w:t>---</w:t>
      </w:r>
      <w:r w:rsidRPr="007241D4">
        <w:t xml:space="preserve"> 2024b, ‘Professional learning on supporting diverse learners’, viewed July 2025, &lt;https://www.vic.gov.au/diverse-learners-hub/professional-learning&gt;.</w:t>
      </w:r>
    </w:p>
    <w:p w14:paraId="493EA9B5" w14:textId="77777777" w:rsidR="004D5370" w:rsidRPr="00C74773" w:rsidRDefault="004D5370" w:rsidP="004D5370">
      <w:pPr>
        <w:pStyle w:val="References"/>
      </w:pPr>
      <w:r w:rsidRPr="00C74773">
        <w:t xml:space="preserve">Stevens, D, Deschepper, A 2018, Good practice in VET teaching and learning: a guide to practitioner perspectives, Department of Education and Training, Melbourne, viewed Jul 2025, &lt;chrome-extension://efaidnbmnnnibpcajpcglclefindmkaj/https://vdc.edu.au/wp-content/uploads/2018/07/Final_User_Guide-April-2018.pdf&gt;.   </w:t>
      </w:r>
    </w:p>
    <w:p w14:paraId="04015468" w14:textId="77777777" w:rsidR="004D5370" w:rsidRPr="00C74773" w:rsidRDefault="004D5370" w:rsidP="004D5370">
      <w:pPr>
        <w:pStyle w:val="References"/>
      </w:pPr>
      <w:r w:rsidRPr="00C74773">
        <w:t>Subrahmanyam, G &amp; Law, B 2020, UNESCO-UNEVOC study on the trends shaping the future of TVET teaching, UNESCO-UNEVOC International Centre for Technical and Vocational Education and Training, Bonn, viewed July 2025, &lt;https://unevoc.unesco.org/home/UNEVOC+Publications/lang=en/akt=detail/qs=6396&gt;.</w:t>
      </w:r>
    </w:p>
    <w:p w14:paraId="420FD07B" w14:textId="77777777" w:rsidR="004D5370" w:rsidRPr="004D5370" w:rsidRDefault="004D5370" w:rsidP="004D5370">
      <w:pPr>
        <w:pStyle w:val="References"/>
      </w:pPr>
      <w:r w:rsidRPr="00296708">
        <w:lastRenderedPageBreak/>
        <w:t>Thomson, S &amp; Hillman, K 2019,</w:t>
      </w:r>
      <w:r w:rsidRPr="00296708">
        <w:rPr>
          <w:i/>
        </w:rPr>
        <w:t xml:space="preserve"> The Teaching and Learning International Survey 2018. Australian Report Volume 1: </w:t>
      </w:r>
      <w:r w:rsidRPr="004D5370">
        <w:t>Teachers and School Leaders as Lifelong Learners, ACER, viewed Jul 2025, &lt;https://research.acer.edu.au/talis/6/&gt;.</w:t>
      </w:r>
    </w:p>
    <w:p w14:paraId="73BDC916" w14:textId="77777777" w:rsidR="004D5370" w:rsidRPr="004D5370" w:rsidRDefault="004D5370" w:rsidP="004D5370">
      <w:pPr>
        <w:pStyle w:val="References"/>
      </w:pPr>
      <w:r w:rsidRPr="004D5370">
        <w:t>Toze, M and Tierney, S 2010, Keeping it real: industry currency of trainers in Queensland, Department of Education and Training, viewed July 2025, &lt;</w:t>
      </w:r>
      <w:hyperlink r:id="rId42" w:history="1">
        <w:r w:rsidRPr="004D5370">
          <w:rPr>
            <w:rStyle w:val="Hyperlink"/>
            <w:rFonts w:ascii="Montserrat" w:hAnsi="Montserrat"/>
            <w:sz w:val="18"/>
          </w:rPr>
          <w:t>http://hdl.voced.edu.au/10707/248339</w:t>
        </w:r>
      </w:hyperlink>
      <w:r w:rsidRPr="004D5370">
        <w:t>&gt;.</w:t>
      </w:r>
    </w:p>
    <w:p w14:paraId="52D838FE" w14:textId="77777777" w:rsidR="004D5370" w:rsidRPr="004D5370" w:rsidRDefault="004D5370" w:rsidP="004D5370">
      <w:pPr>
        <w:pStyle w:val="References"/>
      </w:pPr>
      <w:r w:rsidRPr="004D5370">
        <w:t>Tran, L &amp; Le, T 2017, ‘Teacher professional development under the impact of internationalization in VET’, in Tran L and Dempsey K (eds), Internationalization in vocational education and training: transnational perspectives, Springer International Publishing, viewed July 2025, &lt;https://link.springer.com/book/10.1007/978-3-319-47859-3&gt;.</w:t>
      </w:r>
    </w:p>
    <w:p w14:paraId="4C0F469C" w14:textId="77777777" w:rsidR="004D5370" w:rsidRPr="004D5370" w:rsidRDefault="004D5370" w:rsidP="004D5370">
      <w:pPr>
        <w:pStyle w:val="References"/>
      </w:pPr>
      <w:r w:rsidRPr="004D5370">
        <w:t xml:space="preserve">Trimboli, D, Circelli, M &amp; </w:t>
      </w:r>
      <w:proofErr w:type="spellStart"/>
      <w:r w:rsidRPr="004D5370">
        <w:t>Berghella</w:t>
      </w:r>
      <w:proofErr w:type="spellEnd"/>
      <w:r w:rsidRPr="004D5370">
        <w:t>, T 2023, Building effective RTO-employer partnerships, NCVER, viewed July 2025, &lt;https://www.ncver.edu.au/research-and-statistics/publications/all-publications/building-effective-rto-employer-partnerships &gt;.</w:t>
      </w:r>
    </w:p>
    <w:p w14:paraId="01149C74" w14:textId="77777777" w:rsidR="004D5370" w:rsidRPr="004D5370" w:rsidRDefault="004D5370" w:rsidP="004D5370">
      <w:pPr>
        <w:pStyle w:val="References"/>
      </w:pPr>
      <w:r w:rsidRPr="004D5370">
        <w:t>Tuck, J, Smith, E 2017, VET teachers’ and trainers’ participation in professional development: a national overview, AVETRA, Sydney, viewed July 2025, &lt;https://www.researchgate.net/publication/315655385_VET_teachers'_and_trainers'_participation_in_professional_development_A_national_overview &gt;.</w:t>
      </w:r>
    </w:p>
    <w:p w14:paraId="0EC2B016" w14:textId="77777777" w:rsidR="004D5370" w:rsidRPr="004D5370" w:rsidRDefault="004D5370" w:rsidP="004D5370">
      <w:pPr>
        <w:pStyle w:val="References"/>
      </w:pPr>
      <w:r w:rsidRPr="004D5370">
        <w:t xml:space="preserve">Turner, K, Thielking, M &amp; Meyer, D 2021, 'Teacher wellbeing, teaching practice and student learning' Issues in Educational Research, vol.31, no.2, pp.1293-1311, viewed Aug </w:t>
      </w:r>
      <w:proofErr w:type="gramStart"/>
      <w:r w:rsidRPr="004D5370">
        <w:t>2025,&lt;</w:t>
      </w:r>
      <w:proofErr w:type="gramEnd"/>
      <w:r w:rsidRPr="004D5370">
        <w:t>https://www.iier.org.au/iier31/turner.pdf&gt;.</w:t>
      </w:r>
    </w:p>
    <w:p w14:paraId="5DE9FA55" w14:textId="77777777" w:rsidR="004D5370" w:rsidRPr="004D5370" w:rsidRDefault="004D5370" w:rsidP="004D5370">
      <w:pPr>
        <w:pStyle w:val="References"/>
      </w:pPr>
      <w:r w:rsidRPr="004D5370">
        <w:t xml:space="preserve">Tyler, M &amp; Dymock, D 2017, Continuing professional development for a diverse VET practitioner workforce, NCVER, Adelaide, viewed July 2025, &lt;https://www.ncver.edu.au/research-and-statistics/publications/all-publications/continuing-professional-development-for-a-diverse-vet-practitioner-workforce &gt;. </w:t>
      </w:r>
    </w:p>
    <w:p w14:paraId="74357903" w14:textId="77777777" w:rsidR="004D5370" w:rsidRPr="004D5370" w:rsidRDefault="004D5370" w:rsidP="004D5370">
      <w:pPr>
        <w:pStyle w:val="References"/>
      </w:pPr>
      <w:r w:rsidRPr="004D5370">
        <w:t>--- 2021, Attracting industry experts to become VET practitioners: a journey, not a destination, NCVER, viewed Aug 2025, &lt;</w:t>
      </w:r>
      <w:hyperlink r:id="rId43" w:history="1">
        <w:r w:rsidRPr="004D5370">
          <w:rPr>
            <w:rStyle w:val="Hyperlink"/>
            <w:rFonts w:ascii="Montserrat" w:hAnsi="Montserrat"/>
            <w:sz w:val="18"/>
          </w:rPr>
          <w:t>https://www.ncver.edu.au/research-and-statistics/publications/all-publications/attracting-industry-experts-to-become-vet-practitioners-a-journey-not-a-destination</w:t>
        </w:r>
      </w:hyperlink>
      <w:r w:rsidRPr="004D5370">
        <w:t>&gt;.</w:t>
      </w:r>
    </w:p>
    <w:p w14:paraId="4270606D" w14:textId="77777777" w:rsidR="004D5370" w:rsidRPr="001330B3" w:rsidRDefault="004D5370" w:rsidP="004D5370">
      <w:pPr>
        <w:pStyle w:val="References"/>
      </w:pPr>
      <w:r w:rsidRPr="004D5370">
        <w:t>Tyler, M, Dymock, D &amp; Le, AH 2024, 'Retaining teachers and trainers in vocational education</w:t>
      </w:r>
      <w:r w:rsidRPr="00296708">
        <w:t xml:space="preserve"> and training (VET): motivating career-changers to remain as VET educators' </w:t>
      </w:r>
      <w:r w:rsidRPr="00296708">
        <w:rPr>
          <w:i/>
        </w:rPr>
        <w:t>Research in Post-Compulsory Education</w:t>
      </w:r>
      <w:r w:rsidRPr="00296708">
        <w:t xml:space="preserve">, vol.29, no.2, 281-301, viewed Aug </w:t>
      </w:r>
      <w:proofErr w:type="gramStart"/>
      <w:r w:rsidRPr="00296708">
        <w:t>2025,&lt;</w:t>
      </w:r>
      <w:proofErr w:type="gramEnd"/>
      <w:r w:rsidRPr="006F077A">
        <w:t>https://doi.org/10.1080/13596748.2024.2330782</w:t>
      </w:r>
      <w:r w:rsidRPr="001330B3">
        <w:t>&gt;.</w:t>
      </w:r>
    </w:p>
    <w:p w14:paraId="6C3004A5" w14:textId="77777777" w:rsidR="004D5370" w:rsidRDefault="004D5370" w:rsidP="004D5370">
      <w:pPr>
        <w:pStyle w:val="References"/>
      </w:pPr>
      <w:r w:rsidRPr="00E32914">
        <w:t xml:space="preserve">Vanderburg, R, Cowling, M &amp; </w:t>
      </w:r>
      <w:proofErr w:type="spellStart"/>
      <w:r w:rsidRPr="00E32914">
        <w:t>Dargusch</w:t>
      </w:r>
      <w:proofErr w:type="spellEnd"/>
      <w:r w:rsidRPr="00E32914">
        <w:t xml:space="preserve">, J 2021, </w:t>
      </w:r>
      <w:r w:rsidRPr="00236FF8">
        <w:rPr>
          <w:i/>
        </w:rPr>
        <w:t>Pedagogy before technology: understanding the confidence of vocational educators for integrating technology enhanced learning</w:t>
      </w:r>
      <w:r w:rsidRPr="00E32914">
        <w:t>, in S Gregory, S Warburton &amp; M Schier (eds), ASCILITE 2021 conference proceedings: back to the future, Australasian Society for Computers in Learning in Tertiary Education, [Tugun], pp.111–120, viewed 17 Apr 2025, &lt;https://doi.org/10.14742/ascilite2021.0115&gt;.</w:t>
      </w:r>
    </w:p>
    <w:p w14:paraId="092F1FFC" w14:textId="77777777" w:rsidR="004D5370" w:rsidRDefault="004D5370" w:rsidP="004D5370">
      <w:pPr>
        <w:pStyle w:val="References"/>
      </w:pPr>
      <w:r>
        <w:t>V</w:t>
      </w:r>
      <w:r w:rsidRPr="00195E1C">
        <w:t xml:space="preserve">an Nieuwenhove, L &amp; De Wever, B 2024, 'Psychosocial barriers to adult learning and the role of prior learning experiences: a comparison based on educational level' Adult Education Quarterly, vol.74, no.1, 62-87, viewed </w:t>
      </w:r>
      <w:r>
        <w:t>Aug 2025, &lt;</w:t>
      </w:r>
      <w:r w:rsidRPr="00195E1C">
        <w:t>https://journals.sagepub.com/doi/abs/10.1177/07417136231147491&gt;.</w:t>
      </w:r>
    </w:p>
    <w:p w14:paraId="6FEACBB4" w14:textId="77777777" w:rsidR="004D5370" w:rsidRDefault="004D5370" w:rsidP="004D5370">
      <w:pPr>
        <w:pStyle w:val="References"/>
      </w:pPr>
      <w:r>
        <w:t>V</w:t>
      </w:r>
      <w:r w:rsidRPr="00813B58">
        <w:t xml:space="preserve">an Valkenhoef, S 2023, </w:t>
      </w:r>
      <w:r w:rsidRPr="003D22DF">
        <w:rPr>
          <w:i/>
        </w:rPr>
        <w:t>Teacher wellbeing: training on mental health and psychosocial support for teachers in emergencies</w:t>
      </w:r>
      <w:r w:rsidRPr="00813B58">
        <w:t xml:space="preserve">, </w:t>
      </w:r>
      <w:proofErr w:type="spellStart"/>
      <w:r w:rsidRPr="00813B58">
        <w:t>Edukans</w:t>
      </w:r>
      <w:proofErr w:type="spellEnd"/>
      <w:r w:rsidRPr="00813B58">
        <w:t xml:space="preserve">, Amersfoort, Netherlands, viewed </w:t>
      </w:r>
      <w:r>
        <w:t xml:space="preserve">July 2025, </w:t>
      </w:r>
      <w:r w:rsidRPr="00813B58">
        <w:t>&lt;https://inee.org/resources/teacher-well-being-training-mental-health-and-psychosocial-support-teach&gt;.</w:t>
      </w:r>
    </w:p>
    <w:p w14:paraId="1D95AB55" w14:textId="77777777" w:rsidR="004D5370" w:rsidRPr="001330B3" w:rsidRDefault="004D5370" w:rsidP="004D5370">
      <w:pPr>
        <w:pStyle w:val="References"/>
      </w:pPr>
      <w:proofErr w:type="spellStart"/>
      <w:r w:rsidRPr="00296708">
        <w:t>Viac</w:t>
      </w:r>
      <w:proofErr w:type="spellEnd"/>
      <w:r w:rsidRPr="00296708">
        <w:t xml:space="preserve">, C &amp; Fraser, P 2020, </w:t>
      </w:r>
      <w:r w:rsidRPr="00296708">
        <w:rPr>
          <w:i/>
        </w:rPr>
        <w:t>Teachers’ well-being: A framework for data collection and analysis</w:t>
      </w:r>
      <w:r w:rsidRPr="00296708">
        <w:t>, OECD Education Working Papers 213, Publishing, O, Paris, viewed Aug 2025, &lt;</w:t>
      </w:r>
      <w:r w:rsidRPr="006F077A">
        <w:t>https://www.oecd.org/en/publications/teachers-well-being_c36fc9d3-en.html</w:t>
      </w:r>
      <w:r w:rsidRPr="001330B3">
        <w:t>&gt;.</w:t>
      </w:r>
    </w:p>
    <w:p w14:paraId="11DAA7EF" w14:textId="77777777" w:rsidR="004D5370" w:rsidRDefault="004D5370" w:rsidP="004D5370">
      <w:pPr>
        <w:pStyle w:val="References"/>
      </w:pPr>
      <w:r w:rsidRPr="00362152">
        <w:t xml:space="preserve">Wallwork, J 2024, </w:t>
      </w:r>
      <w:r w:rsidRPr="00B02B2D">
        <w:rPr>
          <w:i/>
        </w:rPr>
        <w:t>Culturally responsive pedagogy: looking at the Victorian VET sector, International Specialised Skills Institute</w:t>
      </w:r>
      <w:r w:rsidRPr="00362152">
        <w:t xml:space="preserve">, Carlton, viewed </w:t>
      </w:r>
      <w:r>
        <w:t>July</w:t>
      </w:r>
      <w:r w:rsidRPr="00362152">
        <w:t xml:space="preserve"> 2025, &lt;https://www.issinstitute.org.au/fellowship-report/education/united-states/culturally-responsive-pedagogy%3A-looking-at-the-victorian-vet-sector&gt;.</w:t>
      </w:r>
    </w:p>
    <w:p w14:paraId="0C693D51" w14:textId="77777777" w:rsidR="004D5370" w:rsidRDefault="004D5370" w:rsidP="004D5370">
      <w:pPr>
        <w:pStyle w:val="References"/>
      </w:pPr>
      <w:r w:rsidRPr="006C50DB">
        <w:lastRenderedPageBreak/>
        <w:t>Waters</w:t>
      </w:r>
      <w:r>
        <w:t>,</w:t>
      </w:r>
      <w:r w:rsidRPr="006C50DB">
        <w:t xml:space="preserve"> M </w:t>
      </w:r>
      <w:r>
        <w:t xml:space="preserve">&amp; </w:t>
      </w:r>
      <w:r w:rsidRPr="006C50DB">
        <w:t>Guthrie</w:t>
      </w:r>
      <w:r>
        <w:t>,</w:t>
      </w:r>
      <w:r w:rsidRPr="006C50DB">
        <w:t xml:space="preserve"> H 2025</w:t>
      </w:r>
      <w:r>
        <w:t>,</w:t>
      </w:r>
      <w:r w:rsidRPr="006C50DB">
        <w:t xml:space="preserve"> </w:t>
      </w:r>
      <w:r w:rsidRPr="00657780">
        <w:rPr>
          <w:i/>
        </w:rPr>
        <w:t>Quality's conceptual journey in VET: insights from NCVER's landmark documents and beyond</w:t>
      </w:r>
      <w:r w:rsidRPr="006C50DB">
        <w:t xml:space="preserve">, VET Knowledge Bank, NCVER, </w:t>
      </w:r>
      <w:r w:rsidRPr="00CE776C">
        <w:t xml:space="preserve">viewed July 2025, </w:t>
      </w:r>
      <w:r>
        <w:t>&lt;</w:t>
      </w:r>
      <w:r w:rsidRPr="00745AA2">
        <w:t>https://www.voced.edu.au/vet-knowledge-bank-landmark-documents-quality-historical-overview</w:t>
      </w:r>
      <w:r>
        <w:t>&gt;</w:t>
      </w:r>
      <w:r w:rsidRPr="006C50DB">
        <w:t>.</w:t>
      </w:r>
    </w:p>
    <w:p w14:paraId="3C61F676" w14:textId="77777777" w:rsidR="004D5370" w:rsidRDefault="004D5370" w:rsidP="004D5370">
      <w:pPr>
        <w:pStyle w:val="References"/>
      </w:pPr>
      <w:r w:rsidRPr="00A30063">
        <w:t>Waugh</w:t>
      </w:r>
      <w:r>
        <w:t>,</w:t>
      </w:r>
      <w:r w:rsidRPr="00A30063">
        <w:t xml:space="preserve"> J 2023</w:t>
      </w:r>
      <w:r>
        <w:t>,</w:t>
      </w:r>
      <w:r w:rsidRPr="00A30063">
        <w:t xml:space="preserve"> Beyond the standard: motivators of high-performing RTOs, NCVER, </w:t>
      </w:r>
      <w:r w:rsidRPr="009D08D4">
        <w:t>viewed July 2025,</w:t>
      </w:r>
      <w:r>
        <w:t xml:space="preserve"> &lt;</w:t>
      </w:r>
      <w:r w:rsidRPr="00FB3225">
        <w:t>https://www.ncver.edu.au/research-and-statistics/publications/all-publications/beyond-the-standard-motivators-of-high-performing-rtos</w:t>
      </w:r>
      <w:r>
        <w:t>&gt;</w:t>
      </w:r>
      <w:r w:rsidRPr="007C4E0D">
        <w:t>.</w:t>
      </w:r>
    </w:p>
    <w:p w14:paraId="1538E2E3" w14:textId="77777777" w:rsidR="004D5370" w:rsidRDefault="004D5370" w:rsidP="004D5370">
      <w:pPr>
        <w:pStyle w:val="References"/>
      </w:pPr>
      <w:r>
        <w:t xml:space="preserve">Ward, C &amp; Rodd, P 2024, </w:t>
      </w:r>
      <w:r w:rsidRPr="0073451D">
        <w:rPr>
          <w:i/>
          <w:iCs/>
        </w:rPr>
        <w:t>PD</w:t>
      </w:r>
      <w:r w:rsidRPr="0073451D">
        <w:rPr>
          <w:i/>
        </w:rPr>
        <w:t xml:space="preserve">: a professional </w:t>
      </w:r>
      <w:proofErr w:type="gramStart"/>
      <w:r w:rsidRPr="0073451D">
        <w:rPr>
          <w:i/>
        </w:rPr>
        <w:t>deterrence?:</w:t>
      </w:r>
      <w:proofErr w:type="gramEnd"/>
      <w:r w:rsidRPr="0073451D">
        <w:rPr>
          <w:i/>
        </w:rPr>
        <w:t xml:space="preserve"> the financial cost and time commitment of professional development for VET practitioners in Western </w:t>
      </w:r>
      <w:r w:rsidRPr="0073451D">
        <w:rPr>
          <w:i/>
          <w:iCs/>
        </w:rPr>
        <w:t>Australi</w:t>
      </w:r>
      <w:r>
        <w:rPr>
          <w:i/>
          <w:iCs/>
        </w:rPr>
        <w:t>a</w:t>
      </w:r>
      <w:r>
        <w:t xml:space="preserve">, Australian Journal of Adult Learning, vol.64, no.1, pp.53–81, </w:t>
      </w:r>
      <w:r w:rsidRPr="003B768B">
        <w:t>viewed July 2025, &lt;https://ajal.net.au/downloads/pd-a-professional-deterrence-the-financial-cost-and-time-commitment-of-professional-development-for-vet-practitioners-in-western-australia/&gt;.</w:t>
      </w:r>
      <w:r>
        <w:t xml:space="preserve"> </w:t>
      </w:r>
    </w:p>
    <w:p w14:paraId="4264E606" w14:textId="77777777" w:rsidR="004D5370" w:rsidRPr="007C65FA" w:rsidRDefault="004D5370" w:rsidP="004D5370">
      <w:pPr>
        <w:pStyle w:val="References"/>
      </w:pPr>
      <w:r w:rsidRPr="00C625A4">
        <w:t>Westbrook, J, Durrani, N, Brown, R, Orr, D, Pryor, J, Boddy, J, &amp; Salvi, F</w:t>
      </w:r>
      <w:r>
        <w:t xml:space="preserve"> </w:t>
      </w:r>
      <w:r w:rsidRPr="00C625A4">
        <w:t xml:space="preserve">2013. </w:t>
      </w:r>
      <w:r w:rsidRPr="00CC3E18">
        <w:rPr>
          <w:i/>
        </w:rPr>
        <w:t>Pedagogy, curriculum, teaching practices and teacher education in developing countries</w:t>
      </w:r>
      <w:r w:rsidRPr="00C625A4">
        <w:t xml:space="preserve"> (Final Report). Education Rigorous Literature Review (2110). </w:t>
      </w:r>
      <w:r>
        <w:t>Viewed Jul 2025,</w:t>
      </w:r>
      <w:r w:rsidRPr="00C625A4">
        <w:t xml:space="preserve"> </w:t>
      </w:r>
      <w:r>
        <w:t>&lt;</w:t>
      </w:r>
      <w:r w:rsidRPr="00C625A4">
        <w:t>https://eppi.ioe.ac.uk/cms/Portals/0/PDF%20reviews%20and%20summaries/Pedagogy%202013%20Westbrook%20report.pdf?ver=2014-04-24-121331-867</w:t>
      </w:r>
      <w:r>
        <w:t>&gt;</w:t>
      </w:r>
      <w:r w:rsidRPr="00C625A4">
        <w:t>.</w:t>
      </w:r>
    </w:p>
    <w:p w14:paraId="33D93990" w14:textId="77777777" w:rsidR="004D5370" w:rsidRDefault="004D5370" w:rsidP="004D5370">
      <w:pPr>
        <w:pStyle w:val="References"/>
      </w:pPr>
      <w:r>
        <w:t xml:space="preserve">Wibrow, B, Circelli, M &amp; Korbel, P 2020, </w:t>
      </w:r>
      <w:r w:rsidRPr="043FA925">
        <w:rPr>
          <w:i/>
          <w:iCs/>
        </w:rPr>
        <w:t>Teaching digital skills: implications for VET educators: good practice guide</w:t>
      </w:r>
      <w:r>
        <w:t>, NCVER, Adelaide, viewed Jul 2025, &lt;https://www.ncver.edu.au/research-and-statistics/publications/all-publications/teaching-digital-skills-implications-for-vet-educators-good-practice-guide&gt;.</w:t>
      </w:r>
    </w:p>
    <w:p w14:paraId="2F822ACC" w14:textId="77777777" w:rsidR="004D5370" w:rsidRDefault="004D5370" w:rsidP="004D5370">
      <w:pPr>
        <w:pStyle w:val="References"/>
      </w:pPr>
      <w:r w:rsidRPr="006566CB">
        <w:t>Yasukawa, K, and Malloch</w:t>
      </w:r>
      <w:r>
        <w:t xml:space="preserve"> M</w:t>
      </w:r>
      <w:r w:rsidRPr="006566CB">
        <w:t xml:space="preserve"> 2020</w:t>
      </w:r>
      <w:r>
        <w:t>,</w:t>
      </w:r>
      <w:r w:rsidRPr="006566CB">
        <w:t xml:space="preserve"> TAFE Teacher Classification and Qualification Standards in Industrial Awards and Agreements. </w:t>
      </w:r>
      <w:r w:rsidRPr="006566CB">
        <w:rPr>
          <w:i/>
          <w:iCs/>
        </w:rPr>
        <w:t>Paper presented at 6th Annual ACDEVEG Conference on VET Teaching and VET Teacher Education, online, December 14-15</w:t>
      </w:r>
      <w:r w:rsidRPr="006566CB">
        <w:t xml:space="preserve">.  </w:t>
      </w:r>
    </w:p>
    <w:p w14:paraId="2FB093A6" w14:textId="77777777" w:rsidR="004D5370" w:rsidRDefault="004D5370" w:rsidP="004D5370">
      <w:pPr>
        <w:pStyle w:val="References"/>
      </w:pPr>
    </w:p>
    <w:p w14:paraId="241D2258" w14:textId="77777777" w:rsidR="004D5370" w:rsidRDefault="004D5370" w:rsidP="004D5370">
      <w:pPr>
        <w:pStyle w:val="References"/>
      </w:pPr>
    </w:p>
    <w:p w14:paraId="0CBB580C" w14:textId="77777777" w:rsidR="004D5370" w:rsidRDefault="004D5370" w:rsidP="004D5370">
      <w:pPr>
        <w:pStyle w:val="References"/>
      </w:pPr>
    </w:p>
    <w:p w14:paraId="0A2D822E" w14:textId="77777777" w:rsidR="004D5370" w:rsidRDefault="004D5370" w:rsidP="004D5370">
      <w:pPr>
        <w:pStyle w:val="References"/>
      </w:pPr>
    </w:p>
    <w:p w14:paraId="0EE7CC92" w14:textId="77777777" w:rsidR="004D5370" w:rsidRDefault="004D5370" w:rsidP="004D5370">
      <w:pPr>
        <w:pStyle w:val="References"/>
      </w:pPr>
    </w:p>
    <w:p w14:paraId="6D9FB6CE" w14:textId="77777777" w:rsidR="004D5370" w:rsidRDefault="004D5370" w:rsidP="004D5370">
      <w:pPr>
        <w:pStyle w:val="References"/>
      </w:pPr>
    </w:p>
    <w:p w14:paraId="2334FEC4" w14:textId="77777777" w:rsidR="004D5370" w:rsidRDefault="004D5370" w:rsidP="004D5370">
      <w:pPr>
        <w:pStyle w:val="References"/>
      </w:pPr>
    </w:p>
    <w:p w14:paraId="431E577B" w14:textId="77777777" w:rsidR="004D5370" w:rsidRDefault="004D5370" w:rsidP="004D5370">
      <w:pPr>
        <w:pStyle w:val="References"/>
      </w:pPr>
    </w:p>
    <w:p w14:paraId="7E0EDEF3" w14:textId="77777777" w:rsidR="004D5370" w:rsidRDefault="004D5370" w:rsidP="004D5370">
      <w:pPr>
        <w:pStyle w:val="References"/>
      </w:pPr>
    </w:p>
    <w:p w14:paraId="1B8C053E" w14:textId="77777777" w:rsidR="004D5370" w:rsidRDefault="004D5370" w:rsidP="004D5370">
      <w:pPr>
        <w:pStyle w:val="References"/>
      </w:pPr>
    </w:p>
    <w:p w14:paraId="65B1E3D4" w14:textId="77777777" w:rsidR="004D5370" w:rsidRDefault="004D5370" w:rsidP="004D5370">
      <w:pPr>
        <w:spacing w:before="0" w:line="240" w:lineRule="auto"/>
        <w:rPr>
          <w:sz w:val="18"/>
        </w:rPr>
      </w:pPr>
      <w:r>
        <w:br w:type="page"/>
      </w:r>
    </w:p>
    <w:p w14:paraId="747E20B7" w14:textId="23BB6327" w:rsidR="004D5370" w:rsidRPr="00915BD1" w:rsidRDefault="004D5370" w:rsidP="004D5370">
      <w:pPr>
        <w:pStyle w:val="Heading1"/>
      </w:pPr>
      <w:bookmarkStart w:id="59" w:name="_Toc207377792"/>
      <w:bookmarkStart w:id="60" w:name="_Toc241507539"/>
      <w:r w:rsidRPr="00906DAA">
        <w:lastRenderedPageBreak/>
        <w:t xml:space="preserve">Appendix A: </w:t>
      </w:r>
      <w:r>
        <w:t xml:space="preserve">Sample of </w:t>
      </w:r>
      <w:r w:rsidRPr="00906DAA">
        <w:t>resources for teachers to support students</w:t>
      </w:r>
      <w:bookmarkEnd w:id="59"/>
      <w:r w:rsidR="002A312D">
        <w:t xml:space="preserve"> (from </w:t>
      </w:r>
      <w:r w:rsidR="00F6102E">
        <w:t>all education sectors)</w:t>
      </w:r>
      <w:bookmarkEnd w:id="60"/>
    </w:p>
    <w:tbl>
      <w:tblPr>
        <w:tblStyle w:val="TableGrid"/>
        <w:tblW w:w="0" w:type="auto"/>
        <w:tblLook w:val="04A0" w:firstRow="1" w:lastRow="0" w:firstColumn="1" w:lastColumn="0" w:noHBand="0" w:noVBand="1"/>
      </w:tblPr>
      <w:tblGrid>
        <w:gridCol w:w="1767"/>
        <w:gridCol w:w="1209"/>
        <w:gridCol w:w="1535"/>
        <w:gridCol w:w="3021"/>
        <w:gridCol w:w="1485"/>
      </w:tblGrid>
      <w:tr w:rsidR="004D5370" w14:paraId="769A9C2D" w14:textId="77777777" w:rsidTr="00012970">
        <w:tc>
          <w:tcPr>
            <w:tcW w:w="1767" w:type="dxa"/>
          </w:tcPr>
          <w:p w14:paraId="25BA117B" w14:textId="77777777" w:rsidR="004D5370" w:rsidRPr="00974621" w:rsidRDefault="004D5370" w:rsidP="004D5370">
            <w:pPr>
              <w:pStyle w:val="Tablehead1"/>
              <w:rPr>
                <w:rFonts w:ascii="Arial" w:hAnsi="Arial" w:cstheme="minorBidi"/>
              </w:rPr>
            </w:pPr>
            <w:r w:rsidRPr="00974621">
              <w:t>Title</w:t>
            </w:r>
          </w:p>
        </w:tc>
        <w:tc>
          <w:tcPr>
            <w:tcW w:w="1208" w:type="dxa"/>
          </w:tcPr>
          <w:p w14:paraId="6E3D5F0B" w14:textId="77777777" w:rsidR="004D5370" w:rsidRPr="00A151D8" w:rsidRDefault="004D5370" w:rsidP="004D5370">
            <w:pPr>
              <w:pStyle w:val="Tablehead1"/>
              <w:rPr>
                <w:rFonts w:ascii="Arial" w:hAnsi="Arial" w:cstheme="minorBidi"/>
              </w:rPr>
            </w:pPr>
            <w:r w:rsidRPr="00A151D8">
              <w:rPr>
                <w:rFonts w:ascii="Arial" w:hAnsi="Arial" w:cstheme="minorBidi"/>
              </w:rPr>
              <w:t>Type</w:t>
            </w:r>
          </w:p>
        </w:tc>
        <w:tc>
          <w:tcPr>
            <w:tcW w:w="1535" w:type="dxa"/>
          </w:tcPr>
          <w:p w14:paraId="43740E26" w14:textId="77777777" w:rsidR="004D5370" w:rsidRDefault="004D5370" w:rsidP="004D5370">
            <w:pPr>
              <w:pStyle w:val="Tablehead1"/>
              <w:rPr>
                <w:rFonts w:ascii="Calibri" w:hAnsi="Calibri" w:cs="Calibri"/>
              </w:rPr>
            </w:pPr>
            <w:r w:rsidRPr="00CF6D61">
              <w:rPr>
                <w:rFonts w:ascii="Arial" w:hAnsi="Arial" w:cstheme="minorBidi"/>
              </w:rPr>
              <w:t>Source</w:t>
            </w:r>
          </w:p>
        </w:tc>
        <w:tc>
          <w:tcPr>
            <w:tcW w:w="3021" w:type="dxa"/>
          </w:tcPr>
          <w:p w14:paraId="564FAA09" w14:textId="77777777" w:rsidR="004D5370" w:rsidRPr="00CF6D61" w:rsidRDefault="004D5370" w:rsidP="004D5370">
            <w:pPr>
              <w:pStyle w:val="Tablehead1"/>
              <w:rPr>
                <w:rFonts w:ascii="Arial" w:hAnsi="Arial" w:cstheme="minorBidi"/>
              </w:rPr>
            </w:pPr>
            <w:r w:rsidRPr="00CF6D61">
              <w:rPr>
                <w:rFonts w:ascii="Arial" w:hAnsi="Arial" w:cstheme="minorBidi"/>
              </w:rPr>
              <w:t>Overview</w:t>
            </w:r>
          </w:p>
        </w:tc>
        <w:tc>
          <w:tcPr>
            <w:tcW w:w="1485" w:type="dxa"/>
          </w:tcPr>
          <w:p w14:paraId="493AFA21" w14:textId="77777777" w:rsidR="004D5370" w:rsidRPr="00CF6D61" w:rsidRDefault="004D5370" w:rsidP="004D5370">
            <w:pPr>
              <w:pStyle w:val="Tablehead1"/>
              <w:rPr>
                <w:rFonts w:ascii="Arial" w:hAnsi="Arial" w:cstheme="minorBidi"/>
              </w:rPr>
            </w:pPr>
            <w:r>
              <w:t>Region</w:t>
            </w:r>
          </w:p>
        </w:tc>
      </w:tr>
      <w:tr w:rsidR="004D5370" w:rsidRPr="001D4978" w14:paraId="3C842E8D" w14:textId="77777777" w:rsidTr="00012970">
        <w:tc>
          <w:tcPr>
            <w:tcW w:w="1767" w:type="dxa"/>
          </w:tcPr>
          <w:p w14:paraId="24666289" w14:textId="77777777" w:rsidR="004D5370" w:rsidRPr="00974621" w:rsidRDefault="004D5370" w:rsidP="004D5370">
            <w:pPr>
              <w:pStyle w:val="Tabletext"/>
            </w:pPr>
            <w:r w:rsidRPr="00974621">
              <w:t>Student Wellbeing Hub, Educators section</w:t>
            </w:r>
          </w:p>
        </w:tc>
        <w:tc>
          <w:tcPr>
            <w:tcW w:w="1208" w:type="dxa"/>
          </w:tcPr>
          <w:p w14:paraId="06DEE2BC" w14:textId="77777777" w:rsidR="004D5370" w:rsidRPr="001D4978" w:rsidRDefault="004D5370" w:rsidP="004D5370">
            <w:pPr>
              <w:pStyle w:val="Tabletext"/>
            </w:pPr>
            <w:r w:rsidRPr="001D4978">
              <w:t>Resource</w:t>
            </w:r>
            <w:r>
              <w:t>s</w:t>
            </w:r>
            <w:r w:rsidRPr="001D4978">
              <w:t xml:space="preserve"> </w:t>
            </w:r>
            <w:r>
              <w:t>page</w:t>
            </w:r>
            <w:r w:rsidRPr="001D4978">
              <w:t xml:space="preserve"> – courses, strategies, resources</w:t>
            </w:r>
          </w:p>
        </w:tc>
        <w:tc>
          <w:tcPr>
            <w:tcW w:w="1535" w:type="dxa"/>
          </w:tcPr>
          <w:p w14:paraId="2FAD0C48" w14:textId="77777777" w:rsidR="004D5370" w:rsidRPr="001D4978" w:rsidRDefault="004D5370" w:rsidP="004D74E8">
            <w:pPr>
              <w:pStyle w:val="Tabletext"/>
              <w:tabs>
                <w:tab w:val="clear" w:pos="559"/>
                <w:tab w:val="decimal" w:pos="317"/>
              </w:tabs>
            </w:pPr>
            <w:r>
              <w:t xml:space="preserve">Australian Government (2025c), </w:t>
            </w:r>
            <w:r w:rsidRPr="005D7AA8">
              <w:t>Department of Education</w:t>
            </w:r>
          </w:p>
        </w:tc>
        <w:tc>
          <w:tcPr>
            <w:tcW w:w="3021" w:type="dxa"/>
          </w:tcPr>
          <w:p w14:paraId="1CBCF2A9" w14:textId="77777777" w:rsidR="004D5370" w:rsidRPr="001D4978" w:rsidRDefault="004D5370" w:rsidP="004D5370">
            <w:pPr>
              <w:pStyle w:val="Tabletext"/>
            </w:pPr>
            <w:r>
              <w:t>W</w:t>
            </w:r>
            <w:r w:rsidRPr="00905F0A">
              <w:t xml:space="preserve">ellbeing resources, teaching </w:t>
            </w:r>
            <w:r w:rsidRPr="002A312D">
              <w:t xml:space="preserve">strategies and free courses for </w:t>
            </w:r>
            <w:r w:rsidRPr="004D74E8">
              <w:t>primary and secondary</w:t>
            </w:r>
            <w:r w:rsidRPr="002A312D">
              <w:t xml:space="preserve"> educators, includes the Australian</w:t>
            </w:r>
            <w:r w:rsidRPr="00905F0A">
              <w:t xml:space="preserve"> Student Wellbeing Framework and the School Wellbeing Check.</w:t>
            </w:r>
          </w:p>
        </w:tc>
        <w:tc>
          <w:tcPr>
            <w:tcW w:w="1485" w:type="dxa"/>
          </w:tcPr>
          <w:p w14:paraId="17B60255" w14:textId="77777777" w:rsidR="004D5370" w:rsidRPr="001D4978" w:rsidRDefault="004D5370" w:rsidP="004D5370">
            <w:pPr>
              <w:pStyle w:val="Tabletext"/>
            </w:pPr>
            <w:r>
              <w:t>Australia</w:t>
            </w:r>
          </w:p>
        </w:tc>
      </w:tr>
      <w:tr w:rsidR="004D5370" w:rsidRPr="001D4978" w14:paraId="68F623C8" w14:textId="77777777" w:rsidTr="00012970">
        <w:tc>
          <w:tcPr>
            <w:tcW w:w="1767" w:type="dxa"/>
          </w:tcPr>
          <w:p w14:paraId="35FAAF7D" w14:textId="77777777" w:rsidR="004D5370" w:rsidRPr="00974621" w:rsidRDefault="004D5370" w:rsidP="004D5370">
            <w:pPr>
              <w:pStyle w:val="Tabletext"/>
            </w:pPr>
            <w:r w:rsidRPr="00974621">
              <w:t>Student Resilience and Wellbeing Resources</w:t>
            </w:r>
          </w:p>
        </w:tc>
        <w:tc>
          <w:tcPr>
            <w:tcW w:w="1208" w:type="dxa"/>
          </w:tcPr>
          <w:p w14:paraId="6D2B2733" w14:textId="77777777" w:rsidR="004D5370" w:rsidRDefault="004D5370" w:rsidP="004D5370">
            <w:pPr>
              <w:pStyle w:val="Tabletext"/>
            </w:pPr>
            <w:r>
              <w:t>Resources page – frameworks, initiatives, resources</w:t>
            </w:r>
          </w:p>
        </w:tc>
        <w:tc>
          <w:tcPr>
            <w:tcW w:w="1535" w:type="dxa"/>
          </w:tcPr>
          <w:p w14:paraId="2B8BB2BC" w14:textId="77777777" w:rsidR="004D5370" w:rsidRDefault="004D5370" w:rsidP="004D74E8">
            <w:pPr>
              <w:pStyle w:val="Tabletext"/>
              <w:tabs>
                <w:tab w:val="clear" w:pos="559"/>
                <w:tab w:val="decimal" w:pos="317"/>
              </w:tabs>
            </w:pPr>
            <w:r>
              <w:t xml:space="preserve">Australian Government (2025d), </w:t>
            </w:r>
            <w:r w:rsidRPr="005D7AA8">
              <w:t>Department of Education</w:t>
            </w:r>
          </w:p>
        </w:tc>
        <w:tc>
          <w:tcPr>
            <w:tcW w:w="3021" w:type="dxa"/>
          </w:tcPr>
          <w:p w14:paraId="29549CA8" w14:textId="77777777" w:rsidR="004D5370" w:rsidRPr="0007079B" w:rsidRDefault="004D5370" w:rsidP="004D5370">
            <w:pPr>
              <w:pStyle w:val="Tabletext"/>
            </w:pPr>
            <w:r w:rsidRPr="003B7B4B">
              <w:t xml:space="preserve">A variety of information and resources are </w:t>
            </w:r>
            <w:r w:rsidRPr="002A312D">
              <w:t xml:space="preserve">available to </w:t>
            </w:r>
            <w:r w:rsidRPr="004D74E8">
              <w:t>schools</w:t>
            </w:r>
            <w:r w:rsidRPr="002A312D">
              <w:t>, parents, and students</w:t>
            </w:r>
            <w:r w:rsidRPr="003B7B4B">
              <w:t xml:space="preserve"> to support the resilience and wellbeing of students.</w:t>
            </w:r>
          </w:p>
        </w:tc>
        <w:tc>
          <w:tcPr>
            <w:tcW w:w="1485" w:type="dxa"/>
          </w:tcPr>
          <w:p w14:paraId="2E0AA203" w14:textId="77777777" w:rsidR="004D5370" w:rsidRDefault="004D5370" w:rsidP="004D5370">
            <w:pPr>
              <w:pStyle w:val="Tabletext"/>
            </w:pPr>
            <w:r>
              <w:t>Australia</w:t>
            </w:r>
          </w:p>
        </w:tc>
      </w:tr>
      <w:tr w:rsidR="004D5370" w:rsidRPr="001D4978" w14:paraId="1BBCAF01" w14:textId="77777777" w:rsidTr="00012970">
        <w:tc>
          <w:tcPr>
            <w:tcW w:w="1767" w:type="dxa"/>
          </w:tcPr>
          <w:p w14:paraId="45C78F90" w14:textId="77777777" w:rsidR="004D5370" w:rsidRPr="00974621" w:rsidRDefault="004D5370" w:rsidP="004D5370">
            <w:pPr>
              <w:pStyle w:val="Tabletext"/>
            </w:pPr>
            <w:r w:rsidRPr="00974621">
              <w:t>High Impact Wellbeing Strategies (HIWS)</w:t>
            </w:r>
          </w:p>
        </w:tc>
        <w:tc>
          <w:tcPr>
            <w:tcW w:w="1208" w:type="dxa"/>
          </w:tcPr>
          <w:p w14:paraId="13DB7456" w14:textId="77777777" w:rsidR="004D5370" w:rsidRDefault="004D5370" w:rsidP="004D5370">
            <w:pPr>
              <w:pStyle w:val="Tabletext"/>
            </w:pPr>
            <w:r>
              <w:t>Resources page – toolkit, strategies, resources</w:t>
            </w:r>
          </w:p>
        </w:tc>
        <w:tc>
          <w:tcPr>
            <w:tcW w:w="1535" w:type="dxa"/>
          </w:tcPr>
          <w:p w14:paraId="650AC5BB" w14:textId="77777777" w:rsidR="004D5370" w:rsidRDefault="004D5370" w:rsidP="004D74E8">
            <w:pPr>
              <w:pStyle w:val="Tabletext"/>
              <w:tabs>
                <w:tab w:val="clear" w:pos="559"/>
                <w:tab w:val="decimal" w:pos="317"/>
              </w:tabs>
            </w:pPr>
            <w:r>
              <w:t>State Government of Victoria (2024a), ARC</w:t>
            </w:r>
          </w:p>
        </w:tc>
        <w:tc>
          <w:tcPr>
            <w:tcW w:w="3021" w:type="dxa"/>
          </w:tcPr>
          <w:p w14:paraId="69508381" w14:textId="77777777" w:rsidR="004D5370" w:rsidRPr="0007079B" w:rsidRDefault="004D5370" w:rsidP="004D5370">
            <w:pPr>
              <w:pStyle w:val="Tabletext"/>
            </w:pPr>
            <w:r w:rsidRPr="0051325C">
              <w:t xml:space="preserve">Arc is the Department of </w:t>
            </w:r>
            <w:r w:rsidRPr="00F6102E">
              <w:t xml:space="preserve">Education's digital platform, this site provides evidence-informed strategies </w:t>
            </w:r>
            <w:r w:rsidRPr="004D74E8">
              <w:t>for teacher professional practice</w:t>
            </w:r>
            <w:r w:rsidRPr="00F6102E">
              <w:t xml:space="preserve"> and school</w:t>
            </w:r>
            <w:r>
              <w:t xml:space="preserve"> staff </w:t>
            </w:r>
            <w:r w:rsidRPr="00C554F9">
              <w:t>develop</w:t>
            </w:r>
            <w:r>
              <w:t>ment, from</w:t>
            </w:r>
            <w:r w:rsidRPr="00C554F9">
              <w:t xml:space="preserve"> Monash University</w:t>
            </w:r>
            <w:r>
              <w:t>.</w:t>
            </w:r>
          </w:p>
        </w:tc>
        <w:tc>
          <w:tcPr>
            <w:tcW w:w="1485" w:type="dxa"/>
          </w:tcPr>
          <w:p w14:paraId="50D1CD45" w14:textId="77777777" w:rsidR="004D5370" w:rsidRDefault="004D5370" w:rsidP="004D5370">
            <w:pPr>
              <w:pStyle w:val="Tabletext"/>
            </w:pPr>
            <w:r>
              <w:t>Victoria/ Australia</w:t>
            </w:r>
          </w:p>
        </w:tc>
      </w:tr>
      <w:tr w:rsidR="004D5370" w:rsidRPr="001D4978" w14:paraId="6502A435" w14:textId="77777777" w:rsidTr="00012970">
        <w:tc>
          <w:tcPr>
            <w:tcW w:w="1767" w:type="dxa"/>
          </w:tcPr>
          <w:p w14:paraId="30927229" w14:textId="77777777" w:rsidR="004D5370" w:rsidRPr="00974621" w:rsidRDefault="004D5370" w:rsidP="004D5370">
            <w:pPr>
              <w:pStyle w:val="Tabletext"/>
            </w:pPr>
            <w:r w:rsidRPr="00974621">
              <w:t>Professional learning on supporting diverse learners</w:t>
            </w:r>
          </w:p>
        </w:tc>
        <w:tc>
          <w:tcPr>
            <w:tcW w:w="1208" w:type="dxa"/>
          </w:tcPr>
          <w:p w14:paraId="7D325C97" w14:textId="77777777" w:rsidR="004D5370" w:rsidRPr="001D4978" w:rsidRDefault="004D5370" w:rsidP="004D5370">
            <w:pPr>
              <w:pStyle w:val="Tabletext"/>
            </w:pPr>
            <w:r>
              <w:t xml:space="preserve">Resources page - </w:t>
            </w:r>
            <w:r w:rsidRPr="001D4978">
              <w:t>courses, strategies, resources</w:t>
            </w:r>
          </w:p>
        </w:tc>
        <w:tc>
          <w:tcPr>
            <w:tcW w:w="1535" w:type="dxa"/>
          </w:tcPr>
          <w:p w14:paraId="10171AEC" w14:textId="77777777" w:rsidR="004D5370" w:rsidRDefault="004D5370" w:rsidP="004D74E8">
            <w:pPr>
              <w:pStyle w:val="Tabletext"/>
              <w:tabs>
                <w:tab w:val="clear" w:pos="559"/>
                <w:tab w:val="decimal" w:pos="459"/>
              </w:tabs>
            </w:pPr>
            <w:r>
              <w:t>State Government of Victoria (2024b)</w:t>
            </w:r>
          </w:p>
          <w:p w14:paraId="61709232" w14:textId="77777777" w:rsidR="004D5370" w:rsidRPr="001D4978" w:rsidRDefault="004D5370" w:rsidP="004D5370">
            <w:pPr>
              <w:pStyle w:val="Tabletext"/>
            </w:pPr>
          </w:p>
        </w:tc>
        <w:tc>
          <w:tcPr>
            <w:tcW w:w="3021" w:type="dxa"/>
          </w:tcPr>
          <w:p w14:paraId="36A5666D" w14:textId="77777777" w:rsidR="004D5370" w:rsidRPr="001D4978" w:rsidRDefault="004D5370" w:rsidP="004D5370">
            <w:pPr>
              <w:pStyle w:val="Tabletext"/>
            </w:pPr>
            <w:r w:rsidRPr="0007079B">
              <w:t xml:space="preserve">Evidence-based professional learning to develop an understanding of diverse learners, support their educational needs, and develop professional practice in </w:t>
            </w:r>
            <w:r>
              <w:t>this area.</w:t>
            </w:r>
          </w:p>
        </w:tc>
        <w:tc>
          <w:tcPr>
            <w:tcW w:w="1485" w:type="dxa"/>
          </w:tcPr>
          <w:p w14:paraId="02572A69" w14:textId="77777777" w:rsidR="004D5370" w:rsidRPr="001D4978" w:rsidRDefault="004D5370" w:rsidP="004D5370">
            <w:pPr>
              <w:pStyle w:val="Tabletext"/>
            </w:pPr>
            <w:r>
              <w:t>Victoria/ Australia</w:t>
            </w:r>
          </w:p>
        </w:tc>
      </w:tr>
      <w:tr w:rsidR="004D5370" w:rsidRPr="001D4978" w14:paraId="18655B48" w14:textId="77777777" w:rsidTr="00012970">
        <w:tc>
          <w:tcPr>
            <w:tcW w:w="1767" w:type="dxa"/>
          </w:tcPr>
          <w:p w14:paraId="31626996" w14:textId="77777777" w:rsidR="004D5370" w:rsidRPr="00974621" w:rsidRDefault="004D5370" w:rsidP="004D5370">
            <w:pPr>
              <w:pStyle w:val="Tabletext"/>
            </w:pPr>
            <w:r w:rsidRPr="00974621">
              <w:t>Supporting students' mental health and wellbeing</w:t>
            </w:r>
          </w:p>
        </w:tc>
        <w:tc>
          <w:tcPr>
            <w:tcW w:w="1208" w:type="dxa"/>
          </w:tcPr>
          <w:p w14:paraId="2779724A" w14:textId="77777777" w:rsidR="004D5370" w:rsidRPr="001D4978" w:rsidRDefault="004D5370" w:rsidP="004D5370">
            <w:pPr>
              <w:pStyle w:val="Tabletext"/>
            </w:pPr>
            <w:r>
              <w:t xml:space="preserve">Resources page – support, </w:t>
            </w:r>
            <w:r w:rsidRPr="001D4978">
              <w:t>strategies, resources</w:t>
            </w:r>
          </w:p>
        </w:tc>
        <w:tc>
          <w:tcPr>
            <w:tcW w:w="1535" w:type="dxa"/>
          </w:tcPr>
          <w:p w14:paraId="79224FB4" w14:textId="77777777" w:rsidR="004D5370" w:rsidRPr="001D4978" w:rsidRDefault="004D5370" w:rsidP="004D74E8">
            <w:pPr>
              <w:pStyle w:val="Tabletext"/>
              <w:tabs>
                <w:tab w:val="clear" w:pos="559"/>
                <w:tab w:val="decimal" w:pos="317"/>
              </w:tabs>
            </w:pPr>
            <w:r>
              <w:t>Queensland Government (2025)</w:t>
            </w:r>
          </w:p>
        </w:tc>
        <w:tc>
          <w:tcPr>
            <w:tcW w:w="3021" w:type="dxa"/>
          </w:tcPr>
          <w:p w14:paraId="3458AFE4" w14:textId="77777777" w:rsidR="004D5370" w:rsidRPr="00F6102E" w:rsidRDefault="004D5370" w:rsidP="004D5370">
            <w:pPr>
              <w:pStyle w:val="Tabletext"/>
            </w:pPr>
            <w:r w:rsidRPr="00F6102E">
              <w:t xml:space="preserve">Information and resources about how students, parents and staff, including the Wellbeing Workforce can support students' mental health and wellbeing as part of a </w:t>
            </w:r>
            <w:r w:rsidRPr="004D74E8">
              <w:t>whole school approach</w:t>
            </w:r>
            <w:r w:rsidRPr="00F6102E">
              <w:t>.</w:t>
            </w:r>
          </w:p>
        </w:tc>
        <w:tc>
          <w:tcPr>
            <w:tcW w:w="1485" w:type="dxa"/>
          </w:tcPr>
          <w:p w14:paraId="49608F46" w14:textId="77777777" w:rsidR="004D5370" w:rsidRPr="001D4978" w:rsidRDefault="004D5370" w:rsidP="004D5370">
            <w:pPr>
              <w:pStyle w:val="Tabletext"/>
            </w:pPr>
            <w:r>
              <w:t>Queensland/ Australia</w:t>
            </w:r>
          </w:p>
        </w:tc>
      </w:tr>
      <w:tr w:rsidR="004D5370" w:rsidRPr="001D4978" w14:paraId="0F4EBC0D" w14:textId="77777777" w:rsidTr="00012970">
        <w:tc>
          <w:tcPr>
            <w:tcW w:w="1767" w:type="dxa"/>
          </w:tcPr>
          <w:p w14:paraId="036B8D63" w14:textId="77777777" w:rsidR="004D5370" w:rsidRPr="00974621" w:rsidRDefault="004D5370" w:rsidP="004D5370">
            <w:pPr>
              <w:pStyle w:val="Tabletext"/>
            </w:pPr>
            <w:r w:rsidRPr="00974621">
              <w:t>Student Learning and Wellbeing Framework</w:t>
            </w:r>
          </w:p>
        </w:tc>
        <w:tc>
          <w:tcPr>
            <w:tcW w:w="1208" w:type="dxa"/>
          </w:tcPr>
          <w:p w14:paraId="501BB33B" w14:textId="77777777" w:rsidR="004D5370" w:rsidRDefault="004D5370" w:rsidP="004D5370">
            <w:pPr>
              <w:pStyle w:val="Tabletext"/>
            </w:pPr>
            <w:r>
              <w:t>Framework of support strategy with links</w:t>
            </w:r>
          </w:p>
        </w:tc>
        <w:tc>
          <w:tcPr>
            <w:tcW w:w="1535" w:type="dxa"/>
          </w:tcPr>
          <w:p w14:paraId="51B7B4FA" w14:textId="77777777" w:rsidR="004D5370" w:rsidRDefault="004D5370" w:rsidP="004D74E8">
            <w:pPr>
              <w:pStyle w:val="Tabletext"/>
              <w:tabs>
                <w:tab w:val="clear" w:pos="559"/>
                <w:tab w:val="decimal" w:pos="317"/>
              </w:tabs>
            </w:pPr>
            <w:r>
              <w:t>Queensland Government (2018)</w:t>
            </w:r>
          </w:p>
        </w:tc>
        <w:tc>
          <w:tcPr>
            <w:tcW w:w="3021" w:type="dxa"/>
          </w:tcPr>
          <w:p w14:paraId="0FA6ACCC" w14:textId="77777777" w:rsidR="004D5370" w:rsidRPr="00F6102E" w:rsidRDefault="004D5370" w:rsidP="004D5370">
            <w:pPr>
              <w:pStyle w:val="Tabletext"/>
            </w:pPr>
            <w:r w:rsidRPr="00F6102E">
              <w:t xml:space="preserve">Assists schools to implement a </w:t>
            </w:r>
            <w:r w:rsidRPr="004D74E8">
              <w:t>whole school approach</w:t>
            </w:r>
            <w:r w:rsidRPr="00F6102E">
              <w:t xml:space="preserve"> to supporting students' mental health and wellbeing across the continuum—from universal promotion and prevention approaches to targeted responses for students' mental health concerns.</w:t>
            </w:r>
          </w:p>
        </w:tc>
        <w:tc>
          <w:tcPr>
            <w:tcW w:w="1485" w:type="dxa"/>
          </w:tcPr>
          <w:p w14:paraId="083FB6A6" w14:textId="77777777" w:rsidR="004D5370" w:rsidRDefault="004D5370" w:rsidP="004D5370">
            <w:pPr>
              <w:pStyle w:val="Tabletext"/>
            </w:pPr>
            <w:r>
              <w:t>Queensland/ Australia</w:t>
            </w:r>
          </w:p>
        </w:tc>
      </w:tr>
      <w:tr w:rsidR="004D5370" w:rsidRPr="001D4978" w14:paraId="35F7B9F0" w14:textId="77777777" w:rsidTr="00012970">
        <w:tc>
          <w:tcPr>
            <w:tcW w:w="1767" w:type="dxa"/>
          </w:tcPr>
          <w:p w14:paraId="5A90E59C" w14:textId="77777777" w:rsidR="004D5370" w:rsidRPr="00974621" w:rsidRDefault="004D5370" w:rsidP="004D5370">
            <w:pPr>
              <w:pStyle w:val="Tabletext"/>
            </w:pPr>
            <w:r w:rsidRPr="00974621">
              <w:t>Simple guide to supporting student social and emotional wellbeing</w:t>
            </w:r>
          </w:p>
        </w:tc>
        <w:tc>
          <w:tcPr>
            <w:tcW w:w="1208" w:type="dxa"/>
          </w:tcPr>
          <w:p w14:paraId="03C575EE" w14:textId="77777777" w:rsidR="004D5370" w:rsidRDefault="004D5370" w:rsidP="004D74E8">
            <w:pPr>
              <w:pStyle w:val="Tabletext"/>
              <w:tabs>
                <w:tab w:val="clear" w:pos="559"/>
                <w:tab w:val="decimal" w:pos="110"/>
              </w:tabs>
            </w:pPr>
            <w:r>
              <w:t>Guide page – strategies and resources.</w:t>
            </w:r>
          </w:p>
        </w:tc>
        <w:tc>
          <w:tcPr>
            <w:tcW w:w="1535" w:type="dxa"/>
          </w:tcPr>
          <w:p w14:paraId="4949E049" w14:textId="77777777" w:rsidR="004D5370" w:rsidRDefault="004D5370" w:rsidP="004D74E8">
            <w:pPr>
              <w:pStyle w:val="Tabletext"/>
              <w:tabs>
                <w:tab w:val="clear" w:pos="559"/>
                <w:tab w:val="decimal" w:pos="176"/>
              </w:tabs>
            </w:pPr>
            <w:r>
              <w:t>New South Wales Government (2023)</w:t>
            </w:r>
          </w:p>
        </w:tc>
        <w:tc>
          <w:tcPr>
            <w:tcW w:w="3021" w:type="dxa"/>
          </w:tcPr>
          <w:p w14:paraId="322E2C88" w14:textId="77777777" w:rsidR="004D5370" w:rsidRPr="00F6102E" w:rsidRDefault="004D5370" w:rsidP="004D5370">
            <w:pPr>
              <w:pStyle w:val="Tabletext"/>
            </w:pPr>
            <w:r w:rsidRPr="00F6102E">
              <w:t xml:space="preserve">Considers a range of factors in establishing a </w:t>
            </w:r>
            <w:r w:rsidRPr="004D74E8">
              <w:t>school community</w:t>
            </w:r>
            <w:r w:rsidRPr="00F6102E">
              <w:t xml:space="preserve"> where students belong.</w:t>
            </w:r>
          </w:p>
        </w:tc>
        <w:tc>
          <w:tcPr>
            <w:tcW w:w="1485" w:type="dxa"/>
          </w:tcPr>
          <w:p w14:paraId="306F3958" w14:textId="77777777" w:rsidR="004D5370" w:rsidRDefault="004D5370" w:rsidP="004D5370">
            <w:pPr>
              <w:pStyle w:val="Tabletext"/>
            </w:pPr>
            <w:r>
              <w:t>New South Wales/ Australia</w:t>
            </w:r>
          </w:p>
        </w:tc>
      </w:tr>
      <w:tr w:rsidR="004D5370" w:rsidRPr="001D4978" w14:paraId="1153106D" w14:textId="77777777" w:rsidTr="00012970">
        <w:tc>
          <w:tcPr>
            <w:tcW w:w="1767" w:type="dxa"/>
          </w:tcPr>
          <w:p w14:paraId="7BA50546" w14:textId="77777777" w:rsidR="004D5370" w:rsidRPr="00974621" w:rsidRDefault="004D5370" w:rsidP="004D5370">
            <w:pPr>
              <w:pStyle w:val="Tabletext"/>
            </w:pPr>
            <w:r w:rsidRPr="00974621">
              <w:t xml:space="preserve">Wellbeing programs </w:t>
            </w:r>
            <w:r w:rsidRPr="00F6102E">
              <w:t xml:space="preserve">directory: providing wellbeing programs to </w:t>
            </w:r>
            <w:r w:rsidRPr="004D74E8">
              <w:t>South Australian schools</w:t>
            </w:r>
          </w:p>
        </w:tc>
        <w:tc>
          <w:tcPr>
            <w:tcW w:w="1208" w:type="dxa"/>
          </w:tcPr>
          <w:p w14:paraId="04C84D83" w14:textId="77777777" w:rsidR="004D5370" w:rsidRPr="001D4978" w:rsidRDefault="004D5370" w:rsidP="004D5370">
            <w:pPr>
              <w:pStyle w:val="Tabletext"/>
            </w:pPr>
            <w:r>
              <w:t>Program directory</w:t>
            </w:r>
          </w:p>
        </w:tc>
        <w:tc>
          <w:tcPr>
            <w:tcW w:w="1535" w:type="dxa"/>
          </w:tcPr>
          <w:p w14:paraId="13525077" w14:textId="77777777" w:rsidR="004D5370" w:rsidRPr="001D4978" w:rsidRDefault="004D5370" w:rsidP="004D74E8">
            <w:pPr>
              <w:pStyle w:val="Tabletext"/>
              <w:tabs>
                <w:tab w:val="clear" w:pos="559"/>
                <w:tab w:val="decimal" w:pos="459"/>
              </w:tabs>
            </w:pPr>
            <w:r>
              <w:t xml:space="preserve">Government of South Australia (2024a), </w:t>
            </w:r>
            <w:r w:rsidRPr="0084600A">
              <w:t>Department of Education</w:t>
            </w:r>
          </w:p>
        </w:tc>
        <w:tc>
          <w:tcPr>
            <w:tcW w:w="3021" w:type="dxa"/>
          </w:tcPr>
          <w:p w14:paraId="57E5AFB5" w14:textId="77777777" w:rsidR="004D5370" w:rsidRPr="001D4978" w:rsidRDefault="004D5370" w:rsidP="004D5370">
            <w:pPr>
              <w:pStyle w:val="Tabletext"/>
            </w:pPr>
            <w:r>
              <w:t>A</w:t>
            </w:r>
            <w:r w:rsidRPr="007558E9">
              <w:t xml:space="preserve"> curated list of evidence-informed mental health and wellbeing programs offered by external providers, including department-funded or endorsed programs.</w:t>
            </w:r>
          </w:p>
        </w:tc>
        <w:tc>
          <w:tcPr>
            <w:tcW w:w="1485" w:type="dxa"/>
          </w:tcPr>
          <w:p w14:paraId="2192A1BA" w14:textId="77777777" w:rsidR="004D5370" w:rsidRPr="001D4978" w:rsidRDefault="004D5370" w:rsidP="004D5370">
            <w:pPr>
              <w:pStyle w:val="Tabletext"/>
            </w:pPr>
            <w:r>
              <w:t>South Australia/ Australia</w:t>
            </w:r>
          </w:p>
        </w:tc>
      </w:tr>
      <w:tr w:rsidR="004D5370" w:rsidRPr="001D4978" w14:paraId="279D1A44" w14:textId="77777777" w:rsidTr="00012970">
        <w:tc>
          <w:tcPr>
            <w:tcW w:w="1767" w:type="dxa"/>
          </w:tcPr>
          <w:p w14:paraId="3AA9CD63" w14:textId="77777777" w:rsidR="004D5370" w:rsidRPr="00974621" w:rsidRDefault="004D5370" w:rsidP="004D5370">
            <w:pPr>
              <w:pStyle w:val="Tabletext"/>
            </w:pPr>
            <w:r w:rsidRPr="00974621">
              <w:lastRenderedPageBreak/>
              <w:t>Wellbeing for Learning and Life framework</w:t>
            </w:r>
          </w:p>
        </w:tc>
        <w:tc>
          <w:tcPr>
            <w:tcW w:w="1208" w:type="dxa"/>
          </w:tcPr>
          <w:p w14:paraId="1F3913C0" w14:textId="77777777" w:rsidR="004D5370" w:rsidRDefault="004D5370" w:rsidP="004D5370">
            <w:pPr>
              <w:pStyle w:val="Tabletext"/>
            </w:pPr>
            <w:r>
              <w:t>Capability framework</w:t>
            </w:r>
          </w:p>
        </w:tc>
        <w:tc>
          <w:tcPr>
            <w:tcW w:w="1535" w:type="dxa"/>
          </w:tcPr>
          <w:p w14:paraId="6BB77CD9" w14:textId="77777777" w:rsidR="004D5370" w:rsidRDefault="004D5370" w:rsidP="004D74E8">
            <w:pPr>
              <w:pStyle w:val="Tabletext"/>
              <w:tabs>
                <w:tab w:val="clear" w:pos="559"/>
                <w:tab w:val="decimal" w:pos="317"/>
              </w:tabs>
            </w:pPr>
            <w:r>
              <w:t xml:space="preserve">Government of South Australia (2024b), </w:t>
            </w:r>
            <w:r w:rsidRPr="0084600A">
              <w:t>Department of Education</w:t>
            </w:r>
          </w:p>
        </w:tc>
        <w:tc>
          <w:tcPr>
            <w:tcW w:w="3021" w:type="dxa"/>
          </w:tcPr>
          <w:p w14:paraId="793D7156" w14:textId="77777777" w:rsidR="004D5370" w:rsidRPr="00F6102E" w:rsidRDefault="004D5370" w:rsidP="004D5370">
            <w:pPr>
              <w:pStyle w:val="Tabletext"/>
            </w:pPr>
            <w:r w:rsidRPr="00F6102E">
              <w:t xml:space="preserve">Supports educators, allied health professionals and other practitioners working to build resilience and wellbeing </w:t>
            </w:r>
            <w:r w:rsidRPr="004D74E8">
              <w:t>in children and young people</w:t>
            </w:r>
            <w:r w:rsidRPr="00F6102E">
              <w:t>. Aligned with the SA Government’s State of Wellbeing vision statement.</w:t>
            </w:r>
          </w:p>
        </w:tc>
        <w:tc>
          <w:tcPr>
            <w:tcW w:w="1485" w:type="dxa"/>
          </w:tcPr>
          <w:p w14:paraId="4531EEA5" w14:textId="77777777" w:rsidR="004D5370" w:rsidRDefault="004D5370" w:rsidP="004D5370">
            <w:pPr>
              <w:pStyle w:val="Tabletext"/>
            </w:pPr>
            <w:r>
              <w:t>South Australia/ Australia</w:t>
            </w:r>
          </w:p>
        </w:tc>
      </w:tr>
      <w:tr w:rsidR="004D5370" w:rsidRPr="001D4978" w14:paraId="5CD89EC2" w14:textId="77777777" w:rsidTr="00012970">
        <w:tc>
          <w:tcPr>
            <w:tcW w:w="1767" w:type="dxa"/>
          </w:tcPr>
          <w:p w14:paraId="510572E0" w14:textId="77777777" w:rsidR="004D5370" w:rsidRPr="00974621" w:rsidRDefault="004D5370" w:rsidP="004D5370">
            <w:pPr>
              <w:pStyle w:val="Tabletext"/>
            </w:pPr>
            <w:r w:rsidRPr="00974621">
              <w:t>The National Student Wellbeing Program for South Australian schools</w:t>
            </w:r>
          </w:p>
        </w:tc>
        <w:tc>
          <w:tcPr>
            <w:tcW w:w="1208" w:type="dxa"/>
          </w:tcPr>
          <w:p w14:paraId="5914E2DA" w14:textId="77777777" w:rsidR="004D5370" w:rsidRDefault="004D5370" w:rsidP="004D5370">
            <w:pPr>
              <w:pStyle w:val="Tabletext"/>
            </w:pPr>
            <w:r>
              <w:t>Program page with service providers</w:t>
            </w:r>
          </w:p>
        </w:tc>
        <w:tc>
          <w:tcPr>
            <w:tcW w:w="1535" w:type="dxa"/>
          </w:tcPr>
          <w:p w14:paraId="114F991E" w14:textId="77777777" w:rsidR="004D5370" w:rsidRDefault="004D5370" w:rsidP="004D74E8">
            <w:pPr>
              <w:pStyle w:val="Tabletext"/>
              <w:tabs>
                <w:tab w:val="clear" w:pos="559"/>
                <w:tab w:val="decimal" w:pos="317"/>
              </w:tabs>
            </w:pPr>
            <w:r>
              <w:t xml:space="preserve">Government of South Australia (2024c), </w:t>
            </w:r>
            <w:r w:rsidRPr="0084600A">
              <w:t>Department of Education</w:t>
            </w:r>
          </w:p>
        </w:tc>
        <w:tc>
          <w:tcPr>
            <w:tcW w:w="3021" w:type="dxa"/>
          </w:tcPr>
          <w:p w14:paraId="35B1D829" w14:textId="77777777" w:rsidR="004D5370" w:rsidRPr="00F6102E" w:rsidRDefault="004D5370" w:rsidP="004D5370">
            <w:pPr>
              <w:pStyle w:val="Tabletext"/>
            </w:pPr>
            <w:r w:rsidRPr="004D74E8">
              <w:t>Supports schools to</w:t>
            </w:r>
            <w:r w:rsidRPr="00F6102E">
              <w:t xml:space="preserve"> promote the wellbeing of their students through Pastoral Care Workers (PCWs) or Student Wellbeing Support Officers (SWSOs), not religious.</w:t>
            </w:r>
          </w:p>
        </w:tc>
        <w:tc>
          <w:tcPr>
            <w:tcW w:w="1485" w:type="dxa"/>
          </w:tcPr>
          <w:p w14:paraId="02BE6295" w14:textId="77777777" w:rsidR="004D5370" w:rsidRDefault="004D5370" w:rsidP="004D5370">
            <w:pPr>
              <w:pStyle w:val="Tabletext"/>
            </w:pPr>
            <w:r>
              <w:t>South Australia/ Australia</w:t>
            </w:r>
          </w:p>
        </w:tc>
      </w:tr>
      <w:tr w:rsidR="004D5370" w:rsidRPr="001D4978" w14:paraId="6E362133" w14:textId="77777777" w:rsidTr="00012970">
        <w:tc>
          <w:tcPr>
            <w:tcW w:w="1767" w:type="dxa"/>
          </w:tcPr>
          <w:p w14:paraId="7D4F4DE5" w14:textId="77777777" w:rsidR="004D5370" w:rsidRPr="00974621" w:rsidRDefault="004D5370" w:rsidP="004D5370">
            <w:pPr>
              <w:pStyle w:val="Tabletext"/>
            </w:pPr>
            <w:r w:rsidRPr="00974621">
              <w:t>NT Social and Emotional Learning</w:t>
            </w:r>
          </w:p>
        </w:tc>
        <w:tc>
          <w:tcPr>
            <w:tcW w:w="1208" w:type="dxa"/>
          </w:tcPr>
          <w:p w14:paraId="666C3DBB" w14:textId="77777777" w:rsidR="004D5370" w:rsidRPr="001D4978" w:rsidRDefault="004D5370" w:rsidP="004D74E8">
            <w:pPr>
              <w:pStyle w:val="Tabletext"/>
              <w:tabs>
                <w:tab w:val="clear" w:pos="559"/>
                <w:tab w:val="decimal" w:pos="110"/>
              </w:tabs>
            </w:pPr>
            <w:r>
              <w:t>Resources page – learning materials and resources</w:t>
            </w:r>
          </w:p>
        </w:tc>
        <w:tc>
          <w:tcPr>
            <w:tcW w:w="1535" w:type="dxa"/>
          </w:tcPr>
          <w:p w14:paraId="61890C5E" w14:textId="77777777" w:rsidR="004D5370" w:rsidRPr="001D4978" w:rsidRDefault="004D5370" w:rsidP="004D74E8">
            <w:pPr>
              <w:pStyle w:val="Tabletext"/>
              <w:tabs>
                <w:tab w:val="clear" w:pos="559"/>
                <w:tab w:val="decimal" w:pos="317"/>
              </w:tabs>
            </w:pPr>
            <w:r>
              <w:t>Northern Territory Government (2025), Department of Education</w:t>
            </w:r>
          </w:p>
        </w:tc>
        <w:tc>
          <w:tcPr>
            <w:tcW w:w="3021" w:type="dxa"/>
          </w:tcPr>
          <w:p w14:paraId="61AC5F64" w14:textId="77777777" w:rsidR="004D5370" w:rsidRPr="001D4978" w:rsidRDefault="004D5370" w:rsidP="004D5370">
            <w:pPr>
              <w:pStyle w:val="Tabletext"/>
            </w:pPr>
            <w:r w:rsidRPr="00E06965">
              <w:t xml:space="preserve">Resources covering key topics affecting students’ social and </w:t>
            </w:r>
            <w:r w:rsidRPr="002A312D">
              <w:t xml:space="preserve">emotional wellbeing, for Northern Territory teachers in both </w:t>
            </w:r>
            <w:r w:rsidRPr="004D74E8">
              <w:t>government and nongovernment schools</w:t>
            </w:r>
            <w:r w:rsidRPr="002A312D">
              <w:t>.</w:t>
            </w:r>
          </w:p>
        </w:tc>
        <w:tc>
          <w:tcPr>
            <w:tcW w:w="1485" w:type="dxa"/>
          </w:tcPr>
          <w:p w14:paraId="2CD47917" w14:textId="77777777" w:rsidR="004D5370" w:rsidRPr="001D4978" w:rsidRDefault="004D5370" w:rsidP="004D5370">
            <w:pPr>
              <w:pStyle w:val="Tabletext"/>
            </w:pPr>
            <w:r>
              <w:t>Northern Territory/ Australia</w:t>
            </w:r>
          </w:p>
        </w:tc>
      </w:tr>
      <w:tr w:rsidR="004D5370" w:rsidRPr="001D4978" w14:paraId="76193B69" w14:textId="77777777" w:rsidTr="00012970">
        <w:tc>
          <w:tcPr>
            <w:tcW w:w="1767" w:type="dxa"/>
          </w:tcPr>
          <w:p w14:paraId="2DA4840F" w14:textId="77777777" w:rsidR="004D5370" w:rsidRPr="00974621" w:rsidRDefault="004D5370" w:rsidP="004D5370">
            <w:pPr>
              <w:pStyle w:val="Tabletext"/>
            </w:pPr>
            <w:r w:rsidRPr="00974621">
              <w:t>VET toolkit for tackling early leaving</w:t>
            </w:r>
          </w:p>
        </w:tc>
        <w:tc>
          <w:tcPr>
            <w:tcW w:w="1208" w:type="dxa"/>
          </w:tcPr>
          <w:p w14:paraId="1B6B07E5" w14:textId="77777777" w:rsidR="004D5370" w:rsidRPr="001D4978" w:rsidRDefault="004D5370" w:rsidP="004D5370">
            <w:pPr>
              <w:pStyle w:val="Tabletext"/>
            </w:pPr>
            <w:r>
              <w:t xml:space="preserve">Resources toolkit - </w:t>
            </w:r>
            <w:r w:rsidRPr="006A3D87">
              <w:t>tools, good practice guide and resources</w:t>
            </w:r>
          </w:p>
        </w:tc>
        <w:tc>
          <w:tcPr>
            <w:tcW w:w="1535" w:type="dxa"/>
          </w:tcPr>
          <w:p w14:paraId="741AAADD" w14:textId="77777777" w:rsidR="004D5370" w:rsidRPr="001D4978" w:rsidRDefault="004D5370" w:rsidP="004D5370">
            <w:pPr>
              <w:pStyle w:val="Tabletext"/>
            </w:pPr>
            <w:proofErr w:type="spellStart"/>
            <w:r>
              <w:t>Cedefop</w:t>
            </w:r>
            <w:proofErr w:type="spellEnd"/>
            <w:r>
              <w:t xml:space="preserve"> (2025)</w:t>
            </w:r>
          </w:p>
        </w:tc>
        <w:tc>
          <w:tcPr>
            <w:tcW w:w="3021" w:type="dxa"/>
          </w:tcPr>
          <w:p w14:paraId="3E19D5D9" w14:textId="77777777" w:rsidR="004D5370" w:rsidRPr="001D4978" w:rsidRDefault="004D5370" w:rsidP="004D5370">
            <w:pPr>
              <w:pStyle w:val="Tabletext"/>
            </w:pPr>
            <w:r w:rsidRPr="00D42B69">
              <w:t xml:space="preserve">Support to policy makers and education and training providers </w:t>
            </w:r>
            <w:r>
              <w:t xml:space="preserve">- </w:t>
            </w:r>
            <w:r w:rsidRPr="00D42B69">
              <w:t>addresses psychosocial factors by promoting a trauma-informed approach within educational settings.</w:t>
            </w:r>
          </w:p>
        </w:tc>
        <w:tc>
          <w:tcPr>
            <w:tcW w:w="1485" w:type="dxa"/>
          </w:tcPr>
          <w:p w14:paraId="002DBF87" w14:textId="77777777" w:rsidR="004D5370" w:rsidRPr="001D4978" w:rsidRDefault="004D5370" w:rsidP="004D5370">
            <w:pPr>
              <w:pStyle w:val="Tabletext"/>
            </w:pPr>
            <w:r>
              <w:t>Europe</w:t>
            </w:r>
          </w:p>
        </w:tc>
      </w:tr>
      <w:tr w:rsidR="004D5370" w:rsidRPr="001D4978" w14:paraId="46F9FEE3" w14:textId="77777777" w:rsidTr="00012970">
        <w:tc>
          <w:tcPr>
            <w:tcW w:w="1767" w:type="dxa"/>
          </w:tcPr>
          <w:p w14:paraId="41093324" w14:textId="77777777" w:rsidR="004D5370" w:rsidRPr="00974621" w:rsidRDefault="004D5370" w:rsidP="004D5370">
            <w:pPr>
              <w:pStyle w:val="Tabletext"/>
            </w:pPr>
            <w:r w:rsidRPr="002A312D">
              <w:t xml:space="preserve">Enabling </w:t>
            </w:r>
            <w:r w:rsidRPr="004D74E8">
              <w:t>Teachers Foundations Course</w:t>
            </w:r>
            <w:r w:rsidRPr="002A312D">
              <w:t>:</w:t>
            </w:r>
            <w:r w:rsidRPr="00974621">
              <w:t xml:space="preserve"> Teacher professional development: Module 19: Psychosocial support and social emotional learning</w:t>
            </w:r>
          </w:p>
        </w:tc>
        <w:tc>
          <w:tcPr>
            <w:tcW w:w="1208" w:type="dxa"/>
          </w:tcPr>
          <w:p w14:paraId="18FBC805" w14:textId="77777777" w:rsidR="004D5370" w:rsidRPr="001D4978" w:rsidRDefault="004D5370" w:rsidP="004D5370">
            <w:pPr>
              <w:pStyle w:val="Tabletext"/>
            </w:pPr>
            <w:r>
              <w:t>Educational module</w:t>
            </w:r>
          </w:p>
        </w:tc>
        <w:tc>
          <w:tcPr>
            <w:tcW w:w="1535" w:type="dxa"/>
          </w:tcPr>
          <w:p w14:paraId="0E35166D" w14:textId="77777777" w:rsidR="004D5370" w:rsidRPr="001D4978" w:rsidRDefault="004D5370" w:rsidP="004D5370">
            <w:pPr>
              <w:pStyle w:val="Tabletext"/>
            </w:pPr>
            <w:r>
              <w:t>Save the Children (2021)</w:t>
            </w:r>
          </w:p>
        </w:tc>
        <w:tc>
          <w:tcPr>
            <w:tcW w:w="3021" w:type="dxa"/>
          </w:tcPr>
          <w:p w14:paraId="25AA0653" w14:textId="77777777" w:rsidR="004D5370" w:rsidRPr="001D4978" w:rsidRDefault="004D5370" w:rsidP="004D5370">
            <w:pPr>
              <w:pStyle w:val="Tabletext"/>
            </w:pPr>
            <w:r w:rsidRPr="0060038B">
              <w:t>Provides teachers with an introduction to recognising psychosocial and social-emotional wellbeing and providing support and learning opportunities using strategies to support students’ wellbeing.</w:t>
            </w:r>
          </w:p>
        </w:tc>
        <w:tc>
          <w:tcPr>
            <w:tcW w:w="1485" w:type="dxa"/>
          </w:tcPr>
          <w:p w14:paraId="06C176DF" w14:textId="77777777" w:rsidR="004D5370" w:rsidRPr="001D4978" w:rsidRDefault="004D5370" w:rsidP="004D5370">
            <w:pPr>
              <w:pStyle w:val="Tabletext"/>
            </w:pPr>
            <w:r>
              <w:t>International</w:t>
            </w:r>
          </w:p>
        </w:tc>
      </w:tr>
    </w:tbl>
    <w:p w14:paraId="7FB414F1" w14:textId="77777777" w:rsidR="004D5370" w:rsidRDefault="004D5370" w:rsidP="004D5370">
      <w:pPr>
        <w:pStyle w:val="References"/>
      </w:pPr>
    </w:p>
    <w:p w14:paraId="3A945085" w14:textId="77777777" w:rsidR="004D5370" w:rsidRPr="005E2353" w:rsidRDefault="004D5370" w:rsidP="004D5370">
      <w:pPr>
        <w:spacing w:before="0" w:line="240" w:lineRule="auto"/>
        <w:rPr>
          <w:sz w:val="18"/>
        </w:rPr>
      </w:pPr>
    </w:p>
    <w:p w14:paraId="66E1D89A" w14:textId="77777777" w:rsidR="004D5370" w:rsidRPr="00E74D45" w:rsidRDefault="004D5370" w:rsidP="004D5370">
      <w:pPr>
        <w:pStyle w:val="TOC1"/>
        <w:tabs>
          <w:tab w:val="right" w:pos="8789"/>
        </w:tabs>
        <w:rPr>
          <w:lang w:val="en-US"/>
        </w:rPr>
      </w:pPr>
    </w:p>
    <w:p w14:paraId="013F876E" w14:textId="77777777" w:rsidR="004D5370" w:rsidRDefault="004D5370" w:rsidP="004D5370">
      <w:pPr>
        <w:pStyle w:val="Quote"/>
      </w:pPr>
    </w:p>
    <w:p w14:paraId="7D3B479F" w14:textId="77777777" w:rsidR="004B6D45" w:rsidRPr="004B6D45" w:rsidRDefault="004B6D45" w:rsidP="004B6D45">
      <w:pPr>
        <w:pStyle w:val="Text"/>
      </w:pPr>
    </w:p>
    <w:sectPr w:rsidR="004B6D45" w:rsidRPr="004B6D45" w:rsidSect="00F210FE">
      <w:footerReference w:type="even" r:id="rId44"/>
      <w:footerReference w:type="default" r:id="rId45"/>
      <w:pgSz w:w="11907" w:h="16840" w:code="9"/>
      <w:pgMar w:top="1276" w:right="1418" w:bottom="992" w:left="1418" w:header="567" w:footer="556" w:gutter="0"/>
      <w:cols w:space="708" w:equalWidth="0">
        <w:col w:w="9071"/>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52C339" w14:textId="77777777" w:rsidR="0089247E" w:rsidRDefault="0089247E">
      <w:r>
        <w:separator/>
      </w:r>
    </w:p>
  </w:endnote>
  <w:endnote w:type="continuationSeparator" w:id="0">
    <w:p w14:paraId="5D4D799B" w14:textId="77777777" w:rsidR="0089247E" w:rsidRDefault="008924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Montserrat">
    <w:altName w:val="Cambria"/>
    <w:charset w:val="00"/>
    <w:family w:val="auto"/>
    <w:pitch w:val="variable"/>
    <w:sig w:usb0="2000020F" w:usb1="00000003" w:usb2="00000000" w:usb3="00000000" w:csb0="00000197"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Essonnes Display">
    <w:altName w:val="Calibri"/>
    <w:panose1 w:val="00000000000000000000"/>
    <w:charset w:val="4D"/>
    <w:family w:val="auto"/>
    <w:notTrueType/>
    <w:pitch w:val="variable"/>
    <w:sig w:usb0="00000007" w:usb1="00000000" w:usb2="00000000" w:usb3="00000000" w:csb0="00000193"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10006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AvantGarde">
    <w:altName w:val="Calibri"/>
    <w:panose1 w:val="00000000000000000000"/>
    <w:charset w:val="00"/>
    <w:family w:val="swiss"/>
    <w:notTrueType/>
    <w:pitch w:val="variable"/>
    <w:sig w:usb0="00000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KLFD I+ Garamond">
    <w:altName w:val="Garamond"/>
    <w:panose1 w:val="00000000000000000000"/>
    <w:charset w:val="00"/>
    <w:family w:val="roman"/>
    <w:notTrueType/>
    <w:pitch w:val="default"/>
    <w:sig w:usb0="00000003" w:usb1="00000000" w:usb2="00000000" w:usb3="00000000" w:csb0="00000001" w:csb1="00000000"/>
  </w:font>
  <w:font w:name="HPUOYX+GillSans-LightItalic">
    <w:altName w:val="Calibri"/>
    <w:panose1 w:val="00000000000000000000"/>
    <w:charset w:val="00"/>
    <w:family w:val="swiss"/>
    <w:notTrueType/>
    <w:pitch w:val="default"/>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Arial Bold">
    <w:panose1 w:val="020B0704020202020204"/>
    <w:charset w:val="00"/>
    <w:family w:val="auto"/>
    <w:pitch w:val="variable"/>
    <w:sig w:usb0="00000003" w:usb1="00000000" w:usb2="00000000" w:usb3="00000000" w:csb0="00000001" w:csb1="00000000"/>
  </w:font>
  <w:font w:name="Avant Garde">
    <w:altName w:val="Century Gothic"/>
    <w:panose1 w:val="00000000000000000000"/>
    <w:charset w:val="00"/>
    <w:family w:val="swiss"/>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AA1E5" w14:textId="77777777" w:rsidR="00F210FE" w:rsidRDefault="00F210FE" w:rsidP="00F210FE">
    <w:pPr>
      <w:pStyle w:val="BodyText"/>
      <w:spacing w:line="14" w:lineRule="auto"/>
    </w:pPr>
    <w:r>
      <w:rPr>
        <w:noProof/>
      </w:rPr>
      <mc:AlternateContent>
        <mc:Choice Requires="wps">
          <w:drawing>
            <wp:anchor distT="0" distB="0" distL="0" distR="0" simplePos="0" relativeHeight="251658244" behindDoc="1" locked="0" layoutInCell="1" allowOverlap="1" wp14:anchorId="65918475" wp14:editId="220351A7">
              <wp:simplePos x="0" y="0"/>
              <wp:positionH relativeFrom="page">
                <wp:posOffset>466725</wp:posOffset>
              </wp:positionH>
              <wp:positionV relativeFrom="page">
                <wp:posOffset>10163175</wp:posOffset>
              </wp:positionV>
              <wp:extent cx="4152900" cy="288925"/>
              <wp:effectExtent l="0" t="0" r="0" b="0"/>
              <wp:wrapNone/>
              <wp:docPr id="1247285013"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52900" cy="288925"/>
                      </a:xfrm>
                      <a:prstGeom prst="rect">
                        <a:avLst/>
                      </a:prstGeom>
                    </wps:spPr>
                    <wps:txbx>
                      <w:txbxContent>
                        <w:p w14:paraId="1073C5C3" w14:textId="77777777" w:rsidR="00F210FE" w:rsidRDefault="00F210FE" w:rsidP="00F210FE">
                          <w:pPr>
                            <w:spacing w:before="37" w:line="247" w:lineRule="auto"/>
                            <w:ind w:left="20"/>
                            <w:rPr>
                              <w:b/>
                              <w:sz w:val="16"/>
                            </w:rPr>
                          </w:pPr>
                          <w:r>
                            <w:rPr>
                              <w:b/>
                              <w:spacing w:val="-2"/>
                              <w:sz w:val="16"/>
                            </w:rPr>
                            <w:t>Document title</w:t>
                          </w:r>
                        </w:p>
                      </w:txbxContent>
                    </wps:txbx>
                    <wps:bodyPr wrap="square" lIns="0" tIns="0" rIns="0" bIns="0" rtlCol="0">
                      <a:noAutofit/>
                    </wps:bodyPr>
                  </wps:wsp>
                </a:graphicData>
              </a:graphic>
              <wp14:sizeRelH relativeFrom="margin">
                <wp14:pctWidth>0</wp14:pctWidth>
              </wp14:sizeRelH>
            </wp:anchor>
          </w:drawing>
        </mc:Choice>
        <mc:Fallback>
          <w:pict>
            <v:shapetype w14:anchorId="65918475" id="_x0000_t202" coordsize="21600,21600" o:spt="202" path="m,l,21600r21600,l21600,xe">
              <v:stroke joinstyle="miter"/>
              <v:path gradientshapeok="t" o:connecttype="rect"/>
            </v:shapetype>
            <v:shape id="Textbox 39" o:spid="_x0000_s1035" type="#_x0000_t202" style="position:absolute;margin-left:36.75pt;margin-top:800.25pt;width:327pt;height:22.75pt;z-index:-251658236;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" filled="f" stroked="f">
              <v:textbox inset="0,0,0,0">
                <w:txbxContent>
                  <w:p w14:paraId="1073C5C3" w14:textId="77777777" w:rsidR="00F210FE" w:rsidRDefault="00F210FE" w:rsidP="00F210FE">
                    <w:pPr>
                      <w:spacing w:before="37" w:line="247" w:lineRule="auto"/>
                      <w:ind w:left="20"/>
                      <w:rPr>
                        <w:b/>
                        <w:sz w:val="16"/>
                      </w:rPr>
                    </w:pPr>
                    <w:r>
                      <w:rPr>
                        <w:b/>
                        <w:spacing w:val="-2"/>
                        <w:sz w:val="16"/>
                      </w:rPr>
                      <w:t>Document title</w:t>
                    </w:r>
                  </w:p>
                </w:txbxContent>
              </v:textbox>
              <w10:wrap anchorx="page" anchory="page"/>
            </v:shape>
          </w:pict>
        </mc:Fallback>
      </mc:AlternateContent>
    </w:r>
    <w:r>
      <w:rPr>
        <w:noProof/>
      </w:rPr>
      <mc:AlternateContent>
        <mc:Choice Requires="wps">
          <w:drawing>
            <wp:anchor distT="0" distB="0" distL="0" distR="0" simplePos="0" relativeHeight="251658243" behindDoc="1" locked="0" layoutInCell="1" allowOverlap="1" wp14:anchorId="21B4BC06" wp14:editId="00784BDF">
              <wp:simplePos x="0" y="0"/>
              <wp:positionH relativeFrom="page">
                <wp:posOffset>457200</wp:posOffset>
              </wp:positionH>
              <wp:positionV relativeFrom="page">
                <wp:posOffset>10038598</wp:posOffset>
              </wp:positionV>
              <wp:extent cx="6645909" cy="1270"/>
              <wp:effectExtent l="0" t="0" r="0" b="0"/>
              <wp:wrapNone/>
              <wp:docPr id="444372005"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5909" cy="1270"/>
                      </a:xfrm>
                      <a:custGeom>
                        <a:avLst/>
                        <a:gdLst/>
                        <a:ahLst/>
                        <a:cxnLst/>
                        <a:rect l="l" t="t" r="r" b="b"/>
                        <a:pathLst>
                          <a:path w="6645909">
                            <a:moveTo>
                              <a:pt x="0" y="0"/>
                            </a:moveTo>
                            <a:lnTo>
                              <a:pt x="6645605"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arto="http://schemas.microsoft.com/office/word/2006/arto" xmlns:a="http://schemas.openxmlformats.org/drawingml/2006/main">
          <w:pict w14:anchorId="2A3C989D">
            <v:shape id="Graphic 38" style="position:absolute;margin-left:36pt;margin-top:790.45pt;width:523.3pt;height:.1pt;z-index:-251673600;visibility:visible;mso-wrap-style:square;mso-wrap-distance-left:0;mso-wrap-distance-top:0;mso-wrap-distance-right:0;mso-wrap-distance-bottom:0;mso-position-horizontal:absolute;mso-position-horizontal-relative:page;mso-position-vertical:absolute;mso-position-vertical-relative:page;v-text-anchor:top" coordsize="6645909,1270" o:spid="_x0000_s1026" filled="f" strokeweight=".5pt" path="m,l664560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" w14:anchorId="0925F7A8">
              <v:path arrowok="t"/>
              <w10:wrap anchorx="page" anchory="page"/>
            </v:shape>
          </w:pict>
        </mc:Fallback>
      </mc:AlternateContent>
    </w:r>
    <w:r>
      <w:rPr>
        <w:noProof/>
      </w:rPr>
      <mc:AlternateContent>
        <mc:Choice Requires="wps">
          <w:drawing>
            <wp:anchor distT="0" distB="0" distL="0" distR="0" simplePos="0" relativeHeight="251658245" behindDoc="1" locked="0" layoutInCell="1" allowOverlap="1" wp14:anchorId="1D637100" wp14:editId="74602A84">
              <wp:simplePos x="0" y="0"/>
              <wp:positionH relativeFrom="page">
                <wp:posOffset>7007674</wp:posOffset>
              </wp:positionH>
              <wp:positionV relativeFrom="page">
                <wp:posOffset>10184379</wp:posOffset>
              </wp:positionV>
              <wp:extent cx="147320" cy="159385"/>
              <wp:effectExtent l="0" t="0" r="0" b="0"/>
              <wp:wrapNone/>
              <wp:docPr id="1871016452"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7320" cy="159385"/>
                      </a:xfrm>
                      <a:prstGeom prst="rect">
                        <a:avLst/>
                      </a:prstGeom>
                    </wps:spPr>
                    <wps:txbx>
                      <w:txbxContent>
                        <w:p w14:paraId="1036C3A9" w14:textId="77777777" w:rsidR="00F210FE" w:rsidRDefault="00F210FE" w:rsidP="00F210FE">
                          <w:pPr>
                            <w:spacing w:before="33"/>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3</w:t>
                          </w:r>
                          <w:r>
                            <w:rPr>
                              <w:spacing w:val="-10"/>
                              <w:sz w:val="16"/>
                            </w:rPr>
                            <w:fldChar w:fldCharType="end"/>
                          </w:r>
                        </w:p>
                      </w:txbxContent>
                    </wps:txbx>
                    <wps:bodyPr wrap="square" lIns="0" tIns="0" rIns="0" bIns="0" rtlCol="0">
                      <a:noAutofit/>
                    </wps:bodyPr>
                  </wps:wsp>
                </a:graphicData>
              </a:graphic>
            </wp:anchor>
          </w:drawing>
        </mc:Choice>
        <mc:Fallback>
          <w:pict>
            <v:shape w14:anchorId="1D637100" id="Textbox 40" o:spid="_x0000_s1036" type="#_x0000_t202" style="position:absolute;margin-left:551.8pt;margin-top:801.9pt;width:11.6pt;height:12.55pt;z-index:-25165823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" filled="f" stroked="f">
              <v:textbox inset="0,0,0,0">
                <w:txbxContent>
                  <w:p w14:paraId="1036C3A9" w14:textId="77777777" w:rsidR="00F210FE" w:rsidRDefault="00F210FE" w:rsidP="00F210FE">
                    <w:pPr>
                      <w:spacing w:before="33"/>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3</w:t>
                    </w:r>
                    <w:r>
                      <w:rPr>
                        <w:spacing w:val="-10"/>
                        <w:sz w:val="16"/>
                      </w:rPr>
                      <w:fldChar w:fldCharType="end"/>
                    </w:r>
                  </w:p>
                </w:txbxContent>
              </v:textbox>
              <w10:wrap anchorx="page" anchory="page"/>
            </v:shape>
          </w:pict>
        </mc:Fallback>
      </mc:AlternateContent>
    </w:r>
  </w:p>
  <w:p w14:paraId="66118021" w14:textId="77777777" w:rsidR="00F210FE" w:rsidRPr="00F87913" w:rsidRDefault="00F210FE" w:rsidP="00F210FE">
    <w:pPr>
      <w:pStyle w:val="Footer"/>
    </w:pPr>
  </w:p>
  <w:p w14:paraId="486D6172" w14:textId="77777777" w:rsidR="00F210FE" w:rsidRPr="00EC356F" w:rsidRDefault="00F210FE" w:rsidP="00F210FE">
    <w:pPr>
      <w:pStyle w:val="Footer"/>
    </w:pPr>
  </w:p>
  <w:p w14:paraId="27402057" w14:textId="77777777" w:rsidR="009E17EF" w:rsidRPr="00F210FE" w:rsidRDefault="009E17EF" w:rsidP="00F210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6844B" w14:textId="7DEAF917" w:rsidR="00F210FE" w:rsidRDefault="00F210FE" w:rsidP="00F210FE">
    <w:pPr>
      <w:pStyle w:val="BodyText"/>
      <w:spacing w:line="14" w:lineRule="auto"/>
    </w:pPr>
    <w:r>
      <w:rPr>
        <w:noProof/>
      </w:rPr>
      <mc:AlternateContent>
        <mc:Choice Requires="wps">
          <w:drawing>
            <wp:anchor distT="0" distB="0" distL="0" distR="0" simplePos="0" relativeHeight="251658240" behindDoc="1" locked="0" layoutInCell="1" allowOverlap="1" wp14:anchorId="1B1B8EAE" wp14:editId="13C5FFF1">
              <wp:simplePos x="0" y="0"/>
              <wp:positionH relativeFrom="page">
                <wp:posOffset>457200</wp:posOffset>
              </wp:positionH>
              <wp:positionV relativeFrom="page">
                <wp:posOffset>10038598</wp:posOffset>
              </wp:positionV>
              <wp:extent cx="6645909" cy="1270"/>
              <wp:effectExtent l="0" t="0" r="0" b="0"/>
              <wp:wrapNone/>
              <wp:docPr id="552141324"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5909" cy="1270"/>
                      </a:xfrm>
                      <a:custGeom>
                        <a:avLst/>
                        <a:gdLst/>
                        <a:ahLst/>
                        <a:cxnLst/>
                        <a:rect l="l" t="t" r="r" b="b"/>
                        <a:pathLst>
                          <a:path w="6645909">
                            <a:moveTo>
                              <a:pt x="0" y="0"/>
                            </a:moveTo>
                            <a:lnTo>
                              <a:pt x="6645605"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arto="http://schemas.microsoft.com/office/word/2006/arto" xmlns:a="http://schemas.openxmlformats.org/drawingml/2006/main">
          <w:pict w14:anchorId="0DDAB224">
            <v:shape id="Graphic 38" style="position:absolute;margin-left:36pt;margin-top:790.45pt;width:523.3pt;height:.1pt;z-index:-251676672;visibility:visible;mso-wrap-style:square;mso-wrap-distance-left:0;mso-wrap-distance-top:0;mso-wrap-distance-right:0;mso-wrap-distance-bottom:0;mso-position-horizontal:absolute;mso-position-horizontal-relative:page;mso-position-vertical:absolute;mso-position-vertical-relative:page;v-text-anchor:top" coordsize="6645909,1270" o:spid="_x0000_s1026" filled="f" strokeweight=".5pt" path="m,l664560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" w14:anchorId="6E333304">
              <v:path arrowok="t"/>
              <w10:wrap anchorx="page" anchory="page"/>
            </v:shape>
          </w:pict>
        </mc:Fallback>
      </mc:AlternateContent>
    </w:r>
    <w:r>
      <w:rPr>
        <w:noProof/>
      </w:rPr>
      <mc:AlternateContent>
        <mc:Choice Requires="wps">
          <w:drawing>
            <wp:anchor distT="0" distB="0" distL="0" distR="0" simplePos="0" relativeHeight="251658242" behindDoc="1" locked="0" layoutInCell="1" allowOverlap="1" wp14:anchorId="5035AE47" wp14:editId="13640DF6">
              <wp:simplePos x="0" y="0"/>
              <wp:positionH relativeFrom="page">
                <wp:posOffset>7007674</wp:posOffset>
              </wp:positionH>
              <wp:positionV relativeFrom="page">
                <wp:posOffset>10184379</wp:posOffset>
              </wp:positionV>
              <wp:extent cx="147320" cy="159385"/>
              <wp:effectExtent l="0" t="0" r="0" b="0"/>
              <wp:wrapNone/>
              <wp:docPr id="470941942"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7320" cy="159385"/>
                      </a:xfrm>
                      <a:prstGeom prst="rect">
                        <a:avLst/>
                      </a:prstGeom>
                    </wps:spPr>
                    <wps:txbx>
                      <w:txbxContent>
                        <w:p w14:paraId="57F63804" w14:textId="77777777" w:rsidR="00F210FE" w:rsidRDefault="00F210FE" w:rsidP="00F210FE">
                          <w:pPr>
                            <w:spacing w:before="33"/>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3</w:t>
                          </w:r>
                          <w:r>
                            <w:rPr>
                              <w:spacing w:val="-10"/>
                              <w:sz w:val="16"/>
                            </w:rPr>
                            <w:fldChar w:fldCharType="end"/>
                          </w:r>
                        </w:p>
                      </w:txbxContent>
                    </wps:txbx>
                    <wps:bodyPr wrap="square" lIns="0" tIns="0" rIns="0" bIns="0" rtlCol="0">
                      <a:noAutofit/>
                    </wps:bodyPr>
                  </wps:wsp>
                </a:graphicData>
              </a:graphic>
            </wp:anchor>
          </w:drawing>
        </mc:Choice>
        <mc:Fallback>
          <w:pict>
            <v:shapetype w14:anchorId="5035AE47" id="_x0000_t202" coordsize="21600,21600" o:spt="202" path="m,l,21600r21600,l21600,xe">
              <v:stroke joinstyle="miter"/>
              <v:path gradientshapeok="t" o:connecttype="rect"/>
            </v:shapetype>
            <v:shape id="_x0000_s1037" type="#_x0000_t202" style="position:absolute;margin-left:551.8pt;margin-top:801.9pt;width:11.6pt;height:12.55pt;z-index:-2516582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" filled="f" stroked="f">
              <v:textbox inset="0,0,0,0">
                <w:txbxContent>
                  <w:p w14:paraId="57F63804" w14:textId="77777777" w:rsidR="00F210FE" w:rsidRDefault="00F210FE" w:rsidP="00F210FE">
                    <w:pPr>
                      <w:spacing w:before="33"/>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3</w:t>
                    </w:r>
                    <w:r>
                      <w:rPr>
                        <w:spacing w:val="-10"/>
                        <w:sz w:val="16"/>
                      </w:rPr>
                      <w:fldChar w:fldCharType="end"/>
                    </w:r>
                  </w:p>
                </w:txbxContent>
              </v:textbox>
              <w10:wrap anchorx="page" anchory="page"/>
            </v:shape>
          </w:pict>
        </mc:Fallback>
      </mc:AlternateContent>
    </w:r>
  </w:p>
  <w:p w14:paraId="362E10A1" w14:textId="77777777" w:rsidR="00F210FE" w:rsidRPr="00F87913" w:rsidRDefault="00F210FE" w:rsidP="00F210FE">
    <w:pPr>
      <w:pStyle w:val="Footer"/>
    </w:pPr>
  </w:p>
  <w:p w14:paraId="2040D319" w14:textId="3A62D341" w:rsidR="00F210FE" w:rsidRPr="00EC356F" w:rsidRDefault="00627D46" w:rsidP="00F210FE">
    <w:pPr>
      <w:pStyle w:val="Footer"/>
    </w:pPr>
    <w:r>
      <w:rPr>
        <w:noProof/>
      </w:rPr>
      <mc:AlternateContent>
        <mc:Choice Requires="wps">
          <w:drawing>
            <wp:anchor distT="0" distB="0" distL="0" distR="0" simplePos="0" relativeHeight="251658241" behindDoc="1" locked="0" layoutInCell="1" allowOverlap="1" wp14:anchorId="60A5BB85" wp14:editId="22AA8BD2">
              <wp:simplePos x="0" y="0"/>
              <wp:positionH relativeFrom="page">
                <wp:posOffset>465825</wp:posOffset>
              </wp:positionH>
              <wp:positionV relativeFrom="page">
                <wp:posOffset>10161917</wp:posOffset>
              </wp:positionV>
              <wp:extent cx="4295955" cy="288925"/>
              <wp:effectExtent l="0" t="0" r="0" b="0"/>
              <wp:wrapNone/>
              <wp:docPr id="1525114903"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95955" cy="288925"/>
                      </a:xfrm>
                      <a:prstGeom prst="rect">
                        <a:avLst/>
                      </a:prstGeom>
                    </wps:spPr>
                    <wps:txbx>
                      <w:txbxContent>
                        <w:p w14:paraId="019D1C9F" w14:textId="0AC4ED51" w:rsidR="00627D46" w:rsidRPr="00627D46" w:rsidRDefault="00627D46" w:rsidP="00627D46">
                          <w:pPr>
                            <w:spacing w:before="37" w:line="247" w:lineRule="auto"/>
                            <w:ind w:left="20"/>
                            <w:rPr>
                              <w:b/>
                              <w:spacing w:val="-2"/>
                              <w:sz w:val="16"/>
                              <w:lang w:val="en-US"/>
                            </w:rPr>
                          </w:pPr>
                          <w:r w:rsidRPr="00627D46">
                            <w:rPr>
                              <w:b/>
                              <w:spacing w:val="-2"/>
                              <w:sz w:val="16"/>
                              <w:lang w:val="en-US"/>
                            </w:rPr>
                            <w:t>Strengthening teaching practice and psychosocial support – support document</w:t>
                          </w:r>
                        </w:p>
                        <w:p w14:paraId="46567D77" w14:textId="5C213939" w:rsidR="00F210FE" w:rsidRPr="00627D46" w:rsidRDefault="00F210FE" w:rsidP="00F210FE">
                          <w:pPr>
                            <w:spacing w:before="37" w:line="247" w:lineRule="auto"/>
                            <w:ind w:left="20"/>
                            <w:rPr>
                              <w:b/>
                              <w:sz w:val="16"/>
                              <w:lang w:val="en-US"/>
                            </w:rPr>
                          </w:pPr>
                        </w:p>
                      </w:txbxContent>
                    </wps:txbx>
                    <wps:bodyPr wrap="square" lIns="0" tIns="0" rIns="0" bIns="0" rtlCol="0">
                      <a:noAutofit/>
                    </wps:bodyPr>
                  </wps:wsp>
                </a:graphicData>
              </a:graphic>
              <wp14:sizeRelH relativeFrom="margin">
                <wp14:pctWidth>0</wp14:pctWidth>
              </wp14:sizeRelH>
            </wp:anchor>
          </w:drawing>
        </mc:Choice>
        <mc:Fallback>
          <w:pict>
            <v:shape w14:anchorId="60A5BB85" id="_x0000_s1038" type="#_x0000_t202" style="position:absolute;margin-left:36.7pt;margin-top:800.15pt;width:338.25pt;height:22.75pt;z-index:-251658239;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" filled="f" stroked="f">
              <v:textbox inset="0,0,0,0">
                <w:txbxContent>
                  <w:p w14:paraId="019D1C9F" w14:textId="0AC4ED51" w:rsidR="00627D46" w:rsidRPr="00627D46" w:rsidRDefault="00627D46" w:rsidP="00627D46">
                    <w:pPr>
                      <w:spacing w:before="37" w:line="247" w:lineRule="auto"/>
                      <w:ind w:left="20"/>
                      <w:rPr>
                        <w:b/>
                        <w:spacing w:val="-2"/>
                        <w:sz w:val="16"/>
                        <w:lang w:val="en-US"/>
                      </w:rPr>
                    </w:pPr>
                    <w:r w:rsidRPr="00627D46">
                      <w:rPr>
                        <w:b/>
                        <w:spacing w:val="-2"/>
                        <w:sz w:val="16"/>
                        <w:lang w:val="en-US"/>
                      </w:rPr>
                      <w:t>Strengthening teaching practice and psychosocial support – support document</w:t>
                    </w:r>
                  </w:p>
                  <w:p w14:paraId="46567D77" w14:textId="5C213939" w:rsidR="00F210FE" w:rsidRPr="00627D46" w:rsidRDefault="00F210FE" w:rsidP="00F210FE">
                    <w:pPr>
                      <w:spacing w:before="37" w:line="247" w:lineRule="auto"/>
                      <w:ind w:left="20"/>
                      <w:rPr>
                        <w:b/>
                        <w:sz w:val="16"/>
                        <w:lang w:val="en-US"/>
                      </w:rPr>
                    </w:pPr>
                  </w:p>
                </w:txbxContent>
              </v:textbox>
              <w10:wrap anchorx="page" anchory="page"/>
            </v:shape>
          </w:pict>
        </mc:Fallback>
      </mc:AlternateContent>
    </w:r>
  </w:p>
  <w:p w14:paraId="71EF1B0E" w14:textId="77777777" w:rsidR="009E17EF" w:rsidRPr="00F210FE" w:rsidRDefault="009E17EF" w:rsidP="00F210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E470D" w14:textId="77777777" w:rsidR="0089247E" w:rsidRDefault="0089247E">
      <w:r>
        <w:separator/>
      </w:r>
    </w:p>
  </w:footnote>
  <w:footnote w:type="continuationSeparator" w:id="0">
    <w:p w14:paraId="28A20A0A" w14:textId="77777777" w:rsidR="0089247E" w:rsidRDefault="0089247E">
      <w:r>
        <w:continuationSeparator/>
      </w:r>
    </w:p>
  </w:footnote>
  <w:footnote w:id="1">
    <w:p w14:paraId="62A97743" w14:textId="23FFADAC" w:rsidR="0055572F" w:rsidRPr="00FB6F5D" w:rsidRDefault="0055572F" w:rsidP="0055572F">
      <w:pPr>
        <w:pStyle w:val="FootnoteText"/>
      </w:pPr>
      <w:r w:rsidRPr="00C91E89">
        <w:rPr>
          <w:rStyle w:val="FootnoteReference"/>
        </w:rPr>
        <w:footnoteRef/>
      </w:r>
      <w:r w:rsidRPr="00C91E89">
        <w:t xml:space="preserve"> There are some different requirements, such as for teachers who work under </w:t>
      </w:r>
      <w:r w:rsidR="00BC4E02">
        <w:t>direction</w:t>
      </w:r>
      <w:r>
        <w:t xml:space="preserve"> or teachers who are working towards their qualification</w:t>
      </w:r>
      <w:r w:rsidRPr="00C91E89">
        <w:t>, for example. See the Credential Policy for detailed information</w:t>
      </w:r>
      <w:r>
        <w:t xml:space="preserve"> (Australian Government 2025b)</w:t>
      </w:r>
      <w:r w:rsidRPr="00C91E89">
        <w:t xml:space="preserve">. </w:t>
      </w:r>
    </w:p>
  </w:footnote>
  <w:footnote w:id="2">
    <w:p w14:paraId="1A513C7A" w14:textId="77777777" w:rsidR="0055572F" w:rsidRPr="00472496" w:rsidRDefault="0055572F" w:rsidP="0055572F">
      <w:pPr>
        <w:pStyle w:val="FootnoteText"/>
        <w:spacing w:before="120"/>
      </w:pPr>
      <w:r>
        <w:rPr>
          <w:rStyle w:val="FootnoteReference"/>
        </w:rPr>
        <w:footnoteRef/>
      </w:r>
      <w:r>
        <w:t xml:space="preserve"> </w:t>
      </w:r>
      <w:r w:rsidRPr="00472496">
        <w:t xml:space="preserve">Note that VET teachers delivering VET in secondary schools, however, have different teaching qualification requirements than those delivering VET elsewhere. These teachers require school-teaching qualifications as well as VET-teaching qualifications, but the details of the requirements vary by jurisdiction (Smith 2024).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CC3A8" w14:textId="77777777" w:rsidR="00F210FE" w:rsidRDefault="00F210FE" w:rsidP="00F210FE">
    <w:pPr>
      <w:pStyle w:val="Header"/>
      <w:jc w:val="right"/>
    </w:pPr>
    <w:r w:rsidRPr="00610D56">
      <w:rPr>
        <w:rFonts w:asciiTheme="majorHAnsi" w:hAnsiTheme="majorHAnsi"/>
        <w:noProof/>
        <w:sz w:val="20"/>
      </w:rPr>
      <w:drawing>
        <wp:inline distT="0" distB="0" distL="0" distR="0" wp14:anchorId="34514759" wp14:editId="2D2B0224">
          <wp:extent cx="761365" cy="231775"/>
          <wp:effectExtent l="0" t="0" r="635" b="0"/>
          <wp:docPr id="593960235"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740923" name="Picture 72"/>
                  <pic:cNvPicPr/>
                </pic:nvPicPr>
                <pic:blipFill>
                  <a:blip r:embed="rId1"/>
                  <a:stretch>
                    <a:fillRect/>
                  </a:stretch>
                </pic:blipFill>
                <pic:spPr>
                  <a:xfrm>
                    <a:off x="0" y="0"/>
                    <a:ext cx="761365" cy="23177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D6BD3" w14:textId="77777777" w:rsidR="007D6A05" w:rsidRDefault="00734EAB" w:rsidP="00F210FE">
    <w:pPr>
      <w:pStyle w:val="Header"/>
      <w:jc w:val="right"/>
    </w:pPr>
    <w:r>
      <w:rPr>
        <w:noProof/>
        <w:sz w:val="20"/>
      </w:rPr>
      <w:drawing>
        <wp:anchor distT="0" distB="0" distL="114300" distR="114300" simplePos="0" relativeHeight="251658250" behindDoc="0" locked="0" layoutInCell="1" allowOverlap="1" wp14:anchorId="08F8AA62" wp14:editId="1579C711">
          <wp:simplePos x="0" y="0"/>
          <wp:positionH relativeFrom="column">
            <wp:posOffset>4595495</wp:posOffset>
          </wp:positionH>
          <wp:positionV relativeFrom="page">
            <wp:posOffset>219075</wp:posOffset>
          </wp:positionV>
          <wp:extent cx="1799590" cy="563245"/>
          <wp:effectExtent l="0" t="0" r="0" b="8255"/>
          <wp:wrapSquare wrapText="bothSides"/>
          <wp:docPr id="673233797"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240897" name="Picture 1804240897"/>
                  <pic:cNvPicPr/>
                </pic:nvPicPr>
                <pic:blipFill>
                  <a:blip r:embed="rId1">
                    <a:extLst>
                      <a:ext uri="{28A0092B-C50C-407E-A947-70E740481C1C}">
                        <a14:useLocalDpi xmlns:a14="http://schemas.microsoft.com/office/drawing/2010/main" val="0"/>
                      </a:ext>
                    </a:extLst>
                  </a:blip>
                  <a:stretch>
                    <a:fillRect/>
                  </a:stretch>
                </pic:blipFill>
                <pic:spPr>
                  <a:xfrm>
                    <a:off x="0" y="0"/>
                    <a:ext cx="1799590" cy="563245"/>
                  </a:xfrm>
                  <a:prstGeom prst="rect">
                    <a:avLst/>
                  </a:prstGeom>
                </pic:spPr>
              </pic:pic>
            </a:graphicData>
          </a:graphic>
          <wp14:sizeRelH relativeFrom="page">
            <wp14:pctWidth>0</wp14:pctWidth>
          </wp14:sizeRelH>
          <wp14:sizeRelV relativeFrom="page">
            <wp14:pctHeight>0</wp14:pctHeight>
          </wp14:sizeRelV>
        </wp:anchor>
      </w:drawing>
    </w:r>
    <w:r>
      <w:rPr>
        <w:noProof/>
        <w:sz w:val="20"/>
      </w:rPr>
      <mc:AlternateContent>
        <mc:Choice Requires="wps">
          <w:drawing>
            <wp:anchor distT="0" distB="0" distL="0" distR="0" simplePos="0" relativeHeight="251658249" behindDoc="1" locked="0" layoutInCell="1" allowOverlap="1" wp14:anchorId="72FABF7C" wp14:editId="6EA6954E">
              <wp:simplePos x="0" y="0"/>
              <wp:positionH relativeFrom="margin">
                <wp:posOffset>-606311</wp:posOffset>
              </wp:positionH>
              <wp:positionV relativeFrom="page">
                <wp:posOffset>227965</wp:posOffset>
              </wp:positionV>
              <wp:extent cx="1466850" cy="669290"/>
              <wp:effectExtent l="0" t="0" r="0" b="0"/>
              <wp:wrapNone/>
              <wp:docPr id="877194942"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6850" cy="669290"/>
                      </a:xfrm>
                      <a:prstGeom prst="rect">
                        <a:avLst/>
                      </a:prstGeom>
                    </wps:spPr>
                    <wps:txbx>
                      <w:txbxContent>
                        <w:p w14:paraId="7B0A2D9C" w14:textId="77777777" w:rsidR="002D35A6" w:rsidRPr="0012567D" w:rsidRDefault="002D35A6" w:rsidP="002D35A6">
                          <w:pPr>
                            <w:spacing w:before="43" w:line="235" w:lineRule="auto"/>
                            <w:ind w:left="20" w:right="201"/>
                            <w:rPr>
                              <w:sz w:val="18"/>
                              <w:szCs w:val="24"/>
                            </w:rPr>
                          </w:pPr>
                          <w:r w:rsidRPr="0012567D">
                            <w:rPr>
                              <w:spacing w:val="-2"/>
                              <w:w w:val="105"/>
                              <w:sz w:val="18"/>
                              <w:szCs w:val="24"/>
                            </w:rPr>
                            <w:t>National</w:t>
                          </w:r>
                          <w:r w:rsidRPr="0012567D">
                            <w:rPr>
                              <w:spacing w:val="-10"/>
                              <w:w w:val="105"/>
                              <w:sz w:val="18"/>
                              <w:szCs w:val="24"/>
                            </w:rPr>
                            <w:t xml:space="preserve"> </w:t>
                          </w:r>
                          <w:r w:rsidRPr="0012567D">
                            <w:rPr>
                              <w:spacing w:val="-2"/>
                              <w:w w:val="105"/>
                              <w:sz w:val="18"/>
                              <w:szCs w:val="24"/>
                            </w:rPr>
                            <w:t xml:space="preserve">Centre </w:t>
                          </w:r>
                          <w:r>
                            <w:rPr>
                              <w:spacing w:val="-2"/>
                              <w:w w:val="105"/>
                              <w:sz w:val="18"/>
                              <w:szCs w:val="24"/>
                            </w:rPr>
                            <w:br/>
                          </w:r>
                          <w:r w:rsidRPr="0012567D">
                            <w:rPr>
                              <w:w w:val="105"/>
                              <w:sz w:val="18"/>
                              <w:szCs w:val="24"/>
                            </w:rPr>
                            <w:t>for Vocational</w:t>
                          </w:r>
                          <w:r w:rsidRPr="0012567D">
                            <w:rPr>
                              <w:sz w:val="18"/>
                              <w:szCs w:val="24"/>
                            </w:rPr>
                            <w:br/>
                          </w:r>
                          <w:r w:rsidRPr="0012567D">
                            <w:rPr>
                              <w:spacing w:val="-2"/>
                              <w:w w:val="105"/>
                              <w:sz w:val="18"/>
                              <w:szCs w:val="24"/>
                            </w:rPr>
                            <w:t>Education</w:t>
                          </w:r>
                          <w:r w:rsidRPr="0012567D">
                            <w:rPr>
                              <w:spacing w:val="-10"/>
                              <w:w w:val="105"/>
                              <w:sz w:val="18"/>
                              <w:szCs w:val="24"/>
                            </w:rPr>
                            <w:t xml:space="preserve"> </w:t>
                          </w:r>
                          <w:r w:rsidRPr="0012567D">
                            <w:rPr>
                              <w:spacing w:val="-2"/>
                              <w:w w:val="105"/>
                              <w:sz w:val="18"/>
                              <w:szCs w:val="24"/>
                            </w:rPr>
                            <w:t>Research (NCVER)</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72FABF7C" id="_x0000_t202" coordsize="21600,21600" o:spt="202" path="m,l,21600r21600,l21600,xe">
              <v:stroke joinstyle="miter"/>
              <v:path gradientshapeok="t" o:connecttype="rect"/>
            </v:shapetype>
            <v:shape id="Textbox 6" o:spid="_x0000_s1034" type="#_x0000_t202" style="position:absolute;left:0;text-align:left;margin-left:-47.75pt;margin-top:17.95pt;width:115.5pt;height:52.7pt;z-index:-251658231;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" filled="f" stroked="f">
              <v:textbox inset="0,0,0,0">
                <w:txbxContent>
                  <w:p w14:paraId="7B0A2D9C" w14:textId="77777777" w:rsidR="002D35A6" w:rsidRPr="0012567D" w:rsidRDefault="002D35A6" w:rsidP="002D35A6">
                    <w:pPr>
                      <w:spacing w:before="43" w:line="235" w:lineRule="auto"/>
                      <w:ind w:left="20" w:right="201"/>
                      <w:rPr>
                        <w:sz w:val="18"/>
                        <w:szCs w:val="24"/>
                      </w:rPr>
                    </w:pPr>
                    <w:r w:rsidRPr="0012567D">
                      <w:rPr>
                        <w:spacing w:val="-2"/>
                        <w:w w:val="105"/>
                        <w:sz w:val="18"/>
                        <w:szCs w:val="24"/>
                      </w:rPr>
                      <w:t>National</w:t>
                    </w:r>
                    <w:r w:rsidRPr="0012567D">
                      <w:rPr>
                        <w:spacing w:val="-10"/>
                        <w:w w:val="105"/>
                        <w:sz w:val="18"/>
                        <w:szCs w:val="24"/>
                      </w:rPr>
                      <w:t xml:space="preserve"> </w:t>
                    </w:r>
                    <w:r w:rsidRPr="0012567D">
                      <w:rPr>
                        <w:spacing w:val="-2"/>
                        <w:w w:val="105"/>
                        <w:sz w:val="18"/>
                        <w:szCs w:val="24"/>
                      </w:rPr>
                      <w:t xml:space="preserve">Centre </w:t>
                    </w:r>
                    <w:r>
                      <w:rPr>
                        <w:spacing w:val="-2"/>
                        <w:w w:val="105"/>
                        <w:sz w:val="18"/>
                        <w:szCs w:val="24"/>
                      </w:rPr>
                      <w:br/>
                    </w:r>
                    <w:r w:rsidRPr="0012567D">
                      <w:rPr>
                        <w:w w:val="105"/>
                        <w:sz w:val="18"/>
                        <w:szCs w:val="24"/>
                      </w:rPr>
                      <w:t>for Vocational</w:t>
                    </w:r>
                    <w:r w:rsidRPr="0012567D">
                      <w:rPr>
                        <w:sz w:val="18"/>
                        <w:szCs w:val="24"/>
                      </w:rPr>
                      <w:br/>
                    </w:r>
                    <w:r w:rsidRPr="0012567D">
                      <w:rPr>
                        <w:spacing w:val="-2"/>
                        <w:w w:val="105"/>
                        <w:sz w:val="18"/>
                        <w:szCs w:val="24"/>
                      </w:rPr>
                      <w:t>Education</w:t>
                    </w:r>
                    <w:r w:rsidRPr="0012567D">
                      <w:rPr>
                        <w:spacing w:val="-10"/>
                        <w:w w:val="105"/>
                        <w:sz w:val="18"/>
                        <w:szCs w:val="24"/>
                      </w:rPr>
                      <w:t xml:space="preserve"> </w:t>
                    </w:r>
                    <w:r w:rsidRPr="0012567D">
                      <w:rPr>
                        <w:spacing w:val="-2"/>
                        <w:w w:val="105"/>
                        <w:sz w:val="18"/>
                        <w:szCs w:val="24"/>
                      </w:rPr>
                      <w:t>Research (NCVER)</w:t>
                    </w:r>
                  </w:p>
                </w:txbxContent>
              </v:textbox>
              <w10:wrap anchorx="margin" anchory="page"/>
            </v:shape>
          </w:pict>
        </mc:Fallback>
      </mc:AlternateContent>
    </w:r>
    <w:r w:rsidR="002D35A6">
      <w:rPr>
        <w:noProof/>
        <w:lang w:eastAsia="en-AU"/>
      </w:rPr>
      <w:drawing>
        <wp:anchor distT="0" distB="0" distL="114300" distR="114300" simplePos="0" relativeHeight="251658248" behindDoc="0" locked="0" layoutInCell="1" allowOverlap="1" wp14:anchorId="71B1712F" wp14:editId="0CF2E13E">
          <wp:simplePos x="0" y="0"/>
          <wp:positionH relativeFrom="column">
            <wp:posOffset>547370</wp:posOffset>
          </wp:positionH>
          <wp:positionV relativeFrom="page">
            <wp:posOffset>971550</wp:posOffset>
          </wp:positionV>
          <wp:extent cx="4017010" cy="4901565"/>
          <wp:effectExtent l="0" t="0" r="2540" b="0"/>
          <wp:wrapNone/>
          <wp:docPr id="190611324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321980" name="Picture 335321980"/>
                  <pic:cNvPicPr/>
                </pic:nvPicPr>
                <pic:blipFill>
                  <a:blip r:embed="rId2"/>
                  <a:stretch>
                    <a:fillRect/>
                  </a:stretch>
                </pic:blipFill>
                <pic:spPr>
                  <a:xfrm>
                    <a:off x="0" y="0"/>
                    <a:ext cx="4017010" cy="4901565"/>
                  </a:xfrm>
                  <a:prstGeom prst="rect">
                    <a:avLst/>
                  </a:prstGeom>
                </pic:spPr>
              </pic:pic>
            </a:graphicData>
          </a:graphic>
          <wp14:sizeRelH relativeFrom="margin">
            <wp14:pctWidth>0</wp14:pctWidth>
          </wp14:sizeRelH>
          <wp14:sizeRelV relativeFrom="margin">
            <wp14:pctHeight>0</wp14:pctHeight>
          </wp14:sizeRelV>
        </wp:anchor>
      </w:drawing>
    </w:r>
    <w:r w:rsidR="00544383">
      <w:rPr>
        <w:noProof/>
        <w:lang w:eastAsia="en-AU"/>
      </w:rPr>
      <mc:AlternateContent>
        <mc:Choice Requires="wps">
          <w:drawing>
            <wp:anchor distT="0" distB="0" distL="114300" distR="114300" simplePos="0" relativeHeight="251658247" behindDoc="0" locked="0" layoutInCell="1" allowOverlap="1" wp14:anchorId="69482EA5" wp14:editId="53D02B83">
              <wp:simplePos x="0" y="0"/>
              <wp:positionH relativeFrom="column">
                <wp:posOffset>5428953</wp:posOffset>
              </wp:positionH>
              <wp:positionV relativeFrom="paragraph">
                <wp:posOffset>3392170</wp:posOffset>
              </wp:positionV>
              <wp:extent cx="1503045" cy="3776345"/>
              <wp:effectExtent l="0" t="0" r="1905" b="0"/>
              <wp:wrapNone/>
              <wp:docPr id="586328995"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03045" cy="3776345"/>
                      </a:xfrm>
                      <a:custGeom>
                        <a:avLst/>
                        <a:gdLst/>
                        <a:ahLst/>
                        <a:cxnLst/>
                        <a:rect l="l" t="t" r="r" b="b"/>
                        <a:pathLst>
                          <a:path w="1503045" h="3776345">
                            <a:moveTo>
                              <a:pt x="1502843" y="0"/>
                            </a:moveTo>
                            <a:lnTo>
                              <a:pt x="181978" y="0"/>
                            </a:lnTo>
                            <a:lnTo>
                              <a:pt x="133599" y="6492"/>
                            </a:lnTo>
                            <a:lnTo>
                              <a:pt x="90128" y="24818"/>
                            </a:lnTo>
                            <a:lnTo>
                              <a:pt x="53298" y="53254"/>
                            </a:lnTo>
                            <a:lnTo>
                              <a:pt x="24844" y="90074"/>
                            </a:lnTo>
                            <a:lnTo>
                              <a:pt x="6500" y="133552"/>
                            </a:lnTo>
                            <a:lnTo>
                              <a:pt x="0" y="181965"/>
                            </a:lnTo>
                            <a:lnTo>
                              <a:pt x="0" y="3594100"/>
                            </a:lnTo>
                            <a:lnTo>
                              <a:pt x="6500" y="3642442"/>
                            </a:lnTo>
                            <a:lnTo>
                              <a:pt x="24844" y="3685901"/>
                            </a:lnTo>
                            <a:lnTo>
                              <a:pt x="53298" y="3722735"/>
                            </a:lnTo>
                            <a:lnTo>
                              <a:pt x="90128" y="3751201"/>
                            </a:lnTo>
                            <a:lnTo>
                              <a:pt x="133599" y="3769559"/>
                            </a:lnTo>
                            <a:lnTo>
                              <a:pt x="181978" y="3776065"/>
                            </a:lnTo>
                            <a:lnTo>
                              <a:pt x="1502843" y="3776065"/>
                            </a:lnTo>
                            <a:lnTo>
                              <a:pt x="1502843" y="0"/>
                            </a:lnTo>
                            <a:close/>
                          </a:path>
                        </a:pathLst>
                      </a:custGeom>
                      <a:solidFill>
                        <a:srgbClr val="2B40F5"/>
                      </a:solidFill>
                    </wps:spPr>
                    <wps:bodyPr wrap="square" lIns="0" tIns="0" rIns="0" bIns="0" rtlCol="0">
                      <a:prstTxWarp prst="textNoShape">
                        <a:avLst/>
                      </a:prstTxWarp>
                      <a:noAutofit/>
                    </wps:bodyPr>
                  </wps:wsp>
                </a:graphicData>
              </a:graphic>
            </wp:anchor>
          </w:drawing>
        </mc:Choice>
        <mc:Fallback xmlns:arto="http://schemas.microsoft.com/office/word/2006/arto" xmlns:a="http://schemas.openxmlformats.org/drawingml/2006/main" xmlns:pic="http://schemas.openxmlformats.org/drawingml/2006/picture" xmlns:a14="http://schemas.microsoft.com/office/drawing/2010/main">
          <w:pict w14:anchorId="3B749D87">
            <v:shape id="Graphic 8" style="position:absolute;margin-left:427.5pt;margin-top:267.1pt;width:118.35pt;height:297.35pt;z-index:251657216;visibility:visible;mso-wrap-style:square;mso-wrap-distance-left:9pt;mso-wrap-distance-top:0;mso-wrap-distance-right:9pt;mso-wrap-distance-bottom:0;mso-position-horizontal:absolute;mso-position-horizontal-relative:text;mso-position-vertical:absolute;mso-position-vertical-relative:text;v-text-anchor:top" coordsize="1503045,3776345" o:spid="_x0000_s1026" fillcolor="#2b40f5" stroked="f" path="m1502843,l181978,,133599,6492,90128,24818,53298,53254,24844,90074,6500,133552,,181965,,3594100r6500,48342l24844,3685901r28454,36834l90128,3751201r43471,18358l181978,3776065r1320865,l1502843,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" w14:anchorId="09EEAAE4">
              <v:path arrowok="t"/>
            </v:shape>
          </w:pict>
        </mc:Fallback>
      </mc:AlternateContent>
    </w:r>
    <w:r w:rsidR="00544383">
      <w:rPr>
        <w:noProof/>
        <w:lang w:eastAsia="en-AU"/>
      </w:rPr>
      <mc:AlternateContent>
        <mc:Choice Requires="wpg">
          <w:drawing>
            <wp:anchor distT="0" distB="0" distL="114300" distR="114300" simplePos="0" relativeHeight="251658246" behindDoc="0" locked="0" layoutInCell="1" allowOverlap="1" wp14:anchorId="7738DD45" wp14:editId="1F10A23B">
              <wp:simplePos x="0" y="0"/>
              <wp:positionH relativeFrom="column">
                <wp:posOffset>-900430</wp:posOffset>
              </wp:positionH>
              <wp:positionV relativeFrom="page">
                <wp:posOffset>3752850</wp:posOffset>
              </wp:positionV>
              <wp:extent cx="686435" cy="1887855"/>
              <wp:effectExtent l="0" t="0" r="0" b="0"/>
              <wp:wrapNone/>
              <wp:docPr id="843464507"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6435" cy="1887855"/>
                        <a:chOff x="-476250" y="-28575"/>
                        <a:chExt cx="686435" cy="1888489"/>
                      </a:xfrm>
                    </wpg:grpSpPr>
                    <wps:wsp>
                      <wps:cNvPr id="616183829" name="Graphic 10"/>
                      <wps:cNvSpPr/>
                      <wps:spPr>
                        <a:xfrm>
                          <a:off x="-476250" y="-28575"/>
                          <a:ext cx="686435" cy="1888489"/>
                        </a:xfrm>
                        <a:custGeom>
                          <a:avLst/>
                          <a:gdLst/>
                          <a:ahLst/>
                          <a:cxnLst/>
                          <a:rect l="l" t="t" r="r" b="b"/>
                          <a:pathLst>
                            <a:path w="686435" h="1888489">
                              <a:moveTo>
                                <a:pt x="503995" y="0"/>
                              </a:moveTo>
                              <a:lnTo>
                                <a:pt x="0" y="0"/>
                              </a:lnTo>
                              <a:lnTo>
                                <a:pt x="0" y="1888134"/>
                              </a:lnTo>
                              <a:lnTo>
                                <a:pt x="503995" y="1888134"/>
                              </a:lnTo>
                              <a:lnTo>
                                <a:pt x="552369" y="1881659"/>
                              </a:lnTo>
                              <a:lnTo>
                                <a:pt x="595839" y="1863383"/>
                              </a:lnTo>
                              <a:lnTo>
                                <a:pt x="632670" y="1835030"/>
                              </a:lnTo>
                              <a:lnTo>
                                <a:pt x="661126" y="1798327"/>
                              </a:lnTo>
                              <a:lnTo>
                                <a:pt x="679472" y="1754997"/>
                              </a:lnTo>
                              <a:lnTo>
                                <a:pt x="685973" y="1706765"/>
                              </a:lnTo>
                              <a:lnTo>
                                <a:pt x="685973" y="181381"/>
                              </a:lnTo>
                              <a:lnTo>
                                <a:pt x="679472" y="133148"/>
                              </a:lnTo>
                              <a:lnTo>
                                <a:pt x="661126" y="89816"/>
                              </a:lnTo>
                              <a:lnTo>
                                <a:pt x="632670" y="53109"/>
                              </a:lnTo>
                              <a:lnTo>
                                <a:pt x="595839" y="24754"/>
                              </a:lnTo>
                              <a:lnTo>
                                <a:pt x="552369" y="6476"/>
                              </a:lnTo>
                              <a:lnTo>
                                <a:pt x="503995" y="0"/>
                              </a:lnTo>
                              <a:close/>
                            </a:path>
                          </a:pathLst>
                        </a:custGeom>
                        <a:solidFill>
                          <a:srgbClr val="2B40F5"/>
                        </a:solidFill>
                      </wps:spPr>
                      <wps:bodyPr wrap="square" lIns="0" tIns="0" rIns="0" bIns="0" rtlCol="0">
                        <a:prstTxWarp prst="textNoShape">
                          <a:avLst/>
                        </a:prstTxWarp>
                        <a:noAutofit/>
                      </wps:bodyPr>
                    </wps:wsp>
                  </wpg:wgp>
                </a:graphicData>
              </a:graphic>
            </wp:anchor>
          </w:drawing>
        </mc:Choice>
        <mc:Fallback xmlns:arto="http://schemas.microsoft.com/office/word/2006/arto" xmlns:a="http://schemas.openxmlformats.org/drawingml/2006/main" xmlns:pic="http://schemas.openxmlformats.org/drawingml/2006/picture" xmlns:a14="http://schemas.microsoft.com/office/drawing/2010/main">
          <w:pict w14:anchorId="13C4B88B">
            <v:group id="Group 8" style="position:absolute;margin-left:-70.9pt;margin-top:295.5pt;width:54.05pt;height:148.65pt;z-index:251651072;mso-position-vertical-relative:page" coordsize="6864,18884" coordorigin="-4762,-285" o:spid="_x0000_s1026" w14:anchorId="4D856EB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">
              <v:shape id="Graphic 10" style="position:absolute;left:-4762;top:-285;width:6863;height:18884;visibility:visible;mso-wrap-style:square;v-text-anchor:top" coordsize="686435,1888489" o:spid="_x0000_s1027" fillcolor="#2b40f5" stroked="f" path="m503995,l,,,1888134r503995,l552369,1881659r43470,-18276l632670,1835030r28456,-36703l679472,1754997r6501,-48232l685973,181381r-6501,-48233l661126,89816,632670,53109,595839,24754,552369,6476,50399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">
                <v:path arrowok="t"/>
              </v:shape>
              <w10:wrap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57183" w14:textId="77777777" w:rsidR="002D35A6" w:rsidRDefault="002D35A6" w:rsidP="00F210FE">
    <w:pPr>
      <w:pStyle w:val="Header"/>
      <w:jc w:val="right"/>
    </w:pPr>
    <w:r w:rsidRPr="00610D56">
      <w:rPr>
        <w:rFonts w:asciiTheme="majorHAnsi" w:hAnsiTheme="majorHAnsi"/>
        <w:noProof/>
        <w:sz w:val="20"/>
      </w:rPr>
      <w:drawing>
        <wp:inline distT="0" distB="0" distL="0" distR="0" wp14:anchorId="25464568" wp14:editId="37CDC89A">
          <wp:extent cx="761365" cy="231775"/>
          <wp:effectExtent l="0" t="0" r="635" b="0"/>
          <wp:docPr id="959176914"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740923" name="Picture 72"/>
                  <pic:cNvPicPr/>
                </pic:nvPicPr>
                <pic:blipFill>
                  <a:blip r:embed="rId1"/>
                  <a:stretch>
                    <a:fillRect/>
                  </a:stretch>
                </pic:blipFill>
                <pic:spPr>
                  <a:xfrm>
                    <a:off x="0" y="0"/>
                    <a:ext cx="761365" cy="2317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8AAD19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F410EF"/>
    <w:multiLevelType w:val="hybridMultilevel"/>
    <w:tmpl w:val="2208D102"/>
    <w:lvl w:ilvl="0" w:tplc="46882090">
      <w:start w:val="1"/>
      <w:numFmt w:val="decimal"/>
      <w:pStyle w:val="NumberedListContinuing"/>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 w15:restartNumberingAfterBreak="0">
    <w:nsid w:val="043C1141"/>
    <w:multiLevelType w:val="hybridMultilevel"/>
    <w:tmpl w:val="39420178"/>
    <w:lvl w:ilvl="0" w:tplc="DFE26A44">
      <w:start w:val="1"/>
      <w:numFmt w:val="bullet"/>
      <w:lvlText w:val="•"/>
      <w:lvlJc w:val="left"/>
      <w:pPr>
        <w:tabs>
          <w:tab w:val="num" w:pos="360"/>
        </w:tabs>
        <w:ind w:left="113" w:hanging="113"/>
      </w:pPr>
      <w:rPr>
        <w:rFonts w:ascii="Arial"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562353B"/>
    <w:multiLevelType w:val="hybridMultilevel"/>
    <w:tmpl w:val="D7DCD2F8"/>
    <w:lvl w:ilvl="0" w:tplc="F1B2D5AA">
      <w:start w:val="1"/>
      <w:numFmt w:val="bullet"/>
      <w:lvlText w:val="•"/>
      <w:lvlJc w:val="left"/>
      <w:pPr>
        <w:ind w:left="170" w:hanging="170"/>
      </w:pPr>
      <w:rPr>
        <w:rFonts w:ascii="Arial"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88B72BD"/>
    <w:multiLevelType w:val="multilevel"/>
    <w:tmpl w:val="F8AEC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672FC4"/>
    <w:multiLevelType w:val="hybridMultilevel"/>
    <w:tmpl w:val="03FC32A6"/>
    <w:lvl w:ilvl="0" w:tplc="F1B2D5AA">
      <w:start w:val="1"/>
      <w:numFmt w:val="bullet"/>
      <w:lvlText w:val="•"/>
      <w:lvlJc w:val="left"/>
      <w:pPr>
        <w:ind w:left="170" w:hanging="170"/>
      </w:pPr>
      <w:rPr>
        <w:rFonts w:ascii="Arial"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ED2470E"/>
    <w:multiLevelType w:val="hybridMultilevel"/>
    <w:tmpl w:val="5CA206C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135441B1"/>
    <w:multiLevelType w:val="hybridMultilevel"/>
    <w:tmpl w:val="56183D3A"/>
    <w:lvl w:ilvl="0" w:tplc="F1B2D5AA">
      <w:start w:val="1"/>
      <w:numFmt w:val="bullet"/>
      <w:lvlText w:val="•"/>
      <w:lvlJc w:val="left"/>
      <w:pPr>
        <w:ind w:left="170" w:hanging="170"/>
      </w:pPr>
      <w:rPr>
        <w:rFonts w:ascii="Arial" w:hAnsi="Arial" w:hint="default"/>
      </w:rPr>
    </w:lvl>
    <w:lvl w:ilvl="1" w:tplc="FFFFFFFF" w:tentative="1">
      <w:start w:val="1"/>
      <w:numFmt w:val="bullet"/>
      <w:lvlText w:val="o"/>
      <w:lvlJc w:val="left"/>
      <w:pPr>
        <w:ind w:left="1083" w:hanging="360"/>
      </w:pPr>
      <w:rPr>
        <w:rFonts w:ascii="Courier New" w:hAnsi="Courier New" w:cs="Courier New" w:hint="default"/>
      </w:rPr>
    </w:lvl>
    <w:lvl w:ilvl="2" w:tplc="FFFFFFFF" w:tentative="1">
      <w:start w:val="1"/>
      <w:numFmt w:val="bullet"/>
      <w:lvlText w:val=""/>
      <w:lvlJc w:val="left"/>
      <w:pPr>
        <w:ind w:left="1803" w:hanging="360"/>
      </w:pPr>
      <w:rPr>
        <w:rFonts w:ascii="Wingdings" w:hAnsi="Wingdings" w:hint="default"/>
      </w:rPr>
    </w:lvl>
    <w:lvl w:ilvl="3" w:tplc="FFFFFFFF" w:tentative="1">
      <w:start w:val="1"/>
      <w:numFmt w:val="bullet"/>
      <w:lvlText w:val=""/>
      <w:lvlJc w:val="left"/>
      <w:pPr>
        <w:ind w:left="2523" w:hanging="360"/>
      </w:pPr>
      <w:rPr>
        <w:rFonts w:ascii="Symbol" w:hAnsi="Symbol" w:hint="default"/>
      </w:rPr>
    </w:lvl>
    <w:lvl w:ilvl="4" w:tplc="FFFFFFFF" w:tentative="1">
      <w:start w:val="1"/>
      <w:numFmt w:val="bullet"/>
      <w:lvlText w:val="o"/>
      <w:lvlJc w:val="left"/>
      <w:pPr>
        <w:ind w:left="3243" w:hanging="360"/>
      </w:pPr>
      <w:rPr>
        <w:rFonts w:ascii="Courier New" w:hAnsi="Courier New" w:cs="Courier New" w:hint="default"/>
      </w:rPr>
    </w:lvl>
    <w:lvl w:ilvl="5" w:tplc="FFFFFFFF" w:tentative="1">
      <w:start w:val="1"/>
      <w:numFmt w:val="bullet"/>
      <w:lvlText w:val=""/>
      <w:lvlJc w:val="left"/>
      <w:pPr>
        <w:ind w:left="3963" w:hanging="360"/>
      </w:pPr>
      <w:rPr>
        <w:rFonts w:ascii="Wingdings" w:hAnsi="Wingdings" w:hint="default"/>
      </w:rPr>
    </w:lvl>
    <w:lvl w:ilvl="6" w:tplc="FFFFFFFF" w:tentative="1">
      <w:start w:val="1"/>
      <w:numFmt w:val="bullet"/>
      <w:lvlText w:val=""/>
      <w:lvlJc w:val="left"/>
      <w:pPr>
        <w:ind w:left="4683" w:hanging="360"/>
      </w:pPr>
      <w:rPr>
        <w:rFonts w:ascii="Symbol" w:hAnsi="Symbol" w:hint="default"/>
      </w:rPr>
    </w:lvl>
    <w:lvl w:ilvl="7" w:tplc="FFFFFFFF" w:tentative="1">
      <w:start w:val="1"/>
      <w:numFmt w:val="bullet"/>
      <w:lvlText w:val="o"/>
      <w:lvlJc w:val="left"/>
      <w:pPr>
        <w:ind w:left="5403" w:hanging="360"/>
      </w:pPr>
      <w:rPr>
        <w:rFonts w:ascii="Courier New" w:hAnsi="Courier New" w:cs="Courier New" w:hint="default"/>
      </w:rPr>
    </w:lvl>
    <w:lvl w:ilvl="8" w:tplc="FFFFFFFF" w:tentative="1">
      <w:start w:val="1"/>
      <w:numFmt w:val="bullet"/>
      <w:lvlText w:val=""/>
      <w:lvlJc w:val="left"/>
      <w:pPr>
        <w:ind w:left="6123" w:hanging="360"/>
      </w:pPr>
      <w:rPr>
        <w:rFonts w:ascii="Wingdings" w:hAnsi="Wingdings" w:hint="default"/>
      </w:rPr>
    </w:lvl>
  </w:abstractNum>
  <w:abstractNum w:abstractNumId="8" w15:restartNumberingAfterBreak="0">
    <w:nsid w:val="187F083E"/>
    <w:multiLevelType w:val="hybridMultilevel"/>
    <w:tmpl w:val="C4A0BF16"/>
    <w:lvl w:ilvl="0" w:tplc="0C090005">
      <w:start w:val="1"/>
      <w:numFmt w:val="bullet"/>
      <w:lvlText w:val=""/>
      <w:lvlJc w:val="left"/>
      <w:pPr>
        <w:tabs>
          <w:tab w:val="num" w:pos="720"/>
        </w:tabs>
        <w:ind w:left="720" w:hanging="360"/>
      </w:pPr>
      <w:rPr>
        <w:rFonts w:ascii="Wingdings" w:hAnsi="Wingdings" w:hint="default"/>
      </w:rPr>
    </w:lvl>
    <w:lvl w:ilvl="1" w:tplc="391067CA">
      <w:start w:val="1"/>
      <w:numFmt w:val="bullet"/>
      <w:pStyle w:val="A-Dotpt2"/>
      <w:lvlText w:val=""/>
      <w:lvlJc w:val="left"/>
      <w:pPr>
        <w:tabs>
          <w:tab w:val="num" w:pos="1477"/>
        </w:tabs>
        <w:ind w:left="1477" w:hanging="397"/>
      </w:pPr>
      <w:rPr>
        <w:rFonts w:ascii="Symbol" w:hAnsi="Symbol"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DC40D71"/>
    <w:multiLevelType w:val="hybridMultilevel"/>
    <w:tmpl w:val="2E888500"/>
    <w:lvl w:ilvl="0" w:tplc="F1B2D5AA">
      <w:start w:val="1"/>
      <w:numFmt w:val="bullet"/>
      <w:lvlText w:val="•"/>
      <w:lvlJc w:val="left"/>
      <w:pPr>
        <w:ind w:left="170" w:hanging="170"/>
      </w:pPr>
      <w:rPr>
        <w:rFonts w:ascii="Arial"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EB072E2"/>
    <w:multiLevelType w:val="multilevel"/>
    <w:tmpl w:val="1898D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261B66"/>
    <w:multiLevelType w:val="hybridMultilevel"/>
    <w:tmpl w:val="C638F0E8"/>
    <w:lvl w:ilvl="0" w:tplc="E3303A30">
      <w:start w:val="1"/>
      <w:numFmt w:val="decimal"/>
      <w:pStyle w:val="NumberedList"/>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360347BC"/>
    <w:multiLevelType w:val="hybridMultilevel"/>
    <w:tmpl w:val="65FE1AE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368247CE"/>
    <w:multiLevelType w:val="hybridMultilevel"/>
    <w:tmpl w:val="2A988218"/>
    <w:lvl w:ilvl="0" w:tplc="316452FE">
      <w:start w:val="1"/>
      <w:numFmt w:val="bullet"/>
      <w:pStyle w:val="BulletList"/>
      <w:lvlText w:val=""/>
      <w:lvlJc w:val="left"/>
      <w:pPr>
        <w:tabs>
          <w:tab w:val="num" w:pos="757"/>
        </w:tabs>
        <w:ind w:left="757" w:hanging="397"/>
      </w:pPr>
      <w:rPr>
        <w:rFonts w:ascii="Symbol" w:hAnsi="Symbol" w:hint="default"/>
        <w:sz w:val="18"/>
      </w:rPr>
    </w:lvl>
    <w:lvl w:ilvl="1" w:tplc="0E40F548">
      <w:start w:val="1"/>
      <w:numFmt w:val="bullet"/>
      <w:lvlText w:val=""/>
      <w:lvlJc w:val="left"/>
      <w:pPr>
        <w:tabs>
          <w:tab w:val="num" w:pos="1477"/>
        </w:tabs>
        <w:ind w:left="1477" w:hanging="397"/>
      </w:pPr>
      <w:rPr>
        <w:rFonts w:ascii="Symbol" w:hAnsi="Symbol" w:hint="default"/>
        <w:sz w:val="18"/>
      </w:rPr>
    </w:lvl>
    <w:lvl w:ilvl="2" w:tplc="7BAC00C4">
      <w:start w:val="1"/>
      <w:numFmt w:val="decimal"/>
      <w:lvlText w:val="%3."/>
      <w:lvlJc w:val="left"/>
      <w:pPr>
        <w:tabs>
          <w:tab w:val="num" w:pos="2160"/>
        </w:tabs>
        <w:ind w:left="2160" w:hanging="360"/>
      </w:pPr>
      <w:rPr>
        <w:rFonts w:hint="default"/>
        <w:sz w:val="18"/>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3E27C29"/>
    <w:multiLevelType w:val="hybridMultilevel"/>
    <w:tmpl w:val="A3DCAA94"/>
    <w:lvl w:ilvl="0" w:tplc="BD7CCB12">
      <w:start w:val="1"/>
      <w:numFmt w:val="lowerLetter"/>
      <w:pStyle w:val="Letterlist"/>
      <w:lvlText w:val="%1."/>
      <w:lvlJc w:val="left"/>
      <w:pPr>
        <w:ind w:left="644"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45FF7D8F"/>
    <w:multiLevelType w:val="hybridMultilevel"/>
    <w:tmpl w:val="55F62870"/>
    <w:lvl w:ilvl="0" w:tplc="F1B2D5AA">
      <w:start w:val="1"/>
      <w:numFmt w:val="bullet"/>
      <w:lvlText w:val="•"/>
      <w:lvlJc w:val="left"/>
      <w:pPr>
        <w:ind w:left="170" w:hanging="170"/>
      </w:pPr>
      <w:rPr>
        <w:rFonts w:ascii="Arial"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66554C8"/>
    <w:multiLevelType w:val="hybridMultilevel"/>
    <w:tmpl w:val="7780CE7A"/>
    <w:lvl w:ilvl="0" w:tplc="6B84309A">
      <w:start w:val="1"/>
      <w:numFmt w:val="decimal"/>
      <w:pStyle w:val="NumberedText"/>
      <w:lvlText w:val="%1"/>
      <w:lvlJc w:val="left"/>
      <w:pPr>
        <w:tabs>
          <w:tab w:val="num" w:pos="567"/>
        </w:tabs>
        <w:ind w:left="720" w:hanging="436"/>
      </w:pPr>
      <w:rPr>
        <w:rFonts w:ascii="Trebuchet MS" w:hAnsi="Trebuchet MS" w:hint="default"/>
        <w:b w:val="0"/>
        <w:color w:val="auto"/>
        <w:sz w:val="20"/>
        <w:szCs w:val="20"/>
      </w:rPr>
    </w:lvl>
    <w:lvl w:ilvl="1" w:tplc="0CE2973E">
      <w:start w:val="1"/>
      <w:numFmt w:val="lowerLetter"/>
      <w:lvlText w:val="%2."/>
      <w:lvlJc w:val="left"/>
      <w:pPr>
        <w:tabs>
          <w:tab w:val="num" w:pos="730"/>
        </w:tabs>
        <w:ind w:left="730" w:hanging="360"/>
      </w:pPr>
    </w:lvl>
    <w:lvl w:ilvl="2" w:tplc="0C09001B" w:tentative="1">
      <w:start w:val="1"/>
      <w:numFmt w:val="lowerRoman"/>
      <w:lvlText w:val="%3."/>
      <w:lvlJc w:val="right"/>
      <w:pPr>
        <w:tabs>
          <w:tab w:val="num" w:pos="1450"/>
        </w:tabs>
        <w:ind w:left="1450" w:hanging="180"/>
      </w:pPr>
    </w:lvl>
    <w:lvl w:ilvl="3" w:tplc="0C09000F" w:tentative="1">
      <w:start w:val="1"/>
      <w:numFmt w:val="decimal"/>
      <w:lvlText w:val="%4."/>
      <w:lvlJc w:val="left"/>
      <w:pPr>
        <w:tabs>
          <w:tab w:val="num" w:pos="2170"/>
        </w:tabs>
        <w:ind w:left="2170" w:hanging="360"/>
      </w:pPr>
    </w:lvl>
    <w:lvl w:ilvl="4" w:tplc="0C090019" w:tentative="1">
      <w:start w:val="1"/>
      <w:numFmt w:val="lowerLetter"/>
      <w:lvlText w:val="%5."/>
      <w:lvlJc w:val="left"/>
      <w:pPr>
        <w:tabs>
          <w:tab w:val="num" w:pos="2890"/>
        </w:tabs>
        <w:ind w:left="2890" w:hanging="360"/>
      </w:pPr>
    </w:lvl>
    <w:lvl w:ilvl="5" w:tplc="0C09001B" w:tentative="1">
      <w:start w:val="1"/>
      <w:numFmt w:val="lowerRoman"/>
      <w:lvlText w:val="%6."/>
      <w:lvlJc w:val="right"/>
      <w:pPr>
        <w:tabs>
          <w:tab w:val="num" w:pos="3610"/>
        </w:tabs>
        <w:ind w:left="3610" w:hanging="180"/>
      </w:pPr>
    </w:lvl>
    <w:lvl w:ilvl="6" w:tplc="0C09000F" w:tentative="1">
      <w:start w:val="1"/>
      <w:numFmt w:val="decimal"/>
      <w:lvlText w:val="%7."/>
      <w:lvlJc w:val="left"/>
      <w:pPr>
        <w:tabs>
          <w:tab w:val="num" w:pos="4330"/>
        </w:tabs>
        <w:ind w:left="4330" w:hanging="360"/>
      </w:pPr>
    </w:lvl>
    <w:lvl w:ilvl="7" w:tplc="0C090019" w:tentative="1">
      <w:start w:val="1"/>
      <w:numFmt w:val="lowerLetter"/>
      <w:lvlText w:val="%8."/>
      <w:lvlJc w:val="left"/>
      <w:pPr>
        <w:tabs>
          <w:tab w:val="num" w:pos="5050"/>
        </w:tabs>
        <w:ind w:left="5050" w:hanging="360"/>
      </w:pPr>
    </w:lvl>
    <w:lvl w:ilvl="8" w:tplc="0C09001B" w:tentative="1">
      <w:start w:val="1"/>
      <w:numFmt w:val="lowerRoman"/>
      <w:lvlText w:val="%9."/>
      <w:lvlJc w:val="right"/>
      <w:pPr>
        <w:tabs>
          <w:tab w:val="num" w:pos="5770"/>
        </w:tabs>
        <w:ind w:left="5770" w:hanging="180"/>
      </w:pPr>
    </w:lvl>
  </w:abstractNum>
  <w:abstractNum w:abstractNumId="17" w15:restartNumberingAfterBreak="0">
    <w:nsid w:val="46EA37AF"/>
    <w:multiLevelType w:val="hybridMultilevel"/>
    <w:tmpl w:val="63DA3738"/>
    <w:lvl w:ilvl="0" w:tplc="F1B2D5AA">
      <w:start w:val="1"/>
      <w:numFmt w:val="bullet"/>
      <w:lvlText w:val="•"/>
      <w:lvlJc w:val="left"/>
      <w:pPr>
        <w:ind w:left="170" w:hanging="170"/>
      </w:pPr>
      <w:rPr>
        <w:rFonts w:ascii="Arial"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CEC054A"/>
    <w:multiLevelType w:val="multilevel"/>
    <w:tmpl w:val="62D05A8A"/>
    <w:lvl w:ilvl="0">
      <w:start w:val="1"/>
      <w:numFmt w:val="decimal"/>
      <w:pStyle w:val="ItemL1"/>
      <w:isLgl/>
      <w:suff w:val="space"/>
      <w:lvlText w:val="Item %1"/>
      <w:lvlJc w:val="left"/>
      <w:pPr>
        <w:ind w:left="680" w:hanging="680"/>
      </w:pPr>
      <w:rPr>
        <w:rFonts w:ascii="Arial" w:hAnsi="Arial" w:hint="default"/>
        <w:b w:val="0"/>
        <w:bCs/>
        <w:i w:val="0"/>
        <w:caps w:val="0"/>
        <w:sz w:val="32"/>
        <w:szCs w:val="32"/>
      </w:rPr>
    </w:lvl>
    <w:lvl w:ilvl="1">
      <w:start w:val="1"/>
      <w:numFmt w:val="decimal"/>
      <w:pStyle w:val="MENoIndent6"/>
      <w:lvlText w:val="%1.%2"/>
      <w:lvlJc w:val="left"/>
      <w:pPr>
        <w:tabs>
          <w:tab w:val="num" w:pos="680"/>
        </w:tabs>
        <w:ind w:left="680" w:hanging="680"/>
      </w:pPr>
      <w:rPr>
        <w:rFonts w:hint="default"/>
      </w:rPr>
    </w:lvl>
    <w:lvl w:ilvl="2">
      <w:start w:val="1"/>
      <w:numFmt w:val="lowerLetter"/>
      <w:lvlText w:val="(%3)"/>
      <w:lvlJc w:val="left"/>
      <w:pPr>
        <w:tabs>
          <w:tab w:val="num" w:pos="680"/>
        </w:tabs>
        <w:ind w:left="680" w:hanging="680"/>
      </w:pPr>
      <w:rPr>
        <w:rFonts w:hint="default"/>
      </w:rPr>
    </w:lvl>
    <w:lvl w:ilvl="3">
      <w:start w:val="1"/>
      <w:numFmt w:val="lowerRoman"/>
      <w:lvlText w:val="(%4)"/>
      <w:lvlJc w:val="left"/>
      <w:pPr>
        <w:tabs>
          <w:tab w:val="num" w:pos="1400"/>
        </w:tabs>
        <w:ind w:left="1361" w:hanging="681"/>
      </w:pPr>
      <w:rPr>
        <w:rFonts w:hint="default"/>
      </w:rPr>
    </w:lvl>
    <w:lvl w:ilvl="4">
      <w:start w:val="1"/>
      <w:numFmt w:val="none"/>
      <w:lvlText w:val=""/>
      <w:lvlJc w:val="left"/>
      <w:pPr>
        <w:tabs>
          <w:tab w:val="num" w:pos="3402"/>
        </w:tabs>
        <w:ind w:left="3402" w:hanging="850"/>
      </w:pPr>
      <w:rPr>
        <w:rFonts w:hint="default"/>
      </w:rPr>
    </w:lvl>
    <w:lvl w:ilvl="5">
      <w:start w:val="1"/>
      <w:numFmt w:val="none"/>
      <w:lvlText w:val=""/>
      <w:lvlJc w:val="left"/>
      <w:pPr>
        <w:tabs>
          <w:tab w:val="num" w:pos="4253"/>
        </w:tabs>
        <w:ind w:left="4253" w:hanging="851"/>
      </w:pPr>
      <w:rPr>
        <w:rFonts w:hint="default"/>
      </w:rPr>
    </w:lvl>
    <w:lvl w:ilvl="6">
      <w:start w:val="1"/>
      <w:numFmt w:val="none"/>
      <w:lvlText w:val=""/>
      <w:lvlJc w:val="left"/>
      <w:pPr>
        <w:tabs>
          <w:tab w:val="num" w:pos="5103"/>
        </w:tabs>
        <w:ind w:left="5103" w:hanging="85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9" w15:restartNumberingAfterBreak="0">
    <w:nsid w:val="610A02C5"/>
    <w:multiLevelType w:val="hybridMultilevel"/>
    <w:tmpl w:val="2E9A3022"/>
    <w:lvl w:ilvl="0" w:tplc="FC306488">
      <w:start w:val="1"/>
      <w:numFmt w:val="bullet"/>
      <w:pStyle w:val="Dotpoint2"/>
      <w:lvlText w:val="o"/>
      <w:lvlJc w:val="left"/>
      <w:pPr>
        <w:ind w:left="927" w:hanging="360"/>
      </w:pPr>
      <w:rPr>
        <w:rFonts w:ascii="Courier New" w:hAnsi="Courier New" w:cs="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0" w15:restartNumberingAfterBreak="0">
    <w:nsid w:val="611534FC"/>
    <w:multiLevelType w:val="hybridMultilevel"/>
    <w:tmpl w:val="E9BEE0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1287A92"/>
    <w:multiLevelType w:val="hybridMultilevel"/>
    <w:tmpl w:val="87485D52"/>
    <w:lvl w:ilvl="0" w:tplc="B344A4F6">
      <w:start w:val="1"/>
      <w:numFmt w:val="bullet"/>
      <w:lvlText w:val=""/>
      <w:lvlJc w:val="left"/>
      <w:pPr>
        <w:tabs>
          <w:tab w:val="num" w:pos="720"/>
        </w:tabs>
        <w:ind w:left="720" w:hanging="360"/>
      </w:pPr>
      <w:rPr>
        <w:rFonts w:ascii="Wingdings" w:hAnsi="Wingdings" w:hint="default"/>
      </w:rPr>
    </w:lvl>
    <w:lvl w:ilvl="1" w:tplc="B5168840">
      <w:start w:val="1"/>
      <w:numFmt w:val="bullet"/>
      <w:pStyle w:val="Pop-bulletpt-level2"/>
      <w:lvlText w:val=""/>
      <w:lvlJc w:val="left"/>
      <w:pPr>
        <w:tabs>
          <w:tab w:val="num" w:pos="1440"/>
        </w:tabs>
        <w:ind w:left="1440" w:hanging="360"/>
      </w:pPr>
      <w:rPr>
        <w:rFonts w:ascii="Wingdings 2" w:hAnsi="Wingdings 2" w:hint="default"/>
        <w:color w:val="auto"/>
      </w:rPr>
    </w:lvl>
    <w:lvl w:ilvl="2" w:tplc="0C090005" w:tentative="1">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3FA37B7"/>
    <w:multiLevelType w:val="hybridMultilevel"/>
    <w:tmpl w:val="28FA41E4"/>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644E6124"/>
    <w:multiLevelType w:val="multilevel"/>
    <w:tmpl w:val="B8088798"/>
    <w:lvl w:ilvl="0">
      <w:start w:val="1"/>
      <w:numFmt w:val="decimal"/>
      <w:pStyle w:val="MEBasic1"/>
      <w:lvlText w:val="%1."/>
      <w:lvlJc w:val="left"/>
      <w:pPr>
        <w:tabs>
          <w:tab w:val="num" w:pos="822"/>
        </w:tabs>
        <w:ind w:left="822" w:hanging="680"/>
      </w:pPr>
      <w:rPr>
        <w:rFonts w:ascii="Arial Narrow" w:hAnsi="Arial Narrow" w:hint="default"/>
        <w:b w:val="0"/>
        <w:bCs w:val="0"/>
        <w:sz w:val="32"/>
        <w:szCs w:val="32"/>
      </w:rPr>
    </w:lvl>
    <w:lvl w:ilvl="1">
      <w:start w:val="1"/>
      <w:numFmt w:val="decimal"/>
      <w:pStyle w:val="MEBasic2"/>
      <w:lvlText w:val="%1.%2"/>
      <w:lvlJc w:val="left"/>
      <w:pPr>
        <w:tabs>
          <w:tab w:val="num" w:pos="822"/>
        </w:tabs>
        <w:ind w:left="822" w:hanging="680"/>
      </w:pPr>
      <w:rPr>
        <w:rFonts w:hint="default"/>
      </w:rPr>
    </w:lvl>
    <w:lvl w:ilvl="2">
      <w:start w:val="1"/>
      <w:numFmt w:val="lowerLetter"/>
      <w:pStyle w:val="MEBasic3"/>
      <w:lvlText w:val="(%3)"/>
      <w:lvlJc w:val="left"/>
      <w:pPr>
        <w:tabs>
          <w:tab w:val="num" w:pos="1503"/>
        </w:tabs>
        <w:ind w:left="1503" w:hanging="681"/>
      </w:pPr>
      <w:rPr>
        <w:rFonts w:hint="default"/>
      </w:rPr>
    </w:lvl>
    <w:lvl w:ilvl="3">
      <w:start w:val="1"/>
      <w:numFmt w:val="lowerRoman"/>
      <w:pStyle w:val="MEBasic4"/>
      <w:lvlText w:val="(%4)"/>
      <w:lvlJc w:val="left"/>
      <w:pPr>
        <w:tabs>
          <w:tab w:val="num" w:pos="2183"/>
        </w:tabs>
        <w:ind w:left="2183" w:hanging="680"/>
      </w:pPr>
      <w:rPr>
        <w:rFonts w:hint="default"/>
      </w:rPr>
    </w:lvl>
    <w:lvl w:ilvl="4">
      <w:start w:val="1"/>
      <w:numFmt w:val="upperLetter"/>
      <w:pStyle w:val="MEBasic5"/>
      <w:lvlText w:val="(%5)"/>
      <w:lvlJc w:val="left"/>
      <w:pPr>
        <w:tabs>
          <w:tab w:val="num" w:pos="2864"/>
        </w:tabs>
        <w:ind w:left="2864" w:hanging="681"/>
      </w:pPr>
      <w:rPr>
        <w:rFonts w:hint="default"/>
      </w:rPr>
    </w:lvl>
    <w:lvl w:ilvl="5">
      <w:start w:val="1"/>
      <w:numFmt w:val="none"/>
      <w:lvlText w:val=""/>
      <w:lvlJc w:val="left"/>
      <w:pPr>
        <w:tabs>
          <w:tab w:val="num" w:pos="142"/>
        </w:tabs>
        <w:ind w:left="142" w:firstLine="0"/>
      </w:pPr>
      <w:rPr>
        <w:rFonts w:hint="default"/>
      </w:rPr>
    </w:lvl>
    <w:lvl w:ilvl="6">
      <w:start w:val="1"/>
      <w:numFmt w:val="none"/>
      <w:lvlText w:val="%7"/>
      <w:lvlJc w:val="left"/>
      <w:pPr>
        <w:tabs>
          <w:tab w:val="num" w:pos="142"/>
        </w:tabs>
        <w:ind w:left="142" w:firstLine="0"/>
      </w:pPr>
      <w:rPr>
        <w:rFonts w:hint="default"/>
      </w:rPr>
    </w:lvl>
    <w:lvl w:ilvl="7">
      <w:start w:val="1"/>
      <w:numFmt w:val="none"/>
      <w:suff w:val="nothing"/>
      <w:lvlText w:val="%8"/>
      <w:lvlJc w:val="left"/>
      <w:pPr>
        <w:ind w:left="142" w:firstLine="0"/>
      </w:pPr>
      <w:rPr>
        <w:rFonts w:hint="default"/>
      </w:rPr>
    </w:lvl>
    <w:lvl w:ilvl="8">
      <w:start w:val="1"/>
      <w:numFmt w:val="none"/>
      <w:suff w:val="nothing"/>
      <w:lvlText w:val="%9"/>
      <w:lvlJc w:val="left"/>
      <w:pPr>
        <w:ind w:left="142" w:firstLine="0"/>
      </w:pPr>
      <w:rPr>
        <w:rFonts w:hint="default"/>
      </w:rPr>
    </w:lvl>
  </w:abstractNum>
  <w:abstractNum w:abstractNumId="24" w15:restartNumberingAfterBreak="0">
    <w:nsid w:val="6DD129F8"/>
    <w:multiLevelType w:val="hybridMultilevel"/>
    <w:tmpl w:val="D4A2D112"/>
    <w:lvl w:ilvl="0" w:tplc="A23A1592">
      <w:start w:val="1"/>
      <w:numFmt w:val="bullet"/>
      <w:pStyle w:val="KeyPoints"/>
      <w:lvlText w:val=""/>
      <w:lvlJc w:val="left"/>
      <w:pPr>
        <w:ind w:left="298" w:hanging="360"/>
      </w:pPr>
      <w:rPr>
        <w:rFonts w:ascii="Wingdings" w:hAnsi="Wingdings" w:hint="default"/>
      </w:rPr>
    </w:lvl>
    <w:lvl w:ilvl="1" w:tplc="0C090003" w:tentative="1">
      <w:start w:val="1"/>
      <w:numFmt w:val="bullet"/>
      <w:lvlText w:val="o"/>
      <w:lvlJc w:val="left"/>
      <w:pPr>
        <w:ind w:left="1015" w:hanging="360"/>
      </w:pPr>
      <w:rPr>
        <w:rFonts w:ascii="Courier New" w:hAnsi="Courier New" w:cs="Courier New" w:hint="default"/>
      </w:rPr>
    </w:lvl>
    <w:lvl w:ilvl="2" w:tplc="0C090005" w:tentative="1">
      <w:start w:val="1"/>
      <w:numFmt w:val="bullet"/>
      <w:lvlText w:val=""/>
      <w:lvlJc w:val="left"/>
      <w:pPr>
        <w:ind w:left="1735" w:hanging="360"/>
      </w:pPr>
      <w:rPr>
        <w:rFonts w:ascii="Wingdings" w:hAnsi="Wingdings" w:hint="default"/>
      </w:rPr>
    </w:lvl>
    <w:lvl w:ilvl="3" w:tplc="0C090001" w:tentative="1">
      <w:start w:val="1"/>
      <w:numFmt w:val="bullet"/>
      <w:lvlText w:val=""/>
      <w:lvlJc w:val="left"/>
      <w:pPr>
        <w:ind w:left="2455" w:hanging="360"/>
      </w:pPr>
      <w:rPr>
        <w:rFonts w:ascii="Symbol" w:hAnsi="Symbol" w:hint="default"/>
      </w:rPr>
    </w:lvl>
    <w:lvl w:ilvl="4" w:tplc="0C090003" w:tentative="1">
      <w:start w:val="1"/>
      <w:numFmt w:val="bullet"/>
      <w:lvlText w:val="o"/>
      <w:lvlJc w:val="left"/>
      <w:pPr>
        <w:ind w:left="3175" w:hanging="360"/>
      </w:pPr>
      <w:rPr>
        <w:rFonts w:ascii="Courier New" w:hAnsi="Courier New" w:cs="Courier New" w:hint="default"/>
      </w:rPr>
    </w:lvl>
    <w:lvl w:ilvl="5" w:tplc="0C090005" w:tentative="1">
      <w:start w:val="1"/>
      <w:numFmt w:val="bullet"/>
      <w:lvlText w:val=""/>
      <w:lvlJc w:val="left"/>
      <w:pPr>
        <w:ind w:left="3895" w:hanging="360"/>
      </w:pPr>
      <w:rPr>
        <w:rFonts w:ascii="Wingdings" w:hAnsi="Wingdings" w:hint="default"/>
      </w:rPr>
    </w:lvl>
    <w:lvl w:ilvl="6" w:tplc="0C090001" w:tentative="1">
      <w:start w:val="1"/>
      <w:numFmt w:val="bullet"/>
      <w:lvlText w:val=""/>
      <w:lvlJc w:val="left"/>
      <w:pPr>
        <w:ind w:left="4615" w:hanging="360"/>
      </w:pPr>
      <w:rPr>
        <w:rFonts w:ascii="Symbol" w:hAnsi="Symbol" w:hint="default"/>
      </w:rPr>
    </w:lvl>
    <w:lvl w:ilvl="7" w:tplc="0C090003" w:tentative="1">
      <w:start w:val="1"/>
      <w:numFmt w:val="bullet"/>
      <w:lvlText w:val="o"/>
      <w:lvlJc w:val="left"/>
      <w:pPr>
        <w:ind w:left="5335" w:hanging="360"/>
      </w:pPr>
      <w:rPr>
        <w:rFonts w:ascii="Courier New" w:hAnsi="Courier New" w:cs="Courier New" w:hint="default"/>
      </w:rPr>
    </w:lvl>
    <w:lvl w:ilvl="8" w:tplc="0C090005" w:tentative="1">
      <w:start w:val="1"/>
      <w:numFmt w:val="bullet"/>
      <w:lvlText w:val=""/>
      <w:lvlJc w:val="left"/>
      <w:pPr>
        <w:ind w:left="6055" w:hanging="360"/>
      </w:pPr>
      <w:rPr>
        <w:rFonts w:ascii="Wingdings" w:hAnsi="Wingdings" w:hint="default"/>
      </w:rPr>
    </w:lvl>
  </w:abstractNum>
  <w:abstractNum w:abstractNumId="25" w15:restartNumberingAfterBreak="0">
    <w:nsid w:val="6E6568BB"/>
    <w:multiLevelType w:val="hybridMultilevel"/>
    <w:tmpl w:val="9B12A408"/>
    <w:lvl w:ilvl="0" w:tplc="55FC2974">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EC42FB1"/>
    <w:multiLevelType w:val="hybridMultilevel"/>
    <w:tmpl w:val="5B64732C"/>
    <w:lvl w:ilvl="0" w:tplc="CA188448">
      <w:start w:val="1"/>
      <w:numFmt w:val="bullet"/>
      <w:pStyle w:val="DotPoints"/>
      <w:lvlText w:val=""/>
      <w:lvlJc w:val="left"/>
      <w:pPr>
        <w:tabs>
          <w:tab w:val="num" w:pos="454"/>
        </w:tabs>
        <w:ind w:left="454" w:hanging="397"/>
      </w:pPr>
      <w:rPr>
        <w:rFonts w:ascii="Symbol" w:hAnsi="Symbol" w:hint="default"/>
        <w:color w:val="333399"/>
        <w:sz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num w:numId="1" w16cid:durableId="2052028725">
    <w:abstractNumId w:val="0"/>
  </w:num>
  <w:num w:numId="2" w16cid:durableId="1171410119">
    <w:abstractNumId w:val="25"/>
  </w:num>
  <w:num w:numId="3" w16cid:durableId="409625264">
    <w:abstractNumId w:val="19"/>
  </w:num>
  <w:num w:numId="4" w16cid:durableId="989165760">
    <w:abstractNumId w:val="1"/>
  </w:num>
  <w:num w:numId="5" w16cid:durableId="1909337754">
    <w:abstractNumId w:val="24"/>
  </w:num>
  <w:num w:numId="6" w16cid:durableId="2055739405">
    <w:abstractNumId w:val="16"/>
  </w:num>
  <w:num w:numId="7" w16cid:durableId="1324314276">
    <w:abstractNumId w:val="14"/>
    <w:lvlOverride w:ilvl="0">
      <w:startOverride w:val="1"/>
    </w:lvlOverride>
  </w:num>
  <w:num w:numId="8" w16cid:durableId="1737047308">
    <w:abstractNumId w:val="7"/>
  </w:num>
  <w:num w:numId="9" w16cid:durableId="541478531">
    <w:abstractNumId w:val="17"/>
  </w:num>
  <w:num w:numId="10" w16cid:durableId="1228226267">
    <w:abstractNumId w:val="5"/>
  </w:num>
  <w:num w:numId="11" w16cid:durableId="1576546138">
    <w:abstractNumId w:val="15"/>
  </w:num>
  <w:num w:numId="12" w16cid:durableId="1135678701">
    <w:abstractNumId w:val="3"/>
  </w:num>
  <w:num w:numId="13" w16cid:durableId="1090463062">
    <w:abstractNumId w:val="9"/>
  </w:num>
  <w:num w:numId="14" w16cid:durableId="1409766685">
    <w:abstractNumId w:val="2"/>
  </w:num>
  <w:num w:numId="15" w16cid:durableId="1166364829">
    <w:abstractNumId w:val="22"/>
  </w:num>
  <w:num w:numId="16" w16cid:durableId="306133162">
    <w:abstractNumId w:val="13"/>
  </w:num>
  <w:num w:numId="17" w16cid:durableId="1489051410">
    <w:abstractNumId w:val="11"/>
  </w:num>
  <w:num w:numId="18" w16cid:durableId="1829664778">
    <w:abstractNumId w:val="21"/>
  </w:num>
  <w:num w:numId="19" w16cid:durableId="471602614">
    <w:abstractNumId w:val="8"/>
  </w:num>
  <w:num w:numId="20" w16cid:durableId="2079936881">
    <w:abstractNumId w:val="26"/>
  </w:num>
  <w:num w:numId="21" w16cid:durableId="174922504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48393169">
    <w:abstractNumId w:val="23"/>
  </w:num>
  <w:num w:numId="23" w16cid:durableId="235171531">
    <w:abstractNumId w:val="4"/>
  </w:num>
  <w:num w:numId="24" w16cid:durableId="1526988908">
    <w:abstractNumId w:val="10"/>
  </w:num>
  <w:num w:numId="25" w16cid:durableId="2043507069">
    <w:abstractNumId w:val="6"/>
  </w:num>
  <w:num w:numId="26" w16cid:durableId="1530340862">
    <w:abstractNumId w:val="12"/>
  </w:num>
  <w:num w:numId="27" w16cid:durableId="2033729208">
    <w:abstractNumId w:val="2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activeWritingStyle w:appName="MSWord" w:lang="en-GB" w:vendorID="8" w:dllVersion="513" w:checkStyle="1"/>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20"/>
  <w:doNotHyphenateCaps/>
  <w:clickAndTypeStyle w:val="Text"/>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A3sTA1M7Q0sbAwMjNT0lEKTi0uzszPAykwrgUAT4bRYSwAAAA="/>
  </w:docVars>
  <w:rsids>
    <w:rsidRoot w:val="006024DF"/>
    <w:rsid w:val="00000550"/>
    <w:rsid w:val="00000A5A"/>
    <w:rsid w:val="00002413"/>
    <w:rsid w:val="00002907"/>
    <w:rsid w:val="00004779"/>
    <w:rsid w:val="00005323"/>
    <w:rsid w:val="00005D7F"/>
    <w:rsid w:val="00007698"/>
    <w:rsid w:val="00007CD0"/>
    <w:rsid w:val="000108B2"/>
    <w:rsid w:val="00011C43"/>
    <w:rsid w:val="00012970"/>
    <w:rsid w:val="00013265"/>
    <w:rsid w:val="000140E8"/>
    <w:rsid w:val="00017012"/>
    <w:rsid w:val="00020CB3"/>
    <w:rsid w:val="00022290"/>
    <w:rsid w:val="00022A19"/>
    <w:rsid w:val="0002399D"/>
    <w:rsid w:val="00023A13"/>
    <w:rsid w:val="00024457"/>
    <w:rsid w:val="000315D7"/>
    <w:rsid w:val="0003243C"/>
    <w:rsid w:val="00032A36"/>
    <w:rsid w:val="00033C86"/>
    <w:rsid w:val="00036658"/>
    <w:rsid w:val="000371B6"/>
    <w:rsid w:val="00041B54"/>
    <w:rsid w:val="0004368C"/>
    <w:rsid w:val="00046F47"/>
    <w:rsid w:val="0006125F"/>
    <w:rsid w:val="00064C3B"/>
    <w:rsid w:val="00064CA7"/>
    <w:rsid w:val="00074BD4"/>
    <w:rsid w:val="00075842"/>
    <w:rsid w:val="00082639"/>
    <w:rsid w:val="000905DB"/>
    <w:rsid w:val="000949E9"/>
    <w:rsid w:val="000972DE"/>
    <w:rsid w:val="000A1F1C"/>
    <w:rsid w:val="000A317F"/>
    <w:rsid w:val="000A4AED"/>
    <w:rsid w:val="000A57CD"/>
    <w:rsid w:val="000A7C5C"/>
    <w:rsid w:val="000B0684"/>
    <w:rsid w:val="000B245E"/>
    <w:rsid w:val="000B63BC"/>
    <w:rsid w:val="000B7E67"/>
    <w:rsid w:val="000C1642"/>
    <w:rsid w:val="000C2141"/>
    <w:rsid w:val="000C28F5"/>
    <w:rsid w:val="000C38E4"/>
    <w:rsid w:val="000C6437"/>
    <w:rsid w:val="000C6B14"/>
    <w:rsid w:val="000C6C49"/>
    <w:rsid w:val="000D0C91"/>
    <w:rsid w:val="000D2F97"/>
    <w:rsid w:val="000D3472"/>
    <w:rsid w:val="000D48E1"/>
    <w:rsid w:val="000E0522"/>
    <w:rsid w:val="000E09FC"/>
    <w:rsid w:val="000E2598"/>
    <w:rsid w:val="000F2E4C"/>
    <w:rsid w:val="000F46AC"/>
    <w:rsid w:val="000F641C"/>
    <w:rsid w:val="000F684B"/>
    <w:rsid w:val="000F6906"/>
    <w:rsid w:val="000F798B"/>
    <w:rsid w:val="000F7998"/>
    <w:rsid w:val="001035C4"/>
    <w:rsid w:val="001049EB"/>
    <w:rsid w:val="00105887"/>
    <w:rsid w:val="0010761A"/>
    <w:rsid w:val="00107672"/>
    <w:rsid w:val="001121B0"/>
    <w:rsid w:val="001160DB"/>
    <w:rsid w:val="00116D1E"/>
    <w:rsid w:val="00123B5C"/>
    <w:rsid w:val="00123B78"/>
    <w:rsid w:val="00124CBC"/>
    <w:rsid w:val="0012601A"/>
    <w:rsid w:val="0012722A"/>
    <w:rsid w:val="001306F4"/>
    <w:rsid w:val="00130C1C"/>
    <w:rsid w:val="001346DA"/>
    <w:rsid w:val="00135C75"/>
    <w:rsid w:val="001434D3"/>
    <w:rsid w:val="00143859"/>
    <w:rsid w:val="001439BB"/>
    <w:rsid w:val="00150874"/>
    <w:rsid w:val="001509F3"/>
    <w:rsid w:val="001511AA"/>
    <w:rsid w:val="001512DD"/>
    <w:rsid w:val="00153019"/>
    <w:rsid w:val="00155839"/>
    <w:rsid w:val="00156B70"/>
    <w:rsid w:val="00161A63"/>
    <w:rsid w:val="0016546A"/>
    <w:rsid w:val="00166281"/>
    <w:rsid w:val="00171888"/>
    <w:rsid w:val="00171D52"/>
    <w:rsid w:val="001739D3"/>
    <w:rsid w:val="00177827"/>
    <w:rsid w:val="00181D3F"/>
    <w:rsid w:val="00184504"/>
    <w:rsid w:val="00184E07"/>
    <w:rsid w:val="001865C2"/>
    <w:rsid w:val="00192036"/>
    <w:rsid w:val="00193393"/>
    <w:rsid w:val="001A6607"/>
    <w:rsid w:val="001A6C0E"/>
    <w:rsid w:val="001B1A4E"/>
    <w:rsid w:val="001B1D1A"/>
    <w:rsid w:val="001B43CF"/>
    <w:rsid w:val="001B48A3"/>
    <w:rsid w:val="001B5DA1"/>
    <w:rsid w:val="001B7032"/>
    <w:rsid w:val="001C2A08"/>
    <w:rsid w:val="001C3EBD"/>
    <w:rsid w:val="001C5510"/>
    <w:rsid w:val="001C6A61"/>
    <w:rsid w:val="001C6F00"/>
    <w:rsid w:val="001D5906"/>
    <w:rsid w:val="001D6D30"/>
    <w:rsid w:val="001E0929"/>
    <w:rsid w:val="001E4BD7"/>
    <w:rsid w:val="001E6D37"/>
    <w:rsid w:val="001F33FB"/>
    <w:rsid w:val="001F7D84"/>
    <w:rsid w:val="001F7E01"/>
    <w:rsid w:val="00200AD0"/>
    <w:rsid w:val="002010F9"/>
    <w:rsid w:val="00206D06"/>
    <w:rsid w:val="00210D9D"/>
    <w:rsid w:val="0021104C"/>
    <w:rsid w:val="002165FA"/>
    <w:rsid w:val="00216DB8"/>
    <w:rsid w:val="00216E40"/>
    <w:rsid w:val="00220F0B"/>
    <w:rsid w:val="00223688"/>
    <w:rsid w:val="00223B5A"/>
    <w:rsid w:val="002277A9"/>
    <w:rsid w:val="00227E6D"/>
    <w:rsid w:val="00230124"/>
    <w:rsid w:val="00230CD7"/>
    <w:rsid w:val="002310C3"/>
    <w:rsid w:val="002337A7"/>
    <w:rsid w:val="00233BFA"/>
    <w:rsid w:val="00233C8D"/>
    <w:rsid w:val="00234608"/>
    <w:rsid w:val="002361AA"/>
    <w:rsid w:val="0024255A"/>
    <w:rsid w:val="00244C59"/>
    <w:rsid w:val="00245007"/>
    <w:rsid w:val="0025098D"/>
    <w:rsid w:val="00251772"/>
    <w:rsid w:val="00252355"/>
    <w:rsid w:val="002527E8"/>
    <w:rsid w:val="00255078"/>
    <w:rsid w:val="00263CB8"/>
    <w:rsid w:val="002664D4"/>
    <w:rsid w:val="0027057B"/>
    <w:rsid w:val="00270DDC"/>
    <w:rsid w:val="00280FBF"/>
    <w:rsid w:val="00281D46"/>
    <w:rsid w:val="00282635"/>
    <w:rsid w:val="00283B01"/>
    <w:rsid w:val="00283CD2"/>
    <w:rsid w:val="00284FCB"/>
    <w:rsid w:val="00285AA6"/>
    <w:rsid w:val="00290B07"/>
    <w:rsid w:val="00290DF0"/>
    <w:rsid w:val="00292B9F"/>
    <w:rsid w:val="00297C1D"/>
    <w:rsid w:val="002A2B2C"/>
    <w:rsid w:val="002A312D"/>
    <w:rsid w:val="002A51E2"/>
    <w:rsid w:val="002A65BB"/>
    <w:rsid w:val="002A6E75"/>
    <w:rsid w:val="002B1C95"/>
    <w:rsid w:val="002C280E"/>
    <w:rsid w:val="002C3759"/>
    <w:rsid w:val="002C4A95"/>
    <w:rsid w:val="002C513C"/>
    <w:rsid w:val="002C58C1"/>
    <w:rsid w:val="002D2882"/>
    <w:rsid w:val="002D35A6"/>
    <w:rsid w:val="002D3738"/>
    <w:rsid w:val="002D3961"/>
    <w:rsid w:val="002D6ADE"/>
    <w:rsid w:val="002D76AC"/>
    <w:rsid w:val="002D7DC1"/>
    <w:rsid w:val="002D7EC2"/>
    <w:rsid w:val="002E0152"/>
    <w:rsid w:val="002E0CDA"/>
    <w:rsid w:val="002E196B"/>
    <w:rsid w:val="002E4675"/>
    <w:rsid w:val="002E4FFF"/>
    <w:rsid w:val="002E6B3A"/>
    <w:rsid w:val="002F12EA"/>
    <w:rsid w:val="002F23D2"/>
    <w:rsid w:val="002F2B64"/>
    <w:rsid w:val="002F3E13"/>
    <w:rsid w:val="002F5901"/>
    <w:rsid w:val="002F7379"/>
    <w:rsid w:val="002F787C"/>
    <w:rsid w:val="00302557"/>
    <w:rsid w:val="003034D5"/>
    <w:rsid w:val="00303F9C"/>
    <w:rsid w:val="00304F5C"/>
    <w:rsid w:val="00315883"/>
    <w:rsid w:val="003203FD"/>
    <w:rsid w:val="00325015"/>
    <w:rsid w:val="00326561"/>
    <w:rsid w:val="00331754"/>
    <w:rsid w:val="00331E52"/>
    <w:rsid w:val="00333C08"/>
    <w:rsid w:val="00333E0C"/>
    <w:rsid w:val="00334CE3"/>
    <w:rsid w:val="00335040"/>
    <w:rsid w:val="0033582A"/>
    <w:rsid w:val="00335BDF"/>
    <w:rsid w:val="00340B4D"/>
    <w:rsid w:val="003504B3"/>
    <w:rsid w:val="00356DCF"/>
    <w:rsid w:val="00357C16"/>
    <w:rsid w:val="003600C6"/>
    <w:rsid w:val="0036068D"/>
    <w:rsid w:val="003610FD"/>
    <w:rsid w:val="00364310"/>
    <w:rsid w:val="00364AEE"/>
    <w:rsid w:val="00364E2D"/>
    <w:rsid w:val="00366095"/>
    <w:rsid w:val="0036656D"/>
    <w:rsid w:val="00367897"/>
    <w:rsid w:val="003704B1"/>
    <w:rsid w:val="00371BB0"/>
    <w:rsid w:val="00381C8B"/>
    <w:rsid w:val="00387803"/>
    <w:rsid w:val="00390491"/>
    <w:rsid w:val="003926E4"/>
    <w:rsid w:val="00392D28"/>
    <w:rsid w:val="003A1307"/>
    <w:rsid w:val="003A14D0"/>
    <w:rsid w:val="003A5437"/>
    <w:rsid w:val="003A6E85"/>
    <w:rsid w:val="003A7B58"/>
    <w:rsid w:val="003B16DA"/>
    <w:rsid w:val="003B26F1"/>
    <w:rsid w:val="003B483E"/>
    <w:rsid w:val="003B5C93"/>
    <w:rsid w:val="003B6A52"/>
    <w:rsid w:val="003B7742"/>
    <w:rsid w:val="003B7D63"/>
    <w:rsid w:val="003C0F33"/>
    <w:rsid w:val="003C157D"/>
    <w:rsid w:val="003C175D"/>
    <w:rsid w:val="003C2087"/>
    <w:rsid w:val="003C285C"/>
    <w:rsid w:val="003C3001"/>
    <w:rsid w:val="003C3DB9"/>
    <w:rsid w:val="003C4603"/>
    <w:rsid w:val="003D2D50"/>
    <w:rsid w:val="003D5CFD"/>
    <w:rsid w:val="003E2501"/>
    <w:rsid w:val="003E27C6"/>
    <w:rsid w:val="003E3208"/>
    <w:rsid w:val="003E428C"/>
    <w:rsid w:val="003E67CB"/>
    <w:rsid w:val="003E77E7"/>
    <w:rsid w:val="003E77E8"/>
    <w:rsid w:val="003F1876"/>
    <w:rsid w:val="003F74D4"/>
    <w:rsid w:val="003F7B75"/>
    <w:rsid w:val="00400885"/>
    <w:rsid w:val="004011FA"/>
    <w:rsid w:val="0040126E"/>
    <w:rsid w:val="00405E3C"/>
    <w:rsid w:val="00411635"/>
    <w:rsid w:val="004159AE"/>
    <w:rsid w:val="004176C7"/>
    <w:rsid w:val="00421EFA"/>
    <w:rsid w:val="00422AE5"/>
    <w:rsid w:val="00423326"/>
    <w:rsid w:val="00425559"/>
    <w:rsid w:val="00426366"/>
    <w:rsid w:val="004360D0"/>
    <w:rsid w:val="004374B0"/>
    <w:rsid w:val="00437DD6"/>
    <w:rsid w:val="00442913"/>
    <w:rsid w:val="00443544"/>
    <w:rsid w:val="00444612"/>
    <w:rsid w:val="00452859"/>
    <w:rsid w:val="00456992"/>
    <w:rsid w:val="00456DB6"/>
    <w:rsid w:val="00457638"/>
    <w:rsid w:val="00457BEA"/>
    <w:rsid w:val="00457C3A"/>
    <w:rsid w:val="00457DEA"/>
    <w:rsid w:val="004634A5"/>
    <w:rsid w:val="0046685E"/>
    <w:rsid w:val="00467D7A"/>
    <w:rsid w:val="0047064A"/>
    <w:rsid w:val="0047080F"/>
    <w:rsid w:val="00472168"/>
    <w:rsid w:val="004741D0"/>
    <w:rsid w:val="004772FE"/>
    <w:rsid w:val="00483CA8"/>
    <w:rsid w:val="004841AE"/>
    <w:rsid w:val="00484E1B"/>
    <w:rsid w:val="00485598"/>
    <w:rsid w:val="0048643A"/>
    <w:rsid w:val="0048789A"/>
    <w:rsid w:val="00490ECE"/>
    <w:rsid w:val="00493FD0"/>
    <w:rsid w:val="0049453B"/>
    <w:rsid w:val="00494E7C"/>
    <w:rsid w:val="00495492"/>
    <w:rsid w:val="00496C0F"/>
    <w:rsid w:val="004976C0"/>
    <w:rsid w:val="00497807"/>
    <w:rsid w:val="00497ECD"/>
    <w:rsid w:val="004A0108"/>
    <w:rsid w:val="004A317D"/>
    <w:rsid w:val="004A31CC"/>
    <w:rsid w:val="004A75FB"/>
    <w:rsid w:val="004B241C"/>
    <w:rsid w:val="004B26CA"/>
    <w:rsid w:val="004B6D45"/>
    <w:rsid w:val="004B7B85"/>
    <w:rsid w:val="004C4063"/>
    <w:rsid w:val="004C5598"/>
    <w:rsid w:val="004D0D00"/>
    <w:rsid w:val="004D10C4"/>
    <w:rsid w:val="004D2297"/>
    <w:rsid w:val="004D36CE"/>
    <w:rsid w:val="004D4802"/>
    <w:rsid w:val="004D4E6C"/>
    <w:rsid w:val="004D5370"/>
    <w:rsid w:val="004D74E8"/>
    <w:rsid w:val="004E244C"/>
    <w:rsid w:val="004E44CF"/>
    <w:rsid w:val="004E5085"/>
    <w:rsid w:val="004E560A"/>
    <w:rsid w:val="004E62E3"/>
    <w:rsid w:val="004E6E75"/>
    <w:rsid w:val="004E7227"/>
    <w:rsid w:val="004F774D"/>
    <w:rsid w:val="00505116"/>
    <w:rsid w:val="0050524E"/>
    <w:rsid w:val="00505433"/>
    <w:rsid w:val="00506737"/>
    <w:rsid w:val="00510F49"/>
    <w:rsid w:val="00512922"/>
    <w:rsid w:val="00515B8D"/>
    <w:rsid w:val="005174AD"/>
    <w:rsid w:val="00520315"/>
    <w:rsid w:val="005214FA"/>
    <w:rsid w:val="0052276C"/>
    <w:rsid w:val="00523616"/>
    <w:rsid w:val="00525384"/>
    <w:rsid w:val="00526379"/>
    <w:rsid w:val="005301DD"/>
    <w:rsid w:val="00533237"/>
    <w:rsid w:val="00535F5D"/>
    <w:rsid w:val="0053772E"/>
    <w:rsid w:val="00541CBB"/>
    <w:rsid w:val="00542C50"/>
    <w:rsid w:val="0054405B"/>
    <w:rsid w:val="00544383"/>
    <w:rsid w:val="005445C7"/>
    <w:rsid w:val="00547432"/>
    <w:rsid w:val="00547690"/>
    <w:rsid w:val="00547862"/>
    <w:rsid w:val="0055124B"/>
    <w:rsid w:val="0055572F"/>
    <w:rsid w:val="00560C71"/>
    <w:rsid w:val="00563672"/>
    <w:rsid w:val="00563A3B"/>
    <w:rsid w:val="00570758"/>
    <w:rsid w:val="0057114C"/>
    <w:rsid w:val="00580366"/>
    <w:rsid w:val="00581546"/>
    <w:rsid w:val="00583C36"/>
    <w:rsid w:val="00587B2F"/>
    <w:rsid w:val="00590005"/>
    <w:rsid w:val="005955C6"/>
    <w:rsid w:val="00595D85"/>
    <w:rsid w:val="0059761F"/>
    <w:rsid w:val="005A1CD1"/>
    <w:rsid w:val="005A6627"/>
    <w:rsid w:val="005B7312"/>
    <w:rsid w:val="005C0D17"/>
    <w:rsid w:val="005C19ED"/>
    <w:rsid w:val="005C277E"/>
    <w:rsid w:val="005C4771"/>
    <w:rsid w:val="005C61F8"/>
    <w:rsid w:val="005C7AD7"/>
    <w:rsid w:val="005C7E41"/>
    <w:rsid w:val="005D2D7F"/>
    <w:rsid w:val="005D3E99"/>
    <w:rsid w:val="005D4B28"/>
    <w:rsid w:val="005D6E51"/>
    <w:rsid w:val="005E0D64"/>
    <w:rsid w:val="005E271C"/>
    <w:rsid w:val="005E4764"/>
    <w:rsid w:val="005E59DF"/>
    <w:rsid w:val="005E69DC"/>
    <w:rsid w:val="005F34CF"/>
    <w:rsid w:val="005F3B53"/>
    <w:rsid w:val="005F4905"/>
    <w:rsid w:val="005F543B"/>
    <w:rsid w:val="005F6408"/>
    <w:rsid w:val="005F7907"/>
    <w:rsid w:val="006024DF"/>
    <w:rsid w:val="00602616"/>
    <w:rsid w:val="00605D5A"/>
    <w:rsid w:val="00613702"/>
    <w:rsid w:val="0061618E"/>
    <w:rsid w:val="00621589"/>
    <w:rsid w:val="006216F0"/>
    <w:rsid w:val="00624631"/>
    <w:rsid w:val="00625850"/>
    <w:rsid w:val="00626A26"/>
    <w:rsid w:val="006277CC"/>
    <w:rsid w:val="00627D46"/>
    <w:rsid w:val="00627F3A"/>
    <w:rsid w:val="00631894"/>
    <w:rsid w:val="006336E2"/>
    <w:rsid w:val="006401C7"/>
    <w:rsid w:val="006402D0"/>
    <w:rsid w:val="00640BCC"/>
    <w:rsid w:val="00646D4C"/>
    <w:rsid w:val="00652973"/>
    <w:rsid w:val="00652991"/>
    <w:rsid w:val="00656679"/>
    <w:rsid w:val="00661A3B"/>
    <w:rsid w:val="00664F1F"/>
    <w:rsid w:val="00665127"/>
    <w:rsid w:val="00666A10"/>
    <w:rsid w:val="0067105F"/>
    <w:rsid w:val="00672573"/>
    <w:rsid w:val="006726B2"/>
    <w:rsid w:val="006734A9"/>
    <w:rsid w:val="0067363B"/>
    <w:rsid w:val="00673961"/>
    <w:rsid w:val="00673C00"/>
    <w:rsid w:val="0067712D"/>
    <w:rsid w:val="006816FD"/>
    <w:rsid w:val="00684003"/>
    <w:rsid w:val="00685478"/>
    <w:rsid w:val="00686707"/>
    <w:rsid w:val="006868C7"/>
    <w:rsid w:val="00690285"/>
    <w:rsid w:val="006919F2"/>
    <w:rsid w:val="006928C1"/>
    <w:rsid w:val="00693881"/>
    <w:rsid w:val="00696426"/>
    <w:rsid w:val="00696A48"/>
    <w:rsid w:val="00696FEA"/>
    <w:rsid w:val="00697B02"/>
    <w:rsid w:val="006A61D5"/>
    <w:rsid w:val="006A702B"/>
    <w:rsid w:val="006B4542"/>
    <w:rsid w:val="006B4F87"/>
    <w:rsid w:val="006C3CA9"/>
    <w:rsid w:val="006C5200"/>
    <w:rsid w:val="006C5B63"/>
    <w:rsid w:val="006C5DA9"/>
    <w:rsid w:val="006C60F5"/>
    <w:rsid w:val="006C632E"/>
    <w:rsid w:val="006C6821"/>
    <w:rsid w:val="006E2535"/>
    <w:rsid w:val="006E2D0F"/>
    <w:rsid w:val="006E4A72"/>
    <w:rsid w:val="006F42E2"/>
    <w:rsid w:val="006F7A01"/>
    <w:rsid w:val="007037A4"/>
    <w:rsid w:val="0070404B"/>
    <w:rsid w:val="00705477"/>
    <w:rsid w:val="00705BBE"/>
    <w:rsid w:val="00714808"/>
    <w:rsid w:val="0071777B"/>
    <w:rsid w:val="0072157B"/>
    <w:rsid w:val="00721DE3"/>
    <w:rsid w:val="007224CE"/>
    <w:rsid w:val="00722F98"/>
    <w:rsid w:val="00723A98"/>
    <w:rsid w:val="00723AB5"/>
    <w:rsid w:val="00724AED"/>
    <w:rsid w:val="00731E81"/>
    <w:rsid w:val="00731EC8"/>
    <w:rsid w:val="00732D1B"/>
    <w:rsid w:val="00734EAB"/>
    <w:rsid w:val="00734EB8"/>
    <w:rsid w:val="00742844"/>
    <w:rsid w:val="0074748C"/>
    <w:rsid w:val="00747C21"/>
    <w:rsid w:val="00751E40"/>
    <w:rsid w:val="0075407E"/>
    <w:rsid w:val="00755456"/>
    <w:rsid w:val="007576C3"/>
    <w:rsid w:val="00757CE6"/>
    <w:rsid w:val="00765161"/>
    <w:rsid w:val="00767F56"/>
    <w:rsid w:val="00773242"/>
    <w:rsid w:val="00777230"/>
    <w:rsid w:val="00777963"/>
    <w:rsid w:val="0078326D"/>
    <w:rsid w:val="00783F44"/>
    <w:rsid w:val="00791337"/>
    <w:rsid w:val="00794608"/>
    <w:rsid w:val="007968AF"/>
    <w:rsid w:val="007A2079"/>
    <w:rsid w:val="007A4343"/>
    <w:rsid w:val="007B02F1"/>
    <w:rsid w:val="007B11B8"/>
    <w:rsid w:val="007B7842"/>
    <w:rsid w:val="007C3281"/>
    <w:rsid w:val="007C50A7"/>
    <w:rsid w:val="007C5E22"/>
    <w:rsid w:val="007D2C3A"/>
    <w:rsid w:val="007D3FB9"/>
    <w:rsid w:val="007D40EF"/>
    <w:rsid w:val="007D6A05"/>
    <w:rsid w:val="007D79E4"/>
    <w:rsid w:val="007E0439"/>
    <w:rsid w:val="007E2672"/>
    <w:rsid w:val="007E2779"/>
    <w:rsid w:val="007E2D8C"/>
    <w:rsid w:val="007E4083"/>
    <w:rsid w:val="007E52E6"/>
    <w:rsid w:val="007F0673"/>
    <w:rsid w:val="007F072F"/>
    <w:rsid w:val="007F1655"/>
    <w:rsid w:val="007F17C5"/>
    <w:rsid w:val="007F3E68"/>
    <w:rsid w:val="008008BF"/>
    <w:rsid w:val="00800A2B"/>
    <w:rsid w:val="00800D42"/>
    <w:rsid w:val="00801026"/>
    <w:rsid w:val="00802B6B"/>
    <w:rsid w:val="00803311"/>
    <w:rsid w:val="00803C8D"/>
    <w:rsid w:val="00804038"/>
    <w:rsid w:val="008054D2"/>
    <w:rsid w:val="00805597"/>
    <w:rsid w:val="00806C1C"/>
    <w:rsid w:val="00812CC6"/>
    <w:rsid w:val="008134FE"/>
    <w:rsid w:val="0081374A"/>
    <w:rsid w:val="0082029E"/>
    <w:rsid w:val="008204C4"/>
    <w:rsid w:val="008220B9"/>
    <w:rsid w:val="00822A9D"/>
    <w:rsid w:val="008237D0"/>
    <w:rsid w:val="00825DAE"/>
    <w:rsid w:val="008266FB"/>
    <w:rsid w:val="00826757"/>
    <w:rsid w:val="00832CF7"/>
    <w:rsid w:val="00835157"/>
    <w:rsid w:val="00840BEC"/>
    <w:rsid w:val="008468D4"/>
    <w:rsid w:val="00847950"/>
    <w:rsid w:val="00850FA5"/>
    <w:rsid w:val="00853414"/>
    <w:rsid w:val="008537D8"/>
    <w:rsid w:val="00855C46"/>
    <w:rsid w:val="0085728F"/>
    <w:rsid w:val="00862667"/>
    <w:rsid w:val="00862CA0"/>
    <w:rsid w:val="0086373B"/>
    <w:rsid w:val="00863EB1"/>
    <w:rsid w:val="00866953"/>
    <w:rsid w:val="008672EA"/>
    <w:rsid w:val="0087218C"/>
    <w:rsid w:val="00874DA5"/>
    <w:rsid w:val="00877028"/>
    <w:rsid w:val="00881358"/>
    <w:rsid w:val="00886C2B"/>
    <w:rsid w:val="008923B6"/>
    <w:rsid w:val="0089247E"/>
    <w:rsid w:val="00893055"/>
    <w:rsid w:val="00894271"/>
    <w:rsid w:val="00894551"/>
    <w:rsid w:val="00895FF8"/>
    <w:rsid w:val="0089602E"/>
    <w:rsid w:val="008967D5"/>
    <w:rsid w:val="008970FB"/>
    <w:rsid w:val="008A058D"/>
    <w:rsid w:val="008A084E"/>
    <w:rsid w:val="008A3158"/>
    <w:rsid w:val="008A5290"/>
    <w:rsid w:val="008A6B01"/>
    <w:rsid w:val="008B08A5"/>
    <w:rsid w:val="008B12BC"/>
    <w:rsid w:val="008B21EF"/>
    <w:rsid w:val="008B252B"/>
    <w:rsid w:val="008B4883"/>
    <w:rsid w:val="008B5028"/>
    <w:rsid w:val="008B72EF"/>
    <w:rsid w:val="008B77E5"/>
    <w:rsid w:val="008B7A1E"/>
    <w:rsid w:val="008C0A74"/>
    <w:rsid w:val="008C1922"/>
    <w:rsid w:val="008C20FA"/>
    <w:rsid w:val="008C3A24"/>
    <w:rsid w:val="008C4FC4"/>
    <w:rsid w:val="008C50AF"/>
    <w:rsid w:val="008C51B3"/>
    <w:rsid w:val="008C67DB"/>
    <w:rsid w:val="008D195B"/>
    <w:rsid w:val="008E12DE"/>
    <w:rsid w:val="008E173A"/>
    <w:rsid w:val="008E184E"/>
    <w:rsid w:val="008E2F90"/>
    <w:rsid w:val="008E41DA"/>
    <w:rsid w:val="008E6C3A"/>
    <w:rsid w:val="008E6C57"/>
    <w:rsid w:val="008F0107"/>
    <w:rsid w:val="008F20BA"/>
    <w:rsid w:val="008F34FD"/>
    <w:rsid w:val="008F64E1"/>
    <w:rsid w:val="008F6946"/>
    <w:rsid w:val="009025CC"/>
    <w:rsid w:val="00902774"/>
    <w:rsid w:val="009058B5"/>
    <w:rsid w:val="00905C11"/>
    <w:rsid w:val="00911070"/>
    <w:rsid w:val="009210E0"/>
    <w:rsid w:val="0092256E"/>
    <w:rsid w:val="00922655"/>
    <w:rsid w:val="009240A0"/>
    <w:rsid w:val="00925248"/>
    <w:rsid w:val="0092715D"/>
    <w:rsid w:val="0092765D"/>
    <w:rsid w:val="0092768C"/>
    <w:rsid w:val="009277CD"/>
    <w:rsid w:val="00933317"/>
    <w:rsid w:val="00934CDB"/>
    <w:rsid w:val="009377A4"/>
    <w:rsid w:val="00937B84"/>
    <w:rsid w:val="009406A0"/>
    <w:rsid w:val="00940830"/>
    <w:rsid w:val="00942119"/>
    <w:rsid w:val="00945BCD"/>
    <w:rsid w:val="009461ED"/>
    <w:rsid w:val="0095090B"/>
    <w:rsid w:val="009538E6"/>
    <w:rsid w:val="00955A99"/>
    <w:rsid w:val="00956F3E"/>
    <w:rsid w:val="0096200F"/>
    <w:rsid w:val="00962F7B"/>
    <w:rsid w:val="0096312C"/>
    <w:rsid w:val="009644E3"/>
    <w:rsid w:val="0096473E"/>
    <w:rsid w:val="0096483B"/>
    <w:rsid w:val="00964CE0"/>
    <w:rsid w:val="00965D4D"/>
    <w:rsid w:val="00966566"/>
    <w:rsid w:val="009704E4"/>
    <w:rsid w:val="00972876"/>
    <w:rsid w:val="009745C7"/>
    <w:rsid w:val="009757D4"/>
    <w:rsid w:val="00976DD5"/>
    <w:rsid w:val="009775C7"/>
    <w:rsid w:val="009811E4"/>
    <w:rsid w:val="009819AC"/>
    <w:rsid w:val="009829E2"/>
    <w:rsid w:val="00983535"/>
    <w:rsid w:val="009852BA"/>
    <w:rsid w:val="00985765"/>
    <w:rsid w:val="00993BAF"/>
    <w:rsid w:val="00994993"/>
    <w:rsid w:val="00996A72"/>
    <w:rsid w:val="009973D2"/>
    <w:rsid w:val="009A1510"/>
    <w:rsid w:val="009A48F8"/>
    <w:rsid w:val="009A4B44"/>
    <w:rsid w:val="009A6AD7"/>
    <w:rsid w:val="009B0277"/>
    <w:rsid w:val="009B6492"/>
    <w:rsid w:val="009C04E7"/>
    <w:rsid w:val="009C20F5"/>
    <w:rsid w:val="009C22BE"/>
    <w:rsid w:val="009C78A5"/>
    <w:rsid w:val="009D0FA6"/>
    <w:rsid w:val="009D1851"/>
    <w:rsid w:val="009D35EB"/>
    <w:rsid w:val="009E0540"/>
    <w:rsid w:val="009E17EF"/>
    <w:rsid w:val="009E231A"/>
    <w:rsid w:val="009E2D82"/>
    <w:rsid w:val="009E2F64"/>
    <w:rsid w:val="009E43FE"/>
    <w:rsid w:val="009E69AC"/>
    <w:rsid w:val="009F2243"/>
    <w:rsid w:val="009F614D"/>
    <w:rsid w:val="009F7E66"/>
    <w:rsid w:val="00A012CA"/>
    <w:rsid w:val="00A03BF0"/>
    <w:rsid w:val="00A04DDE"/>
    <w:rsid w:val="00A06CE2"/>
    <w:rsid w:val="00A077C7"/>
    <w:rsid w:val="00A07CAC"/>
    <w:rsid w:val="00A07D8F"/>
    <w:rsid w:val="00A102DE"/>
    <w:rsid w:val="00A10A6B"/>
    <w:rsid w:val="00A10E2B"/>
    <w:rsid w:val="00A15198"/>
    <w:rsid w:val="00A213FB"/>
    <w:rsid w:val="00A23348"/>
    <w:rsid w:val="00A2455F"/>
    <w:rsid w:val="00A24982"/>
    <w:rsid w:val="00A24DFD"/>
    <w:rsid w:val="00A25E23"/>
    <w:rsid w:val="00A30084"/>
    <w:rsid w:val="00A334BE"/>
    <w:rsid w:val="00A36153"/>
    <w:rsid w:val="00A47A74"/>
    <w:rsid w:val="00A50895"/>
    <w:rsid w:val="00A525A0"/>
    <w:rsid w:val="00A526AA"/>
    <w:rsid w:val="00A535A5"/>
    <w:rsid w:val="00A566CC"/>
    <w:rsid w:val="00A61DE8"/>
    <w:rsid w:val="00A70D3D"/>
    <w:rsid w:val="00A73318"/>
    <w:rsid w:val="00A76559"/>
    <w:rsid w:val="00A76B9D"/>
    <w:rsid w:val="00A81CCA"/>
    <w:rsid w:val="00A91B3F"/>
    <w:rsid w:val="00A92F6E"/>
    <w:rsid w:val="00A9334E"/>
    <w:rsid w:val="00A93867"/>
    <w:rsid w:val="00A93893"/>
    <w:rsid w:val="00A94A4A"/>
    <w:rsid w:val="00A9531F"/>
    <w:rsid w:val="00A95F6E"/>
    <w:rsid w:val="00AA034F"/>
    <w:rsid w:val="00AA0C7E"/>
    <w:rsid w:val="00AA44D4"/>
    <w:rsid w:val="00AA52A1"/>
    <w:rsid w:val="00AA5969"/>
    <w:rsid w:val="00AB00F5"/>
    <w:rsid w:val="00AB54C7"/>
    <w:rsid w:val="00AB5AD9"/>
    <w:rsid w:val="00AB7B53"/>
    <w:rsid w:val="00AB7E26"/>
    <w:rsid w:val="00AC4686"/>
    <w:rsid w:val="00AC6079"/>
    <w:rsid w:val="00AD0288"/>
    <w:rsid w:val="00AD5FB1"/>
    <w:rsid w:val="00AE0D29"/>
    <w:rsid w:val="00AE18CB"/>
    <w:rsid w:val="00AE236D"/>
    <w:rsid w:val="00AE37B8"/>
    <w:rsid w:val="00AE67EB"/>
    <w:rsid w:val="00AE6E38"/>
    <w:rsid w:val="00AF1005"/>
    <w:rsid w:val="00AF154D"/>
    <w:rsid w:val="00AF28B4"/>
    <w:rsid w:val="00AF45B5"/>
    <w:rsid w:val="00AF4F47"/>
    <w:rsid w:val="00B002F1"/>
    <w:rsid w:val="00B015A7"/>
    <w:rsid w:val="00B019F7"/>
    <w:rsid w:val="00B05F5C"/>
    <w:rsid w:val="00B07BB7"/>
    <w:rsid w:val="00B10162"/>
    <w:rsid w:val="00B158FB"/>
    <w:rsid w:val="00B161D4"/>
    <w:rsid w:val="00B16EE2"/>
    <w:rsid w:val="00B21F9F"/>
    <w:rsid w:val="00B2410F"/>
    <w:rsid w:val="00B26365"/>
    <w:rsid w:val="00B27C10"/>
    <w:rsid w:val="00B27DFC"/>
    <w:rsid w:val="00B30A90"/>
    <w:rsid w:val="00B30A97"/>
    <w:rsid w:val="00B31071"/>
    <w:rsid w:val="00B31EC5"/>
    <w:rsid w:val="00B322B7"/>
    <w:rsid w:val="00B3304C"/>
    <w:rsid w:val="00B344BD"/>
    <w:rsid w:val="00B348C0"/>
    <w:rsid w:val="00B34DAC"/>
    <w:rsid w:val="00B362E6"/>
    <w:rsid w:val="00B4005A"/>
    <w:rsid w:val="00B405FC"/>
    <w:rsid w:val="00B408C9"/>
    <w:rsid w:val="00B41272"/>
    <w:rsid w:val="00B412A6"/>
    <w:rsid w:val="00B412CF"/>
    <w:rsid w:val="00B426FE"/>
    <w:rsid w:val="00B51715"/>
    <w:rsid w:val="00B536D3"/>
    <w:rsid w:val="00B5740F"/>
    <w:rsid w:val="00B57CC9"/>
    <w:rsid w:val="00B63475"/>
    <w:rsid w:val="00B76374"/>
    <w:rsid w:val="00B77043"/>
    <w:rsid w:val="00B77954"/>
    <w:rsid w:val="00B80027"/>
    <w:rsid w:val="00B83C7E"/>
    <w:rsid w:val="00B84622"/>
    <w:rsid w:val="00B86D06"/>
    <w:rsid w:val="00B92D95"/>
    <w:rsid w:val="00B933E0"/>
    <w:rsid w:val="00B943F4"/>
    <w:rsid w:val="00B97721"/>
    <w:rsid w:val="00BA016D"/>
    <w:rsid w:val="00BA0DA0"/>
    <w:rsid w:val="00BA1461"/>
    <w:rsid w:val="00BA436C"/>
    <w:rsid w:val="00BA7A00"/>
    <w:rsid w:val="00BB113D"/>
    <w:rsid w:val="00BB4010"/>
    <w:rsid w:val="00BC1F83"/>
    <w:rsid w:val="00BC2095"/>
    <w:rsid w:val="00BC21C1"/>
    <w:rsid w:val="00BC265D"/>
    <w:rsid w:val="00BC2FE8"/>
    <w:rsid w:val="00BC3A5E"/>
    <w:rsid w:val="00BC4E02"/>
    <w:rsid w:val="00BC770A"/>
    <w:rsid w:val="00BC7C47"/>
    <w:rsid w:val="00BD00B7"/>
    <w:rsid w:val="00BD019E"/>
    <w:rsid w:val="00BD18C5"/>
    <w:rsid w:val="00BD5AB9"/>
    <w:rsid w:val="00BD5EE0"/>
    <w:rsid w:val="00BE3713"/>
    <w:rsid w:val="00BE4461"/>
    <w:rsid w:val="00BE491C"/>
    <w:rsid w:val="00BE5A33"/>
    <w:rsid w:val="00BE5CE2"/>
    <w:rsid w:val="00BF0F1C"/>
    <w:rsid w:val="00BF2452"/>
    <w:rsid w:val="00BF3394"/>
    <w:rsid w:val="00BF39A1"/>
    <w:rsid w:val="00BF3EA1"/>
    <w:rsid w:val="00BF690E"/>
    <w:rsid w:val="00C01CC5"/>
    <w:rsid w:val="00C02BB6"/>
    <w:rsid w:val="00C03838"/>
    <w:rsid w:val="00C04641"/>
    <w:rsid w:val="00C053D5"/>
    <w:rsid w:val="00C10979"/>
    <w:rsid w:val="00C10F55"/>
    <w:rsid w:val="00C117A5"/>
    <w:rsid w:val="00C1265F"/>
    <w:rsid w:val="00C1421F"/>
    <w:rsid w:val="00C16179"/>
    <w:rsid w:val="00C16E96"/>
    <w:rsid w:val="00C16F09"/>
    <w:rsid w:val="00C17FDD"/>
    <w:rsid w:val="00C2151E"/>
    <w:rsid w:val="00C22722"/>
    <w:rsid w:val="00C24FEE"/>
    <w:rsid w:val="00C252B3"/>
    <w:rsid w:val="00C27096"/>
    <w:rsid w:val="00C27533"/>
    <w:rsid w:val="00C27E42"/>
    <w:rsid w:val="00C303FD"/>
    <w:rsid w:val="00C31F1F"/>
    <w:rsid w:val="00C32C66"/>
    <w:rsid w:val="00C36C66"/>
    <w:rsid w:val="00C4023D"/>
    <w:rsid w:val="00C41CE6"/>
    <w:rsid w:val="00C43CAF"/>
    <w:rsid w:val="00C44229"/>
    <w:rsid w:val="00C45174"/>
    <w:rsid w:val="00C500C9"/>
    <w:rsid w:val="00C5056B"/>
    <w:rsid w:val="00C52CBF"/>
    <w:rsid w:val="00C54125"/>
    <w:rsid w:val="00C55950"/>
    <w:rsid w:val="00C610CD"/>
    <w:rsid w:val="00C61476"/>
    <w:rsid w:val="00C62602"/>
    <w:rsid w:val="00C63294"/>
    <w:rsid w:val="00C664CF"/>
    <w:rsid w:val="00C667B4"/>
    <w:rsid w:val="00C66BA9"/>
    <w:rsid w:val="00C678C5"/>
    <w:rsid w:val="00C72668"/>
    <w:rsid w:val="00C77DC6"/>
    <w:rsid w:val="00C801DA"/>
    <w:rsid w:val="00C82419"/>
    <w:rsid w:val="00C91C7E"/>
    <w:rsid w:val="00C926F0"/>
    <w:rsid w:val="00C92BA4"/>
    <w:rsid w:val="00C9309E"/>
    <w:rsid w:val="00C9656D"/>
    <w:rsid w:val="00C977B3"/>
    <w:rsid w:val="00C97AF3"/>
    <w:rsid w:val="00CA0983"/>
    <w:rsid w:val="00CA4AFC"/>
    <w:rsid w:val="00CA6924"/>
    <w:rsid w:val="00CA7119"/>
    <w:rsid w:val="00CB05A3"/>
    <w:rsid w:val="00CB3455"/>
    <w:rsid w:val="00CB3C12"/>
    <w:rsid w:val="00CB47F7"/>
    <w:rsid w:val="00CB4A8B"/>
    <w:rsid w:val="00CB6D03"/>
    <w:rsid w:val="00CC083E"/>
    <w:rsid w:val="00CC1A60"/>
    <w:rsid w:val="00CC23C8"/>
    <w:rsid w:val="00CD0BFB"/>
    <w:rsid w:val="00CD2D3B"/>
    <w:rsid w:val="00CD5F32"/>
    <w:rsid w:val="00CD6008"/>
    <w:rsid w:val="00CD6394"/>
    <w:rsid w:val="00CD654B"/>
    <w:rsid w:val="00CE0857"/>
    <w:rsid w:val="00CE3E98"/>
    <w:rsid w:val="00CE3F2D"/>
    <w:rsid w:val="00CE72FA"/>
    <w:rsid w:val="00CF2DD7"/>
    <w:rsid w:val="00D00108"/>
    <w:rsid w:val="00D014C4"/>
    <w:rsid w:val="00D0627D"/>
    <w:rsid w:val="00D076F0"/>
    <w:rsid w:val="00D07DEE"/>
    <w:rsid w:val="00D10222"/>
    <w:rsid w:val="00D142C5"/>
    <w:rsid w:val="00D14A8A"/>
    <w:rsid w:val="00D155FF"/>
    <w:rsid w:val="00D15B8D"/>
    <w:rsid w:val="00D1663F"/>
    <w:rsid w:val="00D20511"/>
    <w:rsid w:val="00D21645"/>
    <w:rsid w:val="00D239B8"/>
    <w:rsid w:val="00D2432F"/>
    <w:rsid w:val="00D303F9"/>
    <w:rsid w:val="00D30638"/>
    <w:rsid w:val="00D36B8C"/>
    <w:rsid w:val="00D42A61"/>
    <w:rsid w:val="00D43B5F"/>
    <w:rsid w:val="00D45ADC"/>
    <w:rsid w:val="00D46683"/>
    <w:rsid w:val="00D513BF"/>
    <w:rsid w:val="00D52F37"/>
    <w:rsid w:val="00D55B54"/>
    <w:rsid w:val="00D602E4"/>
    <w:rsid w:val="00D604D6"/>
    <w:rsid w:val="00D60DAE"/>
    <w:rsid w:val="00D625FB"/>
    <w:rsid w:val="00D65F88"/>
    <w:rsid w:val="00D66B8D"/>
    <w:rsid w:val="00D7122C"/>
    <w:rsid w:val="00D71435"/>
    <w:rsid w:val="00D734EF"/>
    <w:rsid w:val="00D741E1"/>
    <w:rsid w:val="00D75562"/>
    <w:rsid w:val="00D76E9A"/>
    <w:rsid w:val="00D77FB4"/>
    <w:rsid w:val="00D84E46"/>
    <w:rsid w:val="00D903D7"/>
    <w:rsid w:val="00D921A7"/>
    <w:rsid w:val="00D95BAC"/>
    <w:rsid w:val="00D95E7F"/>
    <w:rsid w:val="00D9723A"/>
    <w:rsid w:val="00DA015E"/>
    <w:rsid w:val="00DA08D9"/>
    <w:rsid w:val="00DA09C2"/>
    <w:rsid w:val="00DA0DF9"/>
    <w:rsid w:val="00DA1306"/>
    <w:rsid w:val="00DA2B13"/>
    <w:rsid w:val="00DA44CE"/>
    <w:rsid w:val="00DA6057"/>
    <w:rsid w:val="00DB0C31"/>
    <w:rsid w:val="00DB315B"/>
    <w:rsid w:val="00DB3306"/>
    <w:rsid w:val="00DB4ACF"/>
    <w:rsid w:val="00DB599C"/>
    <w:rsid w:val="00DB5A8C"/>
    <w:rsid w:val="00DC1942"/>
    <w:rsid w:val="00DC2B98"/>
    <w:rsid w:val="00DC34E4"/>
    <w:rsid w:val="00DC5903"/>
    <w:rsid w:val="00DC5F5C"/>
    <w:rsid w:val="00DD554B"/>
    <w:rsid w:val="00DF0D05"/>
    <w:rsid w:val="00DF7111"/>
    <w:rsid w:val="00DF75A9"/>
    <w:rsid w:val="00E025DF"/>
    <w:rsid w:val="00E050F4"/>
    <w:rsid w:val="00E0674D"/>
    <w:rsid w:val="00E06B95"/>
    <w:rsid w:val="00E10492"/>
    <w:rsid w:val="00E110EA"/>
    <w:rsid w:val="00E123CB"/>
    <w:rsid w:val="00E14FA9"/>
    <w:rsid w:val="00E1785B"/>
    <w:rsid w:val="00E21AD2"/>
    <w:rsid w:val="00E22C65"/>
    <w:rsid w:val="00E236D0"/>
    <w:rsid w:val="00E23935"/>
    <w:rsid w:val="00E23B94"/>
    <w:rsid w:val="00E24C2B"/>
    <w:rsid w:val="00E253CA"/>
    <w:rsid w:val="00E3301F"/>
    <w:rsid w:val="00E3640E"/>
    <w:rsid w:val="00E365F8"/>
    <w:rsid w:val="00E37657"/>
    <w:rsid w:val="00E40EA2"/>
    <w:rsid w:val="00E41F4C"/>
    <w:rsid w:val="00E429C5"/>
    <w:rsid w:val="00E44A40"/>
    <w:rsid w:val="00E458C9"/>
    <w:rsid w:val="00E46260"/>
    <w:rsid w:val="00E47991"/>
    <w:rsid w:val="00E52313"/>
    <w:rsid w:val="00E52741"/>
    <w:rsid w:val="00E52E7F"/>
    <w:rsid w:val="00E555D1"/>
    <w:rsid w:val="00E55CF8"/>
    <w:rsid w:val="00E56D19"/>
    <w:rsid w:val="00E56EC1"/>
    <w:rsid w:val="00E60466"/>
    <w:rsid w:val="00E627C7"/>
    <w:rsid w:val="00E642DD"/>
    <w:rsid w:val="00E65F7F"/>
    <w:rsid w:val="00E67367"/>
    <w:rsid w:val="00E6783C"/>
    <w:rsid w:val="00E67A89"/>
    <w:rsid w:val="00E7194F"/>
    <w:rsid w:val="00E723E2"/>
    <w:rsid w:val="00E729CB"/>
    <w:rsid w:val="00E73441"/>
    <w:rsid w:val="00E73C4E"/>
    <w:rsid w:val="00E74124"/>
    <w:rsid w:val="00E80F6B"/>
    <w:rsid w:val="00E81A91"/>
    <w:rsid w:val="00E83E5A"/>
    <w:rsid w:val="00E86E10"/>
    <w:rsid w:val="00E900B4"/>
    <w:rsid w:val="00E91614"/>
    <w:rsid w:val="00E92B8B"/>
    <w:rsid w:val="00E95812"/>
    <w:rsid w:val="00E95948"/>
    <w:rsid w:val="00EA4D53"/>
    <w:rsid w:val="00EB18DD"/>
    <w:rsid w:val="00EB246B"/>
    <w:rsid w:val="00EC1310"/>
    <w:rsid w:val="00EC3B66"/>
    <w:rsid w:val="00EC5BF3"/>
    <w:rsid w:val="00EC7BAC"/>
    <w:rsid w:val="00ED0378"/>
    <w:rsid w:val="00ED34DA"/>
    <w:rsid w:val="00ED4D6D"/>
    <w:rsid w:val="00ED7BCC"/>
    <w:rsid w:val="00EE2DB8"/>
    <w:rsid w:val="00EE3D94"/>
    <w:rsid w:val="00EE42D9"/>
    <w:rsid w:val="00EE49E7"/>
    <w:rsid w:val="00EE4CEA"/>
    <w:rsid w:val="00EE6353"/>
    <w:rsid w:val="00EE6500"/>
    <w:rsid w:val="00EE67B3"/>
    <w:rsid w:val="00EF151C"/>
    <w:rsid w:val="00EF2E07"/>
    <w:rsid w:val="00EF2FBC"/>
    <w:rsid w:val="00EF33A2"/>
    <w:rsid w:val="00EF3768"/>
    <w:rsid w:val="00EF40F3"/>
    <w:rsid w:val="00EF5D21"/>
    <w:rsid w:val="00EF6565"/>
    <w:rsid w:val="00F003D6"/>
    <w:rsid w:val="00F07C6E"/>
    <w:rsid w:val="00F10BE1"/>
    <w:rsid w:val="00F12FD6"/>
    <w:rsid w:val="00F13D84"/>
    <w:rsid w:val="00F162AC"/>
    <w:rsid w:val="00F16536"/>
    <w:rsid w:val="00F210FE"/>
    <w:rsid w:val="00F233C0"/>
    <w:rsid w:val="00F23CA5"/>
    <w:rsid w:val="00F24981"/>
    <w:rsid w:val="00F25A3B"/>
    <w:rsid w:val="00F31312"/>
    <w:rsid w:val="00F31AC7"/>
    <w:rsid w:val="00F33F45"/>
    <w:rsid w:val="00F3636D"/>
    <w:rsid w:val="00F40E1E"/>
    <w:rsid w:val="00F41628"/>
    <w:rsid w:val="00F41F55"/>
    <w:rsid w:val="00F43A0D"/>
    <w:rsid w:val="00F45198"/>
    <w:rsid w:val="00F45FB4"/>
    <w:rsid w:val="00F525C2"/>
    <w:rsid w:val="00F52973"/>
    <w:rsid w:val="00F56B11"/>
    <w:rsid w:val="00F56B53"/>
    <w:rsid w:val="00F600F8"/>
    <w:rsid w:val="00F6102E"/>
    <w:rsid w:val="00F63670"/>
    <w:rsid w:val="00F63E89"/>
    <w:rsid w:val="00F652FA"/>
    <w:rsid w:val="00F728F1"/>
    <w:rsid w:val="00F754CC"/>
    <w:rsid w:val="00F768BE"/>
    <w:rsid w:val="00F7728E"/>
    <w:rsid w:val="00F77CDB"/>
    <w:rsid w:val="00F81B99"/>
    <w:rsid w:val="00F82044"/>
    <w:rsid w:val="00F833FD"/>
    <w:rsid w:val="00F86657"/>
    <w:rsid w:val="00F91B5E"/>
    <w:rsid w:val="00F91E68"/>
    <w:rsid w:val="00F93048"/>
    <w:rsid w:val="00F935FA"/>
    <w:rsid w:val="00F9393D"/>
    <w:rsid w:val="00F94BA0"/>
    <w:rsid w:val="00FA0DB3"/>
    <w:rsid w:val="00FA6D26"/>
    <w:rsid w:val="00FA6F67"/>
    <w:rsid w:val="00FA740E"/>
    <w:rsid w:val="00FA79F7"/>
    <w:rsid w:val="00FA7DBA"/>
    <w:rsid w:val="00FB0B50"/>
    <w:rsid w:val="00FB0F67"/>
    <w:rsid w:val="00FB1757"/>
    <w:rsid w:val="00FB4534"/>
    <w:rsid w:val="00FB46E9"/>
    <w:rsid w:val="00FB54B3"/>
    <w:rsid w:val="00FB58E6"/>
    <w:rsid w:val="00FC12EB"/>
    <w:rsid w:val="00FC3571"/>
    <w:rsid w:val="00FC39C9"/>
    <w:rsid w:val="00FC4660"/>
    <w:rsid w:val="00FC6217"/>
    <w:rsid w:val="00FC751D"/>
    <w:rsid w:val="00FD2365"/>
    <w:rsid w:val="00FD240D"/>
    <w:rsid w:val="00FD42D1"/>
    <w:rsid w:val="00FD5869"/>
    <w:rsid w:val="00FD5AFF"/>
    <w:rsid w:val="00FD7544"/>
    <w:rsid w:val="00FE015F"/>
    <w:rsid w:val="00FE1A19"/>
    <w:rsid w:val="00FE3F74"/>
    <w:rsid w:val="00FE4A2D"/>
    <w:rsid w:val="00FE62AA"/>
    <w:rsid w:val="00FE6F0A"/>
    <w:rsid w:val="00FF27E9"/>
    <w:rsid w:val="00FF47E2"/>
    <w:rsid w:val="00FF5931"/>
    <w:rsid w:val="0405A908"/>
    <w:rsid w:val="27192FAF"/>
  </w:rsids>
  <m:mathPr>
    <m:mathFont m:val="Cambria Math"/>
    <m:brkBin m:val="before"/>
    <m:brkBinSub m:val="--"/>
    <m:smallFrac m:val="0"/>
    <m:dispDef m:val="0"/>
    <m:lMargin m:val="0"/>
    <m:rMargin m:val="0"/>
    <m:defJc m:val="centerGroup"/>
    <m:wrapRight/>
    <m:intLim m:val="subSup"/>
    <m:naryLim m:val="subSup"/>
  </m:mathPr>
  <w:themeFontLang w:val="en-AU" w:eastAsia="ja-JP" w:bidi="bn-B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FD94FC"/>
  <w15:docId w15:val="{7BFE624F-AE48-2A47-BB4C-2EBC58CFF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iPriority="0"/>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semiHidden/>
    <w:qFormat/>
    <w:rsid w:val="003F7B75"/>
    <w:pPr>
      <w:spacing w:before="160" w:line="260" w:lineRule="exact"/>
    </w:pPr>
    <w:rPr>
      <w:rFonts w:ascii="Montserrat" w:hAnsi="Montserrat"/>
      <w:sz w:val="19"/>
      <w:lang w:val="en-AU"/>
    </w:rPr>
  </w:style>
  <w:style w:type="paragraph" w:styleId="Heading1">
    <w:name w:val="heading 1"/>
    <w:next w:val="Text"/>
    <w:link w:val="Heading1Char"/>
    <w:qFormat/>
    <w:rsid w:val="00A93893"/>
    <w:pPr>
      <w:keepNext/>
      <w:spacing w:after="360"/>
      <w:outlineLvl w:val="0"/>
    </w:pPr>
    <w:rPr>
      <w:rFonts w:ascii="Montserrat" w:hAnsi="Montserrat" w:cs="Tahoma"/>
      <w:b/>
      <w:color w:val="000000"/>
      <w:kern w:val="28"/>
      <w:sz w:val="48"/>
      <w:szCs w:val="56"/>
      <w:lang w:val="en-AU"/>
    </w:rPr>
  </w:style>
  <w:style w:type="paragraph" w:styleId="Heading2">
    <w:name w:val="heading 2"/>
    <w:next w:val="Text"/>
    <w:link w:val="Heading2Char"/>
    <w:qFormat/>
    <w:rsid w:val="003D2D50"/>
    <w:pPr>
      <w:keepNext/>
      <w:spacing w:before="360"/>
      <w:ind w:right="-369"/>
      <w:outlineLvl w:val="1"/>
    </w:pPr>
    <w:rPr>
      <w:rFonts w:ascii="Montserrat" w:hAnsi="Montserrat" w:cs="Tahoma"/>
      <w:b/>
      <w:sz w:val="28"/>
      <w:lang w:val="en-AU"/>
    </w:rPr>
  </w:style>
  <w:style w:type="paragraph" w:styleId="Heading3">
    <w:name w:val="heading 3"/>
    <w:next w:val="Text"/>
    <w:link w:val="Heading3Char"/>
    <w:qFormat/>
    <w:rsid w:val="00FD5869"/>
    <w:pPr>
      <w:spacing w:before="280" w:line="320" w:lineRule="exact"/>
      <w:outlineLvl w:val="2"/>
    </w:pPr>
    <w:rPr>
      <w:rFonts w:ascii="Montserrat" w:hAnsi="Montserrat" w:cs="Tahoma"/>
      <w:color w:val="000000"/>
      <w:sz w:val="24"/>
      <w:lang w:val="en-AU"/>
    </w:rPr>
  </w:style>
  <w:style w:type="paragraph" w:styleId="Heading4">
    <w:name w:val="heading 4"/>
    <w:next w:val="Text"/>
    <w:link w:val="Heading4Char"/>
    <w:qFormat/>
    <w:rsid w:val="00FD5869"/>
    <w:pPr>
      <w:spacing w:before="240"/>
      <w:outlineLvl w:val="3"/>
    </w:pPr>
    <w:rPr>
      <w:rFonts w:ascii="Montserrat" w:hAnsi="Montserrat"/>
      <w:i/>
      <w:sz w:val="24"/>
      <w:lang w:val="en-AU"/>
    </w:rPr>
  </w:style>
  <w:style w:type="paragraph" w:styleId="Heading5">
    <w:name w:val="heading 5"/>
    <w:basedOn w:val="Normal"/>
    <w:next w:val="Normal"/>
    <w:link w:val="Heading5Char"/>
    <w:qFormat/>
    <w:rsid w:val="007037A4"/>
    <w:pPr>
      <w:keepNext/>
      <w:outlineLvl w:val="4"/>
    </w:pPr>
    <w:rPr>
      <w:rFonts w:ascii="Tahoma" w:hAnsi="Tahoma"/>
      <w:b/>
    </w:rPr>
  </w:style>
  <w:style w:type="paragraph" w:styleId="Heading6">
    <w:name w:val="heading 6"/>
    <w:basedOn w:val="Normal"/>
    <w:next w:val="Normal"/>
    <w:qFormat/>
    <w:rsid w:val="007037A4"/>
    <w:pPr>
      <w:keepNext/>
      <w:ind w:left="2977"/>
      <w:outlineLvl w:val="5"/>
    </w:pPr>
    <w:rPr>
      <w:rFonts w:ascii="Tahoma" w:hAnsi="Tahoma"/>
      <w:sz w:val="20"/>
    </w:rPr>
  </w:style>
  <w:style w:type="paragraph" w:styleId="Heading7">
    <w:name w:val="heading 7"/>
    <w:basedOn w:val="Normal"/>
    <w:next w:val="Normal"/>
    <w:qFormat/>
    <w:rsid w:val="007037A4"/>
    <w:pPr>
      <w:keepNext/>
      <w:jc w:val="center"/>
      <w:outlineLvl w:val="6"/>
    </w:pPr>
    <w:rPr>
      <w:rFonts w:ascii="Tahoma" w:hAnsi="Tahoma"/>
      <w:spacing w:val="20"/>
      <w:sz w:val="20"/>
    </w:rPr>
  </w:style>
  <w:style w:type="paragraph" w:styleId="Heading8">
    <w:name w:val="heading 8"/>
    <w:basedOn w:val="Normal"/>
    <w:next w:val="Normal"/>
    <w:qFormat/>
    <w:rsid w:val="007037A4"/>
    <w:pPr>
      <w:keepNext/>
      <w:jc w:val="center"/>
      <w:outlineLvl w:val="7"/>
    </w:pPr>
    <w:rPr>
      <w:rFonts w:ascii="Tahoma" w:hAnsi="Tahoma"/>
      <w:color w:val="C0C0C0"/>
      <w:spacing w:val="60"/>
      <w:sz w:val="20"/>
    </w:rPr>
  </w:style>
  <w:style w:type="paragraph" w:styleId="Heading9">
    <w:name w:val="heading 9"/>
    <w:basedOn w:val="Normal"/>
    <w:next w:val="Normal"/>
    <w:link w:val="Heading9Char"/>
    <w:uiPriority w:val="9"/>
    <w:semiHidden/>
    <w:rsid w:val="004D5370"/>
    <w:pPr>
      <w:keepNext/>
      <w:keepLines/>
      <w:spacing w:before="200"/>
      <w:outlineLvl w:val="8"/>
    </w:pPr>
    <w:rPr>
      <w:rFonts w:ascii="Calibri" w:hAnsi="Calibri" w:cs="Vrinda"/>
      <w:i/>
      <w:iCs/>
      <w:color w:val="40404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qFormat/>
    <w:rsid w:val="00E429C5"/>
    <w:pPr>
      <w:spacing w:before="160" w:line="320" w:lineRule="exact"/>
    </w:pPr>
    <w:rPr>
      <w:rFonts w:ascii="Montserrat" w:hAnsi="Montserrat"/>
      <w:sz w:val="19"/>
      <w:lang w:val="en-AU"/>
    </w:rPr>
  </w:style>
  <w:style w:type="character" w:customStyle="1" w:styleId="TextChar">
    <w:name w:val="Text Char"/>
    <w:basedOn w:val="DefaultParagraphFont"/>
    <w:link w:val="Text"/>
    <w:rsid w:val="00E429C5"/>
    <w:rPr>
      <w:rFonts w:ascii="Montserrat" w:hAnsi="Montserrat"/>
      <w:sz w:val="19"/>
      <w:lang w:val="en-AU"/>
    </w:rPr>
  </w:style>
  <w:style w:type="character" w:styleId="PageNumber">
    <w:name w:val="page number"/>
    <w:basedOn w:val="DefaultParagraphFont"/>
    <w:rsid w:val="00457C3A"/>
    <w:rPr>
      <w:rFonts w:ascii="Arial" w:hAnsi="Arial"/>
      <w:sz w:val="18"/>
    </w:rPr>
  </w:style>
  <w:style w:type="paragraph" w:styleId="Footer">
    <w:name w:val="footer"/>
    <w:basedOn w:val="Normal"/>
    <w:link w:val="FooterChar"/>
    <w:uiPriority w:val="99"/>
    <w:rsid w:val="00457C3A"/>
    <w:pPr>
      <w:tabs>
        <w:tab w:val="right" w:pos="8505"/>
      </w:tabs>
      <w:spacing w:before="0"/>
    </w:pPr>
    <w:rPr>
      <w:rFonts w:ascii="Arial" w:hAnsi="Arial"/>
      <w:sz w:val="17"/>
      <w:szCs w:val="17"/>
    </w:rPr>
  </w:style>
  <w:style w:type="paragraph" w:styleId="TOC1">
    <w:name w:val="toc 1"/>
    <w:uiPriority w:val="39"/>
    <w:rsid w:val="00F233C0"/>
    <w:pPr>
      <w:tabs>
        <w:tab w:val="right" w:pos="9072"/>
      </w:tabs>
      <w:spacing w:before="120" w:line="300" w:lineRule="exact"/>
      <w:ind w:right="-1"/>
    </w:pPr>
    <w:rPr>
      <w:rFonts w:ascii="Montserrat" w:hAnsi="Montserrat"/>
      <w:noProof/>
      <w:color w:val="000000"/>
      <w:sz w:val="19"/>
      <w:szCs w:val="19"/>
      <w:lang w:val="en-AU"/>
    </w:rPr>
  </w:style>
  <w:style w:type="paragraph" w:styleId="TOC2">
    <w:name w:val="toc 2"/>
    <w:basedOn w:val="Normal"/>
    <w:next w:val="Normal"/>
    <w:uiPriority w:val="39"/>
    <w:rsid w:val="001D6D30"/>
    <w:pPr>
      <w:tabs>
        <w:tab w:val="right" w:pos="9072"/>
      </w:tabs>
      <w:spacing w:before="20" w:after="20" w:line="300" w:lineRule="exact"/>
      <w:ind w:left="284" w:right="-1"/>
    </w:pPr>
    <w:rPr>
      <w:noProof/>
      <w:color w:val="000000"/>
      <w:sz w:val="18"/>
      <w:szCs w:val="18"/>
    </w:rPr>
  </w:style>
  <w:style w:type="paragraph" w:customStyle="1" w:styleId="tabletitle">
    <w:name w:val="tabletitle"/>
    <w:next w:val="Text"/>
    <w:rsid w:val="00A93893"/>
    <w:pPr>
      <w:spacing w:before="360" w:after="80"/>
      <w:ind w:left="851" w:hanging="851"/>
    </w:pPr>
    <w:rPr>
      <w:rFonts w:ascii="Montserrat" w:hAnsi="Montserrat"/>
      <w:b/>
      <w:sz w:val="17"/>
      <w:lang w:val="en-AU"/>
    </w:rPr>
  </w:style>
  <w:style w:type="paragraph" w:customStyle="1" w:styleId="Tabletext">
    <w:name w:val="Table text"/>
    <w:next w:val="Text"/>
    <w:rsid w:val="008B21EF"/>
    <w:pPr>
      <w:tabs>
        <w:tab w:val="decimal" w:pos="559"/>
      </w:tabs>
      <w:spacing w:before="40" w:after="40" w:line="264" w:lineRule="auto"/>
    </w:pPr>
    <w:rPr>
      <w:rFonts w:ascii="Montserrat" w:hAnsi="Montserrat"/>
      <w:sz w:val="16"/>
      <w:lang w:val="en-AU"/>
    </w:rPr>
  </w:style>
  <w:style w:type="paragraph" w:customStyle="1" w:styleId="Tablehead1">
    <w:name w:val="Tablehead1"/>
    <w:uiPriority w:val="1"/>
    <w:rsid w:val="008B21EF"/>
    <w:pPr>
      <w:spacing w:before="40" w:after="40"/>
    </w:pPr>
    <w:rPr>
      <w:rFonts w:ascii="Montserrat" w:hAnsi="Montserrat"/>
      <w:b/>
      <w:sz w:val="17"/>
      <w:lang w:val="en-AU"/>
    </w:rPr>
  </w:style>
  <w:style w:type="paragraph" w:styleId="Quote">
    <w:name w:val="Quote"/>
    <w:basedOn w:val="Text"/>
    <w:link w:val="QuoteChar"/>
    <w:uiPriority w:val="29"/>
    <w:qFormat/>
    <w:rsid w:val="009C22BE"/>
    <w:pPr>
      <w:tabs>
        <w:tab w:val="right" w:pos="7853"/>
      </w:tabs>
      <w:spacing w:before="80"/>
      <w:ind w:left="567" w:right="652"/>
    </w:pPr>
    <w:rPr>
      <w:sz w:val="17"/>
    </w:rPr>
  </w:style>
  <w:style w:type="paragraph" w:customStyle="1" w:styleId="References">
    <w:name w:val="References"/>
    <w:rsid w:val="00FD5869"/>
    <w:pPr>
      <w:spacing w:before="80" w:line="300" w:lineRule="auto"/>
      <w:ind w:left="284" w:right="-369" w:hanging="284"/>
    </w:pPr>
    <w:rPr>
      <w:rFonts w:ascii="Montserrat" w:hAnsi="Montserrat"/>
      <w:sz w:val="18"/>
      <w:lang w:val="en-AU"/>
    </w:rPr>
  </w:style>
  <w:style w:type="paragraph" w:customStyle="1" w:styleId="Tablehead2">
    <w:name w:val="Tablehead2"/>
    <w:basedOn w:val="Tablehead1"/>
    <w:rsid w:val="008B21EF"/>
    <w:pPr>
      <w:tabs>
        <w:tab w:val="left" w:pos="992"/>
      </w:tabs>
    </w:pPr>
    <w:rPr>
      <w:b w:val="0"/>
    </w:rPr>
  </w:style>
  <w:style w:type="paragraph" w:customStyle="1" w:styleId="Tablehead3">
    <w:name w:val="Tablehead3"/>
    <w:basedOn w:val="Tablehead2"/>
    <w:rsid w:val="008B21EF"/>
    <w:rPr>
      <w:i/>
    </w:rPr>
  </w:style>
  <w:style w:type="paragraph" w:styleId="TableofFigures">
    <w:name w:val="table of figures"/>
    <w:basedOn w:val="TOC1"/>
    <w:next w:val="Normal"/>
    <w:uiPriority w:val="99"/>
    <w:rsid w:val="00A76B9D"/>
    <w:pPr>
      <w:tabs>
        <w:tab w:val="left" w:pos="284"/>
      </w:tabs>
      <w:spacing w:before="80"/>
      <w:ind w:left="284" w:hanging="284"/>
    </w:pPr>
  </w:style>
  <w:style w:type="paragraph" w:customStyle="1" w:styleId="Imprint">
    <w:name w:val="Imprint"/>
    <w:basedOn w:val="Normal"/>
    <w:qFormat/>
    <w:rsid w:val="003D2D50"/>
    <w:pPr>
      <w:spacing w:line="260" w:lineRule="atLeast"/>
    </w:pPr>
    <w:rPr>
      <w:sz w:val="16"/>
    </w:rPr>
  </w:style>
  <w:style w:type="paragraph" w:customStyle="1" w:styleId="Figuretitle">
    <w:name w:val="Figuretitle"/>
    <w:basedOn w:val="tabletitle"/>
    <w:rsid w:val="00FD5869"/>
  </w:style>
  <w:style w:type="paragraph" w:customStyle="1" w:styleId="Dotpoint1">
    <w:name w:val="Dotpoint1"/>
    <w:link w:val="Dotpoint1Char"/>
    <w:rsid w:val="003A1307"/>
    <w:pPr>
      <w:numPr>
        <w:numId w:val="2"/>
      </w:numPr>
      <w:tabs>
        <w:tab w:val="left" w:pos="567"/>
      </w:tabs>
      <w:spacing w:before="120" w:line="300" w:lineRule="exact"/>
    </w:pPr>
    <w:rPr>
      <w:rFonts w:ascii="Montserrat" w:hAnsi="Montserrat"/>
      <w:color w:val="000000"/>
      <w:sz w:val="19"/>
      <w:lang w:val="en-AU"/>
    </w:rPr>
  </w:style>
  <w:style w:type="paragraph" w:customStyle="1" w:styleId="Dotpoint2">
    <w:name w:val="Dotpoint2"/>
    <w:basedOn w:val="Dotpoint1"/>
    <w:rsid w:val="004772FE"/>
    <w:pPr>
      <w:numPr>
        <w:numId w:val="3"/>
      </w:numPr>
      <w:tabs>
        <w:tab w:val="clear" w:pos="567"/>
        <w:tab w:val="left" w:pos="993"/>
      </w:tabs>
    </w:pPr>
  </w:style>
  <w:style w:type="paragraph" w:customStyle="1" w:styleId="NumberedListContinuing">
    <w:name w:val="NumberedListContinuing"/>
    <w:rsid w:val="00A91B3F"/>
    <w:pPr>
      <w:numPr>
        <w:numId w:val="4"/>
      </w:numPr>
      <w:spacing w:before="120" w:line="300" w:lineRule="exact"/>
    </w:pPr>
    <w:rPr>
      <w:rFonts w:ascii="Montserrat" w:hAnsi="Montserrat"/>
      <w:sz w:val="19"/>
      <w:lang w:val="en-AU" w:eastAsia="en-AU"/>
    </w:rPr>
  </w:style>
  <w:style w:type="paragraph" w:customStyle="1" w:styleId="Source">
    <w:name w:val="Source"/>
    <w:rsid w:val="000949E9"/>
    <w:pPr>
      <w:spacing w:before="80"/>
      <w:ind w:left="567" w:hanging="567"/>
    </w:pPr>
    <w:rPr>
      <w:rFonts w:ascii="Montserrat" w:hAnsi="Montserrat"/>
      <w:sz w:val="15"/>
      <w:lang w:val="en-AU"/>
    </w:rPr>
  </w:style>
  <w:style w:type="paragraph" w:styleId="FootnoteText">
    <w:name w:val="footnote text"/>
    <w:basedOn w:val="Text"/>
    <w:link w:val="FootnoteTextChar"/>
    <w:rsid w:val="00B2410F"/>
    <w:pPr>
      <w:tabs>
        <w:tab w:val="left" w:pos="1418"/>
      </w:tabs>
      <w:spacing w:before="360" w:line="220" w:lineRule="exact"/>
      <w:ind w:left="170" w:hanging="170"/>
    </w:pPr>
    <w:rPr>
      <w:sz w:val="16"/>
    </w:rPr>
  </w:style>
  <w:style w:type="paragraph" w:styleId="NormalWeb">
    <w:name w:val="Normal (Web)"/>
    <w:basedOn w:val="Normal"/>
    <w:uiPriority w:val="99"/>
    <w:rsid w:val="009058B5"/>
    <w:pPr>
      <w:spacing w:before="100" w:beforeAutospacing="1" w:after="240"/>
    </w:pPr>
    <w:rPr>
      <w:sz w:val="18"/>
      <w:szCs w:val="18"/>
    </w:rPr>
  </w:style>
  <w:style w:type="paragraph" w:customStyle="1" w:styleId="PublicationTitle">
    <w:name w:val="Publication Title"/>
    <w:qFormat/>
    <w:rsid w:val="00544383"/>
    <w:pPr>
      <w:spacing w:before="1200" w:after="840"/>
      <w:ind w:left="2552"/>
    </w:pPr>
    <w:rPr>
      <w:rFonts w:ascii="Montserrat" w:hAnsi="Montserrat" w:cs="Tahoma"/>
      <w:color w:val="000000"/>
      <w:kern w:val="28"/>
      <w:sz w:val="56"/>
      <w:szCs w:val="56"/>
      <w:lang w:val="en-AU"/>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F112A" w:themeColor="text1"/>
        <w:left w:val="single" w:sz="4" w:space="0" w:color="0F112A" w:themeColor="text1"/>
        <w:bottom w:val="single" w:sz="4" w:space="0" w:color="0F112A" w:themeColor="text1"/>
        <w:right w:val="single" w:sz="4" w:space="0" w:color="0F112A" w:themeColor="text1"/>
        <w:insideH w:val="single" w:sz="4" w:space="0" w:color="0F112A" w:themeColor="text1"/>
        <w:insideV w:val="single" w:sz="4" w:space="0" w:color="0F112A" w:themeColor="text1"/>
      </w:tblBorders>
    </w:tblPr>
  </w:style>
  <w:style w:type="paragraph" w:styleId="Header">
    <w:name w:val="header"/>
    <w:basedOn w:val="Normal"/>
    <w:link w:val="HeaderChar"/>
    <w:uiPriority w:val="99"/>
    <w:rsid w:val="007037A4"/>
    <w:pPr>
      <w:tabs>
        <w:tab w:val="center" w:pos="4513"/>
        <w:tab w:val="right" w:pos="9026"/>
      </w:tabs>
      <w:spacing w:before="0" w:line="240" w:lineRule="auto"/>
    </w:pPr>
  </w:style>
  <w:style w:type="character" w:customStyle="1" w:styleId="HeaderChar">
    <w:name w:val="Header Char"/>
    <w:basedOn w:val="DefaultParagraphFont"/>
    <w:link w:val="Header"/>
    <w:uiPriority w:val="99"/>
    <w:rsid w:val="007037A4"/>
    <w:rPr>
      <w:rFonts w:ascii="Trebuchet MS" w:hAnsi="Trebuchet MS"/>
      <w:sz w:val="19"/>
      <w:lang w:val="en-AU"/>
    </w:rPr>
  </w:style>
  <w:style w:type="character" w:customStyle="1" w:styleId="Heading3Char">
    <w:name w:val="Heading 3 Char"/>
    <w:basedOn w:val="DefaultParagraphFont"/>
    <w:link w:val="Heading3"/>
    <w:rsid w:val="00FD5869"/>
    <w:rPr>
      <w:rFonts w:ascii="Montserrat" w:hAnsi="Montserrat" w:cs="Tahoma"/>
      <w:color w:val="000000"/>
      <w:sz w:val="24"/>
      <w:lang w:val="en-AU"/>
    </w:rPr>
  </w:style>
  <w:style w:type="character" w:styleId="Hyperlink">
    <w:name w:val="Hyperlink"/>
    <w:basedOn w:val="DefaultParagraphFont"/>
    <w:uiPriority w:val="99"/>
    <w:unhideWhenUsed/>
    <w:rsid w:val="007037A4"/>
    <w:rPr>
      <w:rFonts w:ascii="Trebuchet MS" w:hAnsi="Trebuchet MS"/>
      <w:color w:val="auto"/>
      <w:sz w:val="19"/>
      <w:u w:val="none"/>
    </w:rPr>
  </w:style>
  <w:style w:type="paragraph" w:styleId="ListParagraph">
    <w:name w:val="List Paragraph"/>
    <w:basedOn w:val="Normal"/>
    <w:link w:val="ListParagraphChar"/>
    <w:uiPriority w:val="34"/>
    <w:qFormat/>
    <w:rsid w:val="007037A4"/>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qFormat/>
    <w:rsid w:val="00FD5869"/>
    <w:pPr>
      <w:ind w:left="2552" w:right="-1"/>
    </w:pPr>
    <w:rPr>
      <w:rFonts w:ascii="Montserrat" w:hAnsi="Montserrat" w:cs="Tahoma"/>
      <w:sz w:val="28"/>
      <w:lang w:val="en-AU"/>
    </w:rPr>
  </w:style>
  <w:style w:type="paragraph" w:customStyle="1" w:styleId="Contents">
    <w:name w:val="Contents"/>
    <w:qFormat/>
    <w:rsid w:val="00230CD7"/>
    <w:pPr>
      <w:spacing w:after="360"/>
    </w:pPr>
    <w:rPr>
      <w:rFonts w:ascii="Montserrat" w:hAnsi="Montserrat" w:cs="Tahoma"/>
      <w:b/>
      <w:color w:val="000000"/>
      <w:kern w:val="28"/>
      <w:sz w:val="56"/>
      <w:szCs w:val="56"/>
      <w:lang w:val="en-AU"/>
    </w:rPr>
  </w:style>
  <w:style w:type="paragraph" w:customStyle="1" w:styleId="Abouttheresearchpubtitle">
    <w:name w:val="About the research pub title"/>
    <w:qFormat/>
    <w:rsid w:val="00F93048"/>
    <w:pPr>
      <w:spacing w:before="360"/>
    </w:pPr>
    <w:rPr>
      <w:rFonts w:ascii="Tahoma" w:hAnsi="Tahoma" w:cs="Tahoma"/>
      <w:i/>
      <w:sz w:val="28"/>
      <w:lang w:val="en-AU"/>
    </w:rPr>
  </w:style>
  <w:style w:type="paragraph" w:customStyle="1" w:styleId="Abouttheresearch">
    <w:name w:val="About the research"/>
    <w:uiPriority w:val="1"/>
    <w:qFormat/>
    <w:rsid w:val="0049453B"/>
    <w:rPr>
      <w:rFonts w:ascii="Tahoma" w:hAnsi="Tahoma" w:cs="Tahoma"/>
      <w:color w:val="000000"/>
      <w:kern w:val="28"/>
      <w:sz w:val="56"/>
      <w:szCs w:val="56"/>
      <w:lang w:val="en-AU"/>
    </w:rPr>
  </w:style>
  <w:style w:type="paragraph" w:customStyle="1" w:styleId="Keymessages">
    <w:name w:val="Key messages"/>
    <w:uiPriority w:val="1"/>
    <w:qFormat/>
    <w:rsid w:val="0049453B"/>
    <w:pPr>
      <w:spacing w:before="360"/>
    </w:pPr>
    <w:rPr>
      <w:rFonts w:ascii="Tahoma" w:hAnsi="Tahoma" w:cs="Tahoma"/>
      <w:sz w:val="28"/>
      <w:lang w:val="en-AU"/>
    </w:rPr>
  </w:style>
  <w:style w:type="paragraph" w:customStyle="1" w:styleId="Organisation">
    <w:name w:val="Organisation"/>
    <w:basedOn w:val="Authors"/>
    <w:uiPriority w:val="1"/>
    <w:qFormat/>
    <w:rsid w:val="00940830"/>
    <w:pPr>
      <w:spacing w:before="120"/>
      <w:ind w:right="0"/>
    </w:pPr>
    <w:rPr>
      <w:sz w:val="24"/>
    </w:rPr>
  </w:style>
  <w:style w:type="character" w:styleId="FollowedHyperlink">
    <w:name w:val="FollowedHyperlink"/>
    <w:basedOn w:val="DefaultParagraphFont"/>
    <w:rsid w:val="00E95812"/>
    <w:rPr>
      <w:color w:val="B425D8" w:themeColor="followedHyperlink"/>
      <w:u w:val="single"/>
    </w:rPr>
  </w:style>
  <w:style w:type="character" w:styleId="UnresolvedMention">
    <w:name w:val="Unresolved Mention"/>
    <w:basedOn w:val="DefaultParagraphFont"/>
    <w:uiPriority w:val="99"/>
    <w:semiHidden/>
    <w:unhideWhenUsed/>
    <w:rsid w:val="00BD5EE0"/>
    <w:rPr>
      <w:color w:val="808080"/>
      <w:shd w:val="clear" w:color="auto" w:fill="E6E6E6"/>
    </w:rPr>
  </w:style>
  <w:style w:type="paragraph" w:customStyle="1" w:styleId="KeyPoints">
    <w:name w:val="KeyPoints"/>
    <w:basedOn w:val="Normal"/>
    <w:uiPriority w:val="1"/>
    <w:qFormat/>
    <w:rsid w:val="001F7E01"/>
    <w:pPr>
      <w:numPr>
        <w:numId w:val="5"/>
      </w:numPr>
      <w:pBdr>
        <w:left w:val="single" w:sz="8" w:space="4" w:color="auto"/>
      </w:pBdr>
      <w:spacing w:before="0" w:line="300" w:lineRule="exact"/>
    </w:pPr>
    <w:rPr>
      <w:rFonts w:cs="Arial"/>
      <w:szCs w:val="17"/>
    </w:rPr>
  </w:style>
  <w:style w:type="paragraph" w:styleId="NormalIndent">
    <w:name w:val="Normal Indent"/>
    <w:basedOn w:val="Normal"/>
    <w:uiPriority w:val="99"/>
    <w:semiHidden/>
    <w:unhideWhenUsed/>
    <w:rsid w:val="003D2D50"/>
    <w:pPr>
      <w:ind w:left="720"/>
    </w:pPr>
  </w:style>
  <w:style w:type="character" w:customStyle="1" w:styleId="FooterChar">
    <w:name w:val="Footer Char"/>
    <w:basedOn w:val="DefaultParagraphFont"/>
    <w:link w:val="Footer"/>
    <w:uiPriority w:val="99"/>
    <w:rsid w:val="00F210FE"/>
    <w:rPr>
      <w:rFonts w:ascii="Arial" w:hAnsi="Arial"/>
      <w:sz w:val="17"/>
      <w:szCs w:val="17"/>
      <w:lang w:val="en-AU"/>
    </w:rPr>
  </w:style>
  <w:style w:type="paragraph" w:customStyle="1" w:styleId="Titles">
    <w:name w:val="Titles"/>
    <w:basedOn w:val="Normal"/>
    <w:qFormat/>
    <w:rsid w:val="00544383"/>
    <w:pPr>
      <w:widowControl w:val="0"/>
      <w:tabs>
        <w:tab w:val="left" w:pos="993"/>
      </w:tabs>
      <w:autoSpaceDE w:val="0"/>
      <w:autoSpaceDN w:val="0"/>
      <w:spacing w:before="0" w:line="240" w:lineRule="auto"/>
    </w:pPr>
    <w:rPr>
      <w:rFonts w:ascii="Essonnes Display" w:eastAsia="Montserrat" w:hAnsi="Essonnes Display" w:cs="Montserrat"/>
      <w:sz w:val="100"/>
      <w:szCs w:val="100"/>
    </w:rPr>
  </w:style>
  <w:style w:type="paragraph" w:styleId="ListBullet">
    <w:name w:val="List Bullet"/>
    <w:basedOn w:val="Normal"/>
    <w:rsid w:val="00693881"/>
    <w:pPr>
      <w:numPr>
        <w:numId w:val="1"/>
      </w:numPr>
      <w:contextualSpacing/>
    </w:pPr>
  </w:style>
  <w:style w:type="character" w:styleId="FootnoteReference">
    <w:name w:val="footnote reference"/>
    <w:basedOn w:val="DefaultParagraphFont"/>
    <w:unhideWhenUsed/>
    <w:rsid w:val="005E271C"/>
    <w:rPr>
      <w:vertAlign w:val="superscript"/>
    </w:rPr>
  </w:style>
  <w:style w:type="character" w:customStyle="1" w:styleId="FootnoteTextChar">
    <w:name w:val="Footnote Text Char"/>
    <w:basedOn w:val="DefaultParagraphFont"/>
    <w:link w:val="FootnoteText"/>
    <w:rsid w:val="005E271C"/>
    <w:rPr>
      <w:rFonts w:ascii="Montserrat" w:hAnsi="Montserrat"/>
      <w:sz w:val="16"/>
      <w:lang w:val="en-AU"/>
    </w:rPr>
  </w:style>
  <w:style w:type="paragraph" w:customStyle="1" w:styleId="NumberedText">
    <w:name w:val="NumberedText"/>
    <w:basedOn w:val="NumberedListContinuing"/>
    <w:rsid w:val="00C27E42"/>
    <w:pPr>
      <w:numPr>
        <w:numId w:val="6"/>
      </w:numPr>
    </w:pPr>
    <w:rPr>
      <w:rFonts w:ascii="Trebuchet MS" w:hAnsi="Trebuchet MS" w:cs="Arial"/>
      <w:szCs w:val="18"/>
    </w:rPr>
  </w:style>
  <w:style w:type="paragraph" w:customStyle="1" w:styleId="Letterlist">
    <w:name w:val="Letter list"/>
    <w:basedOn w:val="NumberedListContinuing"/>
    <w:uiPriority w:val="1"/>
    <w:qFormat/>
    <w:rsid w:val="00D77FB4"/>
    <w:pPr>
      <w:numPr>
        <w:numId w:val="7"/>
      </w:numPr>
    </w:pPr>
  </w:style>
  <w:style w:type="character" w:customStyle="1" w:styleId="QuoteChar">
    <w:name w:val="Quote Char"/>
    <w:basedOn w:val="DefaultParagraphFont"/>
    <w:link w:val="Quote"/>
    <w:uiPriority w:val="29"/>
    <w:rsid w:val="0092765D"/>
    <w:rPr>
      <w:rFonts w:ascii="Montserrat" w:hAnsi="Montserrat"/>
      <w:sz w:val="17"/>
      <w:lang w:val="en-AU"/>
    </w:rPr>
  </w:style>
  <w:style w:type="paragraph" w:customStyle="1" w:styleId="Tabletitle0">
    <w:name w:val="Tabletitle"/>
    <w:next w:val="Text"/>
    <w:autoRedefine/>
    <w:rsid w:val="00023A13"/>
    <w:pPr>
      <w:spacing w:before="360" w:after="80"/>
      <w:ind w:left="851" w:hanging="851"/>
    </w:pPr>
    <w:rPr>
      <w:rFonts w:ascii="Montserrat" w:eastAsia="Arial" w:hAnsi="Montserrat"/>
      <w:b/>
      <w:sz w:val="17"/>
      <w:lang w:val="en-AU"/>
    </w:rPr>
  </w:style>
  <w:style w:type="table" w:customStyle="1" w:styleId="NCVERTable">
    <w:name w:val="NCVER Table"/>
    <w:basedOn w:val="TableNormal"/>
    <w:uiPriority w:val="99"/>
    <w:rsid w:val="0092765D"/>
    <w:pPr>
      <w:jc w:val="both"/>
    </w:pPr>
    <w:rPr>
      <w:rFonts w:ascii="Arial" w:eastAsiaTheme="minorHAnsi" w:hAnsi="Arial" w:cstheme="minorBidi"/>
      <w:sz w:val="17"/>
    </w:rPr>
    <w:tblPr>
      <w:tblStyleRowBandSize w:val="1"/>
      <w:tblBorders>
        <w:top w:val="single" w:sz="4" w:space="0" w:color="auto"/>
        <w:bottom w:val="single" w:sz="4" w:space="0" w:color="auto"/>
      </w:tblBorders>
      <w:tblCellMar>
        <w:top w:w="57" w:type="dxa"/>
        <w:bottom w:w="57" w:type="dxa"/>
      </w:tblCellMar>
    </w:tblPr>
    <w:tblStylePr w:type="firstRow">
      <w:rPr>
        <w:b/>
      </w:rPr>
      <w:tblPr/>
      <w:tcPr>
        <w:tcBorders>
          <w:top w:val="single" w:sz="4" w:space="0" w:color="auto"/>
          <w:left w:val="nil"/>
          <w:bottom w:val="single" w:sz="4" w:space="0" w:color="auto"/>
          <w:right w:val="nil"/>
          <w:insideH w:val="nil"/>
          <w:insideV w:val="nil"/>
          <w:tl2br w:val="nil"/>
          <w:tr2bl w:val="nil"/>
        </w:tcBorders>
      </w:tcPr>
    </w:tblStylePr>
    <w:tblStylePr w:type="lastRow">
      <w:rPr>
        <w:b/>
      </w:rPr>
      <w:tblPr/>
      <w:tcPr>
        <w:tcBorders>
          <w:top w:val="single" w:sz="4" w:space="0" w:color="auto"/>
          <w:left w:val="nil"/>
          <w:bottom w:val="single" w:sz="4" w:space="0" w:color="auto"/>
          <w:right w:val="nil"/>
          <w:insideH w:val="nil"/>
          <w:insideV w:val="nil"/>
          <w:tl2br w:val="nil"/>
          <w:tr2bl w:val="nil"/>
        </w:tcBorders>
      </w:tcPr>
    </w:tblStylePr>
    <w:tblStylePr w:type="firstCol">
      <w:rPr>
        <w:b/>
      </w:rPr>
    </w:tblStylePr>
    <w:tblStylePr w:type="lastCol">
      <w:rPr>
        <w:b/>
      </w:rPr>
    </w:tblStylePr>
    <w:tblStylePr w:type="band1Horz">
      <w:tblPr/>
      <w:tcPr>
        <w:tcBorders>
          <w:top w:val="single" w:sz="4" w:space="0" w:color="A6A6A6" w:themeColor="background1" w:themeShade="A6"/>
          <w:left w:val="nil"/>
          <w:bottom w:val="single" w:sz="4" w:space="0" w:color="A6A6A6" w:themeColor="background1" w:themeShade="A6"/>
          <w:right w:val="nil"/>
          <w:insideH w:val="nil"/>
          <w:insideV w:val="nil"/>
          <w:tl2br w:val="nil"/>
          <w:tr2bl w:val="nil"/>
        </w:tcBorders>
      </w:tcPr>
    </w:tblStylePr>
  </w:style>
  <w:style w:type="character" w:styleId="CommentReference">
    <w:name w:val="annotation reference"/>
    <w:basedOn w:val="DefaultParagraphFont"/>
    <w:semiHidden/>
    <w:unhideWhenUsed/>
    <w:rsid w:val="0092765D"/>
    <w:rPr>
      <w:sz w:val="16"/>
      <w:szCs w:val="16"/>
    </w:rPr>
  </w:style>
  <w:style w:type="paragraph" w:styleId="CommentText">
    <w:name w:val="annotation text"/>
    <w:basedOn w:val="Normal"/>
    <w:link w:val="CommentTextChar"/>
    <w:unhideWhenUsed/>
    <w:rsid w:val="0092765D"/>
    <w:pPr>
      <w:spacing w:line="240" w:lineRule="auto"/>
    </w:pPr>
    <w:rPr>
      <w:rFonts w:ascii="Trebuchet MS" w:hAnsi="Trebuchet MS"/>
      <w:sz w:val="20"/>
    </w:rPr>
  </w:style>
  <w:style w:type="character" w:customStyle="1" w:styleId="CommentTextChar">
    <w:name w:val="Comment Text Char"/>
    <w:basedOn w:val="DefaultParagraphFont"/>
    <w:link w:val="CommentText"/>
    <w:rsid w:val="0092765D"/>
    <w:rPr>
      <w:rFonts w:ascii="Trebuchet MS" w:hAnsi="Trebuchet MS"/>
      <w:lang w:val="en-AU"/>
    </w:rPr>
  </w:style>
  <w:style w:type="character" w:customStyle="1" w:styleId="Dotpoint1Char">
    <w:name w:val="Dotpoint1 Char"/>
    <w:basedOn w:val="DefaultParagraphFont"/>
    <w:link w:val="Dotpoint1"/>
    <w:rsid w:val="0092765D"/>
    <w:rPr>
      <w:rFonts w:ascii="Montserrat" w:hAnsi="Montserrat"/>
      <w:color w:val="000000"/>
      <w:sz w:val="19"/>
      <w:lang w:val="en-AU"/>
    </w:rPr>
  </w:style>
  <w:style w:type="table" w:customStyle="1" w:styleId="TableGrid1">
    <w:name w:val="Table Grid1"/>
    <w:basedOn w:val="TableNormal"/>
    <w:next w:val="TableGrid"/>
    <w:uiPriority w:val="59"/>
    <w:rsid w:val="0092765D"/>
    <w:pPr>
      <w:jc w:val="both"/>
    </w:pPr>
    <w:rPr>
      <w:rFonts w:ascii="Aptos" w:eastAsia="Aptos" w:hAnsi="Apto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semiHidden/>
    <w:unhideWhenUsed/>
    <w:rsid w:val="0055572F"/>
    <w:rPr>
      <w:rFonts w:ascii="Montserrat" w:hAnsi="Montserrat"/>
      <w:b/>
      <w:bCs/>
    </w:rPr>
  </w:style>
  <w:style w:type="character" w:customStyle="1" w:styleId="CommentSubjectChar">
    <w:name w:val="Comment Subject Char"/>
    <w:basedOn w:val="CommentTextChar"/>
    <w:link w:val="CommentSubject"/>
    <w:semiHidden/>
    <w:rsid w:val="0055572F"/>
    <w:rPr>
      <w:rFonts w:ascii="Montserrat" w:hAnsi="Montserrat"/>
      <w:b/>
      <w:bCs/>
      <w:lang w:val="en-AU"/>
    </w:rPr>
  </w:style>
  <w:style w:type="character" w:customStyle="1" w:styleId="Heading9Char">
    <w:name w:val="Heading 9 Char"/>
    <w:basedOn w:val="DefaultParagraphFont"/>
    <w:link w:val="Heading9"/>
    <w:uiPriority w:val="9"/>
    <w:semiHidden/>
    <w:rsid w:val="004D5370"/>
    <w:rPr>
      <w:rFonts w:ascii="Calibri" w:hAnsi="Calibri" w:cs="Vrinda"/>
      <w:i/>
      <w:iCs/>
      <w:color w:val="404040"/>
      <w:lang w:val="en-AU"/>
    </w:rPr>
  </w:style>
  <w:style w:type="paragraph" w:styleId="ListBullet2">
    <w:name w:val="List Bullet 2"/>
    <w:basedOn w:val="Normal"/>
    <w:uiPriority w:val="99"/>
    <w:unhideWhenUsed/>
    <w:rsid w:val="004D5370"/>
    <w:pPr>
      <w:spacing w:before="120" w:after="120" w:line="240" w:lineRule="auto"/>
      <w:jc w:val="both"/>
    </w:pPr>
    <w:rPr>
      <w:rFonts w:ascii="Arial" w:eastAsiaTheme="minorHAnsi" w:hAnsi="Arial" w:cstheme="minorBidi"/>
      <w:sz w:val="22"/>
    </w:rPr>
  </w:style>
  <w:style w:type="paragraph" w:styleId="ListBullet3">
    <w:name w:val="List Bullet 3"/>
    <w:basedOn w:val="Normal"/>
    <w:uiPriority w:val="99"/>
    <w:unhideWhenUsed/>
    <w:rsid w:val="004D5370"/>
    <w:pPr>
      <w:spacing w:before="120" w:after="120" w:line="240" w:lineRule="auto"/>
      <w:jc w:val="both"/>
    </w:pPr>
    <w:rPr>
      <w:rFonts w:ascii="Arial" w:eastAsiaTheme="minorHAnsi" w:hAnsi="Arial" w:cstheme="minorBidi"/>
      <w:sz w:val="22"/>
    </w:rPr>
  </w:style>
  <w:style w:type="paragraph" w:styleId="ListBullet4">
    <w:name w:val="List Bullet 4"/>
    <w:basedOn w:val="Normal"/>
    <w:uiPriority w:val="99"/>
    <w:unhideWhenUsed/>
    <w:rsid w:val="004D5370"/>
    <w:pPr>
      <w:spacing w:before="120" w:after="120" w:line="240" w:lineRule="auto"/>
      <w:jc w:val="both"/>
    </w:pPr>
    <w:rPr>
      <w:rFonts w:ascii="Arial" w:eastAsiaTheme="minorHAnsi" w:hAnsi="Arial" w:cstheme="minorBidi"/>
      <w:sz w:val="22"/>
    </w:rPr>
  </w:style>
  <w:style w:type="paragraph" w:styleId="ListBullet5">
    <w:name w:val="List Bullet 5"/>
    <w:basedOn w:val="Normal"/>
    <w:uiPriority w:val="99"/>
    <w:unhideWhenUsed/>
    <w:rsid w:val="004D5370"/>
    <w:pPr>
      <w:spacing w:before="120" w:after="120" w:line="240" w:lineRule="auto"/>
      <w:jc w:val="both"/>
    </w:pPr>
    <w:rPr>
      <w:rFonts w:ascii="Arial" w:eastAsiaTheme="minorHAnsi" w:hAnsi="Arial" w:cstheme="minorBidi"/>
      <w:sz w:val="22"/>
    </w:rPr>
  </w:style>
  <w:style w:type="paragraph" w:customStyle="1" w:styleId="ListBullet6">
    <w:name w:val="List Bullet 6"/>
    <w:basedOn w:val="Normal"/>
    <w:uiPriority w:val="99"/>
    <w:unhideWhenUsed/>
    <w:rsid w:val="004D5370"/>
    <w:pPr>
      <w:tabs>
        <w:tab w:val="left" w:pos="1775"/>
      </w:tabs>
      <w:spacing w:before="120" w:after="120" w:line="240" w:lineRule="auto"/>
      <w:jc w:val="both"/>
    </w:pPr>
    <w:rPr>
      <w:rFonts w:ascii="Arial" w:eastAsiaTheme="minorHAnsi" w:hAnsi="Arial" w:cstheme="minorBidi"/>
      <w:sz w:val="22"/>
    </w:rPr>
  </w:style>
  <w:style w:type="paragraph" w:customStyle="1" w:styleId="ListBullet7">
    <w:name w:val="List Bullet 7"/>
    <w:basedOn w:val="Normal"/>
    <w:uiPriority w:val="99"/>
    <w:unhideWhenUsed/>
    <w:rsid w:val="004D5370"/>
    <w:pPr>
      <w:tabs>
        <w:tab w:val="left" w:pos="2058"/>
      </w:tabs>
      <w:spacing w:before="120" w:after="120" w:line="240" w:lineRule="auto"/>
      <w:jc w:val="both"/>
    </w:pPr>
    <w:rPr>
      <w:rFonts w:ascii="Arial" w:eastAsiaTheme="minorHAnsi" w:hAnsi="Arial" w:cstheme="minorBidi"/>
      <w:sz w:val="22"/>
    </w:rPr>
  </w:style>
  <w:style w:type="paragraph" w:customStyle="1" w:styleId="ListBullet8">
    <w:name w:val="List Bullet 8"/>
    <w:basedOn w:val="Normal"/>
    <w:uiPriority w:val="99"/>
    <w:unhideWhenUsed/>
    <w:rsid w:val="004D5370"/>
    <w:pPr>
      <w:tabs>
        <w:tab w:val="left" w:pos="2342"/>
      </w:tabs>
      <w:spacing w:before="120" w:after="120" w:line="240" w:lineRule="auto"/>
      <w:jc w:val="both"/>
    </w:pPr>
    <w:rPr>
      <w:rFonts w:ascii="Arial" w:eastAsiaTheme="minorHAnsi" w:hAnsi="Arial" w:cstheme="minorBidi"/>
      <w:sz w:val="22"/>
    </w:rPr>
  </w:style>
  <w:style w:type="paragraph" w:customStyle="1" w:styleId="ListBullet9">
    <w:name w:val="List Bullet 9"/>
    <w:basedOn w:val="Normal"/>
    <w:uiPriority w:val="99"/>
    <w:unhideWhenUsed/>
    <w:rsid w:val="004D5370"/>
    <w:pPr>
      <w:tabs>
        <w:tab w:val="left" w:pos="2625"/>
      </w:tabs>
      <w:spacing w:before="120" w:after="120" w:line="240" w:lineRule="auto"/>
      <w:jc w:val="both"/>
    </w:pPr>
    <w:rPr>
      <w:rFonts w:ascii="Arial" w:eastAsiaTheme="minorHAnsi" w:hAnsi="Arial" w:cstheme="minorBidi"/>
      <w:sz w:val="22"/>
    </w:rPr>
  </w:style>
  <w:style w:type="paragraph" w:customStyle="1" w:styleId="TableText0">
    <w:name w:val="Table Text"/>
    <w:basedOn w:val="Normal"/>
    <w:link w:val="TableTextChar"/>
    <w:autoRedefine/>
    <w:qFormat/>
    <w:rsid w:val="004D5370"/>
    <w:pPr>
      <w:spacing w:before="120" w:after="120" w:line="240" w:lineRule="auto"/>
    </w:pPr>
    <w:rPr>
      <w:rFonts w:asciiTheme="minorHAnsi" w:eastAsiaTheme="minorHAnsi" w:hAnsiTheme="minorHAnsi" w:cstheme="minorHAnsi"/>
      <w:bCs/>
      <w:sz w:val="20"/>
      <w:lang w:val="en-US"/>
    </w:rPr>
  </w:style>
  <w:style w:type="character" w:customStyle="1" w:styleId="Heading4Char">
    <w:name w:val="Heading 4 Char"/>
    <w:link w:val="Heading4"/>
    <w:rsid w:val="004D5370"/>
    <w:rPr>
      <w:rFonts w:ascii="Montserrat" w:hAnsi="Montserrat"/>
      <w:i/>
      <w:sz w:val="24"/>
      <w:lang w:val="en-AU"/>
    </w:rPr>
  </w:style>
  <w:style w:type="paragraph" w:customStyle="1" w:styleId="Titlepage">
    <w:name w:val="Title page"/>
    <w:basedOn w:val="Heading1"/>
    <w:link w:val="TitlepageChar"/>
    <w:qFormat/>
    <w:rsid w:val="004D5370"/>
    <w:pPr>
      <w:ind w:left="567"/>
    </w:pPr>
    <w:rPr>
      <w:rFonts w:cs="Arial"/>
      <w:sz w:val="55"/>
      <w:szCs w:val="55"/>
    </w:rPr>
  </w:style>
  <w:style w:type="character" w:styleId="PlaceholderText">
    <w:name w:val="Placeholder Text"/>
    <w:uiPriority w:val="99"/>
    <w:semiHidden/>
    <w:rsid w:val="004D5370"/>
    <w:rPr>
      <w:color w:val="808080"/>
    </w:rPr>
  </w:style>
  <w:style w:type="paragraph" w:customStyle="1" w:styleId="Heading20">
    <w:name w:val="Heading2"/>
    <w:basedOn w:val="Heading3"/>
    <w:rsid w:val="004D5370"/>
    <w:pPr>
      <w:keepNext/>
      <w:spacing w:before="120" w:after="240" w:line="240" w:lineRule="auto"/>
    </w:pPr>
    <w:rPr>
      <w:rFonts w:ascii="Garamond" w:hAnsi="Garamond" w:cs="Times New Roman"/>
      <w:color w:val="auto"/>
      <w:sz w:val="32"/>
      <w:szCs w:val="32"/>
      <w:lang w:eastAsia="en-AU"/>
    </w:rPr>
  </w:style>
  <w:style w:type="character" w:styleId="Strong">
    <w:name w:val="Strong"/>
    <w:uiPriority w:val="22"/>
    <w:qFormat/>
    <w:rsid w:val="004D5370"/>
    <w:rPr>
      <w:b/>
      <w:bCs/>
    </w:rPr>
  </w:style>
  <w:style w:type="paragraph" w:styleId="Title">
    <w:name w:val="Title"/>
    <w:basedOn w:val="Normal"/>
    <w:link w:val="TitleChar"/>
    <w:uiPriority w:val="10"/>
    <w:qFormat/>
    <w:rsid w:val="004D5370"/>
    <w:pPr>
      <w:pBdr>
        <w:bottom w:val="single" w:sz="8" w:space="4" w:color="4F81BD"/>
      </w:pBdr>
      <w:spacing w:before="0" w:after="300" w:line="240" w:lineRule="auto"/>
      <w:contextualSpacing/>
    </w:pPr>
    <w:rPr>
      <w:rFonts w:ascii="Calibri" w:hAnsi="Calibri" w:cs="Vrinda"/>
      <w:color w:val="17365D"/>
      <w:spacing w:val="5"/>
      <w:kern w:val="28"/>
      <w:sz w:val="52"/>
      <w:szCs w:val="52"/>
    </w:rPr>
  </w:style>
  <w:style w:type="character" w:customStyle="1" w:styleId="TitleChar">
    <w:name w:val="Title Char"/>
    <w:basedOn w:val="DefaultParagraphFont"/>
    <w:link w:val="Title"/>
    <w:uiPriority w:val="10"/>
    <w:rsid w:val="004D5370"/>
    <w:rPr>
      <w:rFonts w:ascii="Calibri" w:hAnsi="Calibri" w:cs="Vrinda"/>
      <w:color w:val="17365D"/>
      <w:spacing w:val="5"/>
      <w:kern w:val="28"/>
      <w:sz w:val="52"/>
      <w:szCs w:val="52"/>
      <w:lang w:val="en-AU"/>
    </w:rPr>
  </w:style>
  <w:style w:type="paragraph" w:styleId="Revision">
    <w:name w:val="Revision"/>
    <w:hidden/>
    <w:uiPriority w:val="71"/>
    <w:rsid w:val="004D5370"/>
    <w:rPr>
      <w:sz w:val="22"/>
      <w:lang w:val="en-AU" w:eastAsia="en-AU"/>
    </w:rPr>
  </w:style>
  <w:style w:type="paragraph" w:customStyle="1" w:styleId="TableFont">
    <w:name w:val="TableFont"/>
    <w:basedOn w:val="Normal"/>
    <w:link w:val="TableFontChar"/>
    <w:uiPriority w:val="99"/>
    <w:rsid w:val="004D5370"/>
    <w:pPr>
      <w:spacing w:before="40" w:after="40" w:line="240" w:lineRule="auto"/>
    </w:pPr>
    <w:rPr>
      <w:rFonts w:ascii="Arial" w:hAnsi="Arial" w:cs="Arial"/>
      <w:color w:val="000000"/>
      <w:sz w:val="18"/>
      <w:lang w:val="en-GB"/>
    </w:rPr>
  </w:style>
  <w:style w:type="character" w:customStyle="1" w:styleId="TableFontChar">
    <w:name w:val="TableFont Char"/>
    <w:link w:val="TableFont"/>
    <w:uiPriority w:val="99"/>
    <w:rsid w:val="004D5370"/>
    <w:rPr>
      <w:rFonts w:ascii="Arial" w:hAnsi="Arial" w:cs="Arial"/>
      <w:color w:val="000000"/>
      <w:sz w:val="18"/>
      <w:lang w:val="en-GB"/>
    </w:rPr>
  </w:style>
  <w:style w:type="paragraph" w:customStyle="1" w:styleId="BulletList">
    <w:name w:val="BulletList"/>
    <w:basedOn w:val="Normal"/>
    <w:rsid w:val="004D5370"/>
    <w:pPr>
      <w:numPr>
        <w:numId w:val="16"/>
      </w:numPr>
      <w:tabs>
        <w:tab w:val="clear" w:pos="757"/>
      </w:tabs>
      <w:spacing w:before="0" w:line="240" w:lineRule="auto"/>
      <w:ind w:left="0" w:firstLine="0"/>
    </w:pPr>
    <w:rPr>
      <w:rFonts w:ascii="Times New Roman" w:hAnsi="Times New Roman"/>
      <w:sz w:val="24"/>
      <w:szCs w:val="24"/>
      <w:lang w:eastAsia="en-AU"/>
    </w:rPr>
  </w:style>
  <w:style w:type="paragraph" w:customStyle="1" w:styleId="BulletList1">
    <w:name w:val="Bullet List 1"/>
    <w:basedOn w:val="BulletList"/>
    <w:rsid w:val="004D5370"/>
    <w:rPr>
      <w:rFonts w:ascii="Verdana" w:hAnsi="Verdana"/>
      <w:sz w:val="19"/>
      <w:szCs w:val="19"/>
    </w:rPr>
  </w:style>
  <w:style w:type="paragraph" w:customStyle="1" w:styleId="NumericalList">
    <w:name w:val="Numerical List"/>
    <w:basedOn w:val="Text"/>
    <w:rsid w:val="004D5370"/>
    <w:pPr>
      <w:tabs>
        <w:tab w:val="left" w:pos="404"/>
      </w:tabs>
      <w:spacing w:before="0" w:line="240" w:lineRule="auto"/>
      <w:ind w:left="389" w:hanging="389"/>
    </w:pPr>
    <w:rPr>
      <w:rFonts w:ascii="Verdana" w:hAnsi="Verdana" w:cs="Arial"/>
      <w:lang w:eastAsia="en-AU"/>
    </w:rPr>
  </w:style>
  <w:style w:type="paragraph" w:customStyle="1" w:styleId="Default">
    <w:name w:val="Default"/>
    <w:rsid w:val="004D5370"/>
    <w:pPr>
      <w:autoSpaceDE w:val="0"/>
      <w:autoSpaceDN w:val="0"/>
      <w:adjustRightInd w:val="0"/>
    </w:pPr>
    <w:rPr>
      <w:rFonts w:ascii="Garamond" w:eastAsia="Calibri" w:hAnsi="Garamond" w:cs="Garamond"/>
      <w:color w:val="000000"/>
      <w:sz w:val="24"/>
      <w:szCs w:val="24"/>
      <w:lang w:val="en-AU"/>
    </w:rPr>
  </w:style>
  <w:style w:type="character" w:styleId="Emphasis">
    <w:name w:val="Emphasis"/>
    <w:uiPriority w:val="20"/>
    <w:qFormat/>
    <w:rsid w:val="004D5370"/>
    <w:rPr>
      <w:i/>
      <w:iCs/>
    </w:rPr>
  </w:style>
  <w:style w:type="paragraph" w:customStyle="1" w:styleId="Reference">
    <w:name w:val="Reference"/>
    <w:basedOn w:val="Text"/>
    <w:rsid w:val="004D5370"/>
    <w:pPr>
      <w:spacing w:before="0" w:after="120" w:line="240" w:lineRule="auto"/>
    </w:pPr>
    <w:rPr>
      <w:rFonts w:ascii="Verdana" w:hAnsi="Verdana"/>
      <w:spacing w:val="8"/>
      <w:sz w:val="18"/>
      <w:szCs w:val="18"/>
      <w:lang w:eastAsia="en-AU"/>
    </w:rPr>
  </w:style>
  <w:style w:type="paragraph" w:customStyle="1" w:styleId="NumberedAlphaLevel2">
    <w:name w:val="NumberedAlphaLevel2"/>
    <w:basedOn w:val="NumberedListContinuing"/>
    <w:uiPriority w:val="1"/>
    <w:qFormat/>
    <w:rsid w:val="004D5370"/>
    <w:pPr>
      <w:numPr>
        <w:numId w:val="0"/>
      </w:numPr>
      <w:tabs>
        <w:tab w:val="num" w:pos="567"/>
      </w:tabs>
      <w:spacing w:before="80"/>
      <w:ind w:left="567" w:hanging="283"/>
    </w:pPr>
    <w:rPr>
      <w:rFonts w:ascii="Trebuchet MS" w:hAnsi="Trebuchet MS"/>
    </w:rPr>
  </w:style>
  <w:style w:type="paragraph" w:styleId="Bibliography">
    <w:name w:val="Bibliography"/>
    <w:basedOn w:val="Normal"/>
    <w:next w:val="Normal"/>
    <w:uiPriority w:val="37"/>
    <w:semiHidden/>
    <w:rsid w:val="004D5370"/>
    <w:rPr>
      <w:rFonts w:ascii="Trebuchet MS" w:hAnsi="Trebuchet MS"/>
    </w:rPr>
  </w:style>
  <w:style w:type="paragraph" w:styleId="BlockText">
    <w:name w:val="Block Text"/>
    <w:basedOn w:val="Normal"/>
    <w:uiPriority w:val="99"/>
    <w:semiHidden/>
    <w:rsid w:val="004D5370"/>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mbria" w:hAnsi="Cambria" w:cs="Vrinda"/>
      <w:i/>
      <w:iCs/>
      <w:color w:val="4F81BD"/>
    </w:rPr>
  </w:style>
  <w:style w:type="paragraph" w:styleId="BodyText3">
    <w:name w:val="Body Text 3"/>
    <w:basedOn w:val="Normal"/>
    <w:link w:val="BodyText3Char"/>
    <w:uiPriority w:val="99"/>
    <w:semiHidden/>
    <w:rsid w:val="004D5370"/>
    <w:pPr>
      <w:spacing w:after="120"/>
    </w:pPr>
    <w:rPr>
      <w:rFonts w:ascii="Trebuchet MS" w:hAnsi="Trebuchet MS"/>
      <w:sz w:val="16"/>
      <w:szCs w:val="16"/>
    </w:rPr>
  </w:style>
  <w:style w:type="character" w:customStyle="1" w:styleId="BodyText3Char">
    <w:name w:val="Body Text 3 Char"/>
    <w:basedOn w:val="DefaultParagraphFont"/>
    <w:link w:val="BodyText3"/>
    <w:uiPriority w:val="99"/>
    <w:semiHidden/>
    <w:rsid w:val="004D5370"/>
    <w:rPr>
      <w:rFonts w:ascii="Trebuchet MS" w:hAnsi="Trebuchet MS"/>
      <w:sz w:val="16"/>
      <w:szCs w:val="16"/>
      <w:lang w:val="en-AU"/>
    </w:rPr>
  </w:style>
  <w:style w:type="paragraph" w:styleId="BodyTextFirstIndent">
    <w:name w:val="Body Text First Indent"/>
    <w:basedOn w:val="Normal"/>
    <w:link w:val="BodyTextFirstIndentChar"/>
    <w:uiPriority w:val="99"/>
    <w:semiHidden/>
    <w:rsid w:val="004D5370"/>
    <w:pPr>
      <w:ind w:firstLine="360"/>
    </w:pPr>
    <w:rPr>
      <w:rFonts w:ascii="Trebuchet MS" w:hAnsi="Trebuchet MS"/>
      <w:b/>
    </w:rPr>
  </w:style>
  <w:style w:type="character" w:customStyle="1" w:styleId="BodyTextFirstIndentChar">
    <w:name w:val="Body Text First Indent Char"/>
    <w:basedOn w:val="BodyTextChar"/>
    <w:link w:val="BodyTextFirstIndent"/>
    <w:uiPriority w:val="99"/>
    <w:semiHidden/>
    <w:rsid w:val="004D5370"/>
    <w:rPr>
      <w:rFonts w:ascii="Trebuchet MS" w:hAnsi="Trebuchet MS"/>
      <w:b/>
      <w:sz w:val="19"/>
      <w:lang w:val="en-AU" w:eastAsia="ko-KR"/>
    </w:rPr>
  </w:style>
  <w:style w:type="paragraph" w:styleId="BodyTextFirstIndent2">
    <w:name w:val="Body Text First Indent 2"/>
    <w:basedOn w:val="Normal"/>
    <w:link w:val="BodyTextFirstIndent2Char"/>
    <w:uiPriority w:val="99"/>
    <w:semiHidden/>
    <w:rsid w:val="004D5370"/>
    <w:pPr>
      <w:ind w:left="360" w:firstLine="360"/>
    </w:pPr>
    <w:rPr>
      <w:rFonts w:ascii="Trebuchet MS" w:hAnsi="Trebuchet MS"/>
    </w:rPr>
  </w:style>
  <w:style w:type="character" w:customStyle="1" w:styleId="BodyTextFirstIndent2Char">
    <w:name w:val="Body Text First Indent 2 Char"/>
    <w:basedOn w:val="BodyTextIndentChar"/>
    <w:link w:val="BodyTextFirstIndent2"/>
    <w:uiPriority w:val="99"/>
    <w:semiHidden/>
    <w:rsid w:val="004D5370"/>
    <w:rPr>
      <w:rFonts w:ascii="Trebuchet MS" w:hAnsi="Trebuchet MS"/>
      <w:sz w:val="19"/>
      <w:lang w:val="en-AU" w:eastAsia="en-AU"/>
    </w:rPr>
  </w:style>
  <w:style w:type="paragraph" w:styleId="BodyTextIndent2">
    <w:name w:val="Body Text Indent 2"/>
    <w:basedOn w:val="Normal"/>
    <w:link w:val="BodyTextIndent2Char"/>
    <w:uiPriority w:val="99"/>
    <w:semiHidden/>
    <w:rsid w:val="004D5370"/>
    <w:pPr>
      <w:spacing w:after="120" w:line="480" w:lineRule="auto"/>
      <w:ind w:left="283"/>
    </w:pPr>
    <w:rPr>
      <w:rFonts w:ascii="Trebuchet MS" w:hAnsi="Trebuchet MS"/>
    </w:rPr>
  </w:style>
  <w:style w:type="character" w:customStyle="1" w:styleId="BodyTextIndent2Char">
    <w:name w:val="Body Text Indent 2 Char"/>
    <w:basedOn w:val="DefaultParagraphFont"/>
    <w:link w:val="BodyTextIndent2"/>
    <w:uiPriority w:val="99"/>
    <w:semiHidden/>
    <w:rsid w:val="004D5370"/>
    <w:rPr>
      <w:rFonts w:ascii="Trebuchet MS" w:hAnsi="Trebuchet MS"/>
      <w:sz w:val="19"/>
      <w:lang w:val="en-AU"/>
    </w:rPr>
  </w:style>
  <w:style w:type="paragraph" w:styleId="BodyTextIndent3">
    <w:name w:val="Body Text Indent 3"/>
    <w:basedOn w:val="Normal"/>
    <w:link w:val="BodyTextIndent3Char"/>
    <w:uiPriority w:val="99"/>
    <w:semiHidden/>
    <w:rsid w:val="004D5370"/>
    <w:pPr>
      <w:spacing w:after="120"/>
      <w:ind w:left="283"/>
    </w:pPr>
    <w:rPr>
      <w:rFonts w:ascii="Trebuchet MS" w:hAnsi="Trebuchet MS"/>
      <w:sz w:val="16"/>
      <w:szCs w:val="16"/>
    </w:rPr>
  </w:style>
  <w:style w:type="character" w:customStyle="1" w:styleId="BodyTextIndent3Char">
    <w:name w:val="Body Text Indent 3 Char"/>
    <w:basedOn w:val="DefaultParagraphFont"/>
    <w:link w:val="BodyTextIndent3"/>
    <w:uiPriority w:val="99"/>
    <w:semiHidden/>
    <w:rsid w:val="004D5370"/>
    <w:rPr>
      <w:rFonts w:ascii="Trebuchet MS" w:hAnsi="Trebuchet MS"/>
      <w:sz w:val="16"/>
      <w:szCs w:val="16"/>
      <w:lang w:val="en-AU"/>
    </w:rPr>
  </w:style>
  <w:style w:type="paragraph" w:styleId="Closing">
    <w:name w:val="Closing"/>
    <w:basedOn w:val="Normal"/>
    <w:link w:val="ClosingChar"/>
    <w:uiPriority w:val="99"/>
    <w:semiHidden/>
    <w:rsid w:val="004D5370"/>
    <w:pPr>
      <w:spacing w:before="0" w:line="240" w:lineRule="auto"/>
      <w:ind w:left="4252"/>
    </w:pPr>
    <w:rPr>
      <w:rFonts w:ascii="Trebuchet MS" w:hAnsi="Trebuchet MS"/>
    </w:rPr>
  </w:style>
  <w:style w:type="character" w:customStyle="1" w:styleId="ClosingChar">
    <w:name w:val="Closing Char"/>
    <w:basedOn w:val="DefaultParagraphFont"/>
    <w:link w:val="Closing"/>
    <w:uiPriority w:val="99"/>
    <w:semiHidden/>
    <w:rsid w:val="004D5370"/>
    <w:rPr>
      <w:rFonts w:ascii="Trebuchet MS" w:hAnsi="Trebuchet MS"/>
      <w:sz w:val="19"/>
      <w:lang w:val="en-AU"/>
    </w:rPr>
  </w:style>
  <w:style w:type="paragraph" w:styleId="Date">
    <w:name w:val="Date"/>
    <w:basedOn w:val="Normal"/>
    <w:next w:val="Normal"/>
    <w:link w:val="DateChar"/>
    <w:uiPriority w:val="99"/>
    <w:semiHidden/>
    <w:rsid w:val="004D5370"/>
    <w:rPr>
      <w:rFonts w:ascii="Trebuchet MS" w:hAnsi="Trebuchet MS"/>
    </w:rPr>
  </w:style>
  <w:style w:type="character" w:customStyle="1" w:styleId="DateChar">
    <w:name w:val="Date Char"/>
    <w:basedOn w:val="DefaultParagraphFont"/>
    <w:link w:val="Date"/>
    <w:uiPriority w:val="99"/>
    <w:semiHidden/>
    <w:rsid w:val="004D5370"/>
    <w:rPr>
      <w:rFonts w:ascii="Trebuchet MS" w:hAnsi="Trebuchet MS"/>
      <w:sz w:val="19"/>
      <w:lang w:val="en-AU"/>
    </w:rPr>
  </w:style>
  <w:style w:type="paragraph" w:styleId="DocumentMap">
    <w:name w:val="Document Map"/>
    <w:basedOn w:val="Normal"/>
    <w:link w:val="DocumentMapChar"/>
    <w:uiPriority w:val="99"/>
    <w:semiHidden/>
    <w:rsid w:val="004D5370"/>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4D5370"/>
    <w:rPr>
      <w:rFonts w:ascii="Tahoma" w:hAnsi="Tahoma" w:cs="Tahoma"/>
      <w:sz w:val="16"/>
      <w:szCs w:val="16"/>
      <w:lang w:val="en-AU"/>
    </w:rPr>
  </w:style>
  <w:style w:type="paragraph" w:styleId="E-mailSignature">
    <w:name w:val="E-mail Signature"/>
    <w:basedOn w:val="Normal"/>
    <w:link w:val="E-mailSignatureChar"/>
    <w:uiPriority w:val="99"/>
    <w:semiHidden/>
    <w:rsid w:val="004D5370"/>
    <w:pPr>
      <w:spacing w:before="0" w:line="240" w:lineRule="auto"/>
    </w:pPr>
    <w:rPr>
      <w:rFonts w:ascii="Trebuchet MS" w:hAnsi="Trebuchet MS"/>
    </w:rPr>
  </w:style>
  <w:style w:type="character" w:customStyle="1" w:styleId="E-mailSignatureChar">
    <w:name w:val="E-mail Signature Char"/>
    <w:basedOn w:val="DefaultParagraphFont"/>
    <w:link w:val="E-mailSignature"/>
    <w:uiPriority w:val="99"/>
    <w:semiHidden/>
    <w:rsid w:val="004D5370"/>
    <w:rPr>
      <w:rFonts w:ascii="Trebuchet MS" w:hAnsi="Trebuchet MS"/>
      <w:sz w:val="19"/>
      <w:lang w:val="en-AU"/>
    </w:rPr>
  </w:style>
  <w:style w:type="paragraph" w:styleId="EndnoteText">
    <w:name w:val="endnote text"/>
    <w:basedOn w:val="Normal"/>
    <w:link w:val="EndnoteTextChar"/>
    <w:uiPriority w:val="99"/>
    <w:semiHidden/>
    <w:rsid w:val="004D5370"/>
    <w:pPr>
      <w:spacing w:before="0" w:line="240" w:lineRule="auto"/>
    </w:pPr>
    <w:rPr>
      <w:rFonts w:ascii="Trebuchet MS" w:hAnsi="Trebuchet MS"/>
      <w:sz w:val="20"/>
    </w:rPr>
  </w:style>
  <w:style w:type="character" w:customStyle="1" w:styleId="EndnoteTextChar">
    <w:name w:val="Endnote Text Char"/>
    <w:basedOn w:val="DefaultParagraphFont"/>
    <w:link w:val="EndnoteText"/>
    <w:uiPriority w:val="99"/>
    <w:semiHidden/>
    <w:rsid w:val="004D5370"/>
    <w:rPr>
      <w:rFonts w:ascii="Trebuchet MS" w:hAnsi="Trebuchet MS"/>
      <w:lang w:val="en-AU"/>
    </w:rPr>
  </w:style>
  <w:style w:type="paragraph" w:styleId="EnvelopeAddress">
    <w:name w:val="envelope address"/>
    <w:basedOn w:val="Normal"/>
    <w:uiPriority w:val="99"/>
    <w:semiHidden/>
    <w:rsid w:val="004D5370"/>
    <w:pPr>
      <w:framePr w:w="7920" w:h="1980" w:hRule="exact" w:hSpace="180" w:wrap="auto" w:hAnchor="page" w:xAlign="center" w:yAlign="bottom"/>
      <w:spacing w:before="0" w:line="240" w:lineRule="auto"/>
      <w:ind w:left="2880"/>
    </w:pPr>
    <w:rPr>
      <w:rFonts w:ascii="Calibri" w:hAnsi="Calibri" w:cs="Vrinda"/>
      <w:sz w:val="24"/>
      <w:szCs w:val="24"/>
    </w:rPr>
  </w:style>
  <w:style w:type="paragraph" w:styleId="EnvelopeReturn">
    <w:name w:val="envelope return"/>
    <w:basedOn w:val="Normal"/>
    <w:uiPriority w:val="99"/>
    <w:semiHidden/>
    <w:rsid w:val="004D5370"/>
    <w:pPr>
      <w:spacing w:before="0" w:line="240" w:lineRule="auto"/>
    </w:pPr>
    <w:rPr>
      <w:rFonts w:ascii="Calibri" w:hAnsi="Calibri" w:cs="Vrinda"/>
      <w:sz w:val="20"/>
    </w:rPr>
  </w:style>
  <w:style w:type="paragraph" w:styleId="HTMLAddress">
    <w:name w:val="HTML Address"/>
    <w:basedOn w:val="Normal"/>
    <w:link w:val="HTMLAddressChar"/>
    <w:uiPriority w:val="99"/>
    <w:semiHidden/>
    <w:rsid w:val="004D5370"/>
    <w:pPr>
      <w:spacing w:before="0" w:line="240" w:lineRule="auto"/>
    </w:pPr>
    <w:rPr>
      <w:rFonts w:ascii="Trebuchet MS" w:hAnsi="Trebuchet MS"/>
      <w:i/>
      <w:iCs/>
    </w:rPr>
  </w:style>
  <w:style w:type="character" w:customStyle="1" w:styleId="HTMLAddressChar">
    <w:name w:val="HTML Address Char"/>
    <w:basedOn w:val="DefaultParagraphFont"/>
    <w:link w:val="HTMLAddress"/>
    <w:uiPriority w:val="99"/>
    <w:semiHidden/>
    <w:rsid w:val="004D5370"/>
    <w:rPr>
      <w:rFonts w:ascii="Trebuchet MS" w:hAnsi="Trebuchet MS"/>
      <w:i/>
      <w:iCs/>
      <w:sz w:val="19"/>
      <w:lang w:val="en-AU"/>
    </w:rPr>
  </w:style>
  <w:style w:type="paragraph" w:styleId="HTMLPreformatted">
    <w:name w:val="HTML Preformatted"/>
    <w:basedOn w:val="Normal"/>
    <w:link w:val="HTMLPreformattedChar"/>
    <w:uiPriority w:val="99"/>
    <w:semiHidden/>
    <w:rsid w:val="004D5370"/>
    <w:pPr>
      <w:spacing w:before="0" w:line="240" w:lineRule="auto"/>
    </w:pPr>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4D5370"/>
    <w:rPr>
      <w:rFonts w:ascii="Consolas" w:hAnsi="Consolas" w:cs="Consolas"/>
      <w:lang w:val="en-AU"/>
    </w:rPr>
  </w:style>
  <w:style w:type="paragraph" w:styleId="Index1">
    <w:name w:val="index 1"/>
    <w:basedOn w:val="Normal"/>
    <w:next w:val="Normal"/>
    <w:autoRedefine/>
    <w:uiPriority w:val="99"/>
    <w:semiHidden/>
    <w:rsid w:val="004D5370"/>
    <w:pPr>
      <w:spacing w:before="0" w:line="240" w:lineRule="auto"/>
      <w:ind w:left="190" w:hanging="190"/>
    </w:pPr>
    <w:rPr>
      <w:rFonts w:ascii="Trebuchet MS" w:hAnsi="Trebuchet MS"/>
    </w:rPr>
  </w:style>
  <w:style w:type="paragraph" w:styleId="Index2">
    <w:name w:val="index 2"/>
    <w:basedOn w:val="Normal"/>
    <w:next w:val="Normal"/>
    <w:autoRedefine/>
    <w:uiPriority w:val="99"/>
    <w:semiHidden/>
    <w:rsid w:val="004D5370"/>
    <w:pPr>
      <w:spacing w:before="0" w:line="240" w:lineRule="auto"/>
      <w:ind w:left="380" w:hanging="190"/>
    </w:pPr>
    <w:rPr>
      <w:rFonts w:ascii="Trebuchet MS" w:hAnsi="Trebuchet MS"/>
    </w:rPr>
  </w:style>
  <w:style w:type="paragraph" w:styleId="Index3">
    <w:name w:val="index 3"/>
    <w:basedOn w:val="Normal"/>
    <w:next w:val="Normal"/>
    <w:autoRedefine/>
    <w:uiPriority w:val="99"/>
    <w:semiHidden/>
    <w:rsid w:val="004D5370"/>
    <w:pPr>
      <w:spacing w:before="0" w:line="240" w:lineRule="auto"/>
      <w:ind w:left="570" w:hanging="190"/>
    </w:pPr>
    <w:rPr>
      <w:rFonts w:ascii="Trebuchet MS" w:hAnsi="Trebuchet MS"/>
    </w:rPr>
  </w:style>
  <w:style w:type="paragraph" w:styleId="Index4">
    <w:name w:val="index 4"/>
    <w:basedOn w:val="Normal"/>
    <w:next w:val="Normal"/>
    <w:autoRedefine/>
    <w:uiPriority w:val="99"/>
    <w:semiHidden/>
    <w:rsid w:val="004D5370"/>
    <w:pPr>
      <w:spacing w:before="0" w:line="240" w:lineRule="auto"/>
      <w:ind w:left="760" w:hanging="190"/>
    </w:pPr>
    <w:rPr>
      <w:rFonts w:ascii="Trebuchet MS" w:hAnsi="Trebuchet MS"/>
    </w:rPr>
  </w:style>
  <w:style w:type="paragraph" w:styleId="Index5">
    <w:name w:val="index 5"/>
    <w:basedOn w:val="Normal"/>
    <w:next w:val="Normal"/>
    <w:autoRedefine/>
    <w:uiPriority w:val="99"/>
    <w:semiHidden/>
    <w:rsid w:val="004D5370"/>
    <w:pPr>
      <w:spacing w:before="0" w:line="240" w:lineRule="auto"/>
      <w:ind w:left="950" w:hanging="190"/>
    </w:pPr>
    <w:rPr>
      <w:rFonts w:ascii="Trebuchet MS" w:hAnsi="Trebuchet MS"/>
    </w:rPr>
  </w:style>
  <w:style w:type="paragraph" w:styleId="Index6">
    <w:name w:val="index 6"/>
    <w:basedOn w:val="Normal"/>
    <w:next w:val="Normal"/>
    <w:autoRedefine/>
    <w:uiPriority w:val="99"/>
    <w:semiHidden/>
    <w:rsid w:val="004D5370"/>
    <w:pPr>
      <w:spacing w:before="0" w:line="240" w:lineRule="auto"/>
      <w:ind w:left="1140" w:hanging="190"/>
    </w:pPr>
    <w:rPr>
      <w:rFonts w:ascii="Trebuchet MS" w:hAnsi="Trebuchet MS"/>
    </w:rPr>
  </w:style>
  <w:style w:type="paragraph" w:styleId="Index7">
    <w:name w:val="index 7"/>
    <w:basedOn w:val="Normal"/>
    <w:next w:val="Normal"/>
    <w:autoRedefine/>
    <w:uiPriority w:val="99"/>
    <w:semiHidden/>
    <w:rsid w:val="004D5370"/>
    <w:pPr>
      <w:spacing w:before="0" w:line="240" w:lineRule="auto"/>
      <w:ind w:left="1330" w:hanging="190"/>
    </w:pPr>
    <w:rPr>
      <w:rFonts w:ascii="Trebuchet MS" w:hAnsi="Trebuchet MS"/>
    </w:rPr>
  </w:style>
  <w:style w:type="paragraph" w:styleId="Index8">
    <w:name w:val="index 8"/>
    <w:basedOn w:val="Normal"/>
    <w:next w:val="Normal"/>
    <w:autoRedefine/>
    <w:uiPriority w:val="99"/>
    <w:semiHidden/>
    <w:rsid w:val="004D5370"/>
    <w:pPr>
      <w:spacing w:before="0" w:line="240" w:lineRule="auto"/>
      <w:ind w:left="1520" w:hanging="190"/>
    </w:pPr>
    <w:rPr>
      <w:rFonts w:ascii="Trebuchet MS" w:hAnsi="Trebuchet MS"/>
    </w:rPr>
  </w:style>
  <w:style w:type="paragraph" w:styleId="Index9">
    <w:name w:val="index 9"/>
    <w:basedOn w:val="Normal"/>
    <w:next w:val="Normal"/>
    <w:autoRedefine/>
    <w:uiPriority w:val="99"/>
    <w:semiHidden/>
    <w:rsid w:val="004D5370"/>
    <w:pPr>
      <w:spacing w:before="0" w:line="240" w:lineRule="auto"/>
      <w:ind w:left="1710" w:hanging="190"/>
    </w:pPr>
    <w:rPr>
      <w:rFonts w:ascii="Trebuchet MS" w:hAnsi="Trebuchet MS"/>
    </w:rPr>
  </w:style>
  <w:style w:type="paragraph" w:styleId="IndexHeading">
    <w:name w:val="index heading"/>
    <w:basedOn w:val="Normal"/>
    <w:next w:val="Index1"/>
    <w:uiPriority w:val="99"/>
    <w:semiHidden/>
    <w:rsid w:val="004D5370"/>
    <w:rPr>
      <w:rFonts w:ascii="Calibri" w:hAnsi="Calibri" w:cs="Vrinda"/>
      <w:b/>
      <w:bCs/>
    </w:rPr>
  </w:style>
  <w:style w:type="paragraph" w:styleId="IntenseQuote">
    <w:name w:val="Intense Quote"/>
    <w:basedOn w:val="Normal"/>
    <w:next w:val="Normal"/>
    <w:link w:val="IntenseQuoteChar"/>
    <w:uiPriority w:val="30"/>
    <w:qFormat/>
    <w:rsid w:val="004D5370"/>
    <w:pPr>
      <w:pBdr>
        <w:bottom w:val="single" w:sz="4" w:space="4" w:color="4F81BD"/>
      </w:pBdr>
      <w:spacing w:before="200" w:after="280"/>
      <w:ind w:left="936" w:right="936"/>
    </w:pPr>
    <w:rPr>
      <w:rFonts w:ascii="Trebuchet MS" w:hAnsi="Trebuchet MS"/>
      <w:b/>
      <w:bCs/>
      <w:i/>
      <w:iCs/>
      <w:color w:val="4F81BD"/>
    </w:rPr>
  </w:style>
  <w:style w:type="character" w:customStyle="1" w:styleId="IntenseQuoteChar">
    <w:name w:val="Intense Quote Char"/>
    <w:basedOn w:val="DefaultParagraphFont"/>
    <w:link w:val="IntenseQuote"/>
    <w:uiPriority w:val="30"/>
    <w:rsid w:val="004D5370"/>
    <w:rPr>
      <w:rFonts w:ascii="Trebuchet MS" w:hAnsi="Trebuchet MS"/>
      <w:b/>
      <w:bCs/>
      <w:i/>
      <w:iCs/>
      <w:color w:val="4F81BD"/>
      <w:sz w:val="19"/>
      <w:lang w:val="en-AU"/>
    </w:rPr>
  </w:style>
  <w:style w:type="paragraph" w:styleId="List">
    <w:name w:val="List"/>
    <w:basedOn w:val="Normal"/>
    <w:uiPriority w:val="99"/>
    <w:semiHidden/>
    <w:rsid w:val="004D5370"/>
    <w:pPr>
      <w:ind w:left="283" w:hanging="283"/>
      <w:contextualSpacing/>
    </w:pPr>
    <w:rPr>
      <w:rFonts w:ascii="Trebuchet MS" w:hAnsi="Trebuchet MS"/>
    </w:rPr>
  </w:style>
  <w:style w:type="paragraph" w:styleId="List2">
    <w:name w:val="List 2"/>
    <w:basedOn w:val="Normal"/>
    <w:uiPriority w:val="99"/>
    <w:semiHidden/>
    <w:rsid w:val="004D5370"/>
    <w:pPr>
      <w:ind w:left="566" w:hanging="283"/>
      <w:contextualSpacing/>
    </w:pPr>
    <w:rPr>
      <w:rFonts w:ascii="Trebuchet MS" w:hAnsi="Trebuchet MS"/>
    </w:rPr>
  </w:style>
  <w:style w:type="paragraph" w:styleId="List3">
    <w:name w:val="List 3"/>
    <w:basedOn w:val="Normal"/>
    <w:uiPriority w:val="99"/>
    <w:semiHidden/>
    <w:rsid w:val="004D5370"/>
    <w:pPr>
      <w:ind w:left="849" w:hanging="283"/>
      <w:contextualSpacing/>
    </w:pPr>
    <w:rPr>
      <w:rFonts w:ascii="Trebuchet MS" w:hAnsi="Trebuchet MS"/>
    </w:rPr>
  </w:style>
  <w:style w:type="paragraph" w:styleId="List4">
    <w:name w:val="List 4"/>
    <w:basedOn w:val="Normal"/>
    <w:uiPriority w:val="99"/>
    <w:semiHidden/>
    <w:rsid w:val="004D5370"/>
    <w:pPr>
      <w:ind w:left="1132" w:hanging="283"/>
      <w:contextualSpacing/>
    </w:pPr>
    <w:rPr>
      <w:rFonts w:ascii="Trebuchet MS" w:hAnsi="Trebuchet MS"/>
    </w:rPr>
  </w:style>
  <w:style w:type="paragraph" w:styleId="List5">
    <w:name w:val="List 5"/>
    <w:basedOn w:val="Normal"/>
    <w:uiPriority w:val="99"/>
    <w:semiHidden/>
    <w:rsid w:val="004D5370"/>
    <w:pPr>
      <w:ind w:left="1415" w:hanging="283"/>
      <w:contextualSpacing/>
    </w:pPr>
    <w:rPr>
      <w:rFonts w:ascii="Trebuchet MS" w:hAnsi="Trebuchet MS"/>
    </w:rPr>
  </w:style>
  <w:style w:type="paragraph" w:styleId="ListContinue">
    <w:name w:val="List Continue"/>
    <w:basedOn w:val="Normal"/>
    <w:uiPriority w:val="99"/>
    <w:semiHidden/>
    <w:rsid w:val="004D5370"/>
    <w:pPr>
      <w:spacing w:after="120"/>
      <w:ind w:left="283"/>
      <w:contextualSpacing/>
    </w:pPr>
    <w:rPr>
      <w:rFonts w:ascii="Trebuchet MS" w:hAnsi="Trebuchet MS"/>
    </w:rPr>
  </w:style>
  <w:style w:type="paragraph" w:styleId="ListContinue2">
    <w:name w:val="List Continue 2"/>
    <w:basedOn w:val="Normal"/>
    <w:uiPriority w:val="99"/>
    <w:semiHidden/>
    <w:rsid w:val="004D5370"/>
    <w:pPr>
      <w:spacing w:after="120"/>
      <w:ind w:left="566"/>
      <w:contextualSpacing/>
    </w:pPr>
    <w:rPr>
      <w:rFonts w:ascii="Trebuchet MS" w:hAnsi="Trebuchet MS"/>
    </w:rPr>
  </w:style>
  <w:style w:type="paragraph" w:styleId="ListContinue3">
    <w:name w:val="List Continue 3"/>
    <w:basedOn w:val="Normal"/>
    <w:uiPriority w:val="99"/>
    <w:semiHidden/>
    <w:rsid w:val="004D5370"/>
    <w:pPr>
      <w:spacing w:after="120"/>
      <w:ind w:left="849"/>
      <w:contextualSpacing/>
    </w:pPr>
    <w:rPr>
      <w:rFonts w:ascii="Trebuchet MS" w:hAnsi="Trebuchet MS"/>
    </w:rPr>
  </w:style>
  <w:style w:type="paragraph" w:styleId="ListContinue4">
    <w:name w:val="List Continue 4"/>
    <w:basedOn w:val="Normal"/>
    <w:uiPriority w:val="99"/>
    <w:semiHidden/>
    <w:rsid w:val="004D5370"/>
    <w:pPr>
      <w:spacing w:after="120"/>
      <w:ind w:left="1132"/>
      <w:contextualSpacing/>
    </w:pPr>
    <w:rPr>
      <w:rFonts w:ascii="Trebuchet MS" w:hAnsi="Trebuchet MS"/>
    </w:rPr>
  </w:style>
  <w:style w:type="paragraph" w:styleId="ListContinue5">
    <w:name w:val="List Continue 5"/>
    <w:basedOn w:val="Normal"/>
    <w:uiPriority w:val="99"/>
    <w:semiHidden/>
    <w:rsid w:val="004D5370"/>
    <w:pPr>
      <w:spacing w:after="120"/>
      <w:ind w:left="1415"/>
      <w:contextualSpacing/>
    </w:pPr>
    <w:rPr>
      <w:rFonts w:ascii="Trebuchet MS" w:hAnsi="Trebuchet MS"/>
    </w:rPr>
  </w:style>
  <w:style w:type="paragraph" w:styleId="ListNumber">
    <w:name w:val="List Number"/>
    <w:basedOn w:val="Normal"/>
    <w:uiPriority w:val="99"/>
    <w:semiHidden/>
    <w:rsid w:val="004D5370"/>
    <w:pPr>
      <w:tabs>
        <w:tab w:val="num" w:pos="360"/>
      </w:tabs>
      <w:ind w:left="360" w:hanging="360"/>
      <w:contextualSpacing/>
    </w:pPr>
    <w:rPr>
      <w:rFonts w:ascii="Trebuchet MS" w:hAnsi="Trebuchet MS"/>
    </w:rPr>
  </w:style>
  <w:style w:type="paragraph" w:styleId="ListNumber2">
    <w:name w:val="List Number 2"/>
    <w:basedOn w:val="Normal"/>
    <w:uiPriority w:val="99"/>
    <w:semiHidden/>
    <w:rsid w:val="004D5370"/>
    <w:pPr>
      <w:tabs>
        <w:tab w:val="num" w:pos="643"/>
      </w:tabs>
      <w:ind w:left="643" w:hanging="360"/>
      <w:contextualSpacing/>
    </w:pPr>
    <w:rPr>
      <w:rFonts w:ascii="Trebuchet MS" w:hAnsi="Trebuchet MS"/>
    </w:rPr>
  </w:style>
  <w:style w:type="paragraph" w:styleId="ListNumber3">
    <w:name w:val="List Number 3"/>
    <w:basedOn w:val="Normal"/>
    <w:uiPriority w:val="99"/>
    <w:semiHidden/>
    <w:rsid w:val="004D5370"/>
    <w:pPr>
      <w:tabs>
        <w:tab w:val="num" w:pos="926"/>
      </w:tabs>
      <w:ind w:left="926" w:hanging="360"/>
      <w:contextualSpacing/>
    </w:pPr>
    <w:rPr>
      <w:rFonts w:ascii="Trebuchet MS" w:hAnsi="Trebuchet MS"/>
    </w:rPr>
  </w:style>
  <w:style w:type="paragraph" w:styleId="ListNumber4">
    <w:name w:val="List Number 4"/>
    <w:basedOn w:val="Normal"/>
    <w:uiPriority w:val="99"/>
    <w:semiHidden/>
    <w:rsid w:val="004D5370"/>
    <w:pPr>
      <w:tabs>
        <w:tab w:val="num" w:pos="1209"/>
      </w:tabs>
      <w:ind w:left="1209" w:hanging="360"/>
      <w:contextualSpacing/>
    </w:pPr>
    <w:rPr>
      <w:rFonts w:ascii="Trebuchet MS" w:hAnsi="Trebuchet MS"/>
    </w:rPr>
  </w:style>
  <w:style w:type="paragraph" w:styleId="ListNumber5">
    <w:name w:val="List Number 5"/>
    <w:basedOn w:val="Normal"/>
    <w:uiPriority w:val="99"/>
    <w:semiHidden/>
    <w:rsid w:val="004D5370"/>
    <w:pPr>
      <w:tabs>
        <w:tab w:val="num" w:pos="1492"/>
      </w:tabs>
      <w:ind w:left="1492" w:hanging="360"/>
      <w:contextualSpacing/>
    </w:pPr>
    <w:rPr>
      <w:rFonts w:ascii="Trebuchet MS" w:hAnsi="Trebuchet MS"/>
    </w:rPr>
  </w:style>
  <w:style w:type="paragraph" w:styleId="MacroText">
    <w:name w:val="macro"/>
    <w:link w:val="MacroTextChar"/>
    <w:uiPriority w:val="99"/>
    <w:semiHidden/>
    <w:rsid w:val="004D5370"/>
    <w:pPr>
      <w:tabs>
        <w:tab w:val="left" w:pos="480"/>
        <w:tab w:val="left" w:pos="960"/>
        <w:tab w:val="left" w:pos="1440"/>
        <w:tab w:val="left" w:pos="1920"/>
        <w:tab w:val="left" w:pos="2400"/>
        <w:tab w:val="left" w:pos="2880"/>
        <w:tab w:val="left" w:pos="3360"/>
        <w:tab w:val="left" w:pos="3840"/>
        <w:tab w:val="left" w:pos="4320"/>
      </w:tabs>
      <w:spacing w:before="160" w:line="260" w:lineRule="exact"/>
    </w:pPr>
    <w:rPr>
      <w:rFonts w:ascii="Consolas" w:hAnsi="Consolas" w:cs="Consolas"/>
      <w:lang w:val="en-AU"/>
    </w:rPr>
  </w:style>
  <w:style w:type="character" w:customStyle="1" w:styleId="MacroTextChar">
    <w:name w:val="Macro Text Char"/>
    <w:basedOn w:val="DefaultParagraphFont"/>
    <w:link w:val="MacroText"/>
    <w:uiPriority w:val="99"/>
    <w:semiHidden/>
    <w:rsid w:val="004D5370"/>
    <w:rPr>
      <w:rFonts w:ascii="Consolas" w:hAnsi="Consolas" w:cs="Consolas"/>
      <w:lang w:val="en-AU"/>
    </w:rPr>
  </w:style>
  <w:style w:type="paragraph" w:styleId="MessageHeader">
    <w:name w:val="Message Header"/>
    <w:basedOn w:val="Normal"/>
    <w:link w:val="MessageHeaderChar"/>
    <w:uiPriority w:val="99"/>
    <w:semiHidden/>
    <w:rsid w:val="004D5370"/>
    <w:pPr>
      <w:pBdr>
        <w:top w:val="single" w:sz="6" w:space="1" w:color="auto"/>
        <w:left w:val="single" w:sz="6" w:space="1" w:color="auto"/>
        <w:bottom w:val="single" w:sz="6" w:space="1" w:color="auto"/>
        <w:right w:val="single" w:sz="6" w:space="1" w:color="auto"/>
      </w:pBdr>
      <w:shd w:val="pct20" w:color="auto" w:fill="auto"/>
      <w:spacing w:before="0" w:line="240" w:lineRule="auto"/>
      <w:ind w:left="1134" w:hanging="1134"/>
    </w:pPr>
    <w:rPr>
      <w:rFonts w:ascii="Calibri" w:hAnsi="Calibri" w:cs="Vrinda"/>
      <w:sz w:val="24"/>
      <w:szCs w:val="24"/>
    </w:rPr>
  </w:style>
  <w:style w:type="character" w:customStyle="1" w:styleId="MessageHeaderChar">
    <w:name w:val="Message Header Char"/>
    <w:basedOn w:val="DefaultParagraphFont"/>
    <w:link w:val="MessageHeader"/>
    <w:uiPriority w:val="99"/>
    <w:semiHidden/>
    <w:rsid w:val="004D5370"/>
    <w:rPr>
      <w:rFonts w:ascii="Calibri" w:hAnsi="Calibri" w:cs="Vrinda"/>
      <w:sz w:val="24"/>
      <w:szCs w:val="24"/>
      <w:shd w:val="pct20" w:color="auto" w:fill="auto"/>
      <w:lang w:val="en-AU"/>
    </w:rPr>
  </w:style>
  <w:style w:type="paragraph" w:styleId="NoSpacing">
    <w:name w:val="No Spacing"/>
    <w:uiPriority w:val="1"/>
    <w:semiHidden/>
    <w:qFormat/>
    <w:rsid w:val="004D5370"/>
    <w:rPr>
      <w:rFonts w:ascii="Trebuchet MS" w:hAnsi="Trebuchet MS"/>
      <w:sz w:val="19"/>
      <w:lang w:val="en-AU"/>
    </w:rPr>
  </w:style>
  <w:style w:type="paragraph" w:styleId="NoteHeading">
    <w:name w:val="Note Heading"/>
    <w:basedOn w:val="Normal"/>
    <w:next w:val="Normal"/>
    <w:link w:val="NoteHeadingChar"/>
    <w:uiPriority w:val="99"/>
    <w:semiHidden/>
    <w:rsid w:val="004D5370"/>
    <w:pPr>
      <w:spacing w:before="0" w:line="240" w:lineRule="auto"/>
    </w:pPr>
    <w:rPr>
      <w:rFonts w:ascii="Trebuchet MS" w:hAnsi="Trebuchet MS"/>
    </w:rPr>
  </w:style>
  <w:style w:type="character" w:customStyle="1" w:styleId="NoteHeadingChar">
    <w:name w:val="Note Heading Char"/>
    <w:basedOn w:val="DefaultParagraphFont"/>
    <w:link w:val="NoteHeading"/>
    <w:uiPriority w:val="99"/>
    <w:semiHidden/>
    <w:rsid w:val="004D5370"/>
    <w:rPr>
      <w:rFonts w:ascii="Trebuchet MS" w:hAnsi="Trebuchet MS"/>
      <w:sz w:val="19"/>
      <w:lang w:val="en-AU"/>
    </w:rPr>
  </w:style>
  <w:style w:type="paragraph" w:styleId="Salutation">
    <w:name w:val="Salutation"/>
    <w:basedOn w:val="Normal"/>
    <w:next w:val="Normal"/>
    <w:link w:val="SalutationChar"/>
    <w:uiPriority w:val="99"/>
    <w:semiHidden/>
    <w:rsid w:val="004D5370"/>
    <w:rPr>
      <w:rFonts w:ascii="Trebuchet MS" w:hAnsi="Trebuchet MS"/>
    </w:rPr>
  </w:style>
  <w:style w:type="character" w:customStyle="1" w:styleId="SalutationChar">
    <w:name w:val="Salutation Char"/>
    <w:basedOn w:val="DefaultParagraphFont"/>
    <w:link w:val="Salutation"/>
    <w:uiPriority w:val="99"/>
    <w:semiHidden/>
    <w:rsid w:val="004D5370"/>
    <w:rPr>
      <w:rFonts w:ascii="Trebuchet MS" w:hAnsi="Trebuchet MS"/>
      <w:sz w:val="19"/>
      <w:lang w:val="en-AU"/>
    </w:rPr>
  </w:style>
  <w:style w:type="paragraph" w:styleId="Signature">
    <w:name w:val="Signature"/>
    <w:basedOn w:val="Normal"/>
    <w:link w:val="SignatureChar"/>
    <w:uiPriority w:val="99"/>
    <w:semiHidden/>
    <w:rsid w:val="004D5370"/>
    <w:pPr>
      <w:spacing w:before="0" w:line="240" w:lineRule="auto"/>
      <w:ind w:left="4252"/>
    </w:pPr>
    <w:rPr>
      <w:rFonts w:ascii="Trebuchet MS" w:hAnsi="Trebuchet MS"/>
    </w:rPr>
  </w:style>
  <w:style w:type="character" w:customStyle="1" w:styleId="SignatureChar">
    <w:name w:val="Signature Char"/>
    <w:basedOn w:val="DefaultParagraphFont"/>
    <w:link w:val="Signature"/>
    <w:uiPriority w:val="99"/>
    <w:semiHidden/>
    <w:rsid w:val="004D5370"/>
    <w:rPr>
      <w:rFonts w:ascii="Trebuchet MS" w:hAnsi="Trebuchet MS"/>
      <w:sz w:val="19"/>
      <w:lang w:val="en-AU"/>
    </w:rPr>
  </w:style>
  <w:style w:type="paragraph" w:styleId="Subtitle">
    <w:name w:val="Subtitle"/>
    <w:basedOn w:val="Normal"/>
    <w:next w:val="Normal"/>
    <w:link w:val="SubtitleChar"/>
    <w:uiPriority w:val="11"/>
    <w:qFormat/>
    <w:rsid w:val="004D5370"/>
    <w:pPr>
      <w:numPr>
        <w:ilvl w:val="1"/>
      </w:numPr>
    </w:pPr>
    <w:rPr>
      <w:rFonts w:ascii="Calibri" w:hAnsi="Calibri" w:cs="Vrinda"/>
      <w:i/>
      <w:iCs/>
      <w:color w:val="4F81BD"/>
      <w:spacing w:val="15"/>
      <w:sz w:val="24"/>
      <w:szCs w:val="24"/>
    </w:rPr>
  </w:style>
  <w:style w:type="character" w:customStyle="1" w:styleId="SubtitleChar">
    <w:name w:val="Subtitle Char"/>
    <w:basedOn w:val="DefaultParagraphFont"/>
    <w:link w:val="Subtitle"/>
    <w:uiPriority w:val="11"/>
    <w:rsid w:val="004D5370"/>
    <w:rPr>
      <w:rFonts w:ascii="Calibri" w:hAnsi="Calibri" w:cs="Vrinda"/>
      <w:i/>
      <w:iCs/>
      <w:color w:val="4F81BD"/>
      <w:spacing w:val="15"/>
      <w:sz w:val="24"/>
      <w:szCs w:val="24"/>
      <w:lang w:val="en-AU"/>
    </w:rPr>
  </w:style>
  <w:style w:type="paragraph" w:styleId="TableofAuthorities">
    <w:name w:val="table of authorities"/>
    <w:basedOn w:val="Normal"/>
    <w:next w:val="Normal"/>
    <w:uiPriority w:val="99"/>
    <w:semiHidden/>
    <w:rsid w:val="004D5370"/>
    <w:pPr>
      <w:ind w:left="190" w:hanging="190"/>
    </w:pPr>
    <w:rPr>
      <w:rFonts w:ascii="Trebuchet MS" w:hAnsi="Trebuchet MS"/>
    </w:rPr>
  </w:style>
  <w:style w:type="paragraph" w:styleId="TOAHeading">
    <w:name w:val="toa heading"/>
    <w:basedOn w:val="Normal"/>
    <w:next w:val="Normal"/>
    <w:uiPriority w:val="99"/>
    <w:semiHidden/>
    <w:rsid w:val="004D5370"/>
    <w:pPr>
      <w:spacing w:before="120"/>
    </w:pPr>
    <w:rPr>
      <w:rFonts w:ascii="Calibri" w:hAnsi="Calibri" w:cs="Vrinda"/>
      <w:b/>
      <w:bCs/>
      <w:sz w:val="24"/>
      <w:szCs w:val="24"/>
    </w:rPr>
  </w:style>
  <w:style w:type="paragraph" w:styleId="TOC5">
    <w:name w:val="toc 5"/>
    <w:basedOn w:val="Normal"/>
    <w:next w:val="Normal"/>
    <w:autoRedefine/>
    <w:uiPriority w:val="39"/>
    <w:semiHidden/>
    <w:unhideWhenUsed/>
    <w:rsid w:val="004D5370"/>
    <w:pPr>
      <w:spacing w:after="100"/>
      <w:ind w:left="760"/>
    </w:pPr>
    <w:rPr>
      <w:rFonts w:ascii="Trebuchet MS" w:hAnsi="Trebuchet MS"/>
    </w:rPr>
  </w:style>
  <w:style w:type="paragraph" w:styleId="TOC6">
    <w:name w:val="toc 6"/>
    <w:basedOn w:val="Normal"/>
    <w:next w:val="Normal"/>
    <w:autoRedefine/>
    <w:uiPriority w:val="39"/>
    <w:semiHidden/>
    <w:unhideWhenUsed/>
    <w:rsid w:val="004D5370"/>
    <w:pPr>
      <w:spacing w:after="100"/>
      <w:ind w:left="950"/>
    </w:pPr>
    <w:rPr>
      <w:rFonts w:ascii="Trebuchet MS" w:hAnsi="Trebuchet MS"/>
    </w:rPr>
  </w:style>
  <w:style w:type="paragraph" w:styleId="TOC7">
    <w:name w:val="toc 7"/>
    <w:basedOn w:val="Normal"/>
    <w:next w:val="Normal"/>
    <w:autoRedefine/>
    <w:uiPriority w:val="39"/>
    <w:semiHidden/>
    <w:unhideWhenUsed/>
    <w:rsid w:val="004D5370"/>
    <w:pPr>
      <w:spacing w:after="100"/>
      <w:ind w:left="1140"/>
    </w:pPr>
    <w:rPr>
      <w:rFonts w:ascii="Trebuchet MS" w:hAnsi="Trebuchet MS"/>
    </w:rPr>
  </w:style>
  <w:style w:type="paragraph" w:styleId="TOC8">
    <w:name w:val="toc 8"/>
    <w:basedOn w:val="Normal"/>
    <w:next w:val="Normal"/>
    <w:autoRedefine/>
    <w:uiPriority w:val="39"/>
    <w:semiHidden/>
    <w:unhideWhenUsed/>
    <w:rsid w:val="004D5370"/>
    <w:pPr>
      <w:spacing w:after="100"/>
      <w:ind w:left="1330"/>
    </w:pPr>
    <w:rPr>
      <w:rFonts w:ascii="Trebuchet MS" w:hAnsi="Trebuchet MS"/>
    </w:rPr>
  </w:style>
  <w:style w:type="paragraph" w:styleId="TOC9">
    <w:name w:val="toc 9"/>
    <w:basedOn w:val="Normal"/>
    <w:next w:val="Normal"/>
    <w:autoRedefine/>
    <w:uiPriority w:val="39"/>
    <w:semiHidden/>
    <w:unhideWhenUsed/>
    <w:rsid w:val="004D5370"/>
    <w:pPr>
      <w:spacing w:after="100"/>
      <w:ind w:left="1520"/>
    </w:pPr>
    <w:rPr>
      <w:rFonts w:ascii="Trebuchet MS" w:hAnsi="Trebuchet MS"/>
    </w:rPr>
  </w:style>
  <w:style w:type="paragraph" w:styleId="TOCHeading">
    <w:name w:val="TOC Heading"/>
    <w:basedOn w:val="Heading1"/>
    <w:next w:val="Normal"/>
    <w:uiPriority w:val="39"/>
    <w:semiHidden/>
    <w:unhideWhenUsed/>
    <w:qFormat/>
    <w:rsid w:val="004D5370"/>
    <w:pPr>
      <w:keepLines/>
      <w:spacing w:before="480" w:after="0" w:line="260" w:lineRule="exact"/>
      <w:outlineLvl w:val="9"/>
    </w:pPr>
    <w:rPr>
      <w:rFonts w:ascii="Calibri" w:hAnsi="Calibri" w:cs="Vrinda"/>
      <w:bCs/>
      <w:color w:val="365F91"/>
      <w:kern w:val="0"/>
      <w:sz w:val="28"/>
      <w:szCs w:val="28"/>
    </w:rPr>
  </w:style>
  <w:style w:type="paragraph" w:customStyle="1" w:styleId="NumberedList">
    <w:name w:val="NumberedList"/>
    <w:uiPriority w:val="1"/>
    <w:qFormat/>
    <w:rsid w:val="004D5370"/>
    <w:pPr>
      <w:numPr>
        <w:numId w:val="17"/>
      </w:numPr>
      <w:spacing w:before="80" w:line="300" w:lineRule="exact"/>
      <w:ind w:left="0" w:firstLine="0"/>
    </w:pPr>
    <w:rPr>
      <w:rFonts w:ascii="Trebuchet MS" w:hAnsi="Trebuchet MS"/>
      <w:sz w:val="19"/>
      <w:lang w:val="en-AU" w:eastAsia="en-AU"/>
    </w:rPr>
  </w:style>
  <w:style w:type="table" w:customStyle="1" w:styleId="NodesTable">
    <w:name w:val="Nodes Table"/>
    <w:rsid w:val="004D5370"/>
    <w:pPr>
      <w:spacing w:after="160" w:line="259" w:lineRule="auto"/>
    </w:pPr>
    <w:rPr>
      <w:rFonts w:ascii="Cambria"/>
      <w:sz w:val="22"/>
      <w:szCs w:val="22"/>
      <w:lang w:val="en-AU" w:eastAsia="ja-JP"/>
    </w:rPr>
    <w:tblPr>
      <w:tblStyleRow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108" w:type="dxa"/>
        <w:left w:w="108" w:type="dxa"/>
        <w:bottom w:w="0" w:type="dxa"/>
        <w:right w:w="108" w:type="dxa"/>
      </w:tblCellMar>
    </w:tblPr>
  </w:style>
  <w:style w:type="paragraph" w:styleId="Caption">
    <w:name w:val="caption"/>
    <w:basedOn w:val="Normal"/>
    <w:next w:val="Normal"/>
    <w:uiPriority w:val="35"/>
    <w:unhideWhenUsed/>
    <w:qFormat/>
    <w:rsid w:val="004D5370"/>
    <w:pPr>
      <w:spacing w:before="0" w:after="200" w:line="240" w:lineRule="auto"/>
    </w:pPr>
    <w:rPr>
      <w:rFonts w:ascii="Trebuchet MS" w:hAnsi="Trebuchet MS"/>
      <w:i/>
      <w:iCs/>
      <w:color w:val="1F497D"/>
      <w:sz w:val="18"/>
      <w:szCs w:val="18"/>
    </w:rPr>
  </w:style>
  <w:style w:type="character" w:styleId="IntenseEmphasis">
    <w:name w:val="Intense Emphasis"/>
    <w:uiPriority w:val="21"/>
    <w:qFormat/>
    <w:rsid w:val="004D5370"/>
    <w:rPr>
      <w:b/>
      <w:i/>
      <w:color w:val="C0504D"/>
      <w:spacing w:val="10"/>
    </w:rPr>
  </w:style>
  <w:style w:type="character" w:customStyle="1" w:styleId="Heading5Char">
    <w:name w:val="Heading 5 Char"/>
    <w:link w:val="Heading5"/>
    <w:rsid w:val="004D5370"/>
    <w:rPr>
      <w:rFonts w:ascii="Tahoma" w:hAnsi="Tahoma"/>
      <w:b/>
      <w:sz w:val="19"/>
      <w:lang w:val="en-AU"/>
    </w:rPr>
  </w:style>
  <w:style w:type="character" w:customStyle="1" w:styleId="ListParagraphChar">
    <w:name w:val="List Paragraph Char"/>
    <w:link w:val="ListParagraph"/>
    <w:uiPriority w:val="34"/>
    <w:rsid w:val="004D5370"/>
    <w:rPr>
      <w:rFonts w:ascii="Montserrat" w:hAnsi="Montserrat"/>
      <w:sz w:val="19"/>
      <w:lang w:val="en-AU"/>
    </w:rPr>
  </w:style>
  <w:style w:type="character" w:customStyle="1" w:styleId="Heading2Char">
    <w:name w:val="Heading 2 Char"/>
    <w:link w:val="Heading2"/>
    <w:rsid w:val="004D5370"/>
    <w:rPr>
      <w:rFonts w:ascii="Montserrat" w:hAnsi="Montserrat" w:cs="Tahoma"/>
      <w:b/>
      <w:sz w:val="28"/>
      <w:lang w:val="en-AU"/>
    </w:rPr>
  </w:style>
  <w:style w:type="paragraph" w:customStyle="1" w:styleId="pf0">
    <w:name w:val="pf0"/>
    <w:basedOn w:val="Normal"/>
    <w:rsid w:val="004D5370"/>
    <w:pPr>
      <w:spacing w:before="100" w:beforeAutospacing="1" w:after="100" w:afterAutospacing="1" w:line="240" w:lineRule="auto"/>
    </w:pPr>
    <w:rPr>
      <w:rFonts w:ascii="Times New Roman" w:hAnsi="Times New Roman"/>
      <w:sz w:val="24"/>
      <w:szCs w:val="24"/>
      <w:lang w:eastAsia="en-AU"/>
    </w:rPr>
  </w:style>
  <w:style w:type="character" w:customStyle="1" w:styleId="cf01">
    <w:name w:val="cf01"/>
    <w:rsid w:val="004D5370"/>
    <w:rPr>
      <w:rFonts w:ascii="Segoe UI" w:hAnsi="Segoe UI" w:cs="Segoe UI" w:hint="default"/>
      <w:sz w:val="18"/>
      <w:szCs w:val="18"/>
    </w:rPr>
  </w:style>
  <w:style w:type="paragraph" w:customStyle="1" w:styleId="NoParagraphStyle">
    <w:name w:val="[No Paragraph Style]"/>
    <w:rsid w:val="004D5370"/>
    <w:pPr>
      <w:autoSpaceDE w:val="0"/>
      <w:autoSpaceDN w:val="0"/>
      <w:adjustRightInd w:val="0"/>
      <w:spacing w:line="288" w:lineRule="auto"/>
      <w:textAlignment w:val="center"/>
    </w:pPr>
    <w:rPr>
      <w:rFonts w:ascii="MinionPro-Regular" w:hAnsi="MinionPro-Regular" w:cs="MinionPro-Regular"/>
      <w:color w:val="000000"/>
      <w:sz w:val="24"/>
      <w:szCs w:val="24"/>
    </w:rPr>
  </w:style>
  <w:style w:type="paragraph" w:customStyle="1" w:styleId="Head1">
    <w:name w:val="Head 1"/>
    <w:basedOn w:val="Normal"/>
    <w:rsid w:val="004D5370"/>
    <w:pPr>
      <w:pBdr>
        <w:bottom w:val="single" w:sz="4" w:space="1" w:color="auto"/>
      </w:pBdr>
      <w:autoSpaceDE w:val="0"/>
      <w:autoSpaceDN w:val="0"/>
      <w:spacing w:before="0" w:line="240" w:lineRule="auto"/>
      <w:jc w:val="right"/>
    </w:pPr>
    <w:rPr>
      <w:rFonts w:ascii="Arial Narrow" w:hAnsi="Arial Narrow" w:cs="AvantGarde"/>
      <w:sz w:val="56"/>
      <w:szCs w:val="56"/>
      <w:lang w:val="en-US" w:eastAsia="en-AU"/>
    </w:rPr>
  </w:style>
  <w:style w:type="paragraph" w:customStyle="1" w:styleId="Head2">
    <w:name w:val="Head 2"/>
    <w:basedOn w:val="Normal"/>
    <w:rsid w:val="004D5370"/>
    <w:pPr>
      <w:spacing w:before="0" w:line="240" w:lineRule="auto"/>
    </w:pPr>
    <w:rPr>
      <w:rFonts w:ascii="Arial" w:hAnsi="Arial"/>
      <w:sz w:val="72"/>
    </w:rPr>
  </w:style>
  <w:style w:type="paragraph" w:customStyle="1" w:styleId="Head3">
    <w:name w:val="Head 3"/>
    <w:basedOn w:val="Normal"/>
    <w:rsid w:val="004D5370"/>
    <w:pPr>
      <w:spacing w:before="0" w:line="240" w:lineRule="auto"/>
    </w:pPr>
    <w:rPr>
      <w:rFonts w:ascii="Arial" w:hAnsi="Arial"/>
      <w:sz w:val="22"/>
    </w:rPr>
  </w:style>
  <w:style w:type="paragraph" w:customStyle="1" w:styleId="Style1">
    <w:name w:val="Style1"/>
    <w:basedOn w:val="Normal"/>
    <w:rsid w:val="004D5370"/>
    <w:pPr>
      <w:spacing w:before="0" w:line="240" w:lineRule="auto"/>
    </w:pPr>
    <w:rPr>
      <w:rFonts w:ascii="Arial" w:hAnsi="Arial"/>
      <w:sz w:val="20"/>
    </w:rPr>
  </w:style>
  <w:style w:type="paragraph" w:customStyle="1" w:styleId="Style2">
    <w:name w:val="Style2"/>
    <w:basedOn w:val="Normal"/>
    <w:rsid w:val="004D5370"/>
    <w:pPr>
      <w:spacing w:before="0" w:line="240" w:lineRule="auto"/>
    </w:pPr>
    <w:rPr>
      <w:rFonts w:ascii="Arial" w:hAnsi="Arial"/>
      <w:sz w:val="18"/>
    </w:rPr>
  </w:style>
  <w:style w:type="paragraph" w:customStyle="1" w:styleId="Pop-3">
    <w:name w:val="Pop-3"/>
    <w:basedOn w:val="Normal"/>
    <w:rsid w:val="004D5370"/>
    <w:pPr>
      <w:spacing w:before="0" w:after="160" w:line="240" w:lineRule="auto"/>
    </w:pPr>
    <w:rPr>
      <w:rFonts w:ascii="Arial" w:hAnsi="Arial"/>
      <w:b/>
      <w:spacing w:val="8"/>
      <w:sz w:val="24"/>
      <w:szCs w:val="24"/>
      <w:lang w:val="en-US" w:eastAsia="en-AU"/>
    </w:rPr>
  </w:style>
  <w:style w:type="paragraph" w:customStyle="1" w:styleId="Pop-4">
    <w:name w:val="Pop-4"/>
    <w:basedOn w:val="Normal"/>
    <w:rsid w:val="004D5370"/>
    <w:pPr>
      <w:spacing w:before="0" w:after="120" w:line="240" w:lineRule="auto"/>
    </w:pPr>
    <w:rPr>
      <w:rFonts w:ascii="Arial" w:hAnsi="Arial" w:cs="Arial"/>
      <w:i/>
      <w:spacing w:val="8"/>
      <w:sz w:val="22"/>
      <w:szCs w:val="22"/>
      <w:lang w:val="en-US" w:eastAsia="en-AU"/>
    </w:rPr>
  </w:style>
  <w:style w:type="paragraph" w:customStyle="1" w:styleId="Pop-5">
    <w:name w:val="Pop-5"/>
    <w:basedOn w:val="Normal"/>
    <w:rsid w:val="004D5370"/>
    <w:pPr>
      <w:spacing w:before="0" w:after="80" w:line="240" w:lineRule="auto"/>
    </w:pPr>
    <w:rPr>
      <w:rFonts w:ascii="Verdana" w:hAnsi="Verdana"/>
      <w:b/>
      <w:spacing w:val="8"/>
      <w:sz w:val="17"/>
      <w:szCs w:val="17"/>
      <w:lang w:val="en-US" w:eastAsia="en-AU"/>
    </w:rPr>
  </w:style>
  <w:style w:type="paragraph" w:customStyle="1" w:styleId="Heading10">
    <w:name w:val="Heading1"/>
    <w:basedOn w:val="Head1"/>
    <w:rsid w:val="004D5370"/>
    <w:pPr>
      <w:spacing w:before="200" w:after="360"/>
    </w:pPr>
    <w:rPr>
      <w:rFonts w:ascii="Garamond" w:hAnsi="Garamond"/>
      <w:sz w:val="64"/>
      <w:szCs w:val="72"/>
    </w:rPr>
  </w:style>
  <w:style w:type="paragraph" w:customStyle="1" w:styleId="Pop-bulletpt-level2">
    <w:name w:val="Pop-bulletpt-level2"/>
    <w:basedOn w:val="Normal"/>
    <w:rsid w:val="004D5370"/>
    <w:pPr>
      <w:numPr>
        <w:ilvl w:val="1"/>
        <w:numId w:val="18"/>
      </w:numPr>
      <w:tabs>
        <w:tab w:val="clear" w:pos="1440"/>
      </w:tabs>
      <w:spacing w:before="0" w:line="240" w:lineRule="auto"/>
      <w:ind w:left="0" w:firstLine="0"/>
    </w:pPr>
    <w:rPr>
      <w:rFonts w:ascii="Verdana" w:hAnsi="Verdana"/>
      <w:sz w:val="18"/>
      <w:szCs w:val="18"/>
      <w:lang w:val="en-US" w:eastAsia="en-AU"/>
    </w:rPr>
  </w:style>
  <w:style w:type="paragraph" w:customStyle="1" w:styleId="Subhd2">
    <w:name w:val="Subhd2"/>
    <w:basedOn w:val="Normal"/>
    <w:rsid w:val="004D5370"/>
    <w:pPr>
      <w:autoSpaceDE w:val="0"/>
      <w:autoSpaceDN w:val="0"/>
      <w:spacing w:before="0" w:line="240" w:lineRule="auto"/>
    </w:pPr>
    <w:rPr>
      <w:rFonts w:ascii="Arial" w:hAnsi="Arial" w:cs="AvantGarde"/>
      <w:b/>
      <w:bCs/>
      <w:noProof/>
      <w:sz w:val="25"/>
      <w:szCs w:val="25"/>
      <w:lang w:val="en-US" w:eastAsia="en-AU"/>
    </w:rPr>
  </w:style>
  <w:style w:type="paragraph" w:customStyle="1" w:styleId="Pop-H1">
    <w:name w:val="Pop-H1"/>
    <w:basedOn w:val="Normal"/>
    <w:rsid w:val="004D5370"/>
    <w:pPr>
      <w:pBdr>
        <w:bottom w:val="single" w:sz="4" w:space="1" w:color="auto"/>
      </w:pBdr>
      <w:spacing w:before="0" w:after="720" w:line="240" w:lineRule="auto"/>
      <w:jc w:val="right"/>
    </w:pPr>
    <w:rPr>
      <w:rFonts w:ascii="Arial Narrow" w:hAnsi="Arial Narrow"/>
      <w:spacing w:val="24"/>
      <w:sz w:val="48"/>
      <w:szCs w:val="48"/>
      <w:lang w:eastAsia="en-AU"/>
    </w:rPr>
  </w:style>
  <w:style w:type="paragraph" w:customStyle="1" w:styleId="Pop-H2">
    <w:name w:val="Pop-H2"/>
    <w:basedOn w:val="Normal"/>
    <w:rsid w:val="004D5370"/>
    <w:pPr>
      <w:spacing w:before="240" w:after="240" w:line="240" w:lineRule="auto"/>
    </w:pPr>
    <w:rPr>
      <w:rFonts w:ascii="Microsoft Sans Serif" w:hAnsi="Microsoft Sans Serif"/>
      <w:b/>
      <w:sz w:val="32"/>
      <w:szCs w:val="32"/>
      <w:lang w:eastAsia="en-AU"/>
    </w:rPr>
  </w:style>
  <w:style w:type="paragraph" w:customStyle="1" w:styleId="A-Dotpt2">
    <w:name w:val="A-Dotpt2"/>
    <w:basedOn w:val="Normal"/>
    <w:rsid w:val="004D5370"/>
    <w:pPr>
      <w:numPr>
        <w:ilvl w:val="1"/>
        <w:numId w:val="19"/>
      </w:numPr>
      <w:tabs>
        <w:tab w:val="clear" w:pos="1477"/>
      </w:tabs>
      <w:spacing w:before="0" w:line="240" w:lineRule="auto"/>
      <w:ind w:left="0" w:firstLine="0"/>
    </w:pPr>
    <w:rPr>
      <w:rFonts w:ascii="Times New Roman" w:hAnsi="Times New Roman"/>
      <w:sz w:val="22"/>
      <w:lang w:eastAsia="en-AU"/>
    </w:rPr>
  </w:style>
  <w:style w:type="character" w:customStyle="1" w:styleId="TableTextChar">
    <w:name w:val="Table Text Char"/>
    <w:basedOn w:val="DefaultParagraphFont"/>
    <w:link w:val="TableText0"/>
    <w:locked/>
    <w:rsid w:val="004D5370"/>
    <w:rPr>
      <w:rFonts w:asciiTheme="minorHAnsi" w:eastAsiaTheme="minorHAnsi" w:hAnsiTheme="minorHAnsi" w:cstheme="minorHAnsi"/>
      <w:bCs/>
    </w:rPr>
  </w:style>
  <w:style w:type="character" w:customStyle="1" w:styleId="Optional">
    <w:name w:val="Optional"/>
    <w:basedOn w:val="DefaultParagraphFont"/>
    <w:rsid w:val="004D5370"/>
    <w:rPr>
      <w:color w:val="0000FF"/>
    </w:rPr>
  </w:style>
  <w:style w:type="paragraph" w:customStyle="1" w:styleId="DotPoints">
    <w:name w:val="DotPoints"/>
    <w:basedOn w:val="Normal"/>
    <w:rsid w:val="004D5370"/>
    <w:pPr>
      <w:numPr>
        <w:numId w:val="20"/>
      </w:numPr>
      <w:tabs>
        <w:tab w:val="clear" w:pos="454"/>
      </w:tabs>
      <w:spacing w:before="0" w:line="240" w:lineRule="auto"/>
      <w:ind w:left="0" w:firstLine="0"/>
    </w:pPr>
    <w:rPr>
      <w:rFonts w:ascii="Verdana" w:hAnsi="Verdana"/>
      <w:sz w:val="22"/>
      <w:szCs w:val="24"/>
      <w:lang w:eastAsia="en-AU"/>
    </w:rPr>
  </w:style>
  <w:style w:type="paragraph" w:customStyle="1" w:styleId="Table-body">
    <w:name w:val="Table - body"/>
    <w:basedOn w:val="Normal"/>
    <w:rsid w:val="004D5370"/>
    <w:pPr>
      <w:spacing w:before="60" w:after="60" w:line="240" w:lineRule="auto"/>
    </w:pPr>
    <w:rPr>
      <w:rFonts w:ascii="Arial" w:hAnsi="Arial"/>
      <w:sz w:val="24"/>
    </w:rPr>
  </w:style>
  <w:style w:type="paragraph" w:customStyle="1" w:styleId="Normal1">
    <w:name w:val="Normal1"/>
    <w:basedOn w:val="Normal"/>
    <w:rsid w:val="004D5370"/>
    <w:pPr>
      <w:spacing w:before="0" w:line="240" w:lineRule="auto"/>
    </w:pPr>
    <w:rPr>
      <w:rFonts w:ascii="SimSun" w:eastAsia="SimSun" w:hAnsi="Calibri" w:cs="SimSun"/>
      <w:sz w:val="24"/>
      <w:szCs w:val="24"/>
      <w:lang w:eastAsia="zh-CN"/>
    </w:rPr>
  </w:style>
  <w:style w:type="character" w:customStyle="1" w:styleId="normalchar1">
    <w:name w:val="normalchar1"/>
    <w:basedOn w:val="DefaultParagraphFont"/>
    <w:rsid w:val="004D5370"/>
  </w:style>
  <w:style w:type="paragraph" w:customStyle="1" w:styleId="CM31">
    <w:name w:val="CM31"/>
    <w:basedOn w:val="Normal"/>
    <w:next w:val="Normal"/>
    <w:uiPriority w:val="99"/>
    <w:rsid w:val="004D5370"/>
    <w:pPr>
      <w:autoSpaceDE w:val="0"/>
      <w:autoSpaceDN w:val="0"/>
      <w:adjustRightInd w:val="0"/>
      <w:spacing w:before="0" w:line="240" w:lineRule="auto"/>
    </w:pPr>
    <w:rPr>
      <w:rFonts w:ascii="AKLFD I+ Garamond" w:eastAsia="Calibri" w:hAnsi="AKLFD I+ Garamond"/>
      <w:sz w:val="24"/>
      <w:szCs w:val="24"/>
    </w:rPr>
  </w:style>
  <w:style w:type="paragraph" w:customStyle="1" w:styleId="CM39">
    <w:name w:val="CM39"/>
    <w:basedOn w:val="Normal"/>
    <w:next w:val="Normal"/>
    <w:uiPriority w:val="99"/>
    <w:rsid w:val="004D5370"/>
    <w:pPr>
      <w:autoSpaceDE w:val="0"/>
      <w:autoSpaceDN w:val="0"/>
      <w:adjustRightInd w:val="0"/>
      <w:spacing w:before="0" w:line="240" w:lineRule="auto"/>
    </w:pPr>
    <w:rPr>
      <w:rFonts w:ascii="HPUOYX+GillSans-LightItalic" w:eastAsia="Calibri" w:hAnsi="HPUOYX+GillSans-LightItalic"/>
      <w:sz w:val="24"/>
      <w:szCs w:val="24"/>
    </w:rPr>
  </w:style>
  <w:style w:type="paragraph" w:styleId="PlainText">
    <w:name w:val="Plain Text"/>
    <w:basedOn w:val="Normal"/>
    <w:link w:val="PlainTextChar"/>
    <w:rsid w:val="004D5370"/>
    <w:pPr>
      <w:spacing w:before="0" w:line="240" w:lineRule="auto"/>
    </w:pPr>
    <w:rPr>
      <w:rFonts w:ascii="Courier New" w:hAnsi="Courier New" w:cs="Courier New"/>
      <w:sz w:val="20"/>
    </w:rPr>
  </w:style>
  <w:style w:type="character" w:customStyle="1" w:styleId="PlainTextChar">
    <w:name w:val="Plain Text Char"/>
    <w:basedOn w:val="DefaultParagraphFont"/>
    <w:link w:val="PlainText"/>
    <w:rsid w:val="004D5370"/>
    <w:rPr>
      <w:rFonts w:ascii="Courier New" w:hAnsi="Courier New" w:cs="Courier New"/>
      <w:lang w:val="en-AU"/>
    </w:rPr>
  </w:style>
  <w:style w:type="paragraph" w:customStyle="1" w:styleId="MEBasic1">
    <w:name w:val="ME Basic 1"/>
    <w:basedOn w:val="Normal"/>
    <w:rsid w:val="004D5370"/>
    <w:pPr>
      <w:numPr>
        <w:numId w:val="22"/>
      </w:numPr>
      <w:tabs>
        <w:tab w:val="clear" w:pos="822"/>
      </w:tabs>
      <w:spacing w:before="0" w:after="140" w:line="280" w:lineRule="atLeast"/>
      <w:ind w:left="0" w:firstLine="0"/>
      <w:outlineLvl w:val="0"/>
    </w:pPr>
    <w:rPr>
      <w:rFonts w:ascii="Times New Roman" w:hAnsi="Times New Roman" w:cs="Angsana New"/>
      <w:sz w:val="22"/>
      <w:szCs w:val="22"/>
      <w:lang w:eastAsia="zh-CN" w:bidi="th-TH"/>
    </w:rPr>
  </w:style>
  <w:style w:type="paragraph" w:customStyle="1" w:styleId="MEBasic2">
    <w:name w:val="ME Basic 2"/>
    <w:basedOn w:val="Normal"/>
    <w:rsid w:val="004D5370"/>
    <w:pPr>
      <w:numPr>
        <w:ilvl w:val="1"/>
        <w:numId w:val="22"/>
      </w:numPr>
      <w:tabs>
        <w:tab w:val="clear" w:pos="822"/>
      </w:tabs>
      <w:spacing w:before="0" w:after="140" w:line="280" w:lineRule="atLeast"/>
      <w:ind w:left="0" w:firstLine="0"/>
      <w:outlineLvl w:val="1"/>
    </w:pPr>
    <w:rPr>
      <w:rFonts w:ascii="Times New Roman" w:hAnsi="Times New Roman" w:cs="Angsana New"/>
      <w:sz w:val="22"/>
      <w:szCs w:val="22"/>
      <w:lang w:eastAsia="zh-CN" w:bidi="th-TH"/>
    </w:rPr>
  </w:style>
  <w:style w:type="paragraph" w:customStyle="1" w:styleId="MEBasic3">
    <w:name w:val="ME Basic 3"/>
    <w:basedOn w:val="Normal"/>
    <w:rsid w:val="004D5370"/>
    <w:pPr>
      <w:numPr>
        <w:ilvl w:val="2"/>
        <w:numId w:val="22"/>
      </w:numPr>
      <w:tabs>
        <w:tab w:val="clear" w:pos="1503"/>
      </w:tabs>
      <w:spacing w:before="0" w:after="140" w:line="280" w:lineRule="atLeast"/>
      <w:ind w:left="0" w:firstLine="0"/>
      <w:outlineLvl w:val="2"/>
    </w:pPr>
    <w:rPr>
      <w:rFonts w:ascii="Times New Roman" w:hAnsi="Times New Roman" w:cs="Angsana New"/>
      <w:sz w:val="22"/>
      <w:szCs w:val="22"/>
      <w:lang w:eastAsia="zh-CN" w:bidi="th-TH"/>
    </w:rPr>
  </w:style>
  <w:style w:type="paragraph" w:customStyle="1" w:styleId="MEBasic4">
    <w:name w:val="ME Basic 4"/>
    <w:basedOn w:val="Normal"/>
    <w:rsid w:val="004D5370"/>
    <w:pPr>
      <w:numPr>
        <w:ilvl w:val="3"/>
        <w:numId w:val="22"/>
      </w:numPr>
      <w:tabs>
        <w:tab w:val="clear" w:pos="2183"/>
      </w:tabs>
      <w:spacing w:before="0" w:after="140" w:line="280" w:lineRule="atLeast"/>
      <w:ind w:left="0" w:firstLine="0"/>
      <w:outlineLvl w:val="3"/>
    </w:pPr>
    <w:rPr>
      <w:rFonts w:ascii="Times New Roman" w:hAnsi="Times New Roman" w:cs="Angsana New"/>
      <w:sz w:val="22"/>
      <w:szCs w:val="22"/>
      <w:lang w:eastAsia="zh-CN" w:bidi="th-TH"/>
    </w:rPr>
  </w:style>
  <w:style w:type="paragraph" w:customStyle="1" w:styleId="MEBasic5">
    <w:name w:val="ME Basic 5"/>
    <w:basedOn w:val="Normal"/>
    <w:rsid w:val="004D5370"/>
    <w:pPr>
      <w:numPr>
        <w:ilvl w:val="4"/>
        <w:numId w:val="22"/>
      </w:numPr>
      <w:tabs>
        <w:tab w:val="clear" w:pos="2864"/>
      </w:tabs>
      <w:spacing w:before="0" w:after="140" w:line="280" w:lineRule="atLeast"/>
      <w:ind w:left="0" w:firstLine="0"/>
      <w:outlineLvl w:val="4"/>
    </w:pPr>
    <w:rPr>
      <w:rFonts w:ascii="Times New Roman" w:hAnsi="Times New Roman" w:cs="Angsana New"/>
      <w:sz w:val="22"/>
      <w:szCs w:val="22"/>
      <w:lang w:eastAsia="zh-CN" w:bidi="th-TH"/>
    </w:rPr>
  </w:style>
  <w:style w:type="paragraph" w:customStyle="1" w:styleId="MENoIndent6">
    <w:name w:val="ME NoIndent 6"/>
    <w:basedOn w:val="Normal"/>
    <w:rsid w:val="004D5370"/>
    <w:pPr>
      <w:numPr>
        <w:ilvl w:val="1"/>
        <w:numId w:val="21"/>
      </w:numPr>
      <w:tabs>
        <w:tab w:val="clear" w:pos="680"/>
      </w:tabs>
      <w:spacing w:before="0" w:after="140" w:line="280" w:lineRule="atLeast"/>
      <w:ind w:left="0" w:firstLine="0"/>
    </w:pPr>
    <w:rPr>
      <w:rFonts w:ascii="Times New Roman" w:hAnsi="Times New Roman" w:cs="Angsana New"/>
      <w:sz w:val="22"/>
      <w:szCs w:val="22"/>
      <w:lang w:eastAsia="zh-CN" w:bidi="th-TH"/>
    </w:rPr>
  </w:style>
  <w:style w:type="paragraph" w:customStyle="1" w:styleId="ItemL1">
    <w:name w:val="Item L1"/>
    <w:basedOn w:val="Normal"/>
    <w:next w:val="Normal"/>
    <w:link w:val="ItemL1CharChar"/>
    <w:rsid w:val="004D5370"/>
    <w:pPr>
      <w:numPr>
        <w:numId w:val="21"/>
      </w:numPr>
      <w:spacing w:before="0" w:after="140" w:line="280" w:lineRule="atLeast"/>
      <w:ind w:left="0" w:firstLine="0"/>
      <w:outlineLvl w:val="0"/>
    </w:pPr>
    <w:rPr>
      <w:rFonts w:ascii="Arial Bold" w:hAnsi="Arial Bold" w:cs="Angsana New"/>
      <w:b/>
      <w:sz w:val="32"/>
      <w:szCs w:val="32"/>
      <w:lang w:eastAsia="zh-CN" w:bidi="th-TH"/>
    </w:rPr>
  </w:style>
  <w:style w:type="character" w:customStyle="1" w:styleId="ItemL1CharChar">
    <w:name w:val="Item L1 Char Char"/>
    <w:basedOn w:val="DefaultParagraphFont"/>
    <w:link w:val="ItemL1"/>
    <w:rsid w:val="004D5370"/>
    <w:rPr>
      <w:rFonts w:ascii="Arial Bold" w:hAnsi="Arial Bold" w:cs="Angsana New"/>
      <w:b/>
      <w:sz w:val="32"/>
      <w:szCs w:val="32"/>
      <w:lang w:val="en-AU" w:eastAsia="zh-CN" w:bidi="th-TH"/>
    </w:rPr>
  </w:style>
  <w:style w:type="paragraph" w:customStyle="1" w:styleId="Header1">
    <w:name w:val="Header 1"/>
    <w:basedOn w:val="Normal"/>
    <w:rsid w:val="004D5370"/>
    <w:pPr>
      <w:spacing w:before="40" w:after="80" w:line="240" w:lineRule="auto"/>
    </w:pPr>
    <w:rPr>
      <w:rFonts w:ascii="Arial" w:hAnsi="Arial" w:cs="Arial"/>
      <w:b/>
      <w:sz w:val="24"/>
      <w:szCs w:val="22"/>
      <w:lang w:eastAsia="en-AU"/>
    </w:rPr>
  </w:style>
  <w:style w:type="character" w:customStyle="1" w:styleId="s">
    <w:name w:val="s"/>
    <w:basedOn w:val="DefaultParagraphFont"/>
    <w:rsid w:val="004D5370"/>
  </w:style>
  <w:style w:type="paragraph" w:customStyle="1" w:styleId="Author">
    <w:name w:val="Author"/>
    <w:basedOn w:val="Heading2"/>
    <w:uiPriority w:val="1"/>
    <w:qFormat/>
    <w:rsid w:val="004D5370"/>
    <w:pPr>
      <w:spacing w:before="0"/>
    </w:pPr>
    <w:rPr>
      <w:rFonts w:ascii="Arial Bold" w:hAnsi="Arial Bold"/>
      <w:color w:val="383F9E" w:themeColor="text1" w:themeTint="A6"/>
      <w:sz w:val="27"/>
    </w:rPr>
  </w:style>
  <w:style w:type="paragraph" w:customStyle="1" w:styleId="Titlepagesubtitle">
    <w:name w:val="Title page sub title"/>
    <w:basedOn w:val="Titlepage"/>
    <w:link w:val="TitlepagesubtitleChar"/>
    <w:uiPriority w:val="1"/>
    <w:qFormat/>
    <w:rsid w:val="004D5370"/>
    <w:pPr>
      <w:spacing w:after="840"/>
      <w:ind w:left="0"/>
    </w:pPr>
    <w:rPr>
      <w:sz w:val="44"/>
      <w:szCs w:val="44"/>
    </w:rPr>
  </w:style>
  <w:style w:type="character" w:customStyle="1" w:styleId="Heading1Char">
    <w:name w:val="Heading 1 Char"/>
    <w:basedOn w:val="DefaultParagraphFont"/>
    <w:link w:val="Heading1"/>
    <w:rsid w:val="004D5370"/>
    <w:rPr>
      <w:rFonts w:ascii="Montserrat" w:hAnsi="Montserrat" w:cs="Tahoma"/>
      <w:b/>
      <w:color w:val="000000"/>
      <w:kern w:val="28"/>
      <w:sz w:val="48"/>
      <w:szCs w:val="56"/>
      <w:lang w:val="en-AU"/>
    </w:rPr>
  </w:style>
  <w:style w:type="character" w:customStyle="1" w:styleId="TitlepageChar">
    <w:name w:val="Title page Char"/>
    <w:basedOn w:val="Heading1Char"/>
    <w:link w:val="Titlepage"/>
    <w:rsid w:val="004D5370"/>
    <w:rPr>
      <w:rFonts w:ascii="Montserrat" w:hAnsi="Montserrat" w:cs="Arial"/>
      <w:b/>
      <w:color w:val="000000"/>
      <w:kern w:val="28"/>
      <w:sz w:val="55"/>
      <w:szCs w:val="55"/>
      <w:lang w:val="en-AU"/>
    </w:rPr>
  </w:style>
  <w:style w:type="character" w:customStyle="1" w:styleId="TitlepagesubtitleChar">
    <w:name w:val="Title page sub title Char"/>
    <w:basedOn w:val="TitlepageChar"/>
    <w:link w:val="Titlepagesubtitle"/>
    <w:uiPriority w:val="1"/>
    <w:rsid w:val="004D5370"/>
    <w:rPr>
      <w:rFonts w:ascii="Montserrat" w:hAnsi="Montserrat" w:cs="Arial"/>
      <w:b/>
      <w:color w:val="000000"/>
      <w:kern w:val="28"/>
      <w:sz w:val="44"/>
      <w:szCs w:val="44"/>
      <w:lang w:val="en-AU"/>
    </w:rPr>
  </w:style>
  <w:style w:type="paragraph" w:customStyle="1" w:styleId="StyleTablehead2Centered">
    <w:name w:val="Style Tablehead2 + Centered"/>
    <w:basedOn w:val="Tablehead2"/>
    <w:rsid w:val="004D5370"/>
    <w:pPr>
      <w:spacing w:before="20" w:after="20"/>
      <w:jc w:val="center"/>
    </w:pPr>
    <w:rPr>
      <w:rFonts w:ascii="Arial" w:eastAsiaTheme="minorHAnsi" w:hAnsi="Arial" w:cstheme="minorBidi"/>
    </w:rPr>
  </w:style>
  <w:style w:type="paragraph" w:customStyle="1" w:styleId="EndNoteBibliographyTitle">
    <w:name w:val="EndNote Bibliography Title"/>
    <w:basedOn w:val="Normal"/>
    <w:link w:val="EndNoteBibliographyTitleChar"/>
    <w:rsid w:val="004D5370"/>
    <w:pPr>
      <w:jc w:val="center"/>
    </w:pPr>
    <w:rPr>
      <w:rFonts w:ascii="Trebuchet MS" w:hAnsi="Trebuchet MS"/>
      <w:noProof/>
      <w:color w:val="000000"/>
      <w:sz w:val="18"/>
    </w:rPr>
  </w:style>
  <w:style w:type="character" w:customStyle="1" w:styleId="EndNoteBibliographyTitleChar">
    <w:name w:val="EndNote Bibliography Title Char"/>
    <w:basedOn w:val="Dotpoint1Char"/>
    <w:link w:val="EndNoteBibliographyTitle"/>
    <w:rsid w:val="004D5370"/>
    <w:rPr>
      <w:rFonts w:ascii="Trebuchet MS" w:hAnsi="Trebuchet MS"/>
      <w:noProof/>
      <w:color w:val="000000"/>
      <w:sz w:val="18"/>
      <w:lang w:val="en-AU"/>
    </w:rPr>
  </w:style>
  <w:style w:type="paragraph" w:customStyle="1" w:styleId="EndNoteBibliography">
    <w:name w:val="EndNote Bibliography"/>
    <w:basedOn w:val="Normal"/>
    <w:link w:val="EndNoteBibliographyChar"/>
    <w:rsid w:val="004D5370"/>
    <w:pPr>
      <w:spacing w:line="240" w:lineRule="exact"/>
    </w:pPr>
    <w:rPr>
      <w:rFonts w:ascii="Trebuchet MS" w:hAnsi="Trebuchet MS"/>
      <w:noProof/>
      <w:color w:val="000000"/>
      <w:sz w:val="18"/>
    </w:rPr>
  </w:style>
  <w:style w:type="character" w:customStyle="1" w:styleId="EndNoteBibliographyChar">
    <w:name w:val="EndNote Bibliography Char"/>
    <w:basedOn w:val="Dotpoint1Char"/>
    <w:link w:val="EndNoteBibliography"/>
    <w:rsid w:val="004D5370"/>
    <w:rPr>
      <w:rFonts w:ascii="Trebuchet MS" w:hAnsi="Trebuchet MS"/>
      <w:noProof/>
      <w:color w:val="000000"/>
      <w:sz w:val="18"/>
      <w:lang w:val="en-AU"/>
    </w:rPr>
  </w:style>
  <w:style w:type="character" w:styleId="Mention">
    <w:name w:val="Mention"/>
    <w:basedOn w:val="DefaultParagraphFont"/>
    <w:uiPriority w:val="99"/>
    <w:unhideWhenUsed/>
    <w:rsid w:val="004D537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www.linkedin.com/company/ncver" TargetMode="External"/><Relationship Id="rId26" Type="http://schemas.openxmlformats.org/officeDocument/2006/relationships/hyperlink" Target="https://ro.ecu.edu.au/cgi/viewcontent.cgi?params=/context/ecuworkspost2013/article/3140/&amp;path_info=2015_no_frills_refereed_papers_2854_1.pdf" TargetMode="External"/><Relationship Id="rId39" Type="http://schemas.openxmlformats.org/officeDocument/2006/relationships/hyperlink" Target="https://doi.org/10.1080/13636820.2025.2521817" TargetMode="External"/><Relationship Id="rId21" Type="http://schemas.openxmlformats.org/officeDocument/2006/relationships/header" Target="header3.xml"/><Relationship Id="rId34" Type="http://schemas.openxmlformats.org/officeDocument/2006/relationships/hyperlink" Target="https://education.nsw.gov.au/campaigns/inclusive-practice-hub/all-resources/primary-resources/other-pdf-resources/simple-guide-to-supporting-student-social-and-emotional-wellbeing" TargetMode="External"/><Relationship Id="rId42" Type="http://schemas.openxmlformats.org/officeDocument/2006/relationships/hyperlink" Target="http://hdl.voced.edu.au/10707/248339" TargetMode="External"/><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ncver@ncver.edu.au" TargetMode="External"/><Relationship Id="rId29" Type="http://schemas.openxmlformats.org/officeDocument/2006/relationships/hyperlink" Target="https://www.education.sa.gov.au/schools-and-educators/national-student-wellbeing-program/about-the-progra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ncver.edu.au/research-and-statistics/publications/all-publications/practitioner-expectations-and-experiences-with-the-certificate-iv-in-training-and-assessment-taa40104" TargetMode="External"/><Relationship Id="rId32" Type="http://schemas.openxmlformats.org/officeDocument/2006/relationships/hyperlink" Target="http://educa.fcc.org.br/scielo.php?pid=S2448-35832024000100232&amp;script=sci_arttext" TargetMode="External"/><Relationship Id="rId37" Type="http://schemas.openxmlformats.org/officeDocument/2006/relationships/hyperlink" Target="https://doi.org/10.5172/ijtr.6.1.1" TargetMode="External"/><Relationship Id="rId40" Type="http://schemas.openxmlformats.org/officeDocument/2006/relationships/hyperlink" Target="https://doi.org/10.1080/13596748.2023.2166690" TargetMode="External"/><Relationship Id="rId45"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6.wmf"/><Relationship Id="rId23" Type="http://schemas.openxmlformats.org/officeDocument/2006/relationships/hyperlink" Target="https://www.acecqa.gov.au/qualifications-0/qualification-requirements" TargetMode="External"/><Relationship Id="rId28" Type="http://schemas.openxmlformats.org/officeDocument/2006/relationships/hyperlink" Target="https://doi.org/10.1080/14480220.2020.1747785" TargetMode="External"/><Relationship Id="rId36" Type="http://schemas.openxmlformats.org/officeDocument/2006/relationships/hyperlink" Target="https://doi.org/10.1007/s13384-024-00720-5" TargetMode="External"/><Relationship Id="rId10" Type="http://schemas.openxmlformats.org/officeDocument/2006/relationships/endnotes" Target="endnotes.xml"/><Relationship Id="rId19" Type="http://schemas.openxmlformats.org/officeDocument/2006/relationships/hyperlink" Target="mailto:ncver@ncver.edu.au" TargetMode="External"/><Relationship Id="rId31" Type="http://schemas.openxmlformats.org/officeDocument/2006/relationships/hyperlink" Target="https://www.pmc.gov.au/resources/strengthening-skills-expert-review-australias-vocational-education-and-training-system" TargetMode="External"/><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image" Target="media/image8.png"/><Relationship Id="rId27" Type="http://schemas.openxmlformats.org/officeDocument/2006/relationships/hyperlink" Target="https://www.tandfonline.com/doi/full/10.1080/13596748.2022.2110780" TargetMode="External"/><Relationship Id="rId30" Type="http://schemas.openxmlformats.org/officeDocument/2006/relationships/hyperlink" Target="https://www.mdpi.com/1660-4601/18/14/7308" TargetMode="External"/><Relationship Id="rId35" Type="http://schemas.openxmlformats.org/officeDocument/2006/relationships/hyperlink" Target="https://www.pc.gov.au/inquiries/completed/education-workforce-vocational/report" TargetMode="External"/><Relationship Id="rId43" Type="http://schemas.openxmlformats.org/officeDocument/2006/relationships/hyperlink" Target="https://www.ncver.edu.au/research-and-statistics/publications/all-publications/attracting-industry-experts-to-become-vet-practitioners-a-journey-not-a-destination"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wmf"/><Relationship Id="rId25" Type="http://schemas.openxmlformats.org/officeDocument/2006/relationships/hyperlink" Target="https://hdl.voced.edu.au/10707/162345" TargetMode="External"/><Relationship Id="rId33" Type="http://schemas.openxmlformats.org/officeDocument/2006/relationships/hyperlink" Target="https://hdl.voced.edu.au/10707/10626" TargetMode="External"/><Relationship Id="rId38" Type="http://schemas.openxmlformats.org/officeDocument/2006/relationships/hyperlink" Target="https://resourcecentre.savethechildren.net/document/enabling-teachers-foundations-course-teacher-professional-development-module-19-psychosocial" TargetMode="External"/><Relationship Id="rId46" Type="http://schemas.openxmlformats.org/officeDocument/2006/relationships/fontTable" Target="fontTable.xml"/><Relationship Id="rId20" Type="http://schemas.openxmlformats.org/officeDocument/2006/relationships/hyperlink" Target="https://www.linkedin.com/company/ncver" TargetMode="External"/><Relationship Id="rId41" Type="http://schemas.openxmlformats.org/officeDocument/2006/relationships/hyperlink" Target="http://federation.edu.au/research-vet-qualit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_rels/header2.xml.rels><?xml version="1.0" encoding="UTF-8" standalone="yes"?>
<Relationships xmlns="http://schemas.openxmlformats.org/package/2006/relationships"><Relationship Id="rId2" Type="http://schemas.openxmlformats.org/officeDocument/2006/relationships/image" Target="media/image5.wmf"/><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3.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bathagriffin\OneDrive%20-%20NCVER%20LTD\Research%20Team%20-%2057099%20VET%20workforce\Final%20report%20and%20products\FINAL%20outputs\SUPPORT%20DOCUMENT_in%20new%20template.docx.dotx" TargetMode="External"/></Relationships>
</file>

<file path=word/theme/theme1.xml><?xml version="1.0" encoding="utf-8"?>
<a:theme xmlns:a="http://schemas.openxmlformats.org/drawingml/2006/main" name="Office Theme">
  <a:themeElements>
    <a:clrScheme name="NCVER-palette-V1">
      <a:dk1>
        <a:srgbClr val="0F112A"/>
      </a:dk1>
      <a:lt1>
        <a:sysClr val="window" lastClr="FFFFFF"/>
      </a:lt1>
      <a:dk2>
        <a:srgbClr val="0E2841"/>
      </a:dk2>
      <a:lt2>
        <a:srgbClr val="E8E8E8"/>
      </a:lt2>
      <a:accent1>
        <a:srgbClr val="2B40F5"/>
      </a:accent1>
      <a:accent2>
        <a:srgbClr val="00CB70"/>
      </a:accent2>
      <a:accent3>
        <a:srgbClr val="84DCFF"/>
      </a:accent3>
      <a:accent4>
        <a:srgbClr val="C4BFB6"/>
      </a:accent4>
      <a:accent5>
        <a:srgbClr val="E4E6F3"/>
      </a:accent5>
      <a:accent6>
        <a:srgbClr val="0E018D"/>
      </a:accent6>
      <a:hlink>
        <a:srgbClr val="2B40F5"/>
      </a:hlink>
      <a:folHlink>
        <a:srgbClr val="B425D8"/>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9cd2e7f-5d5b-4d21-b999-1373d988badb" xsi:nil="true"/>
    <lcf76f155ced4ddcb4097134ff3c332f xmlns="37746e20-1ebe-4d1b-bbda-b8dc46bd557c">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AB523A1F23AF80439E9478612CE48866" ma:contentTypeVersion="11" ma:contentTypeDescription="Create a new document." ma:contentTypeScope="" ma:versionID="caedaa77e0e9bef147830249f741ce78">
  <xsd:schema xmlns:xsd="http://www.w3.org/2001/XMLSchema" xmlns:xs="http://www.w3.org/2001/XMLSchema" xmlns:p="http://schemas.microsoft.com/office/2006/metadata/properties" xmlns:ns2="37746e20-1ebe-4d1b-bbda-b8dc46bd557c" xmlns:ns3="e9cd2e7f-5d5b-4d21-b999-1373d988badb" targetNamespace="http://schemas.microsoft.com/office/2006/metadata/properties" ma:root="true" ma:fieldsID="bd87c7229067a43743cd9b36496b5860" ns2:_="" ns3:_="">
    <xsd:import namespace="37746e20-1ebe-4d1b-bbda-b8dc46bd557c"/>
    <xsd:import namespace="e9cd2e7f-5d5b-4d21-b999-1373d988bad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46e20-1ebe-4d1b-bbda-b8dc46bd55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9fbaf55-d902-48e0-b1a0-f3bf49c00a9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cd2e7f-5d5b-4d21-b999-1373d988bad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044b309-b743-4de3-93d2-6376a338c0c3}" ma:internalName="TaxCatchAll" ma:showField="CatchAllData" ma:web="e9cd2e7f-5d5b-4d21-b999-1373d988ba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FFD8AF-3566-4740-ACE7-3897D8F9EF5C}">
  <ds:schemaRefs>
    <ds:schemaRef ds:uri="http://schemas.microsoft.com/office/2006/metadata/properties"/>
    <ds:schemaRef ds:uri="http://schemas.microsoft.com/office/infopath/2007/PartnerControls"/>
    <ds:schemaRef ds:uri="e9cd2e7f-5d5b-4d21-b999-1373d988badb"/>
    <ds:schemaRef ds:uri="37746e20-1ebe-4d1b-bbda-b8dc46bd557c"/>
  </ds:schemaRefs>
</ds:datastoreItem>
</file>

<file path=customXml/itemProps2.xml><?xml version="1.0" encoding="utf-8"?>
<ds:datastoreItem xmlns:ds="http://schemas.openxmlformats.org/officeDocument/2006/customXml" ds:itemID="{5DE3F8A7-72CE-4A15-999B-430916997228}">
  <ds:schemaRefs>
    <ds:schemaRef ds:uri="http://schemas.openxmlformats.org/officeDocument/2006/bibliography"/>
  </ds:schemaRefs>
</ds:datastoreItem>
</file>

<file path=customXml/itemProps3.xml><?xml version="1.0" encoding="utf-8"?>
<ds:datastoreItem xmlns:ds="http://schemas.openxmlformats.org/officeDocument/2006/customXml" ds:itemID="{105AA04E-074D-4729-91FF-F6DC604926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746e20-1ebe-4d1b-bbda-b8dc46bd557c"/>
    <ds:schemaRef ds:uri="e9cd2e7f-5d5b-4d21-b999-1373d988ba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2E83326-CEE8-4C12-9F95-0B4578925C2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SUPPORT DOCUMENT_in new template.docx.dotx</Template>
  <TotalTime>34</TotalTime>
  <Pages>85</Pages>
  <Words>36046</Words>
  <Characters>205463</Characters>
  <Application>Microsoft Office Word</Application>
  <DocSecurity>0</DocSecurity>
  <Lines>1712</Lines>
  <Paragraphs>482</Paragraphs>
  <ScaleCrop>false</ScaleCrop>
  <Company>UQ</Company>
  <LinksUpToDate>false</LinksUpToDate>
  <CharactersWithSpaces>241027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Tabatha Griffin</dc:creator>
  <cp:keywords/>
  <cp:lastModifiedBy>Rocky Barbaro</cp:lastModifiedBy>
  <cp:revision>26</cp:revision>
  <cp:lastPrinted>2026-09-23T08:57:00Z</cp:lastPrinted>
  <dcterms:created xsi:type="dcterms:W3CDTF">2026-09-29T08:37:00Z</dcterms:created>
  <dcterms:modified xsi:type="dcterms:W3CDTF">2026-10-01T01:22:00Z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d73a70fd80107f177d98a1a49d2e7cab5a1edc404692cf97af89332806fea2d1</vt:lpwstr>
  </property>
  <property fmtid="{D5CDD505-2E9C-101B-9397-08002B2CF9AE}" pid="3" name="MSIP_Label_cb1ad429-e51f-433a-bb63-ec2e462336b1_Enabled">
    <vt:lpwstr>true</vt:lpwstr>
  </property>
  <property fmtid="{D5CDD505-2E9C-101B-9397-08002B2CF9AE}" pid="4" name="MSIP_Label_cb1ad429-e51f-433a-bb63-ec2e462336b1_SetDate">
    <vt:lpwstr>2026-08-21T00:34:43Z</vt:lpwstr>
  </property>
  <property fmtid="{D5CDD505-2E9C-101B-9397-08002B2CF9AE}" pid="5" name="MSIP_Label_cb1ad429-e51f-433a-bb63-ec2e462336b1_Method">
    <vt:lpwstr>Standard</vt:lpwstr>
  </property>
  <property fmtid="{D5CDD505-2E9C-101B-9397-08002B2CF9AE}" pid="6" name="MSIP_Label_cb1ad429-e51f-433a-bb63-ec2e462336b1_Name">
    <vt:lpwstr>defa4170-0d19-0005-0004-bc88714345d2</vt:lpwstr>
  </property>
  <property fmtid="{D5CDD505-2E9C-101B-9397-08002B2CF9AE}" pid="7" name="MSIP_Label_cb1ad429-e51f-433a-bb63-ec2e462336b1_SiteId">
    <vt:lpwstr>f43be676-b734-4cc3-b379-5a81b89979e3</vt:lpwstr>
  </property>
  <property fmtid="{D5CDD505-2E9C-101B-9397-08002B2CF9AE}" pid="8" name="MSIP_Label_cb1ad429-e51f-433a-bb63-ec2e462336b1_ActionId">
    <vt:lpwstr>78faf1ac-0658-426d-84ca-2ad06be6d9f0</vt:lpwstr>
  </property>
  <property fmtid="{D5CDD505-2E9C-101B-9397-08002B2CF9AE}" pid="9" name="MSIP_Label_cb1ad429-e51f-433a-bb63-ec2e462336b1_ContentBits">
    <vt:lpwstr>0</vt:lpwstr>
  </property>
  <property fmtid="{D5CDD505-2E9C-101B-9397-08002B2CF9AE}" pid="10" name="MSIP_Label_cb1ad429-e51f-433a-bb63-ec2e462336b1_Tag">
    <vt:lpwstr>10, 3, 0, 1</vt:lpwstr>
  </property>
  <property fmtid="{D5CDD505-2E9C-101B-9397-08002B2CF9AE}" pid="11" name="ContentTypeId">
    <vt:lpwstr>0x010100AB523A1F23AF80439E9478612CE48866</vt:lpwstr>
  </property>
  <property fmtid="{D5CDD505-2E9C-101B-9397-08002B2CF9AE}" pid="12" name="MediaServiceImageTags">
    <vt:lpwstr/>
  </property>
</Properties>
</file>