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3C781D" w:rsidRPr="009737D7" w:rsidRDefault="003D26B2" w:rsidP="009737D7">
      <w:pPr>
        <w:pStyle w:val="Text"/>
        <w:spacing w:after="120"/>
        <w:rPr>
          <w:sz w:val="2"/>
        </w:rPr>
        <w:sectPr w:rsidR="003C781D" w:rsidRPr="009737D7" w:rsidSect="00AD5A78">
          <w:footerReference w:type="default" r:id="rId9"/>
          <w:headerReference w:type="first" r:id="rId10"/>
          <w:footerReference w:type="first" r:id="rId11"/>
          <w:type w:val="continuous"/>
          <w:pgSz w:w="11900" w:h="16840" w:code="9"/>
          <w:pgMar w:top="2127" w:right="1191" w:bottom="1276" w:left="1276" w:header="567" w:footer="595" w:gutter="0"/>
          <w:cols w:space="708"/>
          <w:titlePg/>
          <w:docGrid w:linePitch="326"/>
        </w:sectPr>
      </w:pPr>
      <w:r w:rsidRPr="009737D7">
        <w:rPr>
          <w:sz w:val="2"/>
        </w:rPr>
        <w:fldChar w:fldCharType="begin"/>
      </w:r>
      <w:r w:rsidRPr="009737D7">
        <w:rPr>
          <w:sz w:val="2"/>
        </w:rPr>
        <w:instrText xml:space="preserve"> FILLIN  "Enter NCVER reference - DMS ref followed by project code (if applicable) (eg. #1234/OP123)"  \* MERGEFORMAT </w:instrText>
      </w:r>
      <w:r w:rsidRPr="009737D7">
        <w:rPr>
          <w:sz w:val="2"/>
        </w:rPr>
        <w:fldChar w:fldCharType="end"/>
      </w:r>
    </w:p>
    <w:tbl>
      <w:tblPr>
        <w:tblW w:w="0" w:type="auto"/>
        <w:jc w:val="center"/>
        <w:tblInd w:w="108" w:type="dxa"/>
        <w:tblLook w:val="0000" w:firstRow="0" w:lastRow="0" w:firstColumn="0" w:lastColumn="0" w:noHBand="0" w:noVBand="0"/>
      </w:tblPr>
      <w:tblGrid>
        <w:gridCol w:w="9360"/>
      </w:tblGrid>
      <w:tr w:rsidR="00ED48EE" w:rsidRPr="00ED48EE" w:rsidTr="0063684B">
        <w:trPr>
          <w:trHeight w:val="268"/>
          <w:jc w:val="center"/>
        </w:trPr>
        <w:tc>
          <w:tcPr>
            <w:tcW w:w="9360" w:type="dxa"/>
            <w:tcBorders>
              <w:bottom w:val="single" w:sz="4" w:space="0" w:color="808080"/>
            </w:tcBorders>
            <w:shd w:val="clear" w:color="auto" w:fill="auto"/>
            <w:vAlign w:val="center"/>
          </w:tcPr>
          <w:p w:rsidR="00ED48EE" w:rsidRPr="00ED48EE" w:rsidRDefault="00876F7E" w:rsidP="00ED48EE">
            <w:pPr>
              <w:keepNext/>
              <w:spacing w:before="240" w:after="60"/>
              <w:jc w:val="center"/>
              <w:outlineLvl w:val="0"/>
              <w:rPr>
                <w:rFonts w:ascii="Verdana" w:eastAsia="Times New Roman" w:hAnsi="Verdana" w:cs="Arial"/>
                <w:b/>
                <w:bCs/>
                <w:kern w:val="32"/>
                <w:sz w:val="40"/>
                <w:szCs w:val="40"/>
                <w:lang w:val="en-US" w:eastAsia="en-AU"/>
              </w:rPr>
            </w:pPr>
            <w:r>
              <w:lastRenderedPageBreak/>
              <w:fldChar w:fldCharType="begin"/>
            </w:r>
            <w:r>
              <w:instrText xml:space="preserve"> FILLIN  "Enter name and address of recipient (press enter after each line)"  \* MERGEFORMAT </w:instrText>
            </w:r>
            <w:r>
              <w:fldChar w:fldCharType="end"/>
            </w:r>
            <w:r w:rsidR="00ED48EE" w:rsidRPr="00ED48EE">
              <w:rPr>
                <w:rFonts w:ascii="Verdana" w:eastAsia="Times New Roman" w:hAnsi="Verdana" w:cs="Arial"/>
                <w:b/>
                <w:bCs/>
                <w:kern w:val="32"/>
                <w:sz w:val="40"/>
                <w:szCs w:val="40"/>
                <w:lang w:val="en-US" w:eastAsia="en-AU"/>
              </w:rPr>
              <w:t xml:space="preserve">Submission </w:t>
            </w:r>
          </w:p>
        </w:tc>
      </w:tr>
      <w:tr w:rsidR="00ED48EE" w:rsidRPr="00ED48EE" w:rsidTr="0063684B">
        <w:trPr>
          <w:trHeight w:val="268"/>
          <w:jc w:val="center"/>
        </w:trPr>
        <w:tc>
          <w:tcPr>
            <w:tcW w:w="9360" w:type="dxa"/>
            <w:tcBorders>
              <w:top w:val="single" w:sz="4" w:space="0" w:color="808080"/>
            </w:tcBorders>
            <w:vAlign w:val="center"/>
          </w:tcPr>
          <w:p w:rsidR="00ED48EE" w:rsidRPr="00ED48EE" w:rsidRDefault="00ED48EE" w:rsidP="00ED48EE">
            <w:pPr>
              <w:keepNext/>
              <w:spacing w:before="60" w:after="60"/>
              <w:jc w:val="center"/>
              <w:outlineLvl w:val="1"/>
              <w:rPr>
                <w:rFonts w:ascii="Verdana" w:eastAsia="Times New Roman" w:hAnsi="Verdana" w:cs="Arial"/>
                <w:bCs/>
                <w:iCs/>
                <w:sz w:val="22"/>
                <w:szCs w:val="22"/>
                <w:lang w:val="en-US" w:eastAsia="en-AU"/>
              </w:rPr>
            </w:pPr>
            <w:r w:rsidRPr="00ED48EE">
              <w:rPr>
                <w:rFonts w:ascii="Verdana" w:eastAsia="Times New Roman" w:hAnsi="Verdana" w:cs="Arial"/>
                <w:bCs/>
                <w:iCs/>
                <w:sz w:val="22"/>
                <w:szCs w:val="22"/>
                <w:lang w:val="en-US" w:eastAsia="en-AU"/>
              </w:rPr>
              <w:t xml:space="preserve">by the National Centre for Vocational Education Research (NCVER) </w:t>
            </w:r>
          </w:p>
        </w:tc>
      </w:tr>
      <w:tr w:rsidR="00ED48EE" w:rsidRPr="00ED48EE" w:rsidTr="0063684B">
        <w:trPr>
          <w:trHeight w:val="268"/>
          <w:jc w:val="center"/>
        </w:trPr>
        <w:tc>
          <w:tcPr>
            <w:tcW w:w="9360" w:type="dxa"/>
            <w:vAlign w:val="center"/>
          </w:tcPr>
          <w:p w:rsidR="00ED48EE" w:rsidRPr="00ED48EE" w:rsidRDefault="00ED48EE" w:rsidP="00ED48EE">
            <w:pPr>
              <w:keepNext/>
              <w:spacing w:before="60" w:after="60"/>
              <w:jc w:val="center"/>
              <w:outlineLvl w:val="1"/>
              <w:rPr>
                <w:rFonts w:ascii="Verdana" w:eastAsia="Times New Roman" w:hAnsi="Verdana" w:cs="Arial"/>
                <w:bCs/>
                <w:iCs/>
                <w:sz w:val="22"/>
                <w:szCs w:val="22"/>
                <w:lang w:val="en-US" w:eastAsia="en-AU"/>
              </w:rPr>
            </w:pPr>
            <w:r w:rsidRPr="00ED48EE">
              <w:rPr>
                <w:rFonts w:ascii="Verdana" w:eastAsia="Times New Roman" w:hAnsi="Verdana" w:cs="Arial"/>
                <w:bCs/>
                <w:iCs/>
                <w:sz w:val="22"/>
                <w:szCs w:val="22"/>
                <w:lang w:val="en-US" w:eastAsia="en-AU"/>
              </w:rPr>
              <w:t xml:space="preserve">To </w:t>
            </w:r>
          </w:p>
        </w:tc>
      </w:tr>
      <w:tr w:rsidR="00ED48EE" w:rsidRPr="00ED48EE" w:rsidTr="0063684B">
        <w:trPr>
          <w:trHeight w:val="268"/>
          <w:jc w:val="center"/>
        </w:trPr>
        <w:tc>
          <w:tcPr>
            <w:tcW w:w="9360" w:type="dxa"/>
            <w:vAlign w:val="center"/>
          </w:tcPr>
          <w:p w:rsidR="00ED48EE" w:rsidRPr="00ED48EE" w:rsidRDefault="00ED48EE" w:rsidP="00ED48EE">
            <w:pPr>
              <w:keepNext/>
              <w:spacing w:before="60" w:after="60"/>
              <w:jc w:val="center"/>
              <w:outlineLvl w:val="1"/>
              <w:rPr>
                <w:rFonts w:ascii="Verdana" w:eastAsia="Times New Roman" w:hAnsi="Verdana" w:cs="Arial"/>
                <w:bCs/>
                <w:iCs/>
                <w:sz w:val="22"/>
                <w:szCs w:val="20"/>
                <w:lang w:val="en-US" w:eastAsia="en-AU"/>
              </w:rPr>
            </w:pPr>
            <w:r w:rsidRPr="00ED48EE">
              <w:rPr>
                <w:rFonts w:ascii="Verdana" w:eastAsia="Times New Roman" w:hAnsi="Verdana" w:cs="Arial"/>
                <w:bCs/>
                <w:iCs/>
                <w:sz w:val="22"/>
                <w:szCs w:val="22"/>
                <w:lang w:val="en-US" w:eastAsia="en-AU"/>
              </w:rPr>
              <w:t xml:space="preserve">Employment Review Taskforce, Department of Prime Minister and Cabinet </w:t>
            </w:r>
          </w:p>
        </w:tc>
      </w:tr>
      <w:tr w:rsidR="00ED48EE" w:rsidRPr="00ED48EE" w:rsidTr="0063684B">
        <w:trPr>
          <w:trHeight w:val="302"/>
          <w:jc w:val="center"/>
        </w:trPr>
        <w:tc>
          <w:tcPr>
            <w:tcW w:w="9360" w:type="dxa"/>
            <w:tcBorders>
              <w:bottom w:val="single" w:sz="4" w:space="0" w:color="808080"/>
            </w:tcBorders>
            <w:shd w:val="clear" w:color="auto" w:fill="auto"/>
            <w:vAlign w:val="center"/>
          </w:tcPr>
          <w:p w:rsidR="00ED48EE" w:rsidRPr="00ED48EE" w:rsidRDefault="00ED48EE" w:rsidP="00ED48EE">
            <w:pPr>
              <w:jc w:val="center"/>
              <w:rPr>
                <w:rFonts w:ascii="Verdana" w:eastAsia="Times New Roman" w:hAnsi="Verdana" w:cs="Times New Roman"/>
                <w:b/>
                <w:color w:val="FFFFFF"/>
                <w:sz w:val="28"/>
                <w:szCs w:val="28"/>
                <w:lang w:eastAsia="en-AU"/>
              </w:rPr>
            </w:pPr>
          </w:p>
        </w:tc>
      </w:tr>
      <w:tr w:rsidR="00ED48EE" w:rsidRPr="00ED48EE" w:rsidTr="0063684B">
        <w:trPr>
          <w:trHeight w:val="268"/>
          <w:jc w:val="center"/>
        </w:trPr>
        <w:tc>
          <w:tcPr>
            <w:tcW w:w="9360" w:type="dxa"/>
            <w:tcBorders>
              <w:bottom w:val="single" w:sz="4" w:space="0" w:color="808080"/>
            </w:tcBorders>
            <w:shd w:val="clear" w:color="auto" w:fill="999999"/>
            <w:vAlign w:val="center"/>
          </w:tcPr>
          <w:p w:rsidR="00ED48EE" w:rsidRPr="00ED48EE" w:rsidRDefault="00ED48EE" w:rsidP="00ED48EE">
            <w:pPr>
              <w:spacing w:before="120" w:after="120"/>
              <w:jc w:val="center"/>
              <w:rPr>
                <w:rFonts w:ascii="Verdana" w:eastAsia="Times New Roman" w:hAnsi="Verdana" w:cs="Times New Roman"/>
                <w:b/>
                <w:color w:val="FFFFFF"/>
                <w:sz w:val="28"/>
                <w:szCs w:val="28"/>
                <w:lang w:eastAsia="en-AU"/>
              </w:rPr>
            </w:pPr>
            <w:bookmarkStart w:id="1" w:name="OLE_LINK1"/>
            <w:r w:rsidRPr="00ED48EE">
              <w:rPr>
                <w:rFonts w:ascii="Verdana" w:eastAsia="Times New Roman" w:hAnsi="Verdana" w:cs="Times New Roman"/>
                <w:b/>
                <w:color w:val="FFFFFF"/>
                <w:sz w:val="28"/>
                <w:szCs w:val="28"/>
                <w:lang w:eastAsia="en-AU"/>
              </w:rPr>
              <w:t>The Forrest Review - Indigenous Jobs and Training</w:t>
            </w:r>
            <w:bookmarkEnd w:id="1"/>
          </w:p>
        </w:tc>
      </w:tr>
    </w:tbl>
    <w:p w:rsidR="00ED48EE" w:rsidRPr="00ED48EE" w:rsidRDefault="00ED48EE" w:rsidP="00ED48EE">
      <w:pPr>
        <w:rPr>
          <w:rFonts w:ascii="Verdana" w:eastAsia="Times New Roman" w:hAnsi="Verdana" w:cs="Times New Roman"/>
          <w:sz w:val="20"/>
          <w:szCs w:val="19"/>
          <w:lang w:val="en-US" w:eastAsia="en-AU"/>
        </w:rPr>
      </w:pPr>
    </w:p>
    <w:p w:rsidR="00ED48EE" w:rsidRPr="00ED48EE" w:rsidRDefault="00ED48EE" w:rsidP="00876F7E">
      <w:pPr>
        <w:spacing w:after="120"/>
        <w:ind w:left="720"/>
        <w:rPr>
          <w:rFonts w:ascii="Verdana" w:eastAsia="Times New Roman" w:hAnsi="Verdana" w:cs="Times New Roman"/>
          <w:sz w:val="20"/>
          <w:szCs w:val="19"/>
          <w:lang w:val="en-US" w:eastAsia="en-AU"/>
        </w:rPr>
      </w:pPr>
      <w:r w:rsidRPr="00ED48EE">
        <w:rPr>
          <w:rFonts w:ascii="Verdana" w:eastAsia="Times New Roman" w:hAnsi="Verdana" w:cs="Times New Roman"/>
          <w:sz w:val="20"/>
          <w:szCs w:val="19"/>
          <w:lang w:val="en-US" w:eastAsia="en-AU"/>
        </w:rPr>
        <w:t>Name: National Centre for Vocational Education Research (NCVER)</w:t>
      </w:r>
    </w:p>
    <w:p w:rsidR="00ED48EE" w:rsidRPr="00ED48EE" w:rsidRDefault="00ED48EE" w:rsidP="00876F7E">
      <w:pPr>
        <w:spacing w:after="120"/>
        <w:ind w:left="720"/>
        <w:rPr>
          <w:rFonts w:ascii="Verdana" w:eastAsia="Times New Roman" w:hAnsi="Verdana" w:cs="Times New Roman"/>
          <w:sz w:val="20"/>
          <w:szCs w:val="19"/>
          <w:lang w:val="en-US" w:eastAsia="en-AU"/>
        </w:rPr>
      </w:pPr>
      <w:r w:rsidRPr="00ED48EE">
        <w:rPr>
          <w:rFonts w:ascii="Verdana" w:eastAsia="Times New Roman" w:hAnsi="Verdana" w:cs="Times New Roman"/>
          <w:sz w:val="20"/>
          <w:szCs w:val="19"/>
          <w:lang w:val="en-US" w:eastAsia="en-AU"/>
        </w:rPr>
        <w:t>Category: Ministerial Owned Company</w:t>
      </w:r>
    </w:p>
    <w:p w:rsidR="00ED48EE" w:rsidRPr="00ED48EE" w:rsidRDefault="00ED48EE" w:rsidP="00876F7E">
      <w:pPr>
        <w:spacing w:after="120"/>
        <w:ind w:left="720"/>
        <w:rPr>
          <w:rFonts w:ascii="Verdana" w:eastAsia="Times New Roman" w:hAnsi="Verdana" w:cs="Times New Roman"/>
          <w:sz w:val="20"/>
          <w:szCs w:val="19"/>
          <w:lang w:val="en-US" w:eastAsia="en-AU"/>
        </w:rPr>
      </w:pPr>
      <w:r w:rsidRPr="00ED48EE">
        <w:rPr>
          <w:rFonts w:ascii="Verdana" w:eastAsia="Times New Roman" w:hAnsi="Verdana" w:cs="Times New Roman"/>
          <w:sz w:val="20"/>
          <w:szCs w:val="19"/>
          <w:lang w:val="en-US" w:eastAsia="en-AU"/>
        </w:rPr>
        <w:t>Contact: Rod Camm</w:t>
      </w:r>
      <w:r w:rsidR="00EC3053">
        <w:rPr>
          <w:rFonts w:ascii="Verdana" w:eastAsia="Times New Roman" w:hAnsi="Verdana" w:cs="Times New Roman"/>
          <w:sz w:val="20"/>
          <w:szCs w:val="19"/>
          <w:lang w:val="en-US" w:eastAsia="en-AU"/>
        </w:rPr>
        <w:t xml:space="preserve"> Managing Director, Sandra Pattison General Manager Research</w:t>
      </w:r>
    </w:p>
    <w:p w:rsidR="00ED48EE" w:rsidRPr="00ED48EE" w:rsidRDefault="00ED48EE" w:rsidP="00876F7E">
      <w:pPr>
        <w:spacing w:after="120"/>
        <w:ind w:left="720"/>
        <w:rPr>
          <w:rFonts w:ascii="Verdana" w:eastAsia="Times New Roman" w:hAnsi="Verdana" w:cs="Times New Roman"/>
          <w:sz w:val="20"/>
          <w:szCs w:val="19"/>
          <w:lang w:val="en-US" w:eastAsia="en-AU"/>
        </w:rPr>
      </w:pPr>
      <w:r w:rsidRPr="00ED48EE">
        <w:rPr>
          <w:rFonts w:ascii="Verdana" w:eastAsia="Times New Roman" w:hAnsi="Verdana" w:cs="Times New Roman"/>
          <w:sz w:val="20"/>
          <w:szCs w:val="19"/>
          <w:lang w:val="en-US" w:eastAsia="en-AU"/>
        </w:rPr>
        <w:t>Phone: 08 8230 8400</w:t>
      </w:r>
    </w:p>
    <w:p w:rsidR="00ED48EE" w:rsidRPr="00ED48EE" w:rsidRDefault="00ED48EE" w:rsidP="00876F7E">
      <w:pPr>
        <w:spacing w:after="120"/>
        <w:ind w:left="720"/>
        <w:rPr>
          <w:rFonts w:ascii="Verdana" w:eastAsia="Times New Roman" w:hAnsi="Verdana" w:cs="Times New Roman"/>
          <w:sz w:val="20"/>
          <w:szCs w:val="19"/>
          <w:lang w:val="en-US" w:eastAsia="en-AU"/>
        </w:rPr>
      </w:pPr>
      <w:r w:rsidRPr="00ED48EE">
        <w:rPr>
          <w:rFonts w:ascii="Verdana" w:eastAsia="Times New Roman" w:hAnsi="Verdana" w:cs="Times New Roman"/>
          <w:sz w:val="20"/>
          <w:szCs w:val="19"/>
          <w:lang w:val="en-US" w:eastAsia="en-AU"/>
        </w:rPr>
        <w:t xml:space="preserve">Email: </w:t>
      </w:r>
      <w:hyperlink r:id="rId12" w:history="1">
        <w:r w:rsidRPr="00ED48EE">
          <w:rPr>
            <w:rFonts w:ascii="Verdana" w:eastAsia="Times New Roman" w:hAnsi="Verdana" w:cs="Times New Roman"/>
            <w:color w:val="0000FF"/>
            <w:sz w:val="20"/>
            <w:szCs w:val="20"/>
            <w:u w:val="single"/>
            <w:lang w:val="en-US" w:eastAsia="en-AU"/>
          </w:rPr>
          <w:t>rod.camm@ncver.edu.au</w:t>
        </w:r>
      </w:hyperlink>
      <w:r w:rsidR="002E7F75">
        <w:rPr>
          <w:rFonts w:ascii="Verdana" w:eastAsia="Times New Roman" w:hAnsi="Verdana" w:cs="Times New Roman"/>
          <w:color w:val="0000FF"/>
          <w:sz w:val="20"/>
          <w:szCs w:val="20"/>
          <w:u w:val="single"/>
          <w:lang w:val="en-US" w:eastAsia="en-AU"/>
        </w:rPr>
        <w:t>, sandra.pattison@ncver.edu.au</w:t>
      </w:r>
    </w:p>
    <w:p w:rsidR="00ED48EE" w:rsidRPr="00ED48EE" w:rsidRDefault="00ED48EE" w:rsidP="00ED48EE">
      <w:pPr>
        <w:outlineLvl w:val="2"/>
        <w:rPr>
          <w:rFonts w:ascii="Calibri" w:eastAsia="Times New Roman" w:hAnsi="Calibri" w:cs="Times New Roman"/>
          <w:b/>
          <w:smallCaps/>
          <w:spacing w:val="5"/>
          <w:sz w:val="28"/>
          <w:lang w:val="en-US" w:eastAsia="en-AU"/>
        </w:rPr>
      </w:pPr>
    </w:p>
    <w:p w:rsidR="00ED48EE" w:rsidRPr="00ED48EE" w:rsidRDefault="00ED48EE" w:rsidP="00ED48EE">
      <w:pPr>
        <w:outlineLvl w:val="2"/>
        <w:rPr>
          <w:rFonts w:ascii="Calibri" w:eastAsia="Times New Roman" w:hAnsi="Calibri" w:cs="Times New Roman"/>
          <w:b/>
          <w:smallCaps/>
          <w:spacing w:val="5"/>
          <w:sz w:val="28"/>
          <w:lang w:val="en-US" w:eastAsia="en-AU"/>
        </w:rPr>
      </w:pPr>
      <w:r w:rsidRPr="00ED48EE">
        <w:rPr>
          <w:rFonts w:ascii="Calibri" w:eastAsia="Times New Roman" w:hAnsi="Calibri" w:cs="Times New Roman"/>
          <w:b/>
          <w:smallCaps/>
          <w:spacing w:val="5"/>
          <w:sz w:val="28"/>
          <w:lang w:val="en-US" w:eastAsia="en-AU"/>
        </w:rPr>
        <w:t xml:space="preserve">RESPONSE TO THE REVIEW </w:t>
      </w:r>
    </w:p>
    <w:p w:rsidR="00ED48EE" w:rsidRPr="00ED48EE" w:rsidRDefault="00ED48EE" w:rsidP="00ED48EE">
      <w:pPr>
        <w:spacing w:before="240" w:after="240"/>
        <w:rPr>
          <w:rFonts w:ascii="Verdana" w:eastAsia="Times New Roman" w:hAnsi="Verdana" w:cs="Times New Roman"/>
          <w:sz w:val="20"/>
          <w:szCs w:val="20"/>
          <w:lang w:val="en-US" w:eastAsia="en-AU"/>
        </w:rPr>
      </w:pPr>
      <w:r w:rsidRPr="00ED48EE">
        <w:rPr>
          <w:rFonts w:ascii="Verdana" w:eastAsia="Times New Roman" w:hAnsi="Verdana" w:cs="Times New Roman"/>
          <w:sz w:val="20"/>
          <w:szCs w:val="20"/>
          <w:lang w:val="en-US" w:eastAsia="en-AU"/>
        </w:rPr>
        <w:t xml:space="preserve">The National Centre for Vocational Education Research (NCVER) is an independent body responsible for collecting, managing, analysing, evaluating and communicating research and statistics about tertiary education and training in Australia. </w:t>
      </w:r>
    </w:p>
    <w:p w:rsidR="00ED48EE" w:rsidRPr="00D73699" w:rsidRDefault="00ED48EE" w:rsidP="00D73699">
      <w:pPr>
        <w:spacing w:before="240" w:after="240"/>
        <w:rPr>
          <w:rFonts w:ascii="Verdana" w:eastAsia="Times New Roman" w:hAnsi="Verdana" w:cs="Times New Roman"/>
          <w:sz w:val="20"/>
          <w:szCs w:val="19"/>
          <w:lang w:eastAsia="en-AU"/>
        </w:rPr>
      </w:pPr>
      <w:r w:rsidRPr="00D73699">
        <w:rPr>
          <w:rFonts w:ascii="Verdana" w:eastAsia="Times New Roman" w:hAnsi="Verdana" w:cs="Times New Roman"/>
          <w:sz w:val="20"/>
          <w:szCs w:val="19"/>
          <w:lang w:eastAsia="en-AU"/>
        </w:rPr>
        <w:t xml:space="preserve">For this submission, NCVER is restricting its comments to findings from research and data on educational and employment outcomes, for consideration. </w:t>
      </w:r>
    </w:p>
    <w:p w:rsidR="00ED48EE" w:rsidRPr="00ED48EE" w:rsidRDefault="00ED48EE" w:rsidP="00D73699">
      <w:pPr>
        <w:rPr>
          <w:rFonts w:ascii="Verdana" w:eastAsia="Times New Roman" w:hAnsi="Verdana" w:cs="Times New Roman"/>
          <w:sz w:val="20"/>
          <w:szCs w:val="19"/>
          <w:lang w:val="en-US" w:eastAsia="en-AU"/>
        </w:rPr>
      </w:pPr>
      <w:r w:rsidRPr="00ED48EE">
        <w:rPr>
          <w:rFonts w:ascii="Verdana" w:eastAsia="Times New Roman" w:hAnsi="Verdana" w:cs="Times New Roman"/>
          <w:sz w:val="20"/>
          <w:szCs w:val="19"/>
          <w:lang w:val="en-US" w:eastAsia="en-AU"/>
        </w:rPr>
        <w:t xml:space="preserve">We know that through the schooling years, attendance and academic achievement are keys to the successful completion of secondary school and Year 12. We also know that Year 12 completion helps in the transition to both further education and employment. Findings from the research (listed below) underscore the critical importance of educational achievement. Education and training is a key element of any strategy to close the gap between Indigenous and non-Indigenous employment rates (Karmel </w:t>
      </w:r>
      <w:r w:rsidRPr="00ED48EE">
        <w:rPr>
          <w:rFonts w:ascii="Verdana" w:eastAsia="Times New Roman" w:hAnsi="Verdana" w:cs="Times New Roman"/>
          <w:i/>
          <w:sz w:val="20"/>
          <w:szCs w:val="19"/>
          <w:lang w:val="en-US" w:eastAsia="en-AU"/>
        </w:rPr>
        <w:t>et. al.</w:t>
      </w:r>
      <w:r w:rsidRPr="00ED48EE">
        <w:rPr>
          <w:rFonts w:ascii="Verdana" w:eastAsia="Times New Roman" w:hAnsi="Verdana" w:cs="Times New Roman"/>
          <w:sz w:val="20"/>
          <w:szCs w:val="19"/>
          <w:lang w:val="en-US" w:eastAsia="en-AU"/>
        </w:rPr>
        <w:t xml:space="preserve"> 2014).</w:t>
      </w:r>
    </w:p>
    <w:p w:rsidR="00ED48EE" w:rsidRPr="00ED48EE" w:rsidRDefault="00ED48EE" w:rsidP="00D73699">
      <w:pPr>
        <w:rPr>
          <w:rFonts w:ascii="Verdana" w:eastAsia="Times New Roman" w:hAnsi="Verdana" w:cs="Times New Roman"/>
          <w:sz w:val="20"/>
          <w:szCs w:val="19"/>
          <w:lang w:val="en-US" w:eastAsia="en-AU"/>
        </w:rPr>
      </w:pPr>
    </w:p>
    <w:p w:rsidR="00ED48EE" w:rsidRPr="00ED48EE" w:rsidRDefault="00ED48EE" w:rsidP="00D73699">
      <w:pPr>
        <w:rPr>
          <w:rFonts w:ascii="Verdana" w:eastAsia="Times New Roman" w:hAnsi="Verdana" w:cs="Times New Roman"/>
          <w:sz w:val="20"/>
          <w:szCs w:val="19"/>
          <w:lang w:val="en-US" w:eastAsia="en-AU"/>
        </w:rPr>
      </w:pPr>
      <w:r w:rsidRPr="00ED48EE">
        <w:rPr>
          <w:rFonts w:ascii="Verdana" w:eastAsia="Times New Roman" w:hAnsi="Verdana" w:cs="Times New Roman"/>
          <w:sz w:val="20"/>
          <w:szCs w:val="19"/>
          <w:lang w:val="en-US" w:eastAsia="en-AU"/>
        </w:rPr>
        <w:t xml:space="preserve">The role of Vocational Education and Training is critical, and indeed a preferred choice, for many Indigenous Australians. Participation rates for 15-64 year old Indigenous Australians have been around 20% per annum for the last 10 years compared to 8% for non-Indigenous Australians (SCRGSP 2013), with higher participation rates for </w:t>
      </w:r>
      <w:r w:rsidR="002E7F75">
        <w:rPr>
          <w:rFonts w:ascii="Verdana" w:eastAsia="Times New Roman" w:hAnsi="Verdana" w:cs="Times New Roman"/>
          <w:sz w:val="20"/>
          <w:szCs w:val="19"/>
          <w:lang w:val="en-US" w:eastAsia="en-AU"/>
        </w:rPr>
        <w:t>1</w:t>
      </w:r>
      <w:r w:rsidRPr="00ED48EE">
        <w:rPr>
          <w:rFonts w:ascii="Verdana" w:eastAsia="Times New Roman" w:hAnsi="Verdana" w:cs="Times New Roman"/>
          <w:sz w:val="20"/>
          <w:szCs w:val="19"/>
          <w:lang w:val="en-US" w:eastAsia="en-AU"/>
        </w:rPr>
        <w:t>5 to 24 year old</w:t>
      </w:r>
      <w:r w:rsidR="002E7F75">
        <w:rPr>
          <w:rFonts w:ascii="Verdana" w:eastAsia="Times New Roman" w:hAnsi="Verdana" w:cs="Times New Roman"/>
          <w:sz w:val="20"/>
          <w:szCs w:val="19"/>
          <w:lang w:val="en-US" w:eastAsia="en-AU"/>
        </w:rPr>
        <w:t>s</w:t>
      </w:r>
      <w:r w:rsidRPr="00ED48EE">
        <w:rPr>
          <w:rFonts w:ascii="Verdana" w:eastAsia="Times New Roman" w:hAnsi="Verdana" w:cs="Times New Roman"/>
          <w:sz w:val="20"/>
          <w:szCs w:val="19"/>
          <w:lang w:val="en-US" w:eastAsia="en-AU"/>
        </w:rPr>
        <w:t xml:space="preserve">. There still remains a gap in both completion of qualifications and the level of the qualification between non-Indigenous and Indigenous students (noting that this has been improving over time) (NCVER 2014). More generally disadvantaged learners tend to be overrepresented in lower-level VET qualifications and underrepresented in higher-level VET and higher education (Griffin 2014).  </w:t>
      </w:r>
    </w:p>
    <w:p w:rsidR="00ED48EE" w:rsidRPr="00ED48EE" w:rsidRDefault="00ED48EE" w:rsidP="00D73699">
      <w:pPr>
        <w:rPr>
          <w:rFonts w:ascii="Verdana" w:eastAsia="Times New Roman" w:hAnsi="Verdana" w:cs="Times New Roman"/>
          <w:sz w:val="20"/>
          <w:szCs w:val="19"/>
          <w:lang w:val="en-US" w:eastAsia="en-AU"/>
        </w:rPr>
      </w:pPr>
    </w:p>
    <w:p w:rsidR="00ED48EE" w:rsidRPr="00ED48EE" w:rsidRDefault="00ED48EE" w:rsidP="00D73699">
      <w:pPr>
        <w:rPr>
          <w:rFonts w:ascii="Verdana" w:eastAsia="Times New Roman" w:hAnsi="Verdana" w:cs="Times New Roman"/>
          <w:sz w:val="20"/>
          <w:szCs w:val="19"/>
          <w:lang w:val="en-US" w:eastAsia="en-AU"/>
        </w:rPr>
      </w:pPr>
      <w:r w:rsidRPr="00ED48EE">
        <w:rPr>
          <w:rFonts w:ascii="Verdana" w:eastAsia="Times New Roman" w:hAnsi="Verdana" w:cs="Times New Roman"/>
          <w:sz w:val="20"/>
          <w:szCs w:val="19"/>
          <w:lang w:val="en-US" w:eastAsia="en-AU"/>
        </w:rPr>
        <w:t xml:space="preserve">In considering recommendation 14 in the review (regarding Vocational Education and Training) there are two particular issues that we would like to raise for consideration in implementation. Firstly, consideration of the role of the employer and how the training is delivered, and secondly qualification utilisation in the labour market. </w:t>
      </w:r>
    </w:p>
    <w:p w:rsidR="00ED48EE" w:rsidRPr="00ED48EE" w:rsidRDefault="00ED48EE" w:rsidP="00D73699">
      <w:pPr>
        <w:rPr>
          <w:rFonts w:ascii="Verdana" w:eastAsia="Times New Roman" w:hAnsi="Verdana" w:cs="Times New Roman"/>
          <w:sz w:val="20"/>
          <w:szCs w:val="19"/>
          <w:lang w:val="en-US" w:eastAsia="en-AU"/>
        </w:rPr>
      </w:pPr>
    </w:p>
    <w:p w:rsidR="00ED48EE" w:rsidRPr="00ED48EE" w:rsidRDefault="00ED48EE" w:rsidP="00D73699">
      <w:pPr>
        <w:rPr>
          <w:rFonts w:ascii="Verdana" w:eastAsia="Times New Roman" w:hAnsi="Verdana" w:cs="Times New Roman"/>
          <w:sz w:val="20"/>
          <w:szCs w:val="19"/>
          <w:lang w:val="en-US" w:eastAsia="en-AU"/>
        </w:rPr>
      </w:pPr>
      <w:r w:rsidRPr="00ED48EE">
        <w:rPr>
          <w:rFonts w:ascii="Verdana" w:eastAsia="Times New Roman" w:hAnsi="Verdana" w:cs="Times New Roman"/>
          <w:sz w:val="20"/>
          <w:szCs w:val="19"/>
          <w:lang w:val="en-US" w:eastAsia="en-AU"/>
        </w:rPr>
        <w:lastRenderedPageBreak/>
        <w:t xml:space="preserve">We know from the research (for example Dockery 2000, Giddy </w:t>
      </w:r>
      <w:r w:rsidRPr="00ED48EE">
        <w:rPr>
          <w:rFonts w:ascii="Verdana" w:eastAsia="Times New Roman" w:hAnsi="Verdana" w:cs="Times New Roman"/>
          <w:i/>
          <w:sz w:val="20"/>
          <w:szCs w:val="19"/>
          <w:lang w:val="en-US" w:eastAsia="en-AU"/>
        </w:rPr>
        <w:t xml:space="preserve">et. al. 2009, </w:t>
      </w:r>
      <w:r w:rsidRPr="00ED48EE">
        <w:rPr>
          <w:rFonts w:ascii="Verdana" w:eastAsia="Times New Roman" w:hAnsi="Verdana" w:cs="Times New Roman"/>
          <w:sz w:val="20"/>
          <w:szCs w:val="19"/>
          <w:lang w:val="en-US" w:eastAsia="en-AU"/>
        </w:rPr>
        <w:t>Karmel</w:t>
      </w:r>
      <w:r w:rsidRPr="00ED48EE">
        <w:rPr>
          <w:rFonts w:ascii="Verdana" w:eastAsia="Times New Roman" w:hAnsi="Verdana" w:cs="Times New Roman"/>
          <w:i/>
          <w:sz w:val="20"/>
          <w:szCs w:val="19"/>
          <w:lang w:val="en-US" w:eastAsia="en-AU"/>
        </w:rPr>
        <w:t xml:space="preserve"> </w:t>
      </w:r>
      <w:r w:rsidRPr="00ED48EE">
        <w:rPr>
          <w:rFonts w:ascii="Verdana" w:eastAsia="Times New Roman" w:hAnsi="Verdana" w:cs="Times New Roman"/>
          <w:sz w:val="20"/>
          <w:szCs w:val="19"/>
          <w:lang w:val="en-US" w:eastAsia="en-AU"/>
        </w:rPr>
        <w:t xml:space="preserve">et. al. 2014) that work integrated learning works best. For Indigenous students a blended learning approach is preferred.  </w:t>
      </w:r>
      <w:r w:rsidR="002E7F75">
        <w:rPr>
          <w:rFonts w:ascii="Verdana" w:eastAsia="Times New Roman" w:hAnsi="Verdana" w:cs="Times New Roman"/>
          <w:sz w:val="20"/>
          <w:szCs w:val="19"/>
          <w:lang w:val="en-US" w:eastAsia="en-AU"/>
        </w:rPr>
        <w:t>I</w:t>
      </w:r>
      <w:r w:rsidRPr="00ED48EE">
        <w:rPr>
          <w:rFonts w:ascii="Verdana" w:eastAsia="Times New Roman" w:hAnsi="Verdana" w:cs="Times New Roman"/>
          <w:sz w:val="20"/>
          <w:szCs w:val="19"/>
          <w:lang w:val="en-US" w:eastAsia="en-AU"/>
        </w:rPr>
        <w:t>t is not</w:t>
      </w:r>
      <w:r w:rsidR="002E7F75">
        <w:rPr>
          <w:rFonts w:ascii="Verdana" w:eastAsia="Times New Roman" w:hAnsi="Verdana" w:cs="Times New Roman"/>
          <w:sz w:val="20"/>
          <w:szCs w:val="19"/>
          <w:lang w:val="en-US" w:eastAsia="en-AU"/>
        </w:rPr>
        <w:t xml:space="preserve"> just about which </w:t>
      </w:r>
      <w:r w:rsidRPr="00ED48EE">
        <w:rPr>
          <w:rFonts w:ascii="Verdana" w:eastAsia="Times New Roman" w:hAnsi="Verdana" w:cs="Times New Roman"/>
          <w:sz w:val="20"/>
          <w:szCs w:val="19"/>
          <w:lang w:val="en-US" w:eastAsia="en-AU"/>
        </w:rPr>
        <w:t xml:space="preserve">training but how it is to be delivered and the role of employers. </w:t>
      </w:r>
    </w:p>
    <w:p w:rsidR="00ED48EE" w:rsidRPr="00ED48EE" w:rsidRDefault="00ED48EE" w:rsidP="00D73699">
      <w:pPr>
        <w:rPr>
          <w:rFonts w:ascii="Verdana" w:eastAsia="Times New Roman" w:hAnsi="Verdana" w:cs="Times New Roman"/>
          <w:sz w:val="20"/>
          <w:szCs w:val="19"/>
          <w:lang w:val="en-US" w:eastAsia="en-AU"/>
        </w:rPr>
      </w:pPr>
    </w:p>
    <w:p w:rsidR="00ED48EE" w:rsidRPr="00ED48EE" w:rsidRDefault="00ED48EE" w:rsidP="00D73699">
      <w:pPr>
        <w:rPr>
          <w:rFonts w:ascii="Verdana" w:eastAsia="Times New Roman" w:hAnsi="Verdana" w:cs="Times New Roman"/>
          <w:sz w:val="20"/>
          <w:szCs w:val="19"/>
          <w:lang w:val="en-US" w:eastAsia="en-AU"/>
        </w:rPr>
      </w:pPr>
      <w:r w:rsidRPr="00ED48EE">
        <w:rPr>
          <w:rFonts w:ascii="Verdana" w:eastAsia="Times New Roman" w:hAnsi="Verdana" w:cs="Times New Roman"/>
          <w:sz w:val="20"/>
          <w:szCs w:val="19"/>
          <w:lang w:val="en-US" w:eastAsia="en-AU"/>
        </w:rPr>
        <w:t xml:space="preserve">In relation to qualification utilisation our recent research (Wibrow 2014) shows that </w:t>
      </w:r>
    </w:p>
    <w:p w:rsidR="00ED48EE" w:rsidRPr="00ED48EE" w:rsidRDefault="00ED48EE" w:rsidP="00ED48EE">
      <w:pPr>
        <w:numPr>
          <w:ilvl w:val="0"/>
          <w:numId w:val="12"/>
        </w:numPr>
        <w:rPr>
          <w:rFonts w:ascii="Verdana" w:eastAsia="Times New Roman" w:hAnsi="Verdana" w:cs="Times New Roman"/>
          <w:sz w:val="20"/>
          <w:szCs w:val="19"/>
          <w:lang w:val="en-US" w:eastAsia="en-AU"/>
        </w:rPr>
      </w:pPr>
      <w:r w:rsidRPr="00ED48EE">
        <w:rPr>
          <w:rFonts w:ascii="Verdana" w:eastAsia="Times New Roman" w:hAnsi="Verdana" w:cs="Times New Roman"/>
          <w:sz w:val="20"/>
          <w:szCs w:val="19"/>
          <w:lang w:val="en-US" w:eastAsia="en-AU"/>
        </w:rPr>
        <w:t>links between training and employment vary by industry and qualification</w:t>
      </w:r>
    </w:p>
    <w:p w:rsidR="00ED48EE" w:rsidRPr="00ED48EE" w:rsidRDefault="00ED48EE" w:rsidP="00ED48EE">
      <w:pPr>
        <w:numPr>
          <w:ilvl w:val="0"/>
          <w:numId w:val="12"/>
        </w:numPr>
        <w:rPr>
          <w:rFonts w:ascii="Verdana" w:eastAsia="Times New Roman" w:hAnsi="Verdana" w:cs="Times New Roman"/>
          <w:sz w:val="20"/>
          <w:szCs w:val="19"/>
          <w:lang w:val="en-US" w:eastAsia="en-AU"/>
        </w:rPr>
      </w:pPr>
      <w:r w:rsidRPr="00ED48EE">
        <w:rPr>
          <w:rFonts w:ascii="Verdana" w:eastAsia="Times New Roman" w:hAnsi="Verdana" w:cs="Times New Roman"/>
          <w:sz w:val="20"/>
          <w:szCs w:val="19"/>
          <w:lang w:val="en-US" w:eastAsia="en-AU"/>
        </w:rPr>
        <w:t>some training is quite general and may offer second chance education, foundation skills, etc. supporting pathways</w:t>
      </w:r>
    </w:p>
    <w:p w:rsidR="00ED48EE" w:rsidRPr="00ED48EE" w:rsidRDefault="00ED48EE" w:rsidP="00ED48EE">
      <w:pPr>
        <w:numPr>
          <w:ilvl w:val="0"/>
          <w:numId w:val="12"/>
        </w:numPr>
        <w:rPr>
          <w:rFonts w:ascii="Verdana" w:eastAsia="Times New Roman" w:hAnsi="Verdana" w:cs="Times New Roman"/>
          <w:sz w:val="20"/>
          <w:szCs w:val="19"/>
          <w:lang w:val="en-US" w:eastAsia="en-AU"/>
        </w:rPr>
      </w:pPr>
      <w:r w:rsidRPr="00ED48EE">
        <w:rPr>
          <w:rFonts w:ascii="Verdana" w:eastAsia="Times New Roman" w:hAnsi="Verdana" w:cs="Times New Roman"/>
          <w:sz w:val="20"/>
          <w:szCs w:val="19"/>
          <w:lang w:val="en-US" w:eastAsia="en-AU"/>
        </w:rPr>
        <w:t xml:space="preserve">almost all graduates employed after training are at or above the skill level for which they trained. </w:t>
      </w:r>
    </w:p>
    <w:p w:rsidR="00ED48EE" w:rsidRPr="00ED48EE" w:rsidRDefault="00ED48EE" w:rsidP="00D73699">
      <w:pPr>
        <w:rPr>
          <w:rFonts w:ascii="Verdana" w:eastAsia="Times New Roman" w:hAnsi="Verdana" w:cs="Times New Roman"/>
          <w:sz w:val="20"/>
          <w:szCs w:val="19"/>
          <w:lang w:val="en-US" w:eastAsia="en-AU"/>
        </w:rPr>
      </w:pPr>
      <w:r w:rsidRPr="00ED48EE">
        <w:rPr>
          <w:rFonts w:ascii="Verdana" w:eastAsia="Times New Roman" w:hAnsi="Verdana" w:cs="Times New Roman"/>
          <w:sz w:val="20"/>
          <w:szCs w:val="19"/>
          <w:lang w:val="en-US" w:eastAsia="en-AU"/>
        </w:rPr>
        <w:t>As such the value of the training may not be linked directly to an employment outcome in the same area of the training, and by the generic nature of some training will not be directly linked</w:t>
      </w:r>
      <w:r w:rsidR="002E7F75">
        <w:rPr>
          <w:rFonts w:ascii="Verdana" w:eastAsia="Times New Roman" w:hAnsi="Verdana" w:cs="Times New Roman"/>
          <w:sz w:val="20"/>
          <w:szCs w:val="19"/>
          <w:lang w:val="en-US" w:eastAsia="en-AU"/>
        </w:rPr>
        <w:t xml:space="preserve"> to occupation</w:t>
      </w:r>
      <w:r w:rsidRPr="00ED48EE">
        <w:rPr>
          <w:rFonts w:ascii="Verdana" w:eastAsia="Times New Roman" w:hAnsi="Verdana" w:cs="Times New Roman"/>
          <w:sz w:val="20"/>
          <w:szCs w:val="19"/>
          <w:lang w:val="en-US" w:eastAsia="en-AU"/>
        </w:rPr>
        <w:t xml:space="preserve">. While the content of training can be driven by employers and industry bodies caution is needed not to lose sight of the broader benefits of training. </w:t>
      </w:r>
    </w:p>
    <w:p w:rsidR="00ED48EE" w:rsidRPr="00ED48EE" w:rsidRDefault="00ED48EE" w:rsidP="00D73699">
      <w:pPr>
        <w:rPr>
          <w:rFonts w:ascii="Verdana" w:eastAsia="Times New Roman" w:hAnsi="Verdana" w:cs="Times New Roman"/>
          <w:sz w:val="20"/>
          <w:szCs w:val="19"/>
          <w:lang w:val="en-US" w:eastAsia="en-AU"/>
        </w:rPr>
      </w:pPr>
    </w:p>
    <w:p w:rsidR="00ED48EE" w:rsidRPr="00ED48EE" w:rsidRDefault="00ED48EE" w:rsidP="00D73699">
      <w:pPr>
        <w:rPr>
          <w:rFonts w:ascii="Verdana" w:eastAsia="Times New Roman" w:hAnsi="Verdana" w:cs="Times New Roman"/>
          <w:sz w:val="20"/>
          <w:szCs w:val="19"/>
          <w:lang w:val="en-US" w:eastAsia="en-AU"/>
        </w:rPr>
      </w:pPr>
      <w:r w:rsidRPr="00ED48EE">
        <w:rPr>
          <w:rFonts w:ascii="Verdana" w:eastAsia="Times New Roman" w:hAnsi="Verdana" w:cs="Times New Roman"/>
          <w:sz w:val="20"/>
          <w:szCs w:val="19"/>
          <w:lang w:val="en-US" w:eastAsia="en-AU"/>
        </w:rPr>
        <w:t xml:space="preserve">Finally there is little in the literature that provides student perspectives on transitions from lower-level to higher-level vocational education and training and from VET into higher education (Griffin 2014). While transition from VET to higher education is a viable pathway it is not used widely </w:t>
      </w:r>
      <w:r w:rsidR="001411FD">
        <w:rPr>
          <w:rFonts w:ascii="Verdana" w:eastAsia="Times New Roman" w:hAnsi="Verdana" w:cs="Times New Roman"/>
          <w:sz w:val="20"/>
          <w:szCs w:val="19"/>
          <w:lang w:val="en-US" w:eastAsia="en-AU"/>
        </w:rPr>
        <w:t xml:space="preserve">by all </w:t>
      </w:r>
      <w:r w:rsidRPr="00ED48EE">
        <w:rPr>
          <w:rFonts w:ascii="Verdana" w:eastAsia="Times New Roman" w:hAnsi="Verdana" w:cs="Times New Roman"/>
          <w:sz w:val="20"/>
          <w:szCs w:val="19"/>
          <w:lang w:val="en-US" w:eastAsia="en-AU"/>
        </w:rPr>
        <w:t>learners. Griffin (2014)</w:t>
      </w:r>
      <w:r w:rsidR="002E7F75">
        <w:rPr>
          <w:rFonts w:ascii="Verdana" w:eastAsia="Times New Roman" w:hAnsi="Verdana" w:cs="Times New Roman"/>
          <w:sz w:val="20"/>
          <w:szCs w:val="19"/>
          <w:lang w:val="en-US" w:eastAsia="en-AU"/>
        </w:rPr>
        <w:t xml:space="preserve"> </w:t>
      </w:r>
      <w:r w:rsidR="001411FD">
        <w:rPr>
          <w:rFonts w:ascii="Verdana" w:eastAsia="Times New Roman" w:hAnsi="Verdana" w:cs="Times New Roman"/>
          <w:sz w:val="20"/>
          <w:szCs w:val="19"/>
          <w:lang w:val="en-US" w:eastAsia="en-AU"/>
        </w:rPr>
        <w:t>d</w:t>
      </w:r>
      <w:r w:rsidRPr="00ED48EE">
        <w:rPr>
          <w:rFonts w:ascii="Verdana" w:eastAsia="Times New Roman" w:hAnsi="Verdana" w:cs="Times New Roman"/>
          <w:sz w:val="20"/>
          <w:szCs w:val="19"/>
          <w:lang w:val="en-US" w:eastAsia="en-AU"/>
        </w:rPr>
        <w:t>iscuss</w:t>
      </w:r>
      <w:r w:rsidR="002E7F75">
        <w:rPr>
          <w:rFonts w:ascii="Verdana" w:eastAsia="Times New Roman" w:hAnsi="Verdana" w:cs="Times New Roman"/>
          <w:sz w:val="20"/>
          <w:szCs w:val="19"/>
          <w:lang w:val="en-US" w:eastAsia="en-AU"/>
        </w:rPr>
        <w:t>es</w:t>
      </w:r>
      <w:r w:rsidRPr="00ED48EE">
        <w:rPr>
          <w:rFonts w:ascii="Verdana" w:eastAsia="Times New Roman" w:hAnsi="Verdana" w:cs="Times New Roman"/>
          <w:sz w:val="20"/>
          <w:szCs w:val="19"/>
          <w:lang w:val="en-US" w:eastAsia="en-AU"/>
        </w:rPr>
        <w:t xml:space="preserve"> a number of barriers </w:t>
      </w:r>
      <w:r w:rsidR="002E7F75">
        <w:rPr>
          <w:rFonts w:ascii="Verdana" w:eastAsia="Times New Roman" w:hAnsi="Verdana" w:cs="Times New Roman"/>
          <w:sz w:val="20"/>
          <w:szCs w:val="19"/>
          <w:lang w:val="en-US" w:eastAsia="en-AU"/>
        </w:rPr>
        <w:t xml:space="preserve">to transfer </w:t>
      </w:r>
      <w:r w:rsidRPr="00ED48EE">
        <w:rPr>
          <w:rFonts w:ascii="Verdana" w:eastAsia="Times New Roman" w:hAnsi="Verdana" w:cs="Times New Roman"/>
          <w:sz w:val="20"/>
          <w:szCs w:val="19"/>
          <w:lang w:val="en-US" w:eastAsia="en-AU"/>
        </w:rPr>
        <w:t>for disadvantaged learners</w:t>
      </w:r>
      <w:r w:rsidR="002E7F75">
        <w:rPr>
          <w:rFonts w:ascii="Verdana" w:eastAsia="Times New Roman" w:hAnsi="Verdana" w:cs="Times New Roman"/>
          <w:sz w:val="20"/>
          <w:szCs w:val="19"/>
          <w:lang w:val="en-US" w:eastAsia="en-AU"/>
        </w:rPr>
        <w:t xml:space="preserve"> and</w:t>
      </w:r>
      <w:r w:rsidR="001411FD">
        <w:rPr>
          <w:rFonts w:ascii="Verdana" w:eastAsia="Times New Roman" w:hAnsi="Verdana" w:cs="Times New Roman"/>
          <w:sz w:val="20"/>
          <w:szCs w:val="19"/>
          <w:lang w:val="en-US" w:eastAsia="en-AU"/>
        </w:rPr>
        <w:t xml:space="preserve"> Bandias </w:t>
      </w:r>
      <w:r w:rsidR="002E7F75">
        <w:rPr>
          <w:rFonts w:ascii="Verdana" w:eastAsia="Times New Roman" w:hAnsi="Verdana" w:cs="Times New Roman"/>
          <w:sz w:val="20"/>
          <w:szCs w:val="19"/>
          <w:lang w:val="en-US" w:eastAsia="en-AU"/>
        </w:rPr>
        <w:t>(20</w:t>
      </w:r>
      <w:r w:rsidR="00C17A80">
        <w:rPr>
          <w:rFonts w:ascii="Verdana" w:eastAsia="Times New Roman" w:hAnsi="Verdana" w:cs="Times New Roman"/>
          <w:sz w:val="20"/>
          <w:szCs w:val="19"/>
          <w:lang w:val="en-US" w:eastAsia="en-AU"/>
        </w:rPr>
        <w:t>1</w:t>
      </w:r>
      <w:r w:rsidR="002E7F75">
        <w:rPr>
          <w:rFonts w:ascii="Verdana" w:eastAsia="Times New Roman" w:hAnsi="Verdana" w:cs="Times New Roman"/>
          <w:sz w:val="20"/>
          <w:szCs w:val="19"/>
          <w:lang w:val="en-US" w:eastAsia="en-AU"/>
        </w:rPr>
        <w:t>3) for Indigenous learners. Specifically:</w:t>
      </w:r>
    </w:p>
    <w:p w:rsidR="00ED48EE" w:rsidRPr="00ED48EE" w:rsidRDefault="00ED48EE" w:rsidP="00ED48EE">
      <w:pPr>
        <w:numPr>
          <w:ilvl w:val="0"/>
          <w:numId w:val="12"/>
        </w:numPr>
        <w:rPr>
          <w:rFonts w:ascii="Verdana" w:eastAsia="Times New Roman" w:hAnsi="Verdana" w:cs="Times New Roman"/>
          <w:sz w:val="20"/>
          <w:szCs w:val="19"/>
          <w:lang w:val="en-US" w:eastAsia="en-AU"/>
        </w:rPr>
      </w:pPr>
      <w:r w:rsidRPr="00ED48EE">
        <w:rPr>
          <w:rFonts w:ascii="Verdana" w:eastAsia="Times New Roman" w:hAnsi="Verdana" w:cs="Times New Roman"/>
          <w:sz w:val="20"/>
          <w:szCs w:val="19"/>
          <w:lang w:val="en-US" w:eastAsia="en-AU"/>
        </w:rPr>
        <w:t>the transition from vocational education and training to higher education is more likely to occur from higher-level VET qualifications</w:t>
      </w:r>
    </w:p>
    <w:p w:rsidR="00ED48EE" w:rsidRPr="00ED48EE" w:rsidRDefault="00ED48EE" w:rsidP="00ED48EE">
      <w:pPr>
        <w:numPr>
          <w:ilvl w:val="0"/>
          <w:numId w:val="12"/>
        </w:numPr>
        <w:rPr>
          <w:rFonts w:ascii="Verdana" w:eastAsia="Times New Roman" w:hAnsi="Verdana" w:cs="Times New Roman"/>
          <w:sz w:val="20"/>
          <w:szCs w:val="19"/>
          <w:lang w:val="en-US" w:eastAsia="en-AU"/>
        </w:rPr>
      </w:pPr>
      <w:r w:rsidRPr="00ED48EE">
        <w:rPr>
          <w:rFonts w:ascii="Verdana" w:eastAsia="Times New Roman" w:hAnsi="Verdana" w:cs="Times New Roman"/>
          <w:sz w:val="20"/>
          <w:szCs w:val="19"/>
          <w:lang w:val="en-US" w:eastAsia="en-AU"/>
        </w:rPr>
        <w:t xml:space="preserve">transition from VET to higher education </w:t>
      </w:r>
      <w:r w:rsidR="00C17A80">
        <w:rPr>
          <w:rFonts w:ascii="Verdana" w:eastAsia="Times New Roman" w:hAnsi="Verdana" w:cs="Times New Roman"/>
          <w:sz w:val="20"/>
          <w:szCs w:val="19"/>
          <w:lang w:val="en-US" w:eastAsia="en-AU"/>
        </w:rPr>
        <w:t xml:space="preserve">can be </w:t>
      </w:r>
      <w:r w:rsidRPr="00ED48EE">
        <w:rPr>
          <w:rFonts w:ascii="Verdana" w:eastAsia="Times New Roman" w:hAnsi="Verdana" w:cs="Times New Roman"/>
          <w:sz w:val="20"/>
          <w:szCs w:val="19"/>
          <w:lang w:val="en-US" w:eastAsia="en-AU"/>
        </w:rPr>
        <w:t>complicated</w:t>
      </w:r>
      <w:r w:rsidR="00C17A80">
        <w:rPr>
          <w:rFonts w:ascii="Verdana" w:eastAsia="Times New Roman" w:hAnsi="Verdana" w:cs="Times New Roman"/>
          <w:sz w:val="20"/>
          <w:szCs w:val="19"/>
          <w:lang w:val="en-US" w:eastAsia="en-AU"/>
        </w:rPr>
        <w:t xml:space="preserve"> for all students, </w:t>
      </w:r>
      <w:r w:rsidRPr="00ED48EE">
        <w:rPr>
          <w:rFonts w:ascii="Verdana" w:eastAsia="Times New Roman" w:hAnsi="Verdana" w:cs="Times New Roman"/>
          <w:sz w:val="20"/>
          <w:szCs w:val="19"/>
          <w:lang w:val="en-US" w:eastAsia="en-AU"/>
        </w:rPr>
        <w:t>despite arrangements such as credit transfer</w:t>
      </w:r>
    </w:p>
    <w:p w:rsidR="00ED48EE" w:rsidRPr="00ED48EE" w:rsidRDefault="00ED48EE" w:rsidP="00ED48EE">
      <w:pPr>
        <w:numPr>
          <w:ilvl w:val="0"/>
          <w:numId w:val="12"/>
        </w:numPr>
        <w:rPr>
          <w:rFonts w:ascii="Verdana" w:eastAsia="Times New Roman" w:hAnsi="Verdana" w:cs="Times New Roman"/>
          <w:sz w:val="20"/>
          <w:szCs w:val="19"/>
          <w:lang w:val="en-US" w:eastAsia="en-AU"/>
        </w:rPr>
      </w:pPr>
      <w:proofErr w:type="gramStart"/>
      <w:r w:rsidRPr="00ED48EE">
        <w:rPr>
          <w:rFonts w:ascii="Verdana" w:eastAsia="Times New Roman" w:hAnsi="Verdana" w:cs="Times New Roman"/>
          <w:sz w:val="20"/>
          <w:szCs w:val="19"/>
          <w:lang w:val="en-US" w:eastAsia="en-AU"/>
        </w:rPr>
        <w:t>support</w:t>
      </w:r>
      <w:proofErr w:type="gramEnd"/>
      <w:r w:rsidRPr="00ED48EE">
        <w:rPr>
          <w:rFonts w:ascii="Verdana" w:eastAsia="Times New Roman" w:hAnsi="Verdana" w:cs="Times New Roman"/>
          <w:sz w:val="20"/>
          <w:szCs w:val="19"/>
          <w:lang w:val="en-US" w:eastAsia="en-AU"/>
        </w:rPr>
        <w:t xml:space="preserve"> services for transition can make a difference, with tension between providing individually tailored support and system-wide support.</w:t>
      </w:r>
      <w:r w:rsidR="00C17A80">
        <w:rPr>
          <w:rFonts w:ascii="Verdana" w:eastAsia="Times New Roman" w:hAnsi="Verdana" w:cs="Times New Roman"/>
          <w:sz w:val="20"/>
          <w:szCs w:val="19"/>
          <w:lang w:val="en-US" w:eastAsia="en-AU"/>
        </w:rPr>
        <w:t xml:space="preserve"> Some </w:t>
      </w:r>
      <w:r w:rsidR="00C17A80" w:rsidRPr="00ED48EE">
        <w:rPr>
          <w:rFonts w:ascii="Verdana" w:eastAsia="Calibri" w:hAnsi="Verdana" w:cs="Arial"/>
          <w:sz w:val="20"/>
          <w:szCs w:val="18"/>
        </w:rPr>
        <w:t xml:space="preserve">students </w:t>
      </w:r>
      <w:r w:rsidR="00C17A80">
        <w:rPr>
          <w:rFonts w:ascii="Verdana" w:eastAsia="Calibri" w:hAnsi="Verdana" w:cs="Arial"/>
          <w:sz w:val="20"/>
          <w:szCs w:val="18"/>
        </w:rPr>
        <w:t xml:space="preserve">are not prepared </w:t>
      </w:r>
      <w:r w:rsidR="00C17A80" w:rsidRPr="00ED48EE">
        <w:rPr>
          <w:rFonts w:ascii="Verdana" w:eastAsia="Calibri" w:hAnsi="Verdana" w:cs="Arial"/>
          <w:sz w:val="20"/>
          <w:szCs w:val="18"/>
        </w:rPr>
        <w:t>for the more academic environment of higher education and the emphasis on online learning</w:t>
      </w:r>
      <w:r w:rsidR="00C17A80">
        <w:rPr>
          <w:rFonts w:ascii="Verdana" w:eastAsia="Times New Roman" w:hAnsi="Verdana" w:cs="Times New Roman"/>
          <w:sz w:val="20"/>
          <w:szCs w:val="19"/>
          <w:lang w:val="en-US" w:eastAsia="en-AU"/>
        </w:rPr>
        <w:t xml:space="preserve"> for example. </w:t>
      </w:r>
    </w:p>
    <w:p w:rsidR="00ED48EE" w:rsidRPr="00ED48EE" w:rsidRDefault="00ED48EE" w:rsidP="00ED48EE">
      <w:pPr>
        <w:keepNext/>
        <w:spacing w:before="120" w:after="120"/>
        <w:outlineLvl w:val="3"/>
        <w:rPr>
          <w:rFonts w:ascii="Verdana" w:eastAsia="Times New Roman" w:hAnsi="Verdana" w:cs="Times New Roman"/>
          <w:bCs/>
          <w:i/>
          <w:sz w:val="22"/>
          <w:szCs w:val="22"/>
          <w:lang w:eastAsia="en-AU"/>
        </w:rPr>
      </w:pPr>
      <w:r w:rsidRPr="00ED48EE">
        <w:rPr>
          <w:rFonts w:ascii="Verdana" w:eastAsia="Times New Roman" w:hAnsi="Verdana" w:cs="Times New Roman"/>
          <w:bCs/>
          <w:i/>
          <w:sz w:val="22"/>
          <w:szCs w:val="22"/>
          <w:lang w:eastAsia="en-AU"/>
        </w:rPr>
        <w:t>Specific Research Findings</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 xml:space="preserve">We would also like to point out the following research on this topic relevant to the debate, some of which is cited in the Forrest Review. </w:t>
      </w:r>
    </w:p>
    <w:p w:rsidR="00ED48EE" w:rsidRPr="00ED48EE" w:rsidRDefault="00ED48EE" w:rsidP="00ED48EE">
      <w:pPr>
        <w:spacing w:line="276" w:lineRule="auto"/>
        <w:jc w:val="both"/>
        <w:rPr>
          <w:rFonts w:ascii="Verdana" w:eastAsia="Calibri" w:hAnsi="Verdana" w:cs="Arial"/>
          <w:sz w:val="20"/>
          <w:szCs w:val="18"/>
        </w:rPr>
      </w:pPr>
    </w:p>
    <w:p w:rsidR="00ED48EE" w:rsidRPr="00ED48EE" w:rsidRDefault="00ED48EE" w:rsidP="00ED48EE">
      <w:pPr>
        <w:spacing w:line="276" w:lineRule="auto"/>
        <w:jc w:val="both"/>
        <w:rPr>
          <w:rFonts w:ascii="Verdana" w:eastAsia="Calibri" w:hAnsi="Verdana" w:cs="Arial"/>
          <w:b/>
          <w:sz w:val="20"/>
          <w:szCs w:val="18"/>
        </w:rPr>
      </w:pPr>
      <w:r w:rsidRPr="00ED48EE">
        <w:rPr>
          <w:rFonts w:ascii="Verdana" w:eastAsia="Calibri" w:hAnsi="Verdana" w:cs="Arial"/>
          <w:b/>
          <w:sz w:val="20"/>
          <w:szCs w:val="18"/>
        </w:rPr>
        <w:t>Improving labour market outcomes through education and training</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Authors: Tom Karmel, Josie Misko, Davinia Blomberg, Alice Bednarz, Georgina Atkinson (2014)</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This paper uses the 2011 Census data to quantify the impact of educational disadvantage among Indigenous Australians for labour market participation, employment and occupational destinations. The paper provides a snapshot of key demographics; information on participation and outcomes from senior secondary education, vocational education and training (including apprenticeships and traineeships) and higher education; and a detailed account of employment outcomes across regions and occupations. The paper then reports on studies that have looked at the need to take into account the multiple elements of economic participation, and focuses in more detail on the role of social capital and cultural attachments and employer discrimination. The paper concludes by emphasising the key findings about the role of education and the need to streamline programs and strategies.</w:t>
      </w:r>
    </w:p>
    <w:p w:rsidR="00ED48EE" w:rsidRPr="00ED48EE" w:rsidRDefault="00ED48EE" w:rsidP="00ED48EE">
      <w:pPr>
        <w:spacing w:line="276" w:lineRule="auto"/>
        <w:jc w:val="both"/>
        <w:rPr>
          <w:rFonts w:ascii="Verdana" w:eastAsia="Calibri" w:hAnsi="Verdana" w:cs="Arial"/>
          <w:b/>
          <w:sz w:val="20"/>
          <w:szCs w:val="18"/>
        </w:rPr>
      </w:pPr>
    </w:p>
    <w:p w:rsidR="00ED48EE" w:rsidRPr="00ED48EE" w:rsidRDefault="00ED48EE" w:rsidP="00ED48EE">
      <w:pPr>
        <w:spacing w:line="276" w:lineRule="auto"/>
        <w:jc w:val="both"/>
        <w:rPr>
          <w:rFonts w:ascii="Verdana" w:eastAsia="Calibri" w:hAnsi="Verdana" w:cs="Arial"/>
          <w:b/>
          <w:sz w:val="20"/>
          <w:szCs w:val="18"/>
        </w:rPr>
      </w:pPr>
      <w:r w:rsidRPr="00ED48EE">
        <w:rPr>
          <w:rFonts w:ascii="Verdana" w:eastAsia="Calibri" w:hAnsi="Verdana" w:cs="Arial"/>
          <w:b/>
          <w:sz w:val="20"/>
          <w:szCs w:val="18"/>
        </w:rPr>
        <w:t>Australian vocational education and training statistics: Indigenous students 2013</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Author: National Centre for Vocational Education Research (NCVER) (2014)</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This statistical compendium presents data on participation, achievements and outcomes of Indigenous people in vocational education and training (VET). The data are obtained from NCVER's three major data collections: the National VET Provider Collection, the National Apprentice and Trainee Collection and the Student Outcomes Survey.</w:t>
      </w:r>
    </w:p>
    <w:p w:rsidR="00ED48EE" w:rsidRPr="00ED48EE" w:rsidRDefault="00ED48EE" w:rsidP="00ED48EE">
      <w:pPr>
        <w:spacing w:line="276" w:lineRule="auto"/>
        <w:jc w:val="both"/>
        <w:rPr>
          <w:rFonts w:ascii="Verdana" w:eastAsia="Calibri" w:hAnsi="Verdana" w:cs="Arial"/>
          <w:sz w:val="20"/>
          <w:szCs w:val="18"/>
        </w:rPr>
      </w:pPr>
    </w:p>
    <w:p w:rsidR="00ED48EE" w:rsidRPr="00ED48EE" w:rsidRDefault="00ED48EE" w:rsidP="00ED48EE">
      <w:pPr>
        <w:spacing w:line="276" w:lineRule="auto"/>
        <w:jc w:val="both"/>
        <w:rPr>
          <w:rFonts w:ascii="Verdana" w:eastAsia="Calibri" w:hAnsi="Verdana" w:cs="Arial"/>
          <w:b/>
          <w:sz w:val="20"/>
          <w:szCs w:val="18"/>
        </w:rPr>
      </w:pPr>
      <w:r w:rsidRPr="00ED48EE">
        <w:rPr>
          <w:rFonts w:ascii="Verdana" w:eastAsia="Calibri" w:hAnsi="Verdana" w:cs="Arial"/>
          <w:b/>
          <w:sz w:val="20"/>
          <w:szCs w:val="18"/>
        </w:rPr>
        <w:t>Labour market outcomes of Indigenous university graduates in Australia</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Author: Ian Li (2014)</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This study takes a look at the labour market outcomes of Australian graduates and compares the performance of Indigenous and non-Indigenous graduates, as this information can help shed some light on the efficacy of the policies that have been put in place to aid Indigenous higher education participation and performance. A number of findings arise from the analysis of Indigenous and non-Indigenous graduates in this study. First, Indigenous Australians are underrepresented in higher education, and policies which promote Indigenous higher education participation are particularly welcome. Second, Indigenous graduates are less likely to be in a situation where their qualification is considered to be in excess of their job requirements (known as overeducation), compared with non-Indigenous graduates. Third, the Indigenous graduate wage gap is around three per cent, which is much smaller than the Indigenous wage gaps reported in other studies of the general Australian population. Fourth, other findings on the determinants of overeducation and graduate earnings suggest that there are only very modest differences in the way Indigenous and non-Indigenous graduates are treated and rewarded in the labour market. In summary, these findings indicate that Indigenous graduates perform reasonably well in the labour market, and thus policies that target Indigenous higher education participation, completion and performance appear to be paying off.</w:t>
      </w:r>
    </w:p>
    <w:p w:rsidR="00ED48EE" w:rsidRPr="00ED48EE" w:rsidRDefault="00ED48EE" w:rsidP="00ED48EE">
      <w:pPr>
        <w:spacing w:line="276" w:lineRule="auto"/>
        <w:jc w:val="both"/>
        <w:rPr>
          <w:rFonts w:ascii="Verdana" w:eastAsia="Calibri" w:hAnsi="Verdana" w:cs="Arial"/>
          <w:sz w:val="20"/>
          <w:szCs w:val="18"/>
        </w:rPr>
      </w:pPr>
    </w:p>
    <w:p w:rsidR="00ED48EE" w:rsidRPr="00ED48EE" w:rsidRDefault="00ED48EE" w:rsidP="00ED48EE">
      <w:pPr>
        <w:spacing w:line="276" w:lineRule="auto"/>
        <w:jc w:val="both"/>
        <w:rPr>
          <w:rFonts w:ascii="Verdana" w:eastAsia="Calibri" w:hAnsi="Verdana" w:cs="Arial"/>
          <w:b/>
          <w:sz w:val="20"/>
          <w:szCs w:val="18"/>
        </w:rPr>
      </w:pPr>
      <w:r w:rsidRPr="00ED48EE">
        <w:rPr>
          <w:rFonts w:ascii="Verdana" w:eastAsia="Calibri" w:hAnsi="Verdana" w:cs="Arial"/>
          <w:b/>
          <w:sz w:val="20"/>
          <w:szCs w:val="18"/>
        </w:rPr>
        <w:t>Early impacts of the Victorian Training Guarantee on VET enrolments and graduate outcomes</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Author: Felix Leung; Duncan McVicar; Cain Polidano; Rong Zhang (2014)</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The impact of the first round of Victorian demand-driven reforms, referred to as the Victorian Training Guarantee (VTG), on enrolments and training outcomes is the focus of this report. The VTG reforms were introduced to create a more responsive training market and were implemented between July 2009 and January 2011. Subsequent reforms introduced in Victoria in 2012 are not part of this analysis. A particular focus of this report is on impacts for Indigenous students, those from a non-English speaking background and students with a disability. The impact of the VTG on enrolments and training outcomes for students from different age groups is also considered.</w:t>
      </w:r>
    </w:p>
    <w:p w:rsidR="00ED48EE" w:rsidRPr="00ED48EE" w:rsidRDefault="00ED48EE" w:rsidP="00ED48EE">
      <w:pPr>
        <w:spacing w:line="276" w:lineRule="auto"/>
        <w:jc w:val="both"/>
        <w:rPr>
          <w:rFonts w:ascii="Verdana" w:eastAsia="Calibri" w:hAnsi="Verdana" w:cs="Arial"/>
          <w:b/>
          <w:sz w:val="20"/>
          <w:szCs w:val="18"/>
        </w:rPr>
      </w:pPr>
    </w:p>
    <w:p w:rsidR="00ED48EE" w:rsidRPr="00ED48EE" w:rsidRDefault="00ED48EE" w:rsidP="00ED48EE">
      <w:pPr>
        <w:spacing w:line="276" w:lineRule="auto"/>
        <w:jc w:val="both"/>
        <w:rPr>
          <w:rFonts w:ascii="Verdana" w:eastAsia="Calibri" w:hAnsi="Verdana" w:cs="Arial"/>
          <w:b/>
          <w:sz w:val="20"/>
          <w:szCs w:val="18"/>
        </w:rPr>
      </w:pPr>
      <w:r w:rsidRPr="00ED48EE">
        <w:rPr>
          <w:rFonts w:ascii="Verdana" w:eastAsia="Calibri" w:hAnsi="Verdana" w:cs="Arial"/>
          <w:b/>
          <w:sz w:val="20"/>
          <w:szCs w:val="18"/>
        </w:rPr>
        <w:t>Educational outcomes: the impact of aspirations and the role of student background characteristics</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Author: Jacqueline Homel; Chris Ryan (2014)</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The authors examine the relationships between student background characteristics, educational aspirations and educational outcomes using data from the Longitudinal Surveys of Australian Youth (LSAY). The methodology involved econometric analyses to determine whether student background factors influence Year 12 completion and university participation only via their indirect impact on aspirations. The results confirm the findings from previous studies: that aspirations have a large impact on educational outcomes. In general, aspirations have a similar impact on outcomes for those from disadvantaged backgrounds compared with those not from disadvantaged backgrounds.</w:t>
      </w:r>
    </w:p>
    <w:p w:rsidR="00ED48EE" w:rsidRPr="00ED48EE" w:rsidRDefault="00ED48EE" w:rsidP="00ED48EE">
      <w:pPr>
        <w:spacing w:line="276" w:lineRule="auto"/>
        <w:jc w:val="both"/>
        <w:rPr>
          <w:rFonts w:ascii="Verdana" w:eastAsia="Calibri" w:hAnsi="Verdana" w:cs="Arial"/>
          <w:sz w:val="20"/>
          <w:szCs w:val="18"/>
        </w:rPr>
      </w:pPr>
    </w:p>
    <w:p w:rsidR="00ED48EE" w:rsidRPr="00ED48EE" w:rsidRDefault="00ED48EE" w:rsidP="00ED48EE">
      <w:pPr>
        <w:spacing w:line="276" w:lineRule="auto"/>
        <w:jc w:val="both"/>
        <w:rPr>
          <w:rFonts w:ascii="Verdana" w:eastAsia="Calibri" w:hAnsi="Verdana" w:cs="Arial"/>
          <w:b/>
          <w:sz w:val="20"/>
          <w:szCs w:val="18"/>
        </w:rPr>
      </w:pPr>
      <w:r w:rsidRPr="00ED48EE">
        <w:rPr>
          <w:rFonts w:ascii="Verdana" w:eastAsia="Calibri" w:hAnsi="Verdana" w:cs="Arial"/>
          <w:b/>
          <w:sz w:val="20"/>
          <w:szCs w:val="18"/>
        </w:rPr>
        <w:t>Disadvantaged learners and VET to higher education transitions</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Author: Tabatha Griffin (2014)</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 xml:space="preserve">How disadvantaged learners participate in vocational education and training (VET) is an important consideration. Employment and further study outcomes are more likely to result from completing a higher-level VET qualification, but disadvantaged learners tend to enrol in </w:t>
      </w:r>
      <w:r w:rsidRPr="00ED48EE">
        <w:rPr>
          <w:rFonts w:ascii="Verdana" w:eastAsia="Calibri" w:hAnsi="Verdana" w:cs="Arial"/>
          <w:sz w:val="20"/>
          <w:szCs w:val="18"/>
        </w:rPr>
        <w:lastRenderedPageBreak/>
        <w:t>lower-level qualifications. Hence, whether or not disadvantaged learners are transitioning from lower VET qualifications to higher level VET or higher education is of interest. Based on a review of the literature, this paper synthesises what is currently known about these transitions for disadvantaged learners.</w:t>
      </w:r>
    </w:p>
    <w:p w:rsidR="00ED48EE" w:rsidRPr="00ED48EE" w:rsidRDefault="00ED48EE" w:rsidP="00ED48EE">
      <w:pPr>
        <w:spacing w:line="276" w:lineRule="auto"/>
        <w:jc w:val="both"/>
        <w:rPr>
          <w:rFonts w:ascii="Verdana" w:eastAsia="Calibri" w:hAnsi="Verdana" w:cs="Arial"/>
          <w:sz w:val="20"/>
          <w:szCs w:val="18"/>
        </w:rPr>
      </w:pPr>
    </w:p>
    <w:p w:rsidR="00ED48EE" w:rsidRPr="00ED48EE" w:rsidRDefault="00ED48EE" w:rsidP="00ED48EE">
      <w:pPr>
        <w:spacing w:line="276" w:lineRule="auto"/>
        <w:jc w:val="both"/>
        <w:rPr>
          <w:rFonts w:ascii="Verdana" w:eastAsia="Calibri" w:hAnsi="Verdana" w:cs="Arial"/>
          <w:b/>
          <w:sz w:val="20"/>
          <w:szCs w:val="18"/>
        </w:rPr>
      </w:pPr>
      <w:r w:rsidRPr="00ED48EE">
        <w:rPr>
          <w:rFonts w:ascii="Verdana" w:eastAsia="Times New Roman" w:hAnsi="Verdana" w:cs="Times New Roman"/>
          <w:b/>
          <w:sz w:val="20"/>
          <w:lang w:eastAsia="en-AU"/>
        </w:rPr>
        <w:t>Qualification utilisation: occupational outcomes: overview</w:t>
      </w:r>
      <w:r w:rsidRPr="00ED48EE">
        <w:rPr>
          <w:rFonts w:ascii="Verdana" w:eastAsia="Calibri" w:hAnsi="Verdana" w:cs="Arial"/>
          <w:b/>
          <w:sz w:val="20"/>
          <w:szCs w:val="18"/>
        </w:rPr>
        <w:t xml:space="preserve"> </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Author:  Bridget Wibrow (2014)</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This overview uses information from the Student Outcomes Survey (SOS) to match the intended occupations of graduates with their destination occupation six months after training. The influence of qualification level, labour force status before training, age, completing only a module and industry area was also examined. Regulated occupations, such as the trades, were found to have much stronger matches between intended and destination occupations. However, many vocational education and training (VET) graduates who do not end up employed in their intended occupations still found their training to be relevant to their current job and some also ended up employed at a higher skill level than their intended occupation.</w:t>
      </w:r>
    </w:p>
    <w:p w:rsidR="00ED48EE" w:rsidRPr="00ED48EE" w:rsidRDefault="00ED48EE" w:rsidP="00ED48EE">
      <w:pPr>
        <w:spacing w:line="276" w:lineRule="auto"/>
        <w:jc w:val="both"/>
        <w:rPr>
          <w:rFonts w:ascii="Verdana" w:eastAsia="Calibri" w:hAnsi="Verdana" w:cs="Arial"/>
          <w:sz w:val="20"/>
          <w:szCs w:val="18"/>
        </w:rPr>
      </w:pPr>
    </w:p>
    <w:p w:rsidR="00ED48EE" w:rsidRPr="00ED48EE" w:rsidRDefault="00ED48EE" w:rsidP="00ED48EE">
      <w:pPr>
        <w:spacing w:line="276" w:lineRule="auto"/>
        <w:jc w:val="both"/>
        <w:rPr>
          <w:rFonts w:ascii="Verdana" w:eastAsia="Calibri" w:hAnsi="Verdana" w:cs="Arial"/>
          <w:b/>
          <w:sz w:val="20"/>
          <w:szCs w:val="18"/>
        </w:rPr>
      </w:pPr>
      <w:r w:rsidRPr="00ED48EE">
        <w:rPr>
          <w:rFonts w:ascii="Verdana" w:eastAsia="Calibri" w:hAnsi="Verdana" w:cs="Arial"/>
          <w:b/>
          <w:sz w:val="20"/>
          <w:szCs w:val="18"/>
        </w:rPr>
        <w:t>Cultural dimensions of Indigenous participation in vocational education and training: new perspectives</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Author: Michael Dockery (2013)</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This study provides new evidence on the inter-relationships between Indigenous Australians' association with their traditional culture and their engagement with vocational education and training. It builds on previous work to develop a 'richer' measure of the concept of cultural attachment. This report discusses the links between cultural identity and current participation in education, and the benefits Indigenous Australians derive from education and training.</w:t>
      </w:r>
    </w:p>
    <w:p w:rsidR="00ED48EE" w:rsidRPr="00ED48EE" w:rsidRDefault="00ED48EE" w:rsidP="00ED48EE">
      <w:pPr>
        <w:spacing w:line="276" w:lineRule="auto"/>
        <w:jc w:val="both"/>
        <w:rPr>
          <w:rFonts w:ascii="Verdana" w:eastAsia="Calibri" w:hAnsi="Verdana" w:cs="Arial"/>
          <w:sz w:val="20"/>
          <w:szCs w:val="18"/>
        </w:rPr>
      </w:pPr>
    </w:p>
    <w:p w:rsidR="00ED48EE" w:rsidRPr="00ED48EE" w:rsidRDefault="00ED48EE" w:rsidP="00ED48EE">
      <w:pPr>
        <w:spacing w:line="276" w:lineRule="auto"/>
        <w:jc w:val="both"/>
        <w:rPr>
          <w:rFonts w:ascii="Verdana" w:eastAsia="Calibri" w:hAnsi="Verdana" w:cs="Arial"/>
          <w:b/>
          <w:sz w:val="20"/>
          <w:szCs w:val="18"/>
        </w:rPr>
      </w:pPr>
      <w:r w:rsidRPr="00ED48EE">
        <w:rPr>
          <w:rFonts w:ascii="Verdana" w:eastAsia="Calibri" w:hAnsi="Verdana" w:cs="Arial"/>
          <w:b/>
          <w:sz w:val="20"/>
          <w:szCs w:val="18"/>
        </w:rPr>
        <w:t>Vocational education, Indigenous students and the choice of pathways</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Author: Susan Bandias; Don Fuller; Steven Larkin (2013)</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This report looks at the pathways Indigenous students in the Northern Territory take between VET and higher education. The study explores the perspectives of students studying at higher-level VET and higher education qualifications, and aims to gain an understanding of the pathways adopted by Indigenous students, as well as their motivations to study, and their experiences while studying. The report finds that 17 per cent of Indigenous admissions to higher education at Charles Darwin University are based on previous VET qualifications. However, due to the low number of Indigenous graduates at the certificate IV, diploma and advanced diploma level, this pathway is available to relatively few students. Overall, the students were happy with the quality of their courses, and those students who made the transition from VET to higher education felt their VET study was relevant to their higher education study. However, some students were unprepared for the more academic environment of higher education and the emphasis on online learning.</w:t>
      </w:r>
    </w:p>
    <w:p w:rsidR="00ED48EE" w:rsidRPr="00ED48EE" w:rsidRDefault="00ED48EE" w:rsidP="00ED48EE">
      <w:pPr>
        <w:spacing w:line="276" w:lineRule="auto"/>
        <w:jc w:val="both"/>
        <w:rPr>
          <w:rFonts w:ascii="Verdana" w:eastAsia="Calibri" w:hAnsi="Verdana" w:cs="Arial"/>
          <w:sz w:val="20"/>
          <w:szCs w:val="18"/>
        </w:rPr>
      </w:pPr>
    </w:p>
    <w:p w:rsidR="00ED48EE" w:rsidRPr="00ED48EE" w:rsidRDefault="00ED48EE" w:rsidP="00ED48EE">
      <w:pPr>
        <w:spacing w:line="276" w:lineRule="auto"/>
        <w:jc w:val="both"/>
        <w:rPr>
          <w:rFonts w:ascii="Verdana" w:eastAsia="Calibri" w:hAnsi="Verdana" w:cs="Arial"/>
          <w:b/>
          <w:sz w:val="20"/>
          <w:szCs w:val="18"/>
        </w:rPr>
      </w:pPr>
      <w:r w:rsidRPr="00ED48EE">
        <w:rPr>
          <w:rFonts w:ascii="Verdana" w:eastAsia="Calibri" w:hAnsi="Verdana" w:cs="Arial"/>
          <w:b/>
          <w:sz w:val="20"/>
          <w:szCs w:val="18"/>
        </w:rPr>
        <w:t>Potential factors influencing Indigenous education participation and achievement</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Author:  Nicholas Biddle; Timothy Cameron (2012)</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 xml:space="preserve">The focus of this paper is on the factors, other than access, that influence the decision for Indigenous Australians to participate in education. The authors use a number of datasets to investigate 11 research questions relating to early childhood and post-school education participation and achievement. Overall, constraints on education participation and achievement appear at the time of pre-school education and have long-lasting effects. In order to improve the educational outcomes of Indigenous Australians, policy should focus on </w:t>
      </w:r>
      <w:r w:rsidRPr="00ED48EE">
        <w:rPr>
          <w:rFonts w:ascii="Verdana" w:eastAsia="Calibri" w:hAnsi="Verdana" w:cs="Arial"/>
          <w:sz w:val="20"/>
          <w:szCs w:val="18"/>
        </w:rPr>
        <w:lastRenderedPageBreak/>
        <w:t>the earlier years of schooling. This research was funded through the NCVER Fellowship Program.</w:t>
      </w:r>
    </w:p>
    <w:p w:rsidR="00ED48EE" w:rsidRPr="00ED48EE" w:rsidRDefault="00ED48EE" w:rsidP="00ED48EE">
      <w:pPr>
        <w:spacing w:line="276" w:lineRule="auto"/>
        <w:jc w:val="both"/>
        <w:rPr>
          <w:rFonts w:ascii="Verdana" w:eastAsia="Calibri" w:hAnsi="Verdana" w:cs="Arial"/>
          <w:sz w:val="20"/>
          <w:szCs w:val="18"/>
        </w:rPr>
      </w:pPr>
    </w:p>
    <w:p w:rsidR="00ED48EE" w:rsidRPr="00ED48EE" w:rsidRDefault="00ED48EE" w:rsidP="00ED48EE">
      <w:pPr>
        <w:spacing w:line="276" w:lineRule="auto"/>
        <w:jc w:val="both"/>
        <w:rPr>
          <w:rFonts w:ascii="Verdana" w:eastAsia="Calibri" w:hAnsi="Verdana" w:cs="Arial"/>
          <w:b/>
          <w:sz w:val="20"/>
          <w:szCs w:val="18"/>
        </w:rPr>
      </w:pPr>
      <w:r w:rsidRPr="00ED48EE">
        <w:rPr>
          <w:rFonts w:ascii="Verdana" w:eastAsia="Calibri" w:hAnsi="Verdana" w:cs="Arial"/>
          <w:b/>
          <w:sz w:val="20"/>
          <w:szCs w:val="18"/>
        </w:rPr>
        <w:t>Cultural dimensions of Indigenous participation in education and training</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Author: Michael Dockery (2009)</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This study examines the role of traditional Indigenous culture in shaping Indigenous Australians’ engagement with education and training. It provides an important innovation to the existing literature by explicitly attempting to measure ‘cultural attachment’ and to model its relationships with socio-economic outcomes. Two critical and related empirical issues are whether Indigenous culture acts as a barrier to educational attainment, and whether the existing education and training system adequately accommodates the cultural differences between Indigenous and non-Indigenous Australians. The results suggest that, in non-remote areas, cultural attachment is complementary with both educational attainment and participation in vocational training. Given the importance afforded to education as a means to addressing Indigenous disadvantage, this rejects the view underpinning the policies of assimilation that there is a trade-off between cultural maintenance and the achievement of mainstream socio-economic outcomes. From an equity perspective, the results also reflect positively on the sensitivity of Australia’s education and training system to cultural needs. Lower access to education and training in more remote areas does, however, disproportionately impact upon Indigenous Australians with stronger cultural attachment.</w:t>
      </w:r>
    </w:p>
    <w:p w:rsidR="00ED48EE" w:rsidRPr="00ED48EE" w:rsidRDefault="00ED48EE" w:rsidP="00ED48EE">
      <w:pPr>
        <w:spacing w:line="276" w:lineRule="auto"/>
        <w:jc w:val="both"/>
        <w:rPr>
          <w:rFonts w:ascii="Verdana" w:eastAsia="Calibri" w:hAnsi="Verdana" w:cs="Arial"/>
          <w:sz w:val="20"/>
          <w:szCs w:val="18"/>
        </w:rPr>
      </w:pPr>
    </w:p>
    <w:p w:rsidR="00ED48EE" w:rsidRPr="00ED48EE" w:rsidRDefault="00ED48EE" w:rsidP="00ED48EE">
      <w:pPr>
        <w:spacing w:line="276" w:lineRule="auto"/>
        <w:jc w:val="both"/>
        <w:rPr>
          <w:rFonts w:ascii="Verdana" w:eastAsia="Calibri" w:hAnsi="Verdana" w:cs="Arial"/>
          <w:b/>
          <w:sz w:val="20"/>
          <w:szCs w:val="18"/>
        </w:rPr>
      </w:pPr>
      <w:r w:rsidRPr="00ED48EE">
        <w:rPr>
          <w:rFonts w:ascii="Verdana" w:eastAsia="Calibri" w:hAnsi="Verdana" w:cs="Arial"/>
          <w:b/>
          <w:sz w:val="20"/>
          <w:szCs w:val="18"/>
        </w:rPr>
        <w:t>Brokering successful Aboriginal and Torres Strait Islander employment outcomes: common themes in good-practice models</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Author: Kristine Giddy; Jessica Lopez; Anne Redman (2009)</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Against a background of review and changes to employment services nationally and the need to close the gap in employment outcomes between Indigenous and non-Indigenous Australians, this research was designed to provide information for organisations across Australia working to achieve good employment outcomes for Aboriginal and Torres Strait Islander Australians. Studies and evaluations of successful employment programs and organisations have identified factors common to successful practice. These include: targeted and integrated training; knowledge of the client group and its context; provision of mentoring and support; partnerships and connections; community involvement; skilled and dedicated staff; specialist strategies for Aboriginal and Torres Strait Islander people; innovation; and promotion of success. These factors, identified by the literature, became the key areas of focus when consulting with organisations involved in the research, and provided case studies to exemplify how these factors operate in practice. The research found that these factors were interrelated, and while taking a holistic approach to working with clients and looking at the whole person are important, many organisations also stressed that having jobs waiting for people is critical. Environmental factors such as local employment opportunities and employers' commitment to employing Indigenous people also impact on organisations' ability to place job seekers.</w:t>
      </w:r>
    </w:p>
    <w:p w:rsidR="00ED48EE" w:rsidRPr="00ED48EE" w:rsidRDefault="00ED48EE" w:rsidP="00ED48EE">
      <w:pPr>
        <w:spacing w:line="276" w:lineRule="auto"/>
        <w:jc w:val="both"/>
        <w:rPr>
          <w:rFonts w:ascii="Verdana" w:eastAsia="Calibri" w:hAnsi="Verdana" w:cs="Arial"/>
          <w:sz w:val="20"/>
          <w:szCs w:val="18"/>
        </w:rPr>
      </w:pPr>
    </w:p>
    <w:p w:rsidR="00ED48EE" w:rsidRPr="00ED48EE" w:rsidRDefault="00ED48EE" w:rsidP="00ED48EE">
      <w:pPr>
        <w:spacing w:line="276" w:lineRule="auto"/>
        <w:jc w:val="both"/>
        <w:rPr>
          <w:rFonts w:ascii="Verdana" w:eastAsia="Calibri" w:hAnsi="Verdana" w:cs="Arial"/>
          <w:b/>
          <w:sz w:val="20"/>
          <w:szCs w:val="18"/>
        </w:rPr>
      </w:pPr>
      <w:r w:rsidRPr="00ED48EE">
        <w:rPr>
          <w:rFonts w:ascii="Verdana" w:eastAsia="Calibri" w:hAnsi="Verdana" w:cs="Arial"/>
          <w:b/>
          <w:sz w:val="20"/>
          <w:szCs w:val="18"/>
        </w:rPr>
        <w:t>Growing the desert: educational pathways for remote Indigenous people</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Author: Metta Young; John Guenther; Alicia Boyle (2007)</w:t>
      </w:r>
    </w:p>
    <w:p w:rsidR="00ED48EE" w:rsidRPr="00ED48EE" w:rsidRDefault="00ED48EE" w:rsidP="00ED48EE">
      <w:pPr>
        <w:spacing w:line="276" w:lineRule="auto"/>
        <w:jc w:val="both"/>
        <w:rPr>
          <w:rFonts w:ascii="Verdana" w:eastAsia="Calibri" w:hAnsi="Verdana" w:cs="Arial"/>
          <w:sz w:val="20"/>
          <w:szCs w:val="18"/>
        </w:rPr>
      </w:pPr>
      <w:r w:rsidRPr="00ED48EE">
        <w:rPr>
          <w:rFonts w:ascii="Verdana" w:eastAsia="Calibri" w:hAnsi="Verdana" w:cs="Arial"/>
          <w:sz w:val="20"/>
          <w:szCs w:val="18"/>
        </w:rPr>
        <w:t xml:space="preserve">This study examines data and issues related to the participation of Indigenous people in vocational education and training (VET) and adult and community education (ACE) across the desert regions of Australia. It maps the context of training delivery in terms of demography, infrastructure and access to services, and draws together a summary of data from a variety of sources. The study highlights emerging evidence that Indigenous participation in VET across the desert may be decreasing and that there has been a </w:t>
      </w:r>
      <w:r w:rsidRPr="00ED48EE">
        <w:rPr>
          <w:rFonts w:ascii="Verdana" w:eastAsia="Calibri" w:hAnsi="Verdana" w:cs="Arial"/>
          <w:sz w:val="20"/>
          <w:szCs w:val="18"/>
        </w:rPr>
        <w:lastRenderedPageBreak/>
        <w:t>significant decline in the labour force participation of remote Indigenous people since 2002. This suggests a mismatch between the largely mainstream VET offerings available across the desert and the place-based livelihoods and work opportunities available locally; there also appears to be a mismatch between the needs and aspirations of learners themselves and what is being supplied. The unique geography, demography, settlement patterns and cultural diversity of the arid and semi-arid regions of Australia present unique challenges for the delivery of all services, including education.</w:t>
      </w:r>
    </w:p>
    <w:p w:rsidR="00ED48EE" w:rsidRPr="00ED48EE" w:rsidRDefault="00ED48EE" w:rsidP="00ED48EE">
      <w:pPr>
        <w:rPr>
          <w:rFonts w:ascii="Verdana" w:eastAsia="Calibri" w:hAnsi="Verdana" w:cs="Times New Roman"/>
          <w:b/>
          <w:sz w:val="22"/>
        </w:rPr>
      </w:pPr>
    </w:p>
    <w:p w:rsidR="00ED48EE" w:rsidRPr="00ED48EE" w:rsidRDefault="00ED48EE" w:rsidP="00ED48EE">
      <w:pPr>
        <w:rPr>
          <w:rFonts w:ascii="Verdana" w:eastAsia="Calibri" w:hAnsi="Verdana" w:cs="Times New Roman"/>
          <w:sz w:val="20"/>
        </w:rPr>
      </w:pPr>
    </w:p>
    <w:p w:rsidR="00ED48EE" w:rsidRPr="00ED48EE" w:rsidRDefault="00ED48EE" w:rsidP="00ED48EE">
      <w:pPr>
        <w:spacing w:before="240" w:after="60"/>
        <w:outlineLvl w:val="4"/>
        <w:rPr>
          <w:rFonts w:ascii="Verdana" w:eastAsia="Times New Roman" w:hAnsi="Verdana" w:cs="Times New Roman"/>
          <w:b/>
          <w:bCs/>
          <w:iCs/>
          <w:sz w:val="20"/>
          <w:szCs w:val="20"/>
          <w:lang w:eastAsia="en-AU"/>
        </w:rPr>
      </w:pPr>
      <w:r w:rsidRPr="00ED48EE">
        <w:rPr>
          <w:rFonts w:ascii="Verdana" w:eastAsia="Times New Roman" w:hAnsi="Verdana" w:cs="Times New Roman"/>
          <w:b/>
          <w:bCs/>
          <w:iCs/>
          <w:sz w:val="20"/>
          <w:szCs w:val="20"/>
          <w:lang w:eastAsia="en-AU"/>
        </w:rPr>
        <w:t>References</w:t>
      </w:r>
    </w:p>
    <w:p w:rsidR="00ED48EE" w:rsidRPr="00ED48EE" w:rsidRDefault="00ED48EE" w:rsidP="00ED48EE">
      <w:pPr>
        <w:spacing w:after="120"/>
        <w:rPr>
          <w:rFonts w:ascii="Verdana" w:eastAsia="Times New Roman" w:hAnsi="Verdana" w:cs="Times New Roman"/>
          <w:spacing w:val="8"/>
          <w:sz w:val="20"/>
          <w:szCs w:val="18"/>
          <w:lang w:eastAsia="en-AU"/>
        </w:rPr>
      </w:pPr>
      <w:r w:rsidRPr="00ED48EE">
        <w:rPr>
          <w:rFonts w:ascii="Verdana" w:eastAsia="Times New Roman" w:hAnsi="Verdana" w:cs="Times New Roman"/>
          <w:spacing w:val="8"/>
          <w:sz w:val="20"/>
          <w:szCs w:val="18"/>
          <w:lang w:eastAsia="en-AU"/>
        </w:rPr>
        <w:t xml:space="preserve">Bandias, S, Fuller, D &amp; Larkin, S 2013, Vocational education, Indigenous students and the choice of pathways, NCVER, Adelaide, </w:t>
      </w:r>
      <w:hyperlink r:id="rId13" w:history="1">
        <w:r w:rsidRPr="00ED48EE">
          <w:rPr>
            <w:rFonts w:ascii="Verdana" w:eastAsia="Times New Roman" w:hAnsi="Verdana" w:cs="Times New Roman"/>
            <w:color w:val="0000FF"/>
            <w:spacing w:val="8"/>
            <w:sz w:val="20"/>
            <w:szCs w:val="18"/>
            <w:u w:val="single"/>
            <w:lang w:eastAsia="en-AU"/>
          </w:rPr>
          <w:t>http://www.ncver.edu.au/publications/2603.html</w:t>
        </w:r>
      </w:hyperlink>
    </w:p>
    <w:p w:rsidR="00ED48EE" w:rsidRPr="00ED48EE" w:rsidRDefault="00ED48EE" w:rsidP="00ED48EE">
      <w:pPr>
        <w:spacing w:after="120"/>
        <w:rPr>
          <w:rFonts w:ascii="Verdana" w:eastAsia="Times New Roman" w:hAnsi="Verdana" w:cs="Times New Roman"/>
          <w:spacing w:val="8"/>
          <w:sz w:val="20"/>
          <w:szCs w:val="18"/>
          <w:lang w:eastAsia="en-AU"/>
        </w:rPr>
      </w:pPr>
      <w:r w:rsidRPr="00ED48EE">
        <w:rPr>
          <w:rFonts w:ascii="Verdana" w:eastAsia="Times New Roman" w:hAnsi="Verdana" w:cs="Times New Roman"/>
          <w:spacing w:val="8"/>
          <w:sz w:val="20"/>
          <w:szCs w:val="18"/>
          <w:lang w:eastAsia="en-AU"/>
        </w:rPr>
        <w:t xml:space="preserve">Biddle, N, Cameron, T 2012, Potential factors influencing Indigenous education participation and achievement, NCVER, Adelaide, </w:t>
      </w:r>
      <w:hyperlink r:id="rId14" w:history="1">
        <w:r w:rsidRPr="00ED48EE">
          <w:rPr>
            <w:rFonts w:ascii="Verdana" w:eastAsia="Times New Roman" w:hAnsi="Verdana" w:cs="Times New Roman"/>
            <w:color w:val="0000FF"/>
            <w:spacing w:val="8"/>
            <w:sz w:val="20"/>
            <w:szCs w:val="18"/>
            <w:u w:val="single"/>
            <w:lang w:eastAsia="en-AU"/>
          </w:rPr>
          <w:t>http://www.ncver.edu.au/publications/2560.html</w:t>
        </w:r>
      </w:hyperlink>
    </w:p>
    <w:p w:rsidR="00ED48EE" w:rsidRPr="00ED48EE" w:rsidRDefault="00ED48EE" w:rsidP="00ED48EE">
      <w:pPr>
        <w:spacing w:after="120"/>
        <w:rPr>
          <w:rFonts w:ascii="Verdana" w:eastAsia="Times New Roman" w:hAnsi="Verdana" w:cs="Times New Roman"/>
          <w:spacing w:val="8"/>
          <w:sz w:val="20"/>
          <w:szCs w:val="18"/>
          <w:lang w:eastAsia="en-AU"/>
        </w:rPr>
      </w:pPr>
      <w:r w:rsidRPr="00ED48EE">
        <w:rPr>
          <w:rFonts w:ascii="Verdana" w:eastAsia="Times New Roman" w:hAnsi="Verdana" w:cs="Times New Roman"/>
          <w:spacing w:val="8"/>
          <w:sz w:val="20"/>
          <w:szCs w:val="18"/>
          <w:lang w:eastAsia="en-AU"/>
        </w:rPr>
        <w:t xml:space="preserve">Dockery, M 2009, Cultural dimensions of Indigenous participation in education and training, NCVER monograph series 02/2009, NCVER, Adelaide, </w:t>
      </w:r>
      <w:hyperlink r:id="rId15" w:history="1">
        <w:r w:rsidRPr="00ED48EE">
          <w:rPr>
            <w:rFonts w:ascii="Verdana" w:eastAsia="Times New Roman" w:hAnsi="Verdana" w:cs="Times New Roman"/>
            <w:color w:val="0000FF"/>
            <w:spacing w:val="8"/>
            <w:sz w:val="20"/>
            <w:szCs w:val="18"/>
            <w:u w:val="single"/>
            <w:lang w:eastAsia="en-AU"/>
          </w:rPr>
          <w:t>http://www.ncver.edu.au/publications/2174.html</w:t>
        </w:r>
      </w:hyperlink>
    </w:p>
    <w:p w:rsidR="00ED48EE" w:rsidRPr="00ED48EE" w:rsidRDefault="00ED48EE" w:rsidP="00ED48EE">
      <w:pPr>
        <w:spacing w:after="120"/>
        <w:rPr>
          <w:rFonts w:ascii="Verdana" w:eastAsia="Times New Roman" w:hAnsi="Verdana" w:cs="Times New Roman"/>
          <w:spacing w:val="8"/>
          <w:sz w:val="20"/>
          <w:szCs w:val="18"/>
          <w:lang w:eastAsia="en-AU"/>
        </w:rPr>
      </w:pPr>
      <w:r w:rsidRPr="00ED48EE">
        <w:rPr>
          <w:rFonts w:ascii="Verdana" w:eastAsia="Times New Roman" w:hAnsi="Verdana" w:cs="Times New Roman"/>
          <w:spacing w:val="8"/>
          <w:sz w:val="20"/>
          <w:szCs w:val="18"/>
          <w:lang w:eastAsia="en-AU"/>
        </w:rPr>
        <w:t xml:space="preserve">Dockery, M 2013, Cultural dimensions of Indigenous participation in vocational education and training: new perspectives, NCVER, Adelaide, </w:t>
      </w:r>
      <w:hyperlink r:id="rId16" w:history="1">
        <w:r w:rsidRPr="00ED48EE">
          <w:rPr>
            <w:rFonts w:ascii="Verdana" w:eastAsia="Times New Roman" w:hAnsi="Verdana" w:cs="Times New Roman"/>
            <w:color w:val="0000FF"/>
            <w:spacing w:val="8"/>
            <w:sz w:val="20"/>
            <w:szCs w:val="18"/>
            <w:u w:val="single"/>
            <w:lang w:eastAsia="en-AU"/>
          </w:rPr>
          <w:t>http://www.ncver.edu.au/publications/2573.html</w:t>
        </w:r>
      </w:hyperlink>
    </w:p>
    <w:p w:rsidR="00ED48EE" w:rsidRPr="00ED48EE" w:rsidRDefault="00ED48EE" w:rsidP="00ED48EE">
      <w:pPr>
        <w:spacing w:after="120"/>
        <w:rPr>
          <w:rFonts w:ascii="Verdana" w:eastAsia="Times New Roman" w:hAnsi="Verdana" w:cs="Times New Roman"/>
          <w:spacing w:val="8"/>
          <w:sz w:val="20"/>
          <w:szCs w:val="18"/>
          <w:lang w:eastAsia="en-AU"/>
        </w:rPr>
      </w:pPr>
      <w:r w:rsidRPr="00ED48EE">
        <w:rPr>
          <w:rFonts w:ascii="Verdana" w:eastAsia="Times New Roman" w:hAnsi="Verdana" w:cs="Times New Roman"/>
          <w:spacing w:val="8"/>
          <w:sz w:val="20"/>
          <w:szCs w:val="18"/>
          <w:lang w:eastAsia="en-AU"/>
        </w:rPr>
        <w:t xml:space="preserve">Giddy, K, Lopez, J &amp; Redman, A 2009, Brokering successful Aboriginal and Torres Strait Islander employment outcomes: common themes in good-practice models, NCVER, Adelaide, </w:t>
      </w:r>
      <w:hyperlink r:id="rId17" w:history="1">
        <w:r w:rsidRPr="00ED48EE">
          <w:rPr>
            <w:rFonts w:ascii="Verdana" w:eastAsia="Times New Roman" w:hAnsi="Verdana" w:cs="Times New Roman"/>
            <w:color w:val="0000FF"/>
            <w:spacing w:val="8"/>
            <w:sz w:val="20"/>
            <w:szCs w:val="18"/>
            <w:u w:val="single"/>
            <w:lang w:eastAsia="en-AU"/>
          </w:rPr>
          <w:t>http://www.ncver.edu.au/publications/2127.html</w:t>
        </w:r>
      </w:hyperlink>
    </w:p>
    <w:p w:rsidR="00ED48EE" w:rsidRPr="00ED48EE" w:rsidRDefault="00ED48EE" w:rsidP="00ED48EE">
      <w:pPr>
        <w:spacing w:after="120"/>
        <w:rPr>
          <w:rFonts w:ascii="Verdana" w:eastAsia="Times New Roman" w:hAnsi="Verdana" w:cs="Times New Roman"/>
          <w:spacing w:val="8"/>
          <w:sz w:val="20"/>
          <w:szCs w:val="18"/>
          <w:lang w:eastAsia="en-AU"/>
        </w:rPr>
      </w:pPr>
      <w:r w:rsidRPr="00ED48EE">
        <w:rPr>
          <w:rFonts w:ascii="Verdana" w:eastAsia="Times New Roman" w:hAnsi="Verdana" w:cs="Times New Roman"/>
          <w:spacing w:val="8"/>
          <w:sz w:val="20"/>
          <w:szCs w:val="18"/>
          <w:lang w:eastAsia="en-AU"/>
        </w:rPr>
        <w:t xml:space="preserve">Griffin, T 2014, Disadvantaged learners and VET to higher education transitions, National Vocational Education and Training Research Program occasional paper, NCVER, Adelaide, </w:t>
      </w:r>
      <w:hyperlink r:id="rId18" w:history="1">
        <w:r w:rsidRPr="00ED48EE">
          <w:rPr>
            <w:rFonts w:ascii="Verdana" w:eastAsia="Times New Roman" w:hAnsi="Verdana" w:cs="Times New Roman"/>
            <w:color w:val="0000FF"/>
            <w:spacing w:val="8"/>
            <w:sz w:val="20"/>
            <w:szCs w:val="18"/>
            <w:u w:val="single"/>
            <w:lang w:eastAsia="en-AU"/>
          </w:rPr>
          <w:t>http://www.ncver.edu.au/publications/2718.html</w:t>
        </w:r>
      </w:hyperlink>
    </w:p>
    <w:p w:rsidR="00ED48EE" w:rsidRPr="00ED48EE" w:rsidRDefault="00ED48EE" w:rsidP="00ED48EE">
      <w:pPr>
        <w:spacing w:after="120"/>
        <w:rPr>
          <w:rFonts w:ascii="Verdana" w:eastAsia="Times New Roman" w:hAnsi="Verdana" w:cs="Times New Roman"/>
          <w:spacing w:val="8"/>
          <w:sz w:val="20"/>
          <w:szCs w:val="18"/>
          <w:lang w:eastAsia="en-AU"/>
        </w:rPr>
      </w:pPr>
      <w:r w:rsidRPr="00ED48EE">
        <w:rPr>
          <w:rFonts w:ascii="Verdana" w:eastAsia="Times New Roman" w:hAnsi="Verdana" w:cs="Times New Roman"/>
          <w:spacing w:val="8"/>
          <w:sz w:val="20"/>
          <w:szCs w:val="18"/>
          <w:lang w:eastAsia="en-AU"/>
        </w:rPr>
        <w:t xml:space="preserve">Homel, J, Ryan, C 2014, Educational outcomes: the impact of aspirations and the role of student background characteristics, LSAY research report no. 65, NCVER, Adelaide, </w:t>
      </w:r>
      <w:hyperlink r:id="rId19" w:history="1">
        <w:r w:rsidRPr="00ED48EE">
          <w:rPr>
            <w:rFonts w:ascii="Verdana" w:eastAsia="Times New Roman" w:hAnsi="Verdana" w:cs="Times New Roman"/>
            <w:color w:val="0000FF"/>
            <w:spacing w:val="8"/>
            <w:sz w:val="20"/>
            <w:szCs w:val="18"/>
            <w:u w:val="single"/>
            <w:lang w:eastAsia="en-AU"/>
          </w:rPr>
          <w:t>http://www.lsay.edu.au/publications/2669.html</w:t>
        </w:r>
      </w:hyperlink>
    </w:p>
    <w:p w:rsidR="00ED48EE" w:rsidRPr="00ED48EE" w:rsidRDefault="00ED48EE" w:rsidP="00ED48EE">
      <w:pPr>
        <w:spacing w:after="120"/>
        <w:rPr>
          <w:rFonts w:ascii="Verdana" w:eastAsia="Times New Roman" w:hAnsi="Verdana" w:cs="Times New Roman"/>
          <w:spacing w:val="8"/>
          <w:sz w:val="18"/>
          <w:szCs w:val="18"/>
          <w:lang w:eastAsia="en-AU"/>
        </w:rPr>
      </w:pPr>
      <w:r w:rsidRPr="00ED48EE">
        <w:rPr>
          <w:rFonts w:ascii="Verdana" w:eastAsia="Times New Roman" w:hAnsi="Verdana" w:cs="Times New Roman"/>
          <w:spacing w:val="8"/>
          <w:sz w:val="20"/>
          <w:szCs w:val="18"/>
          <w:lang w:eastAsia="en-AU"/>
        </w:rPr>
        <w:t xml:space="preserve">Karmel, T, Misko, J, Blomberg, D, Bednarz, D &amp; Atkinson, G 2014, Improving labour market outcomes through education and training, Issues paper (Closing the Gap Clearinghouse) no. 9, Australian Institute of Health and Welfare, Canberra, </w:t>
      </w:r>
      <w:hyperlink r:id="rId20" w:tgtFrame="_blank" w:tooltip="External link to Access item" w:history="1">
        <w:r w:rsidRPr="00ED48EE">
          <w:rPr>
            <w:rFonts w:ascii="Verdana" w:eastAsia="Times New Roman" w:hAnsi="Verdana" w:cs="Times New Roman"/>
            <w:color w:val="0000FF"/>
            <w:spacing w:val="8"/>
            <w:sz w:val="18"/>
            <w:szCs w:val="18"/>
            <w:u w:val="single"/>
            <w:lang w:eastAsia="en-AU"/>
          </w:rPr>
          <w:t>https://www.aihw.gov.au/uploadedFiles/ClosingTheGap/Content/Our_publications/2014/ctgc-ip9.pdf</w:t>
        </w:r>
      </w:hyperlink>
    </w:p>
    <w:p w:rsidR="00ED48EE" w:rsidRPr="00ED48EE" w:rsidRDefault="00ED48EE" w:rsidP="00ED48EE">
      <w:pPr>
        <w:spacing w:after="120"/>
        <w:rPr>
          <w:rFonts w:ascii="Verdana" w:eastAsia="Times New Roman" w:hAnsi="Verdana" w:cs="Times New Roman"/>
          <w:spacing w:val="8"/>
          <w:sz w:val="20"/>
          <w:szCs w:val="18"/>
          <w:lang w:eastAsia="en-AU"/>
        </w:rPr>
      </w:pPr>
      <w:r w:rsidRPr="00ED48EE">
        <w:rPr>
          <w:rFonts w:ascii="Verdana" w:eastAsia="Times New Roman" w:hAnsi="Verdana" w:cs="Times New Roman"/>
          <w:spacing w:val="8"/>
          <w:sz w:val="20"/>
          <w:szCs w:val="18"/>
          <w:lang w:eastAsia="en-AU"/>
        </w:rPr>
        <w:t xml:space="preserve">Leung, F, McVicar, D, Polidano, C &amp; Zhang, R 2014, Early impacts of the Victorian Training Guarantee on VET enrolments and graduate outcomes, National Vocational Education and Training Research Program research report, NCVER, Adelaide, </w:t>
      </w:r>
      <w:hyperlink r:id="rId21" w:history="1">
        <w:r w:rsidRPr="00ED48EE">
          <w:rPr>
            <w:rFonts w:ascii="Verdana" w:eastAsia="Times New Roman" w:hAnsi="Verdana" w:cs="Times New Roman"/>
            <w:color w:val="0000FF"/>
            <w:spacing w:val="8"/>
            <w:sz w:val="20"/>
            <w:szCs w:val="18"/>
            <w:u w:val="single"/>
            <w:lang w:eastAsia="en-AU"/>
          </w:rPr>
          <w:t>http://www.ncver.edu.au/publications/2724.html</w:t>
        </w:r>
      </w:hyperlink>
    </w:p>
    <w:p w:rsidR="00ED48EE" w:rsidRPr="00ED48EE" w:rsidRDefault="00ED48EE" w:rsidP="00ED48EE">
      <w:pPr>
        <w:spacing w:after="120"/>
        <w:rPr>
          <w:rFonts w:ascii="Verdana" w:eastAsia="Times New Roman" w:hAnsi="Verdana" w:cs="Times New Roman"/>
          <w:spacing w:val="8"/>
          <w:sz w:val="20"/>
          <w:szCs w:val="18"/>
          <w:lang w:eastAsia="en-AU"/>
        </w:rPr>
      </w:pPr>
      <w:r w:rsidRPr="00ED48EE">
        <w:rPr>
          <w:rFonts w:ascii="Verdana" w:eastAsia="Times New Roman" w:hAnsi="Verdana" w:cs="Times New Roman"/>
          <w:spacing w:val="8"/>
          <w:sz w:val="20"/>
          <w:szCs w:val="18"/>
          <w:lang w:eastAsia="en-AU"/>
        </w:rPr>
        <w:t xml:space="preserve">Li, I 2014, Labour market outcomes of Indigenous university graduates in Australia, NCVER, Adelaide, </w:t>
      </w:r>
      <w:hyperlink r:id="rId22" w:history="1">
        <w:r w:rsidRPr="00ED48EE">
          <w:rPr>
            <w:rFonts w:ascii="Verdana" w:eastAsia="Times New Roman" w:hAnsi="Verdana" w:cs="Times New Roman"/>
            <w:color w:val="0000FF"/>
            <w:spacing w:val="8"/>
            <w:sz w:val="20"/>
            <w:szCs w:val="18"/>
            <w:u w:val="single"/>
            <w:lang w:eastAsia="en-AU"/>
          </w:rPr>
          <w:t>http://www.voced.edu.au/content/ngv63414</w:t>
        </w:r>
      </w:hyperlink>
    </w:p>
    <w:p w:rsidR="00ED48EE" w:rsidRPr="00ED48EE" w:rsidRDefault="00ED48EE" w:rsidP="00ED48EE">
      <w:pPr>
        <w:spacing w:after="120"/>
        <w:rPr>
          <w:rFonts w:ascii="Verdana" w:eastAsia="Times New Roman" w:hAnsi="Verdana" w:cs="Times New Roman"/>
          <w:spacing w:val="8"/>
          <w:sz w:val="20"/>
          <w:szCs w:val="18"/>
          <w:lang w:eastAsia="en-AU"/>
        </w:rPr>
      </w:pPr>
      <w:r w:rsidRPr="00ED48EE">
        <w:rPr>
          <w:rFonts w:ascii="Verdana" w:eastAsia="Times New Roman" w:hAnsi="Verdana" w:cs="Times New Roman"/>
          <w:spacing w:val="8"/>
          <w:sz w:val="20"/>
          <w:szCs w:val="18"/>
          <w:lang w:eastAsia="en-AU"/>
        </w:rPr>
        <w:t xml:space="preserve">National Centre for Vocational Education Research 2014, Australian vocational education and training statistics: Indigenous students 2013, NCVER, Adelaide, </w:t>
      </w:r>
      <w:hyperlink r:id="rId23" w:history="1">
        <w:r w:rsidRPr="00ED48EE">
          <w:rPr>
            <w:rFonts w:ascii="Verdana" w:eastAsia="Times New Roman" w:hAnsi="Verdana" w:cs="Times New Roman"/>
            <w:color w:val="0000FF"/>
            <w:spacing w:val="8"/>
            <w:sz w:val="20"/>
            <w:szCs w:val="18"/>
            <w:u w:val="single"/>
            <w:lang w:eastAsia="en-AU"/>
          </w:rPr>
          <w:t>https://www.ncver.edu.au/wps/poc?urile=wcm:path:/wps/wcm/connect/NCVER_Shared/Data/Indigenous-students-2013</w:t>
        </w:r>
      </w:hyperlink>
    </w:p>
    <w:p w:rsidR="00ED48EE" w:rsidRPr="00ED48EE" w:rsidRDefault="00ED48EE" w:rsidP="00ED48EE">
      <w:pPr>
        <w:spacing w:after="120"/>
        <w:rPr>
          <w:rFonts w:ascii="Verdana" w:eastAsia="Times New Roman" w:hAnsi="Verdana" w:cs="Times New Roman"/>
          <w:spacing w:val="8"/>
          <w:sz w:val="20"/>
          <w:szCs w:val="18"/>
          <w:lang w:eastAsia="en-AU"/>
        </w:rPr>
      </w:pPr>
      <w:r w:rsidRPr="00ED48EE">
        <w:rPr>
          <w:rFonts w:ascii="Verdana" w:eastAsia="Times New Roman" w:hAnsi="Verdana" w:cs="Times New Roman"/>
          <w:spacing w:val="8"/>
          <w:sz w:val="20"/>
          <w:szCs w:val="18"/>
          <w:lang w:eastAsia="en-AU"/>
        </w:rPr>
        <w:t xml:space="preserve">SCRGSP (Steering Committee for the Review of Government Service Provision) 2013. Report on government services 2013: Indigenous compendium. Canberra: Productivity Commission. Viewed 27 December 2013, </w:t>
      </w:r>
      <w:hyperlink r:id="rId24" w:history="1">
        <w:r w:rsidRPr="00ED48EE">
          <w:rPr>
            <w:rFonts w:ascii="Verdana" w:eastAsia="Times New Roman" w:hAnsi="Verdana" w:cs="Times New Roman"/>
            <w:color w:val="0000FF"/>
            <w:spacing w:val="8"/>
            <w:sz w:val="20"/>
            <w:szCs w:val="18"/>
            <w:u w:val="single"/>
            <w:lang w:eastAsia="en-AU"/>
          </w:rPr>
          <w:t>http://www.pc.gov.au/gsp/rogs/indigenous-compendium-2013</w:t>
        </w:r>
      </w:hyperlink>
    </w:p>
    <w:p w:rsidR="00ED48EE" w:rsidRPr="00ED48EE" w:rsidRDefault="00ED48EE" w:rsidP="00ED48EE">
      <w:pPr>
        <w:spacing w:after="120"/>
        <w:rPr>
          <w:rFonts w:ascii="Verdana" w:eastAsia="Times New Roman" w:hAnsi="Verdana" w:cs="Times New Roman"/>
          <w:spacing w:val="8"/>
          <w:sz w:val="20"/>
          <w:szCs w:val="18"/>
          <w:lang w:eastAsia="en-AU"/>
        </w:rPr>
      </w:pPr>
      <w:r w:rsidRPr="00ED48EE">
        <w:rPr>
          <w:rFonts w:ascii="Verdana" w:eastAsia="Times New Roman" w:hAnsi="Verdana" w:cs="Times New Roman"/>
          <w:spacing w:val="8"/>
          <w:sz w:val="20"/>
          <w:szCs w:val="18"/>
          <w:lang w:eastAsia="en-AU"/>
        </w:rPr>
        <w:lastRenderedPageBreak/>
        <w:t xml:space="preserve">Wibrow, B 2014, Qualification utilisation: occupational outcomes: overview, National Vocational Education and Training Research Program occasional paper, NCVER, Adelaide, viewed 19 Sep 2014, </w:t>
      </w:r>
      <w:hyperlink r:id="rId25" w:history="1">
        <w:r w:rsidRPr="00ED48EE">
          <w:rPr>
            <w:rFonts w:ascii="Verdana" w:eastAsia="Times New Roman" w:hAnsi="Verdana" w:cs="Times New Roman"/>
            <w:color w:val="0000FF"/>
            <w:spacing w:val="8"/>
            <w:sz w:val="20"/>
            <w:szCs w:val="18"/>
            <w:u w:val="single"/>
            <w:lang w:eastAsia="en-AU"/>
          </w:rPr>
          <w:t>http://www.ncver.edu.au/publications/2708.html</w:t>
        </w:r>
      </w:hyperlink>
    </w:p>
    <w:p w:rsidR="00ED48EE" w:rsidRPr="00ED48EE" w:rsidRDefault="00ED48EE" w:rsidP="00ED48EE">
      <w:pPr>
        <w:spacing w:after="120"/>
        <w:rPr>
          <w:rFonts w:ascii="Verdana" w:eastAsia="Times New Roman" w:hAnsi="Verdana" w:cs="Times New Roman"/>
          <w:spacing w:val="8"/>
          <w:sz w:val="20"/>
          <w:szCs w:val="18"/>
          <w:lang w:eastAsia="en-AU"/>
        </w:rPr>
      </w:pPr>
      <w:r w:rsidRPr="00ED48EE">
        <w:rPr>
          <w:rFonts w:ascii="Verdana" w:eastAsia="Times New Roman" w:hAnsi="Verdana" w:cs="Times New Roman"/>
          <w:spacing w:val="8"/>
          <w:sz w:val="20"/>
          <w:szCs w:val="18"/>
          <w:lang w:eastAsia="en-AU"/>
        </w:rPr>
        <w:t xml:space="preserve">Young, M, Guenther, J &amp; Boyle, A 2007, Growing the desert: educational pathways for remote Indigenous people, NCVER, Adelaide, </w:t>
      </w:r>
      <w:hyperlink r:id="rId26" w:history="1">
        <w:r w:rsidRPr="00ED48EE">
          <w:rPr>
            <w:rFonts w:ascii="Verdana" w:eastAsia="Times New Roman" w:hAnsi="Verdana" w:cs="Times New Roman"/>
            <w:color w:val="0000FF"/>
            <w:spacing w:val="8"/>
            <w:sz w:val="20"/>
            <w:szCs w:val="18"/>
            <w:u w:val="single"/>
            <w:lang w:eastAsia="en-AU"/>
          </w:rPr>
          <w:t>http://www.ncver.edu.au/publications/1911.html</w:t>
        </w:r>
      </w:hyperlink>
    </w:p>
    <w:p w:rsidR="00ED48EE" w:rsidRPr="00ED48EE" w:rsidRDefault="00ED48EE" w:rsidP="00ED48EE">
      <w:pPr>
        <w:rPr>
          <w:rFonts w:ascii="Verdana" w:eastAsia="Times New Roman" w:hAnsi="Verdana" w:cs="Times New Roman"/>
          <w:sz w:val="20"/>
          <w:szCs w:val="19"/>
          <w:lang w:eastAsia="en-AU"/>
        </w:rPr>
      </w:pPr>
    </w:p>
    <w:p w:rsidR="00ED48EE" w:rsidRDefault="00ED48EE" w:rsidP="00ED48EE">
      <w:pPr>
        <w:pStyle w:val="Text"/>
        <w:spacing w:before="360"/>
      </w:pPr>
    </w:p>
    <w:p w:rsidR="00042A5B" w:rsidRDefault="001B062C" w:rsidP="001B062C">
      <w:pPr>
        <w:pStyle w:val="Text"/>
        <w:tabs>
          <w:tab w:val="left" w:pos="7395"/>
        </w:tabs>
      </w:pPr>
      <w:r>
        <w:tab/>
      </w:r>
    </w:p>
    <w:sectPr w:rsidR="00042A5B" w:rsidSect="005341DE">
      <w:footerReference w:type="default" r:id="rId27"/>
      <w:headerReference w:type="first" r:id="rId28"/>
      <w:type w:val="continuous"/>
      <w:pgSz w:w="11900" w:h="16840" w:code="9"/>
      <w:pgMar w:top="1134" w:right="1191" w:bottom="1701" w:left="1276" w:header="567" w:footer="783"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48EE" w:rsidRDefault="00ED48EE" w:rsidP="00653A40">
      <w:r>
        <w:separator/>
      </w:r>
    </w:p>
  </w:endnote>
  <w:endnote w:type="continuationSeparator" w:id="0">
    <w:p w:rsidR="00ED48EE" w:rsidRDefault="00ED48EE" w:rsidP="00653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Lucida Grande">
    <w:altName w:val="Times New Roman"/>
    <w:charset w:val="00"/>
    <w:family w:val="auto"/>
    <w:pitch w:val="variable"/>
    <w:sig w:usb0="00000000"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HelveticaNeueLTStd-Lt">
    <w:altName w:val="HelveticaNeueLT Std Lt"/>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81D" w:rsidRPr="00B35943" w:rsidRDefault="003C781D" w:rsidP="00B35943">
    <w:pPr>
      <w:pStyle w:val="Footer"/>
      <w:jc w:val="center"/>
    </w:pPr>
    <w:r w:rsidRPr="00B35943">
      <w:t xml:space="preserve">Page </w:t>
    </w:r>
    <w:r w:rsidRPr="00B35943">
      <w:fldChar w:fldCharType="begin"/>
    </w:r>
    <w:r w:rsidRPr="00B35943">
      <w:instrText xml:space="preserve"> PAGE  \* Arabic  \* MERGEFORMAT </w:instrText>
    </w:r>
    <w:r w:rsidRPr="00B35943">
      <w:fldChar w:fldCharType="separate"/>
    </w:r>
    <w:r>
      <w:rPr>
        <w:noProof/>
      </w:rPr>
      <w:t>2</w:t>
    </w:r>
    <w:r w:rsidRPr="00B35943">
      <w:fldChar w:fldCharType="end"/>
    </w:r>
    <w:r w:rsidRPr="00B35943">
      <w:t xml:space="preserve"> of </w:t>
    </w:r>
    <w:r w:rsidR="004348FA">
      <w:fldChar w:fldCharType="begin"/>
    </w:r>
    <w:r w:rsidR="004348FA">
      <w:instrText xml:space="preserve"> NUMPAGES  \* Arabic  \* MERGEFORMAT </w:instrText>
    </w:r>
    <w:r w:rsidR="004348FA">
      <w:fldChar w:fldCharType="separate"/>
    </w:r>
    <w:r w:rsidR="00EC3053">
      <w:rPr>
        <w:noProof/>
      </w:rPr>
      <w:t>7</w:t>
    </w:r>
    <w:r w:rsidR="004348FA">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6128552"/>
      <w:docPartObj>
        <w:docPartGallery w:val="Page Numbers (Bottom of Page)"/>
        <w:docPartUnique/>
      </w:docPartObj>
    </w:sdtPr>
    <w:sdtEndPr/>
    <w:sdtContent>
      <w:sdt>
        <w:sdtPr>
          <w:id w:val="-352417090"/>
          <w:docPartObj>
            <w:docPartGallery w:val="Page Numbers (Top of Page)"/>
            <w:docPartUnique/>
          </w:docPartObj>
        </w:sdtPr>
        <w:sdtEndPr/>
        <w:sdtContent>
          <w:p w:rsidR="003C781D" w:rsidRDefault="003C781D" w:rsidP="00D73699">
            <w:pPr>
              <w:pStyle w:val="Footer"/>
            </w:pPr>
            <w:r w:rsidRPr="00B35943">
              <w:rPr>
                <w:noProof/>
                <w:lang w:eastAsia="en-AU"/>
              </w:rPr>
              <w:drawing>
                <wp:anchor distT="0" distB="0" distL="114300" distR="114300" simplePos="0" relativeHeight="251660288" behindDoc="1" locked="0" layoutInCell="1" allowOverlap="1" wp14:anchorId="5F76A595" wp14:editId="65BB40FC">
                  <wp:simplePos x="0" y="0"/>
                  <wp:positionH relativeFrom="page">
                    <wp:posOffset>-7620</wp:posOffset>
                  </wp:positionH>
                  <wp:positionV relativeFrom="page">
                    <wp:posOffset>9877425</wp:posOffset>
                  </wp:positionV>
                  <wp:extent cx="7551420" cy="9715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92425" b="-1517"/>
                          <a:stretch/>
                        </pic:blipFill>
                        <pic:spPr bwMode="auto">
                          <a:xfrm>
                            <a:off x="0" y="0"/>
                            <a:ext cx="7551420" cy="971550"/>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D73699">
              <w:tab/>
            </w:r>
          </w:p>
        </w:sdtContent>
      </w:sdt>
    </w:sdtContent>
  </w:sdt>
  <w:p w:rsidR="003C781D" w:rsidRDefault="003C781D" w:rsidP="00394AA0">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94A" w:rsidRPr="00D73699" w:rsidRDefault="00D73699" w:rsidP="00D73699">
    <w:pPr>
      <w:pStyle w:val="Footer"/>
    </w:pPr>
    <w:r>
      <w:rPr>
        <w:rFonts w:cs="Arial"/>
        <w:szCs w:val="16"/>
      </w:rPr>
      <w:t>Forrest Review: NCVER Submission (#152239)</w:t>
    </w:r>
    <w:r>
      <w:rPr>
        <w:rFonts w:cs="Arial"/>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48EE" w:rsidRDefault="00ED48EE" w:rsidP="00653A40">
      <w:r>
        <w:separator/>
      </w:r>
    </w:p>
  </w:footnote>
  <w:footnote w:type="continuationSeparator" w:id="0">
    <w:p w:rsidR="00ED48EE" w:rsidRDefault="00ED48EE" w:rsidP="00653A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81D" w:rsidRDefault="003C781D">
    <w:pPr>
      <w:pStyle w:val="Header"/>
    </w:pPr>
    <w:r>
      <w:rPr>
        <w:noProof/>
        <w:lang w:eastAsia="en-AU"/>
      </w:rPr>
      <w:drawing>
        <wp:anchor distT="0" distB="0" distL="114300" distR="114300" simplePos="0" relativeHeight="251659264" behindDoc="1" locked="0" layoutInCell="1" allowOverlap="1" wp14:anchorId="78B9E614" wp14:editId="0EBC87A0">
          <wp:simplePos x="0" y="0"/>
          <wp:positionH relativeFrom="page">
            <wp:posOffset>-9525</wp:posOffset>
          </wp:positionH>
          <wp:positionV relativeFrom="page">
            <wp:posOffset>0</wp:posOffset>
          </wp:positionV>
          <wp:extent cx="7552019" cy="12858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87968"/>
                  <a:stretch/>
                </pic:blipFill>
                <pic:spPr bwMode="auto">
                  <a:xfrm>
                    <a:off x="0" y="0"/>
                    <a:ext cx="7555517" cy="1286471"/>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94A" w:rsidRDefault="001C19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E1655BA"/>
    <w:lvl w:ilvl="0">
      <w:start w:val="1"/>
      <w:numFmt w:val="bullet"/>
      <w:lvlText w:val=""/>
      <w:lvlJc w:val="left"/>
      <w:pPr>
        <w:tabs>
          <w:tab w:val="num" w:pos="360"/>
        </w:tabs>
        <w:ind w:left="360" w:hanging="360"/>
      </w:pPr>
      <w:rPr>
        <w:rFonts w:ascii="Symbol" w:hAnsi="Symbol" w:hint="default"/>
      </w:rPr>
    </w:lvl>
  </w:abstractNum>
  <w:abstractNum w:abstractNumId="1">
    <w:nsid w:val="05217003"/>
    <w:multiLevelType w:val="hybridMultilevel"/>
    <w:tmpl w:val="05AAACCC"/>
    <w:lvl w:ilvl="0" w:tplc="7C320B82">
      <w:start w:val="1"/>
      <w:numFmt w:val="decimal"/>
      <w:pStyle w:val="Numbered"/>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nsid w:val="0682625B"/>
    <w:multiLevelType w:val="hybridMultilevel"/>
    <w:tmpl w:val="F08CCA9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nsid w:val="0C2F2BBF"/>
    <w:multiLevelType w:val="hybridMultilevel"/>
    <w:tmpl w:val="F282F77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nsid w:val="12A866C1"/>
    <w:multiLevelType w:val="hybridMultilevel"/>
    <w:tmpl w:val="0546A2E8"/>
    <w:lvl w:ilvl="0" w:tplc="C6566F80">
      <w:numFmt w:val="bullet"/>
      <w:lvlText w:val="-"/>
      <w:lvlJc w:val="left"/>
      <w:pPr>
        <w:ind w:left="720" w:hanging="360"/>
      </w:pPr>
      <w:rPr>
        <w:rFonts w:ascii="Verdana" w:eastAsia="Times New Roman" w:hAnsi="Verdana"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AE44955"/>
    <w:multiLevelType w:val="hybridMultilevel"/>
    <w:tmpl w:val="F740F648"/>
    <w:lvl w:ilvl="0" w:tplc="D7D0D4C6">
      <w:start w:val="1"/>
      <w:numFmt w:val="bullet"/>
      <w:pStyle w:val="Dotpoint1"/>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nsid w:val="2921087D"/>
    <w:multiLevelType w:val="hybridMultilevel"/>
    <w:tmpl w:val="281C2AD6"/>
    <w:lvl w:ilvl="0" w:tplc="9C144C22">
      <w:start w:val="1"/>
      <w:numFmt w:val="bullet"/>
      <w:pStyle w:val="Dotpoint2"/>
      <w:lvlText w:val=""/>
      <w:lvlJc w:val="left"/>
      <w:pPr>
        <w:tabs>
          <w:tab w:val="num" w:pos="851"/>
        </w:tabs>
        <w:ind w:left="851" w:hanging="341"/>
      </w:pPr>
      <w:rPr>
        <w:rFonts w:ascii="Symbol" w:hAnsi="Symbol" w:hint="default"/>
        <w:sz w:val="18"/>
      </w:rPr>
    </w:lvl>
    <w:lvl w:ilvl="1" w:tplc="D7FC6A34">
      <w:start w:val="1"/>
      <w:numFmt w:val="bullet"/>
      <w:lvlText w:val=""/>
      <w:lvlJc w:val="left"/>
      <w:pPr>
        <w:tabs>
          <w:tab w:val="num" w:pos="737"/>
        </w:tabs>
        <w:ind w:left="737" w:hanging="170"/>
      </w:pPr>
      <w:rPr>
        <w:rFonts w:ascii="Symbol" w:hAnsi="Symbol" w:hint="default"/>
        <w:sz w:val="18"/>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nsid w:val="2F18645A"/>
    <w:multiLevelType w:val="multilevel"/>
    <w:tmpl w:val="4BCE6C88"/>
    <w:name w:val="RTNumbering3"/>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418"/>
        </w:tabs>
        <w:ind w:left="1418" w:hanging="1418"/>
      </w:pPr>
      <w:rPr>
        <w:rFonts w:hint="default"/>
      </w:rPr>
    </w:lvl>
    <w:lvl w:ilvl="5">
      <w:start w:val="1"/>
      <w:numFmt w:val="decimal"/>
      <w:lvlText w:val="%1.%2.%3.%4.%5.%6"/>
      <w:lvlJc w:val="left"/>
      <w:pPr>
        <w:tabs>
          <w:tab w:val="num" w:pos="1702"/>
        </w:tabs>
        <w:ind w:left="1702" w:hanging="1702"/>
      </w:pPr>
      <w:rPr>
        <w:rFonts w:hint="default"/>
      </w:rPr>
    </w:lvl>
    <w:lvl w:ilvl="6">
      <w:start w:val="1"/>
      <w:numFmt w:val="decimal"/>
      <w:lvlText w:val="%1.%2.%3.%4.%5.%6.%7"/>
      <w:lvlJc w:val="left"/>
      <w:pPr>
        <w:tabs>
          <w:tab w:val="num" w:pos="1702"/>
        </w:tabs>
        <w:ind w:left="1702" w:hanging="1702"/>
      </w:pPr>
      <w:rPr>
        <w:rFonts w:hint="default"/>
      </w:rPr>
    </w:lvl>
    <w:lvl w:ilvl="7">
      <w:start w:val="1"/>
      <w:numFmt w:val="decimal"/>
      <w:lvlText w:val="%1.%2.%3.%4.%5.%6.%7.%8"/>
      <w:lvlJc w:val="left"/>
      <w:pPr>
        <w:tabs>
          <w:tab w:val="num" w:pos="1985"/>
        </w:tabs>
        <w:ind w:left="1985" w:hanging="1985"/>
      </w:pPr>
      <w:rPr>
        <w:rFonts w:hint="default"/>
      </w:rPr>
    </w:lvl>
    <w:lvl w:ilvl="8">
      <w:start w:val="1"/>
      <w:numFmt w:val="decimal"/>
      <w:lvlText w:val="%1.%2.%3.%4.%5.%6.%7.%8.%9"/>
      <w:lvlJc w:val="left"/>
      <w:pPr>
        <w:tabs>
          <w:tab w:val="num" w:pos="1985"/>
        </w:tabs>
        <w:ind w:left="1985" w:hanging="1985"/>
      </w:pPr>
      <w:rPr>
        <w:rFonts w:hint="default"/>
      </w:rPr>
    </w:lvl>
  </w:abstractNum>
  <w:abstractNum w:abstractNumId="8">
    <w:nsid w:val="438B68FA"/>
    <w:multiLevelType w:val="hybridMultilevel"/>
    <w:tmpl w:val="82C68A1A"/>
    <w:lvl w:ilvl="0" w:tplc="8F96D12E">
      <w:start w:val="1"/>
      <w:numFmt w:val="bullet"/>
      <w:lvlText w:val="/"/>
      <w:lvlJc w:val="left"/>
      <w:pPr>
        <w:tabs>
          <w:tab w:val="num" w:pos="284"/>
        </w:tabs>
        <w:ind w:left="284" w:hanging="284"/>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7F70429"/>
    <w:multiLevelType w:val="hybridMultilevel"/>
    <w:tmpl w:val="7AAC7850"/>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nsid w:val="69D14422"/>
    <w:multiLevelType w:val="hybridMultilevel"/>
    <w:tmpl w:val="AEC67CF8"/>
    <w:lvl w:ilvl="0" w:tplc="0C09000F">
      <w:start w:val="1"/>
      <w:numFmt w:val="decimal"/>
      <w:lvlText w:val="%1."/>
      <w:lvlJc w:val="left"/>
      <w:pPr>
        <w:tabs>
          <w:tab w:val="num" w:pos="720"/>
        </w:tabs>
        <w:ind w:left="720" w:hanging="360"/>
      </w:pPr>
      <w:rPr>
        <w:rFonts w:hint="default"/>
      </w:r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6AC01FAC"/>
    <w:multiLevelType w:val="hybridMultilevel"/>
    <w:tmpl w:val="ECDEAA96"/>
    <w:lvl w:ilvl="0" w:tplc="EF008466">
      <w:start w:val="1"/>
      <w:numFmt w:val="decimal"/>
      <w:lvlText w:val="%1."/>
      <w:lvlJc w:val="left"/>
      <w:pPr>
        <w:tabs>
          <w:tab w:val="num" w:pos="255"/>
        </w:tabs>
        <w:ind w:left="255" w:hanging="2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1"/>
  </w:num>
  <w:num w:numId="3">
    <w:abstractNumId w:val="7"/>
  </w:num>
  <w:num w:numId="4">
    <w:abstractNumId w:val="6"/>
  </w:num>
  <w:num w:numId="5">
    <w:abstractNumId w:val="10"/>
  </w:num>
  <w:num w:numId="6">
    <w:abstractNumId w:val="9"/>
  </w:num>
  <w:num w:numId="7">
    <w:abstractNumId w:val="3"/>
  </w:num>
  <w:num w:numId="8">
    <w:abstractNumId w:val="5"/>
  </w:num>
  <w:num w:numId="9">
    <w:abstractNumId w:val="2"/>
  </w:num>
  <w:num w:numId="10">
    <w:abstractNumId w:val="1"/>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8EE"/>
    <w:rsid w:val="000177FC"/>
    <w:rsid w:val="00031D54"/>
    <w:rsid w:val="00042A5B"/>
    <w:rsid w:val="001411FD"/>
    <w:rsid w:val="001626AC"/>
    <w:rsid w:val="0018777F"/>
    <w:rsid w:val="001B062C"/>
    <w:rsid w:val="001C194A"/>
    <w:rsid w:val="001D13F2"/>
    <w:rsid w:val="001D302C"/>
    <w:rsid w:val="001E584C"/>
    <w:rsid w:val="00282BF1"/>
    <w:rsid w:val="002B16FD"/>
    <w:rsid w:val="002E7F75"/>
    <w:rsid w:val="00394AA0"/>
    <w:rsid w:val="003B0457"/>
    <w:rsid w:val="003C781D"/>
    <w:rsid w:val="003D26B2"/>
    <w:rsid w:val="004330B5"/>
    <w:rsid w:val="004348FA"/>
    <w:rsid w:val="004423D3"/>
    <w:rsid w:val="004D47A0"/>
    <w:rsid w:val="005341DE"/>
    <w:rsid w:val="006450DE"/>
    <w:rsid w:val="00653A40"/>
    <w:rsid w:val="006E1109"/>
    <w:rsid w:val="007036A4"/>
    <w:rsid w:val="007176F1"/>
    <w:rsid w:val="00876F7E"/>
    <w:rsid w:val="008D7A77"/>
    <w:rsid w:val="0090584C"/>
    <w:rsid w:val="00935BC9"/>
    <w:rsid w:val="0095111C"/>
    <w:rsid w:val="009737D7"/>
    <w:rsid w:val="00A70C8F"/>
    <w:rsid w:val="00A92F7A"/>
    <w:rsid w:val="00AD5A78"/>
    <w:rsid w:val="00AE4F01"/>
    <w:rsid w:val="00B30978"/>
    <w:rsid w:val="00B35943"/>
    <w:rsid w:val="00BF7C26"/>
    <w:rsid w:val="00C17A80"/>
    <w:rsid w:val="00C748DE"/>
    <w:rsid w:val="00CA5DEB"/>
    <w:rsid w:val="00D56267"/>
    <w:rsid w:val="00D73699"/>
    <w:rsid w:val="00D86CAA"/>
    <w:rsid w:val="00E06A4C"/>
    <w:rsid w:val="00E40BF1"/>
    <w:rsid w:val="00EC3053"/>
    <w:rsid w:val="00ED48EE"/>
    <w:rsid w:val="00F57BAC"/>
    <w:rsid w:val="00F9579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9"/>
    <w:lsdException w:name="heading 3" w:uiPriority="9"/>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A5B"/>
    <w:rPr>
      <w:lang w:val="en-AU"/>
    </w:rPr>
  </w:style>
  <w:style w:type="paragraph" w:styleId="Heading1">
    <w:name w:val="heading 1"/>
    <w:next w:val="Normal"/>
    <w:link w:val="Heading1Char"/>
    <w:autoRedefine/>
    <w:unhideWhenUsed/>
    <w:rsid w:val="00394AA0"/>
    <w:pPr>
      <w:spacing w:before="240" w:after="360"/>
      <w:outlineLvl w:val="0"/>
    </w:pPr>
    <w:rPr>
      <w:rFonts w:ascii="Arial" w:eastAsia="Times New Roman" w:hAnsi="Arial" w:cs="Arial"/>
      <w:b/>
      <w:bCs/>
      <w:color w:val="000000" w:themeColor="text1"/>
      <w:sz w:val="20"/>
      <w:szCs w:val="26"/>
      <w:lang w:val="en-GB"/>
    </w:rPr>
  </w:style>
  <w:style w:type="paragraph" w:styleId="Heading2">
    <w:name w:val="heading 2"/>
    <w:basedOn w:val="Normal"/>
    <w:next w:val="Normal"/>
    <w:link w:val="Heading2Char"/>
    <w:uiPriority w:val="9"/>
    <w:unhideWhenUsed/>
    <w:rsid w:val="00042A5B"/>
    <w:pPr>
      <w:keepNext/>
      <w:keepLines/>
      <w:spacing w:before="200"/>
      <w:outlineLvl w:val="1"/>
    </w:pPr>
    <w:rPr>
      <w:rFonts w:ascii="Arial" w:eastAsiaTheme="majorEastAsia" w:hAnsi="Arial" w:cstheme="majorBidi"/>
      <w:b/>
      <w:bCs/>
      <w:color w:val="000000" w:themeColor="text1"/>
      <w:sz w:val="20"/>
      <w:szCs w:val="26"/>
    </w:rPr>
  </w:style>
  <w:style w:type="paragraph" w:styleId="Heading3">
    <w:name w:val="heading 3"/>
    <w:basedOn w:val="Normal"/>
    <w:next w:val="Normal"/>
    <w:link w:val="Heading3Char"/>
    <w:uiPriority w:val="9"/>
    <w:unhideWhenUsed/>
    <w:rsid w:val="00042A5B"/>
    <w:pPr>
      <w:keepNext/>
      <w:keepLines/>
      <w:spacing w:before="200"/>
      <w:outlineLvl w:val="2"/>
    </w:pPr>
    <w:rPr>
      <w:rFonts w:ascii="Arial" w:eastAsiaTheme="majorEastAsia" w:hAnsi="Arial" w:cstheme="majorBidi"/>
      <w:bCs/>
      <w:i/>
      <w:sz w:val="20"/>
    </w:rPr>
  </w:style>
  <w:style w:type="paragraph" w:styleId="Heading4">
    <w:name w:val="heading 4"/>
    <w:basedOn w:val="Normal"/>
    <w:next w:val="Normal"/>
    <w:link w:val="Heading4Char"/>
    <w:uiPriority w:val="9"/>
    <w:semiHidden/>
    <w:unhideWhenUsed/>
    <w:rsid w:val="00ED48EE"/>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D48EE"/>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
    <w:name w:val="Numbered"/>
    <w:basedOn w:val="Normal"/>
    <w:qFormat/>
    <w:rsid w:val="00042A5B"/>
    <w:pPr>
      <w:numPr>
        <w:numId w:val="10"/>
      </w:numPr>
      <w:spacing w:after="120"/>
    </w:pPr>
    <w:rPr>
      <w:rFonts w:ascii="Arial" w:eastAsiaTheme="minorHAnsi" w:hAnsi="Arial"/>
      <w:color w:val="000000" w:themeColor="text1"/>
      <w:sz w:val="20"/>
    </w:rPr>
  </w:style>
  <w:style w:type="character" w:customStyle="1" w:styleId="Heading1Char">
    <w:name w:val="Heading 1 Char"/>
    <w:basedOn w:val="DefaultParagraphFont"/>
    <w:link w:val="Heading1"/>
    <w:rsid w:val="00394AA0"/>
    <w:rPr>
      <w:rFonts w:ascii="Arial" w:eastAsia="Times New Roman" w:hAnsi="Arial" w:cs="Arial"/>
      <w:b/>
      <w:bCs/>
      <w:color w:val="000000" w:themeColor="text1"/>
      <w:sz w:val="20"/>
      <w:szCs w:val="26"/>
      <w:lang w:val="en-GB"/>
    </w:rPr>
  </w:style>
  <w:style w:type="paragraph" w:styleId="Header">
    <w:name w:val="header"/>
    <w:basedOn w:val="Normal"/>
    <w:link w:val="HeaderChar"/>
    <w:uiPriority w:val="99"/>
    <w:unhideWhenUsed/>
    <w:rsid w:val="00653A40"/>
    <w:pPr>
      <w:tabs>
        <w:tab w:val="center" w:pos="4320"/>
        <w:tab w:val="right" w:pos="8640"/>
      </w:tabs>
    </w:pPr>
  </w:style>
  <w:style w:type="character" w:customStyle="1" w:styleId="HeaderChar">
    <w:name w:val="Header Char"/>
    <w:basedOn w:val="DefaultParagraphFont"/>
    <w:link w:val="Header"/>
    <w:uiPriority w:val="99"/>
    <w:rsid w:val="00653A40"/>
  </w:style>
  <w:style w:type="paragraph" w:styleId="Footer">
    <w:name w:val="footer"/>
    <w:basedOn w:val="Normal"/>
    <w:link w:val="FooterChar"/>
    <w:uiPriority w:val="99"/>
    <w:unhideWhenUsed/>
    <w:rsid w:val="00394AA0"/>
    <w:pPr>
      <w:tabs>
        <w:tab w:val="center" w:pos="4320"/>
        <w:tab w:val="right" w:pos="8640"/>
      </w:tabs>
    </w:pPr>
    <w:rPr>
      <w:rFonts w:ascii="Arial" w:hAnsi="Arial"/>
      <w:sz w:val="16"/>
    </w:rPr>
  </w:style>
  <w:style w:type="character" w:customStyle="1" w:styleId="FooterChar">
    <w:name w:val="Footer Char"/>
    <w:basedOn w:val="DefaultParagraphFont"/>
    <w:link w:val="Footer"/>
    <w:uiPriority w:val="99"/>
    <w:rsid w:val="00394AA0"/>
    <w:rPr>
      <w:rFonts w:ascii="Arial" w:hAnsi="Arial"/>
      <w:sz w:val="16"/>
    </w:rPr>
  </w:style>
  <w:style w:type="paragraph" w:styleId="BalloonText">
    <w:name w:val="Balloon Text"/>
    <w:basedOn w:val="Normal"/>
    <w:link w:val="BalloonTextChar"/>
    <w:uiPriority w:val="99"/>
    <w:semiHidden/>
    <w:unhideWhenUsed/>
    <w:rsid w:val="00653A40"/>
    <w:rPr>
      <w:rFonts w:ascii="Lucida Grande" w:hAnsi="Lucida Grande"/>
      <w:sz w:val="18"/>
      <w:szCs w:val="18"/>
    </w:rPr>
  </w:style>
  <w:style w:type="character" w:customStyle="1" w:styleId="BalloonTextChar">
    <w:name w:val="Balloon Text Char"/>
    <w:basedOn w:val="DefaultParagraphFont"/>
    <w:link w:val="BalloonText"/>
    <w:uiPriority w:val="99"/>
    <w:semiHidden/>
    <w:rsid w:val="00653A40"/>
    <w:rPr>
      <w:rFonts w:ascii="Lucida Grande" w:hAnsi="Lucida Grande"/>
      <w:sz w:val="18"/>
      <w:szCs w:val="18"/>
    </w:rPr>
  </w:style>
  <w:style w:type="paragraph" w:customStyle="1" w:styleId="NoParagraphStyle">
    <w:name w:val="[No Paragraph Style]"/>
    <w:rsid w:val="00653A40"/>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BasicParagraph">
    <w:name w:val="[Basic Paragraph]"/>
    <w:basedOn w:val="NoParagraphStyle"/>
    <w:uiPriority w:val="99"/>
    <w:rsid w:val="00653A40"/>
    <w:pPr>
      <w:tabs>
        <w:tab w:val="left" w:pos="283"/>
      </w:tabs>
      <w:suppressAutoHyphens/>
      <w:spacing w:line="220" w:lineRule="atLeast"/>
    </w:pPr>
    <w:rPr>
      <w:rFonts w:ascii="HelveticaNeueLTStd-Lt" w:hAnsi="HelveticaNeueLTStd-Lt" w:cs="HelveticaNeueLTStd-Lt"/>
      <w:sz w:val="18"/>
      <w:szCs w:val="18"/>
    </w:rPr>
  </w:style>
  <w:style w:type="paragraph" w:customStyle="1" w:styleId="Text">
    <w:name w:val="Text"/>
    <w:basedOn w:val="Normal"/>
    <w:link w:val="TextChar"/>
    <w:qFormat/>
    <w:rsid w:val="00042A5B"/>
    <w:pPr>
      <w:spacing w:after="240"/>
    </w:pPr>
    <w:rPr>
      <w:rFonts w:ascii="Arial" w:hAnsi="Arial" w:cs="Arial"/>
      <w:sz w:val="20"/>
      <w:szCs w:val="20"/>
    </w:rPr>
  </w:style>
  <w:style w:type="paragraph" w:customStyle="1" w:styleId="Dotpoint2">
    <w:name w:val="Dotpoint2"/>
    <w:basedOn w:val="Normal"/>
    <w:locked/>
    <w:rsid w:val="00042A5B"/>
    <w:pPr>
      <w:numPr>
        <w:numId w:val="4"/>
      </w:numPr>
      <w:tabs>
        <w:tab w:val="clear" w:pos="851"/>
        <w:tab w:val="num" w:pos="709"/>
      </w:tabs>
      <w:spacing w:after="120"/>
      <w:ind w:left="709" w:hanging="283"/>
    </w:pPr>
    <w:rPr>
      <w:rFonts w:ascii="Verdana" w:eastAsia="Times New Roman" w:hAnsi="Verdana" w:cs="Times New Roman"/>
      <w:sz w:val="20"/>
      <w:szCs w:val="20"/>
      <w:lang w:eastAsia="en-AU"/>
    </w:rPr>
  </w:style>
  <w:style w:type="character" w:customStyle="1" w:styleId="TextChar">
    <w:name w:val="Text Char"/>
    <w:basedOn w:val="DefaultParagraphFont"/>
    <w:link w:val="Text"/>
    <w:rsid w:val="00042A5B"/>
    <w:rPr>
      <w:rFonts w:ascii="Arial" w:hAnsi="Arial" w:cs="Arial"/>
      <w:sz w:val="20"/>
      <w:szCs w:val="20"/>
    </w:rPr>
  </w:style>
  <w:style w:type="paragraph" w:customStyle="1" w:styleId="Dotpoint1">
    <w:name w:val="Dotpoint1"/>
    <w:basedOn w:val="Text"/>
    <w:qFormat/>
    <w:rsid w:val="00042A5B"/>
    <w:pPr>
      <w:numPr>
        <w:numId w:val="8"/>
      </w:numPr>
    </w:pPr>
  </w:style>
  <w:style w:type="character" w:customStyle="1" w:styleId="Heading2Char">
    <w:name w:val="Heading 2 Char"/>
    <w:basedOn w:val="DefaultParagraphFont"/>
    <w:link w:val="Heading2"/>
    <w:uiPriority w:val="9"/>
    <w:rsid w:val="00042A5B"/>
    <w:rPr>
      <w:rFonts w:ascii="Arial" w:eastAsiaTheme="majorEastAsia" w:hAnsi="Arial" w:cstheme="majorBidi"/>
      <w:b/>
      <w:bCs/>
      <w:color w:val="000000" w:themeColor="text1"/>
      <w:sz w:val="20"/>
      <w:szCs w:val="26"/>
    </w:rPr>
  </w:style>
  <w:style w:type="character" w:customStyle="1" w:styleId="Heading3Char">
    <w:name w:val="Heading 3 Char"/>
    <w:basedOn w:val="DefaultParagraphFont"/>
    <w:link w:val="Heading3"/>
    <w:uiPriority w:val="9"/>
    <w:rsid w:val="00042A5B"/>
    <w:rPr>
      <w:rFonts w:ascii="Arial" w:eastAsiaTheme="majorEastAsia" w:hAnsi="Arial" w:cstheme="majorBidi"/>
      <w:bCs/>
      <w:i/>
      <w:sz w:val="20"/>
    </w:rPr>
  </w:style>
  <w:style w:type="paragraph" w:customStyle="1" w:styleId="Heading10">
    <w:name w:val="Heading1"/>
    <w:basedOn w:val="Text"/>
    <w:rsid w:val="00394AA0"/>
    <w:pPr>
      <w:spacing w:before="280" w:after="120"/>
    </w:pPr>
    <w:rPr>
      <w:rFonts w:eastAsia="Times New Roman"/>
      <w:spacing w:val="10"/>
      <w:lang w:eastAsia="en-AU"/>
    </w:rPr>
  </w:style>
  <w:style w:type="character" w:customStyle="1" w:styleId="Heading4Char">
    <w:name w:val="Heading 4 Char"/>
    <w:basedOn w:val="DefaultParagraphFont"/>
    <w:link w:val="Heading4"/>
    <w:uiPriority w:val="9"/>
    <w:semiHidden/>
    <w:rsid w:val="00ED48EE"/>
    <w:rPr>
      <w:rFonts w:asciiTheme="majorHAnsi" w:eastAsiaTheme="majorEastAsia" w:hAnsiTheme="majorHAnsi" w:cstheme="majorBidi"/>
      <w:b/>
      <w:bCs/>
      <w:i/>
      <w:iCs/>
      <w:color w:val="4F81BD" w:themeColor="accent1"/>
      <w:lang w:val="en-AU"/>
    </w:rPr>
  </w:style>
  <w:style w:type="character" w:customStyle="1" w:styleId="Heading5Char">
    <w:name w:val="Heading 5 Char"/>
    <w:basedOn w:val="DefaultParagraphFont"/>
    <w:link w:val="Heading5"/>
    <w:uiPriority w:val="9"/>
    <w:semiHidden/>
    <w:rsid w:val="00ED48EE"/>
    <w:rPr>
      <w:rFonts w:asciiTheme="majorHAnsi" w:eastAsiaTheme="majorEastAsia" w:hAnsiTheme="majorHAnsi" w:cstheme="majorBidi"/>
      <w:color w:val="243F60" w:themeColor="accent1" w:themeShade="7F"/>
      <w:lang w:val="en-AU"/>
    </w:rPr>
  </w:style>
  <w:style w:type="paragraph" w:styleId="ListParagraph">
    <w:name w:val="List Paragraph"/>
    <w:basedOn w:val="Normal"/>
    <w:uiPriority w:val="34"/>
    <w:qFormat/>
    <w:rsid w:val="00D7369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9"/>
    <w:lsdException w:name="heading 3" w:uiPriority="9"/>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A5B"/>
    <w:rPr>
      <w:lang w:val="en-AU"/>
    </w:rPr>
  </w:style>
  <w:style w:type="paragraph" w:styleId="Heading1">
    <w:name w:val="heading 1"/>
    <w:next w:val="Normal"/>
    <w:link w:val="Heading1Char"/>
    <w:autoRedefine/>
    <w:unhideWhenUsed/>
    <w:rsid w:val="00394AA0"/>
    <w:pPr>
      <w:spacing w:before="240" w:after="360"/>
      <w:outlineLvl w:val="0"/>
    </w:pPr>
    <w:rPr>
      <w:rFonts w:ascii="Arial" w:eastAsia="Times New Roman" w:hAnsi="Arial" w:cs="Arial"/>
      <w:b/>
      <w:bCs/>
      <w:color w:val="000000" w:themeColor="text1"/>
      <w:sz w:val="20"/>
      <w:szCs w:val="26"/>
      <w:lang w:val="en-GB"/>
    </w:rPr>
  </w:style>
  <w:style w:type="paragraph" w:styleId="Heading2">
    <w:name w:val="heading 2"/>
    <w:basedOn w:val="Normal"/>
    <w:next w:val="Normal"/>
    <w:link w:val="Heading2Char"/>
    <w:uiPriority w:val="9"/>
    <w:unhideWhenUsed/>
    <w:rsid w:val="00042A5B"/>
    <w:pPr>
      <w:keepNext/>
      <w:keepLines/>
      <w:spacing w:before="200"/>
      <w:outlineLvl w:val="1"/>
    </w:pPr>
    <w:rPr>
      <w:rFonts w:ascii="Arial" w:eastAsiaTheme="majorEastAsia" w:hAnsi="Arial" w:cstheme="majorBidi"/>
      <w:b/>
      <w:bCs/>
      <w:color w:val="000000" w:themeColor="text1"/>
      <w:sz w:val="20"/>
      <w:szCs w:val="26"/>
    </w:rPr>
  </w:style>
  <w:style w:type="paragraph" w:styleId="Heading3">
    <w:name w:val="heading 3"/>
    <w:basedOn w:val="Normal"/>
    <w:next w:val="Normal"/>
    <w:link w:val="Heading3Char"/>
    <w:uiPriority w:val="9"/>
    <w:unhideWhenUsed/>
    <w:rsid w:val="00042A5B"/>
    <w:pPr>
      <w:keepNext/>
      <w:keepLines/>
      <w:spacing w:before="200"/>
      <w:outlineLvl w:val="2"/>
    </w:pPr>
    <w:rPr>
      <w:rFonts w:ascii="Arial" w:eastAsiaTheme="majorEastAsia" w:hAnsi="Arial" w:cstheme="majorBidi"/>
      <w:bCs/>
      <w:i/>
      <w:sz w:val="20"/>
    </w:rPr>
  </w:style>
  <w:style w:type="paragraph" w:styleId="Heading4">
    <w:name w:val="heading 4"/>
    <w:basedOn w:val="Normal"/>
    <w:next w:val="Normal"/>
    <w:link w:val="Heading4Char"/>
    <w:uiPriority w:val="9"/>
    <w:semiHidden/>
    <w:unhideWhenUsed/>
    <w:rsid w:val="00ED48EE"/>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D48EE"/>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ed">
    <w:name w:val="Numbered"/>
    <w:basedOn w:val="Normal"/>
    <w:qFormat/>
    <w:rsid w:val="00042A5B"/>
    <w:pPr>
      <w:numPr>
        <w:numId w:val="10"/>
      </w:numPr>
      <w:spacing w:after="120"/>
    </w:pPr>
    <w:rPr>
      <w:rFonts w:ascii="Arial" w:eastAsiaTheme="minorHAnsi" w:hAnsi="Arial"/>
      <w:color w:val="000000" w:themeColor="text1"/>
      <w:sz w:val="20"/>
    </w:rPr>
  </w:style>
  <w:style w:type="character" w:customStyle="1" w:styleId="Heading1Char">
    <w:name w:val="Heading 1 Char"/>
    <w:basedOn w:val="DefaultParagraphFont"/>
    <w:link w:val="Heading1"/>
    <w:rsid w:val="00394AA0"/>
    <w:rPr>
      <w:rFonts w:ascii="Arial" w:eastAsia="Times New Roman" w:hAnsi="Arial" w:cs="Arial"/>
      <w:b/>
      <w:bCs/>
      <w:color w:val="000000" w:themeColor="text1"/>
      <w:sz w:val="20"/>
      <w:szCs w:val="26"/>
      <w:lang w:val="en-GB"/>
    </w:rPr>
  </w:style>
  <w:style w:type="paragraph" w:styleId="Header">
    <w:name w:val="header"/>
    <w:basedOn w:val="Normal"/>
    <w:link w:val="HeaderChar"/>
    <w:uiPriority w:val="99"/>
    <w:unhideWhenUsed/>
    <w:rsid w:val="00653A40"/>
    <w:pPr>
      <w:tabs>
        <w:tab w:val="center" w:pos="4320"/>
        <w:tab w:val="right" w:pos="8640"/>
      </w:tabs>
    </w:pPr>
  </w:style>
  <w:style w:type="character" w:customStyle="1" w:styleId="HeaderChar">
    <w:name w:val="Header Char"/>
    <w:basedOn w:val="DefaultParagraphFont"/>
    <w:link w:val="Header"/>
    <w:uiPriority w:val="99"/>
    <w:rsid w:val="00653A40"/>
  </w:style>
  <w:style w:type="paragraph" w:styleId="Footer">
    <w:name w:val="footer"/>
    <w:basedOn w:val="Normal"/>
    <w:link w:val="FooterChar"/>
    <w:uiPriority w:val="99"/>
    <w:unhideWhenUsed/>
    <w:rsid w:val="00394AA0"/>
    <w:pPr>
      <w:tabs>
        <w:tab w:val="center" w:pos="4320"/>
        <w:tab w:val="right" w:pos="8640"/>
      </w:tabs>
    </w:pPr>
    <w:rPr>
      <w:rFonts w:ascii="Arial" w:hAnsi="Arial"/>
      <w:sz w:val="16"/>
    </w:rPr>
  </w:style>
  <w:style w:type="character" w:customStyle="1" w:styleId="FooterChar">
    <w:name w:val="Footer Char"/>
    <w:basedOn w:val="DefaultParagraphFont"/>
    <w:link w:val="Footer"/>
    <w:uiPriority w:val="99"/>
    <w:rsid w:val="00394AA0"/>
    <w:rPr>
      <w:rFonts w:ascii="Arial" w:hAnsi="Arial"/>
      <w:sz w:val="16"/>
    </w:rPr>
  </w:style>
  <w:style w:type="paragraph" w:styleId="BalloonText">
    <w:name w:val="Balloon Text"/>
    <w:basedOn w:val="Normal"/>
    <w:link w:val="BalloonTextChar"/>
    <w:uiPriority w:val="99"/>
    <w:semiHidden/>
    <w:unhideWhenUsed/>
    <w:rsid w:val="00653A40"/>
    <w:rPr>
      <w:rFonts w:ascii="Lucida Grande" w:hAnsi="Lucida Grande"/>
      <w:sz w:val="18"/>
      <w:szCs w:val="18"/>
    </w:rPr>
  </w:style>
  <w:style w:type="character" w:customStyle="1" w:styleId="BalloonTextChar">
    <w:name w:val="Balloon Text Char"/>
    <w:basedOn w:val="DefaultParagraphFont"/>
    <w:link w:val="BalloonText"/>
    <w:uiPriority w:val="99"/>
    <w:semiHidden/>
    <w:rsid w:val="00653A40"/>
    <w:rPr>
      <w:rFonts w:ascii="Lucida Grande" w:hAnsi="Lucida Grande"/>
      <w:sz w:val="18"/>
      <w:szCs w:val="18"/>
    </w:rPr>
  </w:style>
  <w:style w:type="paragraph" w:customStyle="1" w:styleId="NoParagraphStyle">
    <w:name w:val="[No Paragraph Style]"/>
    <w:rsid w:val="00653A40"/>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BasicParagraph">
    <w:name w:val="[Basic Paragraph]"/>
    <w:basedOn w:val="NoParagraphStyle"/>
    <w:uiPriority w:val="99"/>
    <w:rsid w:val="00653A40"/>
    <w:pPr>
      <w:tabs>
        <w:tab w:val="left" w:pos="283"/>
      </w:tabs>
      <w:suppressAutoHyphens/>
      <w:spacing w:line="220" w:lineRule="atLeast"/>
    </w:pPr>
    <w:rPr>
      <w:rFonts w:ascii="HelveticaNeueLTStd-Lt" w:hAnsi="HelveticaNeueLTStd-Lt" w:cs="HelveticaNeueLTStd-Lt"/>
      <w:sz w:val="18"/>
      <w:szCs w:val="18"/>
    </w:rPr>
  </w:style>
  <w:style w:type="paragraph" w:customStyle="1" w:styleId="Text">
    <w:name w:val="Text"/>
    <w:basedOn w:val="Normal"/>
    <w:link w:val="TextChar"/>
    <w:qFormat/>
    <w:rsid w:val="00042A5B"/>
    <w:pPr>
      <w:spacing w:after="240"/>
    </w:pPr>
    <w:rPr>
      <w:rFonts w:ascii="Arial" w:hAnsi="Arial" w:cs="Arial"/>
      <w:sz w:val="20"/>
      <w:szCs w:val="20"/>
    </w:rPr>
  </w:style>
  <w:style w:type="paragraph" w:customStyle="1" w:styleId="Dotpoint2">
    <w:name w:val="Dotpoint2"/>
    <w:basedOn w:val="Normal"/>
    <w:locked/>
    <w:rsid w:val="00042A5B"/>
    <w:pPr>
      <w:numPr>
        <w:numId w:val="4"/>
      </w:numPr>
      <w:tabs>
        <w:tab w:val="clear" w:pos="851"/>
        <w:tab w:val="num" w:pos="709"/>
      </w:tabs>
      <w:spacing w:after="120"/>
      <w:ind w:left="709" w:hanging="283"/>
    </w:pPr>
    <w:rPr>
      <w:rFonts w:ascii="Verdana" w:eastAsia="Times New Roman" w:hAnsi="Verdana" w:cs="Times New Roman"/>
      <w:sz w:val="20"/>
      <w:szCs w:val="20"/>
      <w:lang w:eastAsia="en-AU"/>
    </w:rPr>
  </w:style>
  <w:style w:type="character" w:customStyle="1" w:styleId="TextChar">
    <w:name w:val="Text Char"/>
    <w:basedOn w:val="DefaultParagraphFont"/>
    <w:link w:val="Text"/>
    <w:rsid w:val="00042A5B"/>
    <w:rPr>
      <w:rFonts w:ascii="Arial" w:hAnsi="Arial" w:cs="Arial"/>
      <w:sz w:val="20"/>
      <w:szCs w:val="20"/>
    </w:rPr>
  </w:style>
  <w:style w:type="paragraph" w:customStyle="1" w:styleId="Dotpoint1">
    <w:name w:val="Dotpoint1"/>
    <w:basedOn w:val="Text"/>
    <w:qFormat/>
    <w:rsid w:val="00042A5B"/>
    <w:pPr>
      <w:numPr>
        <w:numId w:val="8"/>
      </w:numPr>
    </w:pPr>
  </w:style>
  <w:style w:type="character" w:customStyle="1" w:styleId="Heading2Char">
    <w:name w:val="Heading 2 Char"/>
    <w:basedOn w:val="DefaultParagraphFont"/>
    <w:link w:val="Heading2"/>
    <w:uiPriority w:val="9"/>
    <w:rsid w:val="00042A5B"/>
    <w:rPr>
      <w:rFonts w:ascii="Arial" w:eastAsiaTheme="majorEastAsia" w:hAnsi="Arial" w:cstheme="majorBidi"/>
      <w:b/>
      <w:bCs/>
      <w:color w:val="000000" w:themeColor="text1"/>
      <w:sz w:val="20"/>
      <w:szCs w:val="26"/>
    </w:rPr>
  </w:style>
  <w:style w:type="character" w:customStyle="1" w:styleId="Heading3Char">
    <w:name w:val="Heading 3 Char"/>
    <w:basedOn w:val="DefaultParagraphFont"/>
    <w:link w:val="Heading3"/>
    <w:uiPriority w:val="9"/>
    <w:rsid w:val="00042A5B"/>
    <w:rPr>
      <w:rFonts w:ascii="Arial" w:eastAsiaTheme="majorEastAsia" w:hAnsi="Arial" w:cstheme="majorBidi"/>
      <w:bCs/>
      <w:i/>
      <w:sz w:val="20"/>
    </w:rPr>
  </w:style>
  <w:style w:type="paragraph" w:customStyle="1" w:styleId="Heading10">
    <w:name w:val="Heading1"/>
    <w:basedOn w:val="Text"/>
    <w:rsid w:val="00394AA0"/>
    <w:pPr>
      <w:spacing w:before="280" w:after="120"/>
    </w:pPr>
    <w:rPr>
      <w:rFonts w:eastAsia="Times New Roman"/>
      <w:spacing w:val="10"/>
      <w:lang w:eastAsia="en-AU"/>
    </w:rPr>
  </w:style>
  <w:style w:type="character" w:customStyle="1" w:styleId="Heading4Char">
    <w:name w:val="Heading 4 Char"/>
    <w:basedOn w:val="DefaultParagraphFont"/>
    <w:link w:val="Heading4"/>
    <w:uiPriority w:val="9"/>
    <w:semiHidden/>
    <w:rsid w:val="00ED48EE"/>
    <w:rPr>
      <w:rFonts w:asciiTheme="majorHAnsi" w:eastAsiaTheme="majorEastAsia" w:hAnsiTheme="majorHAnsi" w:cstheme="majorBidi"/>
      <w:b/>
      <w:bCs/>
      <w:i/>
      <w:iCs/>
      <w:color w:val="4F81BD" w:themeColor="accent1"/>
      <w:lang w:val="en-AU"/>
    </w:rPr>
  </w:style>
  <w:style w:type="character" w:customStyle="1" w:styleId="Heading5Char">
    <w:name w:val="Heading 5 Char"/>
    <w:basedOn w:val="DefaultParagraphFont"/>
    <w:link w:val="Heading5"/>
    <w:uiPriority w:val="9"/>
    <w:semiHidden/>
    <w:rsid w:val="00ED48EE"/>
    <w:rPr>
      <w:rFonts w:asciiTheme="majorHAnsi" w:eastAsiaTheme="majorEastAsia" w:hAnsiTheme="majorHAnsi" w:cstheme="majorBidi"/>
      <w:color w:val="243F60" w:themeColor="accent1" w:themeShade="7F"/>
      <w:lang w:val="en-AU"/>
    </w:rPr>
  </w:style>
  <w:style w:type="paragraph" w:styleId="ListParagraph">
    <w:name w:val="List Paragraph"/>
    <w:basedOn w:val="Normal"/>
    <w:uiPriority w:val="34"/>
    <w:qFormat/>
    <w:rsid w:val="00D736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cver.edu.au/publications/2603.html" TargetMode="External"/><Relationship Id="rId18" Type="http://schemas.openxmlformats.org/officeDocument/2006/relationships/hyperlink" Target="http://www.ncver.edu.au/publications/2718.html" TargetMode="External"/><Relationship Id="rId26" Type="http://schemas.openxmlformats.org/officeDocument/2006/relationships/hyperlink" Target="http://www.ncver.edu.au/publications/1911.html" TargetMode="External"/><Relationship Id="rId3" Type="http://schemas.openxmlformats.org/officeDocument/2006/relationships/styles" Target="styles.xml"/><Relationship Id="rId21" Type="http://schemas.openxmlformats.org/officeDocument/2006/relationships/hyperlink" Target="http://www.ncver.edu.au/publications/2724.html" TargetMode="External"/><Relationship Id="rId7" Type="http://schemas.openxmlformats.org/officeDocument/2006/relationships/footnotes" Target="footnotes.xml"/><Relationship Id="rId12" Type="http://schemas.openxmlformats.org/officeDocument/2006/relationships/hyperlink" Target="mailto:rod.camm@ncver.edu.au" TargetMode="External"/><Relationship Id="rId17" Type="http://schemas.openxmlformats.org/officeDocument/2006/relationships/hyperlink" Target="http://www.ncver.edu.au/publications/2127.html" TargetMode="External"/><Relationship Id="rId25" Type="http://schemas.openxmlformats.org/officeDocument/2006/relationships/hyperlink" Target="http://www.ncver.edu.au/publications/2708.html" TargetMode="External"/><Relationship Id="rId2" Type="http://schemas.openxmlformats.org/officeDocument/2006/relationships/numbering" Target="numbering.xml"/><Relationship Id="rId16" Type="http://schemas.openxmlformats.org/officeDocument/2006/relationships/hyperlink" Target="http://www.ncver.edu.au/publications/2573.html" TargetMode="External"/><Relationship Id="rId20" Type="http://schemas.openxmlformats.org/officeDocument/2006/relationships/hyperlink" Target="https://www.aihw.gov.au/uploadedFiles/ClosingTheGap/Content/Our_publications/2014/ctgc-ip9.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www.pc.gov.au/gsp/rogs/indigenous-compendium-2013" TargetMode="External"/><Relationship Id="rId5" Type="http://schemas.openxmlformats.org/officeDocument/2006/relationships/settings" Target="settings.xml"/><Relationship Id="rId15" Type="http://schemas.openxmlformats.org/officeDocument/2006/relationships/hyperlink" Target="http://www.ncver.edu.au/publications/2174.html" TargetMode="External"/><Relationship Id="rId23" Type="http://schemas.openxmlformats.org/officeDocument/2006/relationships/hyperlink" Target="https://www.ncver.edu.au/wps/poc?urile=wcm:path:/wps/wcm/connect/NCVER_Shared/Data/Indigenous-students-2013" TargetMode="External"/><Relationship Id="rId28" Type="http://schemas.openxmlformats.org/officeDocument/2006/relationships/header" Target="header2.xml"/><Relationship Id="rId10" Type="http://schemas.openxmlformats.org/officeDocument/2006/relationships/header" Target="header1.xml"/><Relationship Id="rId19" Type="http://schemas.openxmlformats.org/officeDocument/2006/relationships/hyperlink" Target="http://www.lsay.edu.au/publications/2669.html"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ncver.edu.au/publications/2560.html" TargetMode="External"/><Relationship Id="rId22" Type="http://schemas.openxmlformats.org/officeDocument/2006/relationships/hyperlink" Target="http://www.voced.edu.au/content/ngv63414" TargetMode="External"/><Relationship Id="rId27" Type="http://schemas.openxmlformats.org/officeDocument/2006/relationships/footer" Target="foot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g:\ncver\templates\NCVER_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2E2C4-DD48-4E82-85DB-0AEB07D77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NCVER_Letterhead.dotx</Template>
  <TotalTime>2</TotalTime>
  <Pages>7</Pages>
  <Words>3298</Words>
  <Characters>18804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Algo Mas Marketing</Company>
  <LinksUpToDate>false</LinksUpToDate>
  <CharactersWithSpaces>22058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Frazer</dc:creator>
  <cp:lastModifiedBy>Kelly Frazer</cp:lastModifiedBy>
  <cp:revision>2</cp:revision>
  <cp:lastPrinted>2014-09-19T05:03:00Z</cp:lastPrinted>
  <dcterms:created xsi:type="dcterms:W3CDTF">2014-12-24T03:22:00Z</dcterms:created>
  <dcterms:modified xsi:type="dcterms:W3CDTF">2014-12-24T03:22:00Z</dcterms:modified>
</cp:coreProperties>
</file>