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Look w:val="0000" w:firstRow="0" w:lastRow="0" w:firstColumn="0" w:lastColumn="0" w:noHBand="0" w:noVBand="0"/>
      </w:tblPr>
      <w:tblGrid>
        <w:gridCol w:w="9360"/>
      </w:tblGrid>
      <w:tr w:rsidR="00F031E5" w:rsidRPr="003B173B" w:rsidTr="0007031D">
        <w:trPr>
          <w:trHeight w:val="573"/>
          <w:jc w:val="center"/>
        </w:trPr>
        <w:tc>
          <w:tcPr>
            <w:tcW w:w="9360" w:type="dxa"/>
            <w:tcBorders>
              <w:bottom w:val="single" w:sz="4" w:space="0" w:color="808080"/>
            </w:tcBorders>
            <w:shd w:val="clear" w:color="auto" w:fill="auto"/>
            <w:vAlign w:val="center"/>
          </w:tcPr>
          <w:p w:rsidR="00F031E5" w:rsidRPr="00D45E6E" w:rsidRDefault="00F031E5" w:rsidP="00F031E5">
            <w:pPr>
              <w:pStyle w:val="Heading1"/>
              <w:numPr>
                <w:ilvl w:val="0"/>
                <w:numId w:val="0"/>
              </w:numPr>
              <w:spacing w:after="60"/>
              <w:ind w:left="426"/>
              <w:rPr>
                <w:rFonts w:ascii="Verdana" w:hAnsi="Verdana"/>
                <w:b w:val="0"/>
              </w:rPr>
            </w:pPr>
            <w:bookmarkStart w:id="0" w:name="_GoBack"/>
            <w:bookmarkEnd w:id="0"/>
            <w:r>
              <w:rPr>
                <w:rFonts w:ascii="Verdana" w:hAnsi="Verdana"/>
                <w:sz w:val="40"/>
              </w:rPr>
              <w:br/>
            </w:r>
          </w:p>
        </w:tc>
      </w:tr>
      <w:tr w:rsidR="00A95865" w:rsidRPr="00146FBB" w:rsidTr="0051338D">
        <w:trPr>
          <w:trHeight w:val="573"/>
          <w:jc w:val="center"/>
        </w:trPr>
        <w:tc>
          <w:tcPr>
            <w:tcW w:w="9360" w:type="dxa"/>
            <w:tcBorders>
              <w:bottom w:val="single" w:sz="4" w:space="0" w:color="808080"/>
            </w:tcBorders>
            <w:shd w:val="clear" w:color="auto" w:fill="auto"/>
            <w:vAlign w:val="center"/>
          </w:tcPr>
          <w:p w:rsidR="00A95865" w:rsidRPr="00146FBB" w:rsidRDefault="00F031E5" w:rsidP="00F031E5">
            <w:pPr>
              <w:pStyle w:val="Heading1"/>
              <w:numPr>
                <w:ilvl w:val="0"/>
                <w:numId w:val="0"/>
              </w:numPr>
              <w:ind w:left="426"/>
              <w:jc w:val="center"/>
            </w:pPr>
            <w:r w:rsidRPr="00D45E6E">
              <w:rPr>
                <w:rFonts w:ascii="Verdana" w:hAnsi="Verdana"/>
                <w:sz w:val="40"/>
              </w:rPr>
              <w:t>Submission</w:t>
            </w:r>
          </w:p>
        </w:tc>
      </w:tr>
      <w:tr w:rsidR="00A95865" w:rsidRPr="00146FBB" w:rsidTr="0051338D">
        <w:trPr>
          <w:trHeight w:val="268"/>
          <w:jc w:val="center"/>
        </w:trPr>
        <w:tc>
          <w:tcPr>
            <w:tcW w:w="9360" w:type="dxa"/>
            <w:tcBorders>
              <w:top w:val="single" w:sz="4" w:space="0" w:color="808080"/>
            </w:tcBorders>
            <w:vAlign w:val="center"/>
          </w:tcPr>
          <w:p w:rsidR="00A95865" w:rsidRPr="00146FBB" w:rsidRDefault="00A95865" w:rsidP="0051338D">
            <w:pPr>
              <w:pStyle w:val="Heading2"/>
              <w:spacing w:before="60" w:after="60"/>
              <w:jc w:val="center"/>
              <w:rPr>
                <w:rFonts w:ascii="Verdana" w:hAnsi="Verdana"/>
                <w:sz w:val="22"/>
                <w:szCs w:val="22"/>
              </w:rPr>
            </w:pPr>
            <w:r w:rsidRPr="00146FBB">
              <w:rPr>
                <w:rFonts w:ascii="Verdana" w:hAnsi="Verdana"/>
                <w:sz w:val="22"/>
                <w:szCs w:val="22"/>
              </w:rPr>
              <w:t>by the National Centre For Vocational Education Research (NCVER)</w:t>
            </w:r>
          </w:p>
        </w:tc>
      </w:tr>
      <w:tr w:rsidR="00A95865" w:rsidRPr="00146FBB" w:rsidTr="0051338D">
        <w:trPr>
          <w:trHeight w:val="268"/>
          <w:jc w:val="center"/>
        </w:trPr>
        <w:tc>
          <w:tcPr>
            <w:tcW w:w="9360" w:type="dxa"/>
            <w:vAlign w:val="center"/>
          </w:tcPr>
          <w:p w:rsidR="00A95865" w:rsidRPr="00146FBB" w:rsidRDefault="00A95865" w:rsidP="0051338D">
            <w:pPr>
              <w:pStyle w:val="Heading2"/>
              <w:spacing w:before="60" w:after="60"/>
              <w:jc w:val="center"/>
              <w:rPr>
                <w:rFonts w:ascii="Verdana" w:hAnsi="Verdana"/>
                <w:sz w:val="22"/>
                <w:szCs w:val="22"/>
              </w:rPr>
            </w:pPr>
            <w:r w:rsidRPr="00146FBB">
              <w:rPr>
                <w:rFonts w:ascii="Verdana" w:hAnsi="Verdana"/>
                <w:sz w:val="22"/>
                <w:szCs w:val="22"/>
              </w:rPr>
              <w:t>To</w:t>
            </w:r>
          </w:p>
        </w:tc>
      </w:tr>
      <w:tr w:rsidR="00A95865" w:rsidRPr="00146FBB" w:rsidTr="0051338D">
        <w:trPr>
          <w:trHeight w:val="268"/>
          <w:jc w:val="center"/>
        </w:trPr>
        <w:tc>
          <w:tcPr>
            <w:tcW w:w="9360" w:type="dxa"/>
            <w:vAlign w:val="center"/>
          </w:tcPr>
          <w:p w:rsidR="00A95865" w:rsidRDefault="00A95865" w:rsidP="0051338D">
            <w:pPr>
              <w:pStyle w:val="Heading2"/>
              <w:spacing w:before="60" w:after="60"/>
              <w:jc w:val="center"/>
              <w:rPr>
                <w:rFonts w:ascii="Verdana" w:hAnsi="Verdana"/>
                <w:sz w:val="22"/>
                <w:szCs w:val="22"/>
              </w:rPr>
            </w:pPr>
            <w:r w:rsidRPr="00146FBB">
              <w:rPr>
                <w:rFonts w:ascii="Verdana" w:hAnsi="Verdana"/>
                <w:sz w:val="22"/>
                <w:szCs w:val="22"/>
              </w:rPr>
              <w:t>VET Taskforce – Department of Industry (</w:t>
            </w:r>
            <w:hyperlink r:id="rId9" w:history="1">
              <w:r w:rsidRPr="00146FBB">
                <w:rPr>
                  <w:rStyle w:val="Hyperlink"/>
                  <w:rFonts w:ascii="Verdana" w:hAnsi="Verdana"/>
                  <w:sz w:val="22"/>
                  <w:szCs w:val="22"/>
                </w:rPr>
                <w:t>vettaskforce@industry.gov.au</w:t>
              </w:r>
            </w:hyperlink>
            <w:r w:rsidRPr="00146FBB">
              <w:rPr>
                <w:rFonts w:ascii="Verdana" w:hAnsi="Verdana"/>
                <w:sz w:val="22"/>
                <w:szCs w:val="22"/>
              </w:rPr>
              <w:t xml:space="preserve">) </w:t>
            </w:r>
          </w:p>
          <w:p w:rsidR="00A95865" w:rsidRPr="00146FBB" w:rsidRDefault="00784E15" w:rsidP="00784E15">
            <w:pPr>
              <w:jc w:val="center"/>
              <w:rPr>
                <w:sz w:val="16"/>
                <w:szCs w:val="16"/>
              </w:rPr>
            </w:pPr>
            <w:r w:rsidRPr="00784E15">
              <w:rPr>
                <w:rFonts w:ascii="Verdana" w:hAnsi="Verdana"/>
                <w:sz w:val="22"/>
                <w:szCs w:val="22"/>
              </w:rPr>
              <w:t>February 2015</w:t>
            </w:r>
          </w:p>
        </w:tc>
      </w:tr>
      <w:tr w:rsidR="00A95865" w:rsidRPr="00146FBB" w:rsidTr="0051338D">
        <w:trPr>
          <w:trHeight w:val="302"/>
          <w:jc w:val="center"/>
        </w:trPr>
        <w:tc>
          <w:tcPr>
            <w:tcW w:w="9360" w:type="dxa"/>
            <w:tcBorders>
              <w:bottom w:val="single" w:sz="4" w:space="0" w:color="808080"/>
            </w:tcBorders>
            <w:shd w:val="clear" w:color="auto" w:fill="auto"/>
            <w:vAlign w:val="center"/>
          </w:tcPr>
          <w:p w:rsidR="00A95865" w:rsidRPr="00146FBB" w:rsidRDefault="00A95865" w:rsidP="0051338D">
            <w:pPr>
              <w:pStyle w:val="Titleofenquiry"/>
              <w:spacing w:before="0" w:after="0"/>
            </w:pPr>
          </w:p>
        </w:tc>
      </w:tr>
      <w:tr w:rsidR="00A95865" w:rsidRPr="00146FBB" w:rsidTr="0051338D">
        <w:trPr>
          <w:trHeight w:val="268"/>
          <w:jc w:val="center"/>
        </w:trPr>
        <w:tc>
          <w:tcPr>
            <w:tcW w:w="9360" w:type="dxa"/>
            <w:tcBorders>
              <w:bottom w:val="single" w:sz="4" w:space="0" w:color="808080"/>
            </w:tcBorders>
            <w:shd w:val="clear" w:color="auto" w:fill="999999"/>
            <w:vAlign w:val="center"/>
          </w:tcPr>
          <w:p w:rsidR="00A95865" w:rsidRPr="00146FBB" w:rsidRDefault="00EA0CD0" w:rsidP="00784E15">
            <w:pPr>
              <w:pStyle w:val="Titleofenquiry"/>
            </w:pPr>
            <w:r w:rsidRPr="00146FBB">
              <w:rPr>
                <w:b w:val="0"/>
                <w:spacing w:val="10"/>
                <w:lang w:val="en-US"/>
              </w:rPr>
              <w:t>Review of Training Packages and Accredited Courses</w:t>
            </w:r>
            <w:r w:rsidR="00784E15">
              <w:rPr>
                <w:b w:val="0"/>
                <w:spacing w:val="10"/>
                <w:lang w:val="en-US"/>
              </w:rPr>
              <w:t xml:space="preserve"> </w:t>
            </w:r>
          </w:p>
        </w:tc>
      </w:tr>
    </w:tbl>
    <w:p w:rsidR="00A95865" w:rsidRPr="00146FBB" w:rsidRDefault="00A95865" w:rsidP="00560B0A">
      <w:pPr>
        <w:pStyle w:val="Text"/>
      </w:pPr>
    </w:p>
    <w:p w:rsidR="00A95865" w:rsidRPr="00146FBB" w:rsidRDefault="00A95865" w:rsidP="00560B0A">
      <w:pPr>
        <w:pStyle w:val="Text"/>
      </w:pPr>
      <w:r w:rsidRPr="00146FBB">
        <w:t xml:space="preserve">Name: </w:t>
      </w:r>
      <w:r w:rsidR="000654A2" w:rsidRPr="00146FBB">
        <w:tab/>
      </w:r>
      <w:r w:rsidRPr="00146FBB">
        <w:t>National Centre for Vocational Education Research (NCVER)</w:t>
      </w:r>
    </w:p>
    <w:p w:rsidR="00A95865" w:rsidRPr="00146FBB" w:rsidRDefault="00A95865" w:rsidP="00560B0A">
      <w:pPr>
        <w:pStyle w:val="Text"/>
      </w:pPr>
      <w:r w:rsidRPr="00146FBB">
        <w:t>Category:</w:t>
      </w:r>
      <w:r w:rsidR="00144413" w:rsidRPr="00146FBB">
        <w:t xml:space="preserve"> </w:t>
      </w:r>
      <w:r w:rsidRPr="00146FBB">
        <w:t>Ministerial Owned Company</w:t>
      </w:r>
    </w:p>
    <w:p w:rsidR="00A95865" w:rsidRPr="00146FBB" w:rsidRDefault="00A95865" w:rsidP="00560B0A">
      <w:pPr>
        <w:pStyle w:val="Text"/>
      </w:pPr>
      <w:r w:rsidRPr="00146FBB">
        <w:t xml:space="preserve">Contact: </w:t>
      </w:r>
      <w:r w:rsidR="005011F4" w:rsidRPr="00146FBB">
        <w:t xml:space="preserve">Dr </w:t>
      </w:r>
      <w:r w:rsidRPr="00146FBB">
        <w:t>Craig Fowler, Managing Director</w:t>
      </w:r>
    </w:p>
    <w:p w:rsidR="00A95865" w:rsidRPr="00146FBB" w:rsidRDefault="00A95865" w:rsidP="00560B0A">
      <w:pPr>
        <w:pStyle w:val="Text"/>
      </w:pPr>
      <w:r w:rsidRPr="00146FBB">
        <w:t xml:space="preserve">Phone: </w:t>
      </w:r>
      <w:r w:rsidR="000654A2" w:rsidRPr="00146FBB">
        <w:tab/>
      </w:r>
      <w:r w:rsidRPr="00146FBB">
        <w:t>08 8230 8400</w:t>
      </w:r>
    </w:p>
    <w:p w:rsidR="00A95865" w:rsidRPr="00146FBB" w:rsidRDefault="00A95865" w:rsidP="00560B0A">
      <w:pPr>
        <w:pStyle w:val="Text"/>
      </w:pPr>
      <w:r w:rsidRPr="00146FBB">
        <w:rPr>
          <w:szCs w:val="19"/>
        </w:rPr>
        <w:t xml:space="preserve">Email: </w:t>
      </w:r>
      <w:r w:rsidR="000654A2" w:rsidRPr="00146FBB">
        <w:rPr>
          <w:szCs w:val="19"/>
        </w:rPr>
        <w:tab/>
      </w:r>
      <w:hyperlink r:id="rId10" w:history="1">
        <w:r w:rsidRPr="00146FBB">
          <w:rPr>
            <w:rStyle w:val="Hyperlink"/>
          </w:rPr>
          <w:t>craig.fowler@ncver.edu.au</w:t>
        </w:r>
      </w:hyperlink>
    </w:p>
    <w:p w:rsidR="00A95865" w:rsidRPr="00146FBB" w:rsidRDefault="00A95865" w:rsidP="006754E3">
      <w:pPr>
        <w:pStyle w:val="Heading3"/>
        <w:spacing w:after="240"/>
        <w:rPr>
          <w:rFonts w:asciiTheme="majorHAnsi" w:hAnsiTheme="majorHAnsi" w:cstheme="majorHAnsi"/>
          <w:b/>
          <w:i w:val="0"/>
          <w:sz w:val="28"/>
          <w:szCs w:val="28"/>
          <w:lang w:val="en-US"/>
        </w:rPr>
      </w:pPr>
      <w:r w:rsidRPr="00146FBB">
        <w:rPr>
          <w:rFonts w:asciiTheme="majorHAnsi" w:hAnsiTheme="majorHAnsi" w:cstheme="majorHAnsi"/>
          <w:b/>
          <w:i w:val="0"/>
          <w:sz w:val="28"/>
          <w:szCs w:val="28"/>
          <w:lang w:val="en-US"/>
        </w:rPr>
        <w:t xml:space="preserve">RESPONSE TO THE </w:t>
      </w:r>
      <w:r w:rsidR="00784E15">
        <w:rPr>
          <w:rFonts w:asciiTheme="majorHAnsi" w:hAnsiTheme="majorHAnsi" w:cstheme="majorHAnsi"/>
          <w:b/>
          <w:i w:val="0"/>
          <w:sz w:val="28"/>
          <w:szCs w:val="28"/>
          <w:lang w:val="en-US"/>
        </w:rPr>
        <w:t xml:space="preserve">DISCUSSION </w:t>
      </w:r>
      <w:r w:rsidRPr="00146FBB">
        <w:rPr>
          <w:rFonts w:asciiTheme="majorHAnsi" w:hAnsiTheme="majorHAnsi" w:cstheme="majorHAnsi"/>
          <w:b/>
          <w:i w:val="0"/>
          <w:sz w:val="28"/>
          <w:szCs w:val="28"/>
          <w:lang w:val="en-US"/>
        </w:rPr>
        <w:t>PAPER</w:t>
      </w:r>
      <w:r w:rsidR="000310C6" w:rsidRPr="000310C6">
        <w:rPr>
          <w:rStyle w:val="FootnoteReference"/>
          <w:rFonts w:asciiTheme="majorHAnsi" w:hAnsiTheme="majorHAnsi" w:cstheme="majorHAnsi"/>
          <w:i w:val="0"/>
          <w:sz w:val="28"/>
          <w:szCs w:val="28"/>
          <w:lang w:val="en-US"/>
        </w:rPr>
        <w:footnoteReference w:id="1"/>
      </w:r>
      <w:r w:rsidRPr="00146FBB">
        <w:rPr>
          <w:rFonts w:asciiTheme="majorHAnsi" w:hAnsiTheme="majorHAnsi" w:cstheme="majorHAnsi"/>
          <w:b/>
          <w:i w:val="0"/>
          <w:sz w:val="28"/>
          <w:szCs w:val="28"/>
          <w:lang w:val="en-US"/>
        </w:rPr>
        <w:t xml:space="preserve"> </w:t>
      </w:r>
    </w:p>
    <w:p w:rsidR="00A95865" w:rsidRPr="00146FBB" w:rsidRDefault="00A95865" w:rsidP="00560B0A">
      <w:pPr>
        <w:pStyle w:val="Text"/>
      </w:pPr>
      <w:r w:rsidRPr="00146FBB">
        <w:t xml:space="preserve">The National Centre for Vocational Education Research (NCVER) is an independent body responsible for collecting, managing, analysing, evaluating and communicating research and statistics about tertiary education and training. </w:t>
      </w:r>
    </w:p>
    <w:p w:rsidR="006E73D7" w:rsidRDefault="008F0179" w:rsidP="00D15673">
      <w:pPr>
        <w:pStyle w:val="Text"/>
      </w:pPr>
      <w:r w:rsidRPr="00146FBB">
        <w:t xml:space="preserve">With regard to </w:t>
      </w:r>
      <w:r w:rsidR="00DE01EE" w:rsidRPr="00146FBB">
        <w:t xml:space="preserve">the </w:t>
      </w:r>
      <w:r w:rsidR="00124909" w:rsidRPr="00146FBB">
        <w:t xml:space="preserve">key </w:t>
      </w:r>
      <w:r w:rsidR="00955218" w:rsidRPr="00146FBB">
        <w:t xml:space="preserve">overarching </w:t>
      </w:r>
      <w:r w:rsidR="00124909" w:rsidRPr="00146FBB">
        <w:t>question around whether training packages and accredited courses are meeting the needs of industry, employers, training provider</w:t>
      </w:r>
      <w:r w:rsidR="00955218" w:rsidRPr="00146FBB">
        <w:t xml:space="preserve"> and students; NCVER makes the</w:t>
      </w:r>
      <w:r w:rsidR="00124909" w:rsidRPr="00146FBB">
        <w:t xml:space="preserve"> following comments categorised under the three (3) ‘levers’ identified in the Review of Training Packages and Accredited Courses – Discussion paper</w:t>
      </w:r>
      <w:r w:rsidR="006E73D7">
        <w:t>: the content</w:t>
      </w:r>
      <w:r w:rsidR="0059786F">
        <w:t xml:space="preserve"> relevant to economic need</w:t>
      </w:r>
      <w:r w:rsidR="006E73D7">
        <w:t>; the approach to regulatio</w:t>
      </w:r>
      <w:r w:rsidR="00AA2985">
        <w:t xml:space="preserve">n, development and maintenance; </w:t>
      </w:r>
      <w:r w:rsidR="006E73D7">
        <w:t>and the focus on assessment</w:t>
      </w:r>
      <w:r w:rsidR="006E73D7" w:rsidRPr="00C7091F">
        <w:t xml:space="preserve">. </w:t>
      </w:r>
      <w:r w:rsidR="00DE01EE" w:rsidRPr="00C7091F">
        <w:t xml:space="preserve"> </w:t>
      </w:r>
      <w:r w:rsidR="006E73D7" w:rsidRPr="00C7091F">
        <w:t>I</w:t>
      </w:r>
      <w:r w:rsidR="0007031D">
        <w:t>n</w:t>
      </w:r>
      <w:r w:rsidR="006E73D7" w:rsidRPr="00C7091F">
        <w:t xml:space="preserve"> addition we offer </w:t>
      </w:r>
      <w:r w:rsidR="00372272" w:rsidRPr="00C7091F">
        <w:t xml:space="preserve">comments </w:t>
      </w:r>
      <w:r w:rsidR="00372272">
        <w:t xml:space="preserve">on data related issues for </w:t>
      </w:r>
      <w:r w:rsidR="00C7091F">
        <w:t xml:space="preserve">further consideration. </w:t>
      </w:r>
    </w:p>
    <w:p w:rsidR="00A1432C" w:rsidRDefault="006E73D7" w:rsidP="00D15673">
      <w:pPr>
        <w:pStyle w:val="Text"/>
      </w:pPr>
      <w:r>
        <w:t>T</w:t>
      </w:r>
      <w:r w:rsidR="00DE01EE" w:rsidRPr="00146FBB">
        <w:t xml:space="preserve">hese </w:t>
      </w:r>
      <w:r w:rsidR="007F3875" w:rsidRPr="00146FBB">
        <w:t xml:space="preserve">comments </w:t>
      </w:r>
      <w:r w:rsidR="00DE01EE" w:rsidRPr="00146FBB">
        <w:t>are</w:t>
      </w:r>
      <w:r w:rsidR="005C0678" w:rsidRPr="00146FBB">
        <w:t xml:space="preserve"> based on </w:t>
      </w:r>
      <w:r w:rsidR="00AA2985" w:rsidRPr="00092FA4">
        <w:t xml:space="preserve">relevant research, our role in </w:t>
      </w:r>
      <w:r w:rsidR="00AA2985">
        <w:t xml:space="preserve">previous reviews of </w:t>
      </w:r>
      <w:r w:rsidR="00AA2985" w:rsidRPr="00092FA4">
        <w:t>Training Packages</w:t>
      </w:r>
      <w:r w:rsidR="00AA2985">
        <w:t>,</w:t>
      </w:r>
      <w:r w:rsidR="00AA2985" w:rsidRPr="00146FBB">
        <w:t xml:space="preserve"> </w:t>
      </w:r>
      <w:r w:rsidR="005C0678" w:rsidRPr="00146FBB">
        <w:t>our experiences in collecting and reporting student</w:t>
      </w:r>
      <w:r w:rsidR="008538E5" w:rsidRPr="00146FBB">
        <w:t>’</w:t>
      </w:r>
      <w:r w:rsidR="005C0678" w:rsidRPr="00146FBB">
        <w:t xml:space="preserve">s activity in training package qualifications and units, </w:t>
      </w:r>
      <w:r w:rsidR="00AA2985">
        <w:t xml:space="preserve">and </w:t>
      </w:r>
      <w:r w:rsidR="005C0678" w:rsidRPr="00146FBB">
        <w:t>our role in classifying training package qualifications and units</w:t>
      </w:r>
      <w:r w:rsidR="00092FA4" w:rsidRPr="00092FA4">
        <w:t xml:space="preserve">. </w:t>
      </w:r>
    </w:p>
    <w:p w:rsidR="00A1432C" w:rsidRDefault="0006207D" w:rsidP="00D15673">
      <w:pPr>
        <w:pStyle w:val="Text"/>
      </w:pPr>
      <w:r w:rsidRPr="0006207D">
        <w:t>It is essential to maintain a national system of qualifications and accredited training that is well articulated and underpinned by strong quality assurance systems. It can provide confidence in the credibility of Australian qualifications for employers and qualification holders, and improve the recognition and portability of qualifications across and between jurisdictions. From time to time, however, there is a need to ensure that the system retains its ability to adapt to changing environments. In undertaking the current review</w:t>
      </w:r>
      <w:r w:rsidR="00A1432C">
        <w:t xml:space="preserve"> </w:t>
      </w:r>
      <w:r>
        <w:t>it is important</w:t>
      </w:r>
      <w:r w:rsidR="00A1432C">
        <w:t xml:space="preserve"> to also be mindful </w:t>
      </w:r>
      <w:r>
        <w:t>of the findings of the previous two</w:t>
      </w:r>
      <w:r w:rsidR="004915EA" w:rsidRPr="00146FBB">
        <w:t xml:space="preserve"> </w:t>
      </w:r>
      <w:r w:rsidR="00843DDD" w:rsidRPr="00146FBB">
        <w:t>major</w:t>
      </w:r>
      <w:r w:rsidR="004915EA" w:rsidRPr="00146FBB">
        <w:t xml:space="preserve"> revie</w:t>
      </w:r>
      <w:r w:rsidR="00004A19" w:rsidRPr="00146FBB">
        <w:t xml:space="preserve">ws of Training Packages </w:t>
      </w:r>
      <w:r w:rsidR="00843DDD" w:rsidRPr="00146FBB">
        <w:t>(one in 2004</w:t>
      </w:r>
      <w:r w:rsidR="003D1951">
        <w:rPr>
          <w:rStyle w:val="FootnoteReference"/>
        </w:rPr>
        <w:footnoteReference w:id="2"/>
      </w:r>
      <w:r w:rsidR="00843DDD" w:rsidRPr="00146FBB">
        <w:t xml:space="preserve"> and </w:t>
      </w:r>
      <w:r w:rsidR="00843DDD" w:rsidRPr="00146FBB">
        <w:lastRenderedPageBreak/>
        <w:t>another in 2009</w:t>
      </w:r>
      <w:r w:rsidR="0003619D">
        <w:rPr>
          <w:rStyle w:val="FootnoteReference"/>
        </w:rPr>
        <w:footnoteReference w:id="3"/>
      </w:r>
      <w:r w:rsidR="00843DDD" w:rsidRPr="00146FBB">
        <w:t>)</w:t>
      </w:r>
      <w:r>
        <w:t xml:space="preserve">. These </w:t>
      </w:r>
      <w:r w:rsidR="00BC4EA1" w:rsidRPr="00146FBB">
        <w:t xml:space="preserve">have </w:t>
      </w:r>
      <w:r w:rsidR="00843DDD" w:rsidRPr="00146FBB">
        <w:t xml:space="preserve">generally </w:t>
      </w:r>
      <w:r w:rsidR="00BC4EA1" w:rsidRPr="00146FBB">
        <w:t xml:space="preserve">noted the acceptance of Training Packages </w:t>
      </w:r>
      <w:r w:rsidR="00CE6443">
        <w:t xml:space="preserve">and Accredited Courses </w:t>
      </w:r>
      <w:r w:rsidR="00BC4EA1" w:rsidRPr="00146FBB">
        <w:t xml:space="preserve">as the key organising frameworks for VET qualifications. </w:t>
      </w:r>
    </w:p>
    <w:p w:rsidR="00BB284B" w:rsidRDefault="00BC4EA1" w:rsidP="00D15673">
      <w:pPr>
        <w:pStyle w:val="Text"/>
      </w:pPr>
      <w:r w:rsidRPr="00146FBB">
        <w:t xml:space="preserve">A variety of </w:t>
      </w:r>
      <w:r w:rsidR="00D15673" w:rsidRPr="00146FBB">
        <w:t>changes</w:t>
      </w:r>
      <w:r w:rsidR="00843DDD" w:rsidRPr="00146FBB">
        <w:t xml:space="preserve"> have emanated from these reviews to help Training Packages to remain relevant to current and future needs. </w:t>
      </w:r>
      <w:r w:rsidR="00D15673" w:rsidRPr="00146FBB">
        <w:t xml:space="preserve"> </w:t>
      </w:r>
      <w:r w:rsidR="00843DDD" w:rsidRPr="00146FBB">
        <w:t xml:space="preserve">It is important to reflect on the changes that have already been identified and implemented in any further review of Training Packages. </w:t>
      </w:r>
      <w:r w:rsidR="00092FA4">
        <w:t xml:space="preserve"> These are discussed further against the three levers in the discussion paper, along with the identification of </w:t>
      </w:r>
      <w:r w:rsidR="004915EA" w:rsidRPr="00146FBB">
        <w:t xml:space="preserve">some enduring issues that </w:t>
      </w:r>
      <w:r w:rsidR="00843DDD" w:rsidRPr="00146FBB">
        <w:t>requi</w:t>
      </w:r>
      <w:r w:rsidR="00A66302">
        <w:t>r</w:t>
      </w:r>
      <w:r w:rsidR="00843DDD" w:rsidRPr="00146FBB">
        <w:t>e attention</w:t>
      </w:r>
      <w:r w:rsidR="00092FA4">
        <w:t xml:space="preserve"> (</w:t>
      </w:r>
      <w:r w:rsidR="00AA2985">
        <w:t xml:space="preserve">including </w:t>
      </w:r>
      <w:r w:rsidR="00AA2985" w:rsidRPr="00146FBB">
        <w:t>the</w:t>
      </w:r>
      <w:r w:rsidRPr="00146FBB">
        <w:t xml:space="preserve"> continuation of qualifications that have little or no uptake, and the need </w:t>
      </w:r>
      <w:r w:rsidR="00D0120C" w:rsidRPr="00146FBB">
        <w:t xml:space="preserve">to obtain a complete picture of training activity in the sector, </w:t>
      </w:r>
      <w:r w:rsidR="00092FA4">
        <w:t>and the role and place of</w:t>
      </w:r>
      <w:r w:rsidR="00D0120C" w:rsidRPr="00146FBB">
        <w:t xml:space="preserve"> non-accredited training</w:t>
      </w:r>
      <w:r w:rsidR="00AA2985">
        <w:t>)</w:t>
      </w:r>
      <w:r w:rsidR="00843DDD" w:rsidRPr="00146FBB">
        <w:t xml:space="preserve">. </w:t>
      </w:r>
    </w:p>
    <w:p w:rsidR="000107D1" w:rsidRPr="00146FBB" w:rsidRDefault="00EC330A" w:rsidP="00AA2985">
      <w:pPr>
        <w:pStyle w:val="Heading1"/>
        <w:numPr>
          <w:ilvl w:val="0"/>
          <w:numId w:val="34"/>
        </w:numPr>
      </w:pPr>
      <w:r w:rsidRPr="00AA2985">
        <w:rPr>
          <w:rFonts w:eastAsiaTheme="minorEastAsia"/>
        </w:rPr>
        <w:t>Looking</w:t>
      </w:r>
      <w:r w:rsidR="00EA0CD0" w:rsidRPr="00AA2985">
        <w:rPr>
          <w:rFonts w:eastAsiaTheme="minorEastAsia"/>
        </w:rPr>
        <w:t xml:space="preserve"> at training packages to see if changes could make them more relevant to the modern economy</w:t>
      </w:r>
    </w:p>
    <w:p w:rsidR="001057A2" w:rsidRPr="00146FBB" w:rsidRDefault="00987747" w:rsidP="001057A2">
      <w:pPr>
        <w:pStyle w:val="Text"/>
      </w:pPr>
      <w:r w:rsidRPr="00A967BD">
        <w:t xml:space="preserve">For a long time </w:t>
      </w:r>
      <w:r w:rsidRPr="00146FBB">
        <w:t xml:space="preserve">governments and Industry Skills Councils have implemented various mechanisms for keeping Training Packages current with the needs of the modern economy. </w:t>
      </w:r>
      <w:r w:rsidR="001057A2" w:rsidRPr="00146FBB">
        <w:t xml:space="preserve">Having mechanisms in place for continuously updating Training Packages ideally should help to reflect current needs. In practice there have been some concerns that in fact these mechanisms have been found wanting. For some sectors Training Packages are not updated quickly enough, for other sectors the constant revision makes it difficult for </w:t>
      </w:r>
      <w:r w:rsidR="00A66302">
        <w:t>RTOs</w:t>
      </w:r>
      <w:r w:rsidR="001057A2" w:rsidRPr="00146FBB">
        <w:t xml:space="preserve"> to keep up with changes. Keeping up with changes has also implications for costs and quality assurance</w:t>
      </w:r>
      <w:r w:rsidR="0007031D">
        <w:t>, with such changes having a strong ‘ripple’ effect across funders, providers, students, industry and general VET system administration burden</w:t>
      </w:r>
      <w:r w:rsidR="001057A2" w:rsidRPr="00146FBB">
        <w:t xml:space="preserve">. </w:t>
      </w:r>
    </w:p>
    <w:p w:rsidR="001057A2" w:rsidRPr="00706585" w:rsidRDefault="00530FA9" w:rsidP="00706585">
      <w:pPr>
        <w:pStyle w:val="Text"/>
        <w:rPr>
          <w:b/>
          <w:i/>
        </w:rPr>
      </w:pPr>
      <w:r w:rsidRPr="00706585">
        <w:rPr>
          <w:b/>
          <w:i/>
        </w:rPr>
        <w:t>Some m</w:t>
      </w:r>
      <w:r w:rsidR="001057A2" w:rsidRPr="00706585">
        <w:rPr>
          <w:b/>
          <w:i/>
        </w:rPr>
        <w:t>odifications</w:t>
      </w:r>
      <w:r w:rsidRPr="00706585">
        <w:rPr>
          <w:b/>
          <w:i/>
        </w:rPr>
        <w:t xml:space="preserve"> have</w:t>
      </w:r>
      <w:r w:rsidR="001057A2" w:rsidRPr="00706585">
        <w:rPr>
          <w:b/>
          <w:i/>
        </w:rPr>
        <w:t xml:space="preserve"> already</w:t>
      </w:r>
      <w:r w:rsidRPr="00706585">
        <w:rPr>
          <w:b/>
          <w:i/>
        </w:rPr>
        <w:t xml:space="preserve"> been</w:t>
      </w:r>
      <w:r w:rsidR="001057A2" w:rsidRPr="00706585">
        <w:rPr>
          <w:b/>
          <w:i/>
        </w:rPr>
        <w:t xml:space="preserve"> implemented </w:t>
      </w:r>
    </w:p>
    <w:p w:rsidR="00FE022D" w:rsidRPr="00146FBB" w:rsidRDefault="00D0120C" w:rsidP="00D0120C">
      <w:pPr>
        <w:pStyle w:val="Text"/>
      </w:pPr>
      <w:r w:rsidRPr="00146FBB">
        <w:t>C</w:t>
      </w:r>
      <w:r w:rsidR="00003117" w:rsidRPr="00146FBB">
        <w:t xml:space="preserve">onsiderable reforms to the structure </w:t>
      </w:r>
      <w:r w:rsidR="00695904" w:rsidRPr="00146FBB">
        <w:t xml:space="preserve">and content </w:t>
      </w:r>
      <w:r w:rsidRPr="00146FBB">
        <w:t xml:space="preserve">of Training Packages </w:t>
      </w:r>
      <w:r w:rsidR="001057A2" w:rsidRPr="00146FBB">
        <w:t xml:space="preserve">to make them more relevant to </w:t>
      </w:r>
      <w:r w:rsidR="00530FA9" w:rsidRPr="00146FBB">
        <w:t xml:space="preserve">industry and individuals </w:t>
      </w:r>
      <w:r w:rsidR="00FE022D" w:rsidRPr="00146FBB">
        <w:t xml:space="preserve">have already </w:t>
      </w:r>
      <w:r w:rsidR="00530FA9" w:rsidRPr="00146FBB">
        <w:t>been implemented</w:t>
      </w:r>
      <w:r w:rsidR="00C02431">
        <w:t xml:space="preserve"> to date</w:t>
      </w:r>
      <w:r w:rsidR="00FE022D" w:rsidRPr="00146FBB">
        <w:t xml:space="preserve">. </w:t>
      </w:r>
      <w:r w:rsidR="00530FA9" w:rsidRPr="00146FBB">
        <w:t xml:space="preserve">It is important to review these and other changes that have already occurred so that we don’t ‘re-invent the wheel’ in any future developments. </w:t>
      </w:r>
    </w:p>
    <w:p w:rsidR="00FE022D" w:rsidRPr="00146FBB" w:rsidRDefault="00FE022D" w:rsidP="00FE022D">
      <w:pPr>
        <w:pStyle w:val="Text"/>
        <w:numPr>
          <w:ilvl w:val="0"/>
          <w:numId w:val="27"/>
        </w:numPr>
      </w:pPr>
      <w:r w:rsidRPr="00146FBB">
        <w:t>D</w:t>
      </w:r>
      <w:r w:rsidR="00560B0A" w:rsidRPr="00146FBB">
        <w:t xml:space="preserve">efinitions of competency have been expanded to make more specific references to defined knowledge. </w:t>
      </w:r>
    </w:p>
    <w:p w:rsidR="00695904" w:rsidRPr="00146FBB" w:rsidRDefault="006772EA" w:rsidP="00FE022D">
      <w:pPr>
        <w:pStyle w:val="Text"/>
        <w:numPr>
          <w:ilvl w:val="0"/>
          <w:numId w:val="27"/>
        </w:numPr>
      </w:pPr>
      <w:r w:rsidRPr="00146FBB">
        <w:t xml:space="preserve">Foundation skills units </w:t>
      </w:r>
      <w:r w:rsidR="00560B0A" w:rsidRPr="00146FBB">
        <w:t>have been included in Training Packages</w:t>
      </w:r>
      <w:r w:rsidRPr="00146FBB">
        <w:t xml:space="preserve">, and a separate </w:t>
      </w:r>
      <w:r w:rsidR="00560B0A" w:rsidRPr="00146FBB">
        <w:t xml:space="preserve">Foundation Skills Training Package </w:t>
      </w:r>
      <w:r w:rsidR="009B63C3" w:rsidRPr="00146FBB">
        <w:t>has been</w:t>
      </w:r>
      <w:r w:rsidR="00560B0A" w:rsidRPr="00146FBB">
        <w:t xml:space="preserve"> endorsed</w:t>
      </w:r>
      <w:r w:rsidR="009B63C3" w:rsidRPr="00146FBB">
        <w:t xml:space="preserve"> </w:t>
      </w:r>
      <w:r w:rsidR="001057A2" w:rsidRPr="00146FBB">
        <w:t xml:space="preserve">to address issues connected to low basic skills </w:t>
      </w:r>
      <w:r w:rsidR="009B63C3" w:rsidRPr="00146FBB">
        <w:t>(</w:t>
      </w:r>
      <w:r w:rsidR="00560B0A" w:rsidRPr="00146FBB">
        <w:t>in 2013</w:t>
      </w:r>
      <w:r w:rsidR="009B63C3" w:rsidRPr="00146FBB">
        <w:t>)</w:t>
      </w:r>
      <w:r w:rsidR="00560B0A" w:rsidRPr="00146FBB">
        <w:t xml:space="preserve">. </w:t>
      </w:r>
    </w:p>
    <w:p w:rsidR="006772EA" w:rsidRPr="00146FBB" w:rsidRDefault="00695904" w:rsidP="006772EA">
      <w:pPr>
        <w:pStyle w:val="Text"/>
        <w:numPr>
          <w:ilvl w:val="0"/>
          <w:numId w:val="27"/>
        </w:numPr>
      </w:pPr>
      <w:r w:rsidRPr="00146FBB">
        <w:t>A</w:t>
      </w:r>
      <w:r w:rsidR="004A0FD3" w:rsidRPr="00146FBB">
        <w:t>lterations have been made to the structure of Training Package content and packaging rules.</w:t>
      </w:r>
      <w:r w:rsidR="004A0FD3" w:rsidRPr="00146FBB">
        <w:rPr>
          <w:rStyle w:val="FootnoteReference"/>
        </w:rPr>
        <w:footnoteReference w:id="4"/>
      </w:r>
      <w:r w:rsidR="006772EA" w:rsidRPr="00146FBB">
        <w:t xml:space="preserve"> </w:t>
      </w:r>
    </w:p>
    <w:p w:rsidR="001057A2" w:rsidRPr="00706585" w:rsidRDefault="001057A2" w:rsidP="00706585">
      <w:pPr>
        <w:pStyle w:val="Text"/>
        <w:rPr>
          <w:b/>
          <w:i/>
        </w:rPr>
      </w:pPr>
      <w:r w:rsidRPr="00706585">
        <w:rPr>
          <w:b/>
          <w:i/>
        </w:rPr>
        <w:t xml:space="preserve">Environmental Scans and Continuous Improvement Plans </w:t>
      </w:r>
    </w:p>
    <w:p w:rsidR="00B01DBB" w:rsidRDefault="00560B0A" w:rsidP="006772EA">
      <w:pPr>
        <w:pStyle w:val="Text"/>
      </w:pPr>
      <w:r w:rsidRPr="00146FBB">
        <w:t xml:space="preserve">Part of the current system </w:t>
      </w:r>
      <w:r w:rsidR="00695904" w:rsidRPr="00146FBB">
        <w:t>for</w:t>
      </w:r>
      <w:r w:rsidRPr="00146FBB">
        <w:t xml:space="preserve"> making Training Packages relevant to the needs of industry</w:t>
      </w:r>
      <w:r w:rsidR="009B1CDD" w:rsidRPr="00146FBB">
        <w:t xml:space="preserve"> includes t</w:t>
      </w:r>
      <w:r w:rsidR="009B63C3" w:rsidRPr="00146FBB">
        <w:t>he</w:t>
      </w:r>
      <w:r w:rsidRPr="00146FBB">
        <w:t xml:space="preserve"> Environmental Scan</w:t>
      </w:r>
      <w:r w:rsidR="009B1CDD" w:rsidRPr="00146FBB">
        <w:t xml:space="preserve"> </w:t>
      </w:r>
      <w:r w:rsidR="00146FBB">
        <w:t xml:space="preserve">and the Continuous Improvement Plan, both </w:t>
      </w:r>
      <w:r w:rsidR="009B1CDD" w:rsidRPr="00146FBB">
        <w:t xml:space="preserve">undertaken by </w:t>
      </w:r>
      <w:r w:rsidRPr="00146FBB">
        <w:t>ISCs</w:t>
      </w:r>
      <w:r w:rsidR="009B1CDD" w:rsidRPr="00146FBB">
        <w:t xml:space="preserve">. The Environmental Scan </w:t>
      </w:r>
      <w:r w:rsidRPr="00146FBB">
        <w:t xml:space="preserve">is meant to identify labour market trends and </w:t>
      </w:r>
      <w:r w:rsidR="009B1CDD" w:rsidRPr="00146FBB">
        <w:t xml:space="preserve">the </w:t>
      </w:r>
      <w:r w:rsidRPr="00146FBB">
        <w:t>needs of the economy for sectors</w:t>
      </w:r>
      <w:r w:rsidR="009B1CDD" w:rsidRPr="00146FBB">
        <w:t xml:space="preserve"> covered by the ISCs</w:t>
      </w:r>
      <w:r w:rsidRPr="00146FBB">
        <w:t xml:space="preserve">. </w:t>
      </w:r>
      <w:r w:rsidR="00530FA9" w:rsidRPr="00146FBB">
        <w:t xml:space="preserve">It is important that such industry scans are supported by sufficient resources so that they truly provide a comprehensive picture of the changes that are being experienced in different sectors. </w:t>
      </w:r>
    </w:p>
    <w:p w:rsidR="007F662C" w:rsidRDefault="006772EA" w:rsidP="006772EA">
      <w:pPr>
        <w:pStyle w:val="Text"/>
      </w:pPr>
      <w:r w:rsidRPr="00146FBB">
        <w:lastRenderedPageBreak/>
        <w:t>The Continuous Improvement Plan identifies the scope of the work, industry, sector and occupation or skills involved, the industry imperative for the work, qualifications that are affected, and the status and estimated timelines for the completion of the work. Currently there have been tensions identified by the need for ISCs to ensure that their qualifications respond to the changing needs of industry, and streamlining changes so as not to create too much financial or administrative burden for RTOs. The ISCs have undertaken an analysis of just how much change has affected RTOs. Their ‘Analysis of the Training Package Continuous Improvement Process’</w:t>
      </w:r>
      <w:r w:rsidRPr="00146FBB">
        <w:rPr>
          <w:rStyle w:val="FootnoteReference"/>
        </w:rPr>
        <w:footnoteReference w:id="5"/>
      </w:r>
      <w:r w:rsidRPr="00146FBB">
        <w:t xml:space="preserve"> provides a detailed account of the type of changes that have been involvement. Before any major changes are made it is important to review this information to understand the extent of the issue, and to generate some alternative solutions where required.</w:t>
      </w:r>
    </w:p>
    <w:p w:rsidR="00AE160D" w:rsidRPr="00706585" w:rsidRDefault="00FD6F75" w:rsidP="00AA2985">
      <w:pPr>
        <w:pStyle w:val="Heading1"/>
        <w:numPr>
          <w:ilvl w:val="0"/>
          <w:numId w:val="32"/>
        </w:numPr>
      </w:pPr>
      <w:r w:rsidRPr="00706585">
        <w:t xml:space="preserve">Looking at the one-size-fits-all approach to the regulation, development and maintenance of training packages and accredited courses to see if a more tailored approach would lead to improved training outcomes </w:t>
      </w:r>
    </w:p>
    <w:p w:rsidR="00791838" w:rsidRPr="00146FBB" w:rsidRDefault="008618DE" w:rsidP="007961DA">
      <w:pPr>
        <w:pStyle w:val="Text"/>
      </w:pPr>
      <w:r w:rsidRPr="00146FBB">
        <w:t xml:space="preserve">There are both strengths and weaknesses </w:t>
      </w:r>
      <w:r w:rsidR="005C570D" w:rsidRPr="00146FBB">
        <w:t>in</w:t>
      </w:r>
      <w:r w:rsidRPr="00146FBB">
        <w:t xml:space="preserve"> having standardised </w:t>
      </w:r>
      <w:r w:rsidR="005C570D" w:rsidRPr="00146FBB">
        <w:t xml:space="preserve">or one-size fits all </w:t>
      </w:r>
      <w:r w:rsidRPr="00146FBB">
        <w:t>approach</w:t>
      </w:r>
      <w:r w:rsidR="005C570D" w:rsidRPr="00146FBB">
        <w:t>es</w:t>
      </w:r>
      <w:r w:rsidRPr="00146FBB">
        <w:t xml:space="preserve"> to the regulation, development and maintenance of training packages and accredited courses. </w:t>
      </w:r>
    </w:p>
    <w:p w:rsidR="00146FBB" w:rsidRDefault="008618DE" w:rsidP="007961DA">
      <w:pPr>
        <w:pStyle w:val="Text"/>
      </w:pPr>
      <w:r w:rsidRPr="00146FBB">
        <w:t xml:space="preserve">The strengths are </w:t>
      </w:r>
      <w:r w:rsidR="005C570D" w:rsidRPr="00146FBB">
        <w:t xml:space="preserve">that regulatory standards become </w:t>
      </w:r>
      <w:r w:rsidR="00E01321" w:rsidRPr="00146FBB">
        <w:t xml:space="preserve">declared </w:t>
      </w:r>
      <w:r w:rsidR="005C570D" w:rsidRPr="00146FBB">
        <w:t xml:space="preserve">benchmarks for compliant behaviour and apply </w:t>
      </w:r>
      <w:r w:rsidR="00331379" w:rsidRPr="00146FBB">
        <w:t xml:space="preserve">equally </w:t>
      </w:r>
      <w:r w:rsidR="005C570D" w:rsidRPr="00146FBB">
        <w:t xml:space="preserve">to all who are bound by them. </w:t>
      </w:r>
      <w:r w:rsidR="00E01321" w:rsidRPr="00146FBB">
        <w:t xml:space="preserve">When people know what is expected then they can tailor their responses </w:t>
      </w:r>
      <w:r w:rsidR="00C063F0" w:rsidRPr="00146FBB">
        <w:t>(</w:t>
      </w:r>
      <w:r w:rsidR="00146FBB">
        <w:t xml:space="preserve">for </w:t>
      </w:r>
      <w:r w:rsidR="00C063F0" w:rsidRPr="00146FBB">
        <w:t xml:space="preserve">the development of Training Packages or Accredited Courses) </w:t>
      </w:r>
      <w:r w:rsidR="00E01321" w:rsidRPr="00146FBB">
        <w:t xml:space="preserve">to these prescriptions. </w:t>
      </w:r>
      <w:r w:rsidR="00C063F0" w:rsidRPr="00146FBB">
        <w:t xml:space="preserve">Standardised approaches also protect the interests of consumers of these qualifications. </w:t>
      </w:r>
    </w:p>
    <w:p w:rsidR="00146FBB" w:rsidRDefault="005C570D" w:rsidP="007961DA">
      <w:pPr>
        <w:pStyle w:val="Text"/>
      </w:pPr>
      <w:r w:rsidRPr="00146FBB">
        <w:t>The weaknesses</w:t>
      </w:r>
      <w:r w:rsidR="00331379" w:rsidRPr="00146FBB">
        <w:t xml:space="preserve">, if not addressed, </w:t>
      </w:r>
      <w:r w:rsidRPr="00146FBB">
        <w:t xml:space="preserve">relate to increased administrative and regulatory burden </w:t>
      </w:r>
      <w:r w:rsidR="00331379" w:rsidRPr="00146FBB">
        <w:t xml:space="preserve">and cost </w:t>
      </w:r>
      <w:r w:rsidRPr="00146FBB">
        <w:t>for both the regulated and the regulator</w:t>
      </w:r>
      <w:r w:rsidR="00331379" w:rsidRPr="00146FBB">
        <w:t>. There is also a danger that such standardised approaches may inhibit innovative</w:t>
      </w:r>
      <w:r w:rsidR="001B3417" w:rsidRPr="00146FBB">
        <w:t xml:space="preserve"> and sector-specific </w:t>
      </w:r>
      <w:r w:rsidR="00331379" w:rsidRPr="00146FBB">
        <w:t xml:space="preserve">approaches for continuous improvement. </w:t>
      </w:r>
    </w:p>
    <w:p w:rsidR="00401D11" w:rsidRPr="00146FBB" w:rsidRDefault="00C063F0" w:rsidP="007961DA">
      <w:pPr>
        <w:pStyle w:val="Text"/>
      </w:pPr>
      <w:r w:rsidRPr="00146FBB">
        <w:t xml:space="preserve">Policies for the maintenance of qualifications need also recognise the need for regular and systematic review and adequate consultation with relevant industry sectors precedes the removal or addition of qualifications.  </w:t>
      </w:r>
      <w:r w:rsidR="00331379" w:rsidRPr="00146FBB">
        <w:t xml:space="preserve"> </w:t>
      </w:r>
    </w:p>
    <w:p w:rsidR="00C7676A" w:rsidRPr="00146FBB" w:rsidRDefault="006772EA" w:rsidP="00706585">
      <w:pPr>
        <w:pStyle w:val="Text"/>
        <w:rPr>
          <w:b/>
        </w:rPr>
      </w:pPr>
      <w:r w:rsidRPr="00146FBB">
        <w:rPr>
          <w:b/>
        </w:rPr>
        <w:t>R</w:t>
      </w:r>
      <w:r w:rsidR="00C7676A" w:rsidRPr="00146FBB">
        <w:rPr>
          <w:b/>
        </w:rPr>
        <w:t xml:space="preserve">egulating the development of Training Packages </w:t>
      </w:r>
      <w:r w:rsidR="007961DA" w:rsidRPr="00146FBB">
        <w:rPr>
          <w:b/>
        </w:rPr>
        <w:t>and Accredited Courses</w:t>
      </w:r>
    </w:p>
    <w:p w:rsidR="002C2BB6" w:rsidRPr="00146FBB" w:rsidRDefault="004F1324" w:rsidP="00560B0A">
      <w:pPr>
        <w:pStyle w:val="Text"/>
      </w:pPr>
      <w:r w:rsidRPr="00146FBB">
        <w:t>H</w:t>
      </w:r>
      <w:r w:rsidR="00C7676A" w:rsidRPr="00146FBB">
        <w:t xml:space="preserve">aving a </w:t>
      </w:r>
      <w:r w:rsidR="00123746" w:rsidRPr="00146FBB">
        <w:t xml:space="preserve">set of standardised rules </w:t>
      </w:r>
      <w:r w:rsidR="00C7676A" w:rsidRPr="00146FBB">
        <w:t xml:space="preserve">for </w:t>
      </w:r>
      <w:r w:rsidR="00123746" w:rsidRPr="00146FBB">
        <w:t xml:space="preserve">developers of </w:t>
      </w:r>
      <w:r w:rsidR="00C7676A" w:rsidRPr="00146FBB">
        <w:t>Training Package</w:t>
      </w:r>
      <w:r w:rsidR="00123746" w:rsidRPr="00146FBB">
        <w:t>s</w:t>
      </w:r>
      <w:r w:rsidR="00C7676A" w:rsidRPr="00146FBB">
        <w:t xml:space="preserve"> </w:t>
      </w:r>
      <w:r w:rsidR="00123746" w:rsidRPr="00146FBB">
        <w:t xml:space="preserve">and Accredited Course </w:t>
      </w:r>
      <w:r w:rsidR="007961DA" w:rsidRPr="00146FBB">
        <w:t>provides</w:t>
      </w:r>
      <w:r w:rsidR="00C7676A" w:rsidRPr="00146FBB">
        <w:t xml:space="preserve"> </w:t>
      </w:r>
      <w:r w:rsidR="00123746" w:rsidRPr="00146FBB">
        <w:t>a range of benefits for developers</w:t>
      </w:r>
      <w:r w:rsidR="007961DA" w:rsidRPr="00146FBB">
        <w:t xml:space="preserve">, </w:t>
      </w:r>
      <w:r w:rsidR="00123746" w:rsidRPr="00146FBB">
        <w:t>government agencies</w:t>
      </w:r>
      <w:r w:rsidRPr="00146FBB">
        <w:t xml:space="preserve">, </w:t>
      </w:r>
      <w:r w:rsidR="00123746" w:rsidRPr="00146FBB">
        <w:t>regulators</w:t>
      </w:r>
      <w:r w:rsidRPr="00146FBB">
        <w:t xml:space="preserve"> </w:t>
      </w:r>
      <w:r w:rsidR="007961DA" w:rsidRPr="00146FBB">
        <w:t>and consumers</w:t>
      </w:r>
      <w:r w:rsidR="00123746" w:rsidRPr="00146FBB">
        <w:t>.</w:t>
      </w:r>
      <w:r w:rsidR="00773781" w:rsidRPr="00146FBB">
        <w:t xml:space="preserve"> Having definite benchmarks for compliance </w:t>
      </w:r>
      <w:r w:rsidR="007961DA" w:rsidRPr="00146FBB">
        <w:t>makes government endorsement and other regulatory processes more transparent, straightforward and easy to implement</w:t>
      </w:r>
      <w:r w:rsidRPr="00146FBB">
        <w:t xml:space="preserve">. </w:t>
      </w:r>
      <w:r w:rsidR="00773781" w:rsidRPr="00146FBB">
        <w:t xml:space="preserve">These standards </w:t>
      </w:r>
      <w:r w:rsidR="007961DA" w:rsidRPr="00146FBB">
        <w:t xml:space="preserve">can be referred to in any dispute resolution process. </w:t>
      </w:r>
      <w:r w:rsidR="00773781" w:rsidRPr="00146FBB">
        <w:t>They also provide</w:t>
      </w:r>
      <w:r w:rsidR="007961DA" w:rsidRPr="00146FBB">
        <w:t xml:space="preserve"> developers with some standardised principles </w:t>
      </w:r>
      <w:r w:rsidR="00773781" w:rsidRPr="00146FBB">
        <w:t xml:space="preserve">and templates </w:t>
      </w:r>
      <w:r w:rsidR="007961DA" w:rsidRPr="00146FBB">
        <w:t xml:space="preserve">to guide their development processes. These activities also help to safeguard the rights of consumers to undertake nationally accredited training and to have these formally recognised either in formal qualifications or in statements of attainment. </w:t>
      </w:r>
    </w:p>
    <w:p w:rsidR="00C7676A" w:rsidRPr="00146FBB" w:rsidRDefault="002C2BB6" w:rsidP="00560B0A">
      <w:pPr>
        <w:pStyle w:val="Text"/>
      </w:pPr>
      <w:r w:rsidRPr="00146FBB">
        <w:t xml:space="preserve">Having a set of high-level principles and rules also enables developers to tailor their responses to the needs of their different sectors. This is an example of how standardisation and customisation can co-exist in ways that are not contradictory. It is up to the developers to </w:t>
      </w:r>
      <w:r w:rsidR="007F662C">
        <w:t xml:space="preserve">customise the implementation of the standards in ways that are responsive to the needs of their sectors. </w:t>
      </w:r>
    </w:p>
    <w:p w:rsidR="006310AF" w:rsidRDefault="00773781" w:rsidP="003950E8">
      <w:pPr>
        <w:pStyle w:val="Text"/>
      </w:pPr>
      <w:r w:rsidRPr="00146FBB">
        <w:t xml:space="preserve">Accredited courses have been identified as mechanisms for responding to emerging industry trends and niche markets, including the need to address regulatory or licensing requirements. Having such courses continue as part of nationally recognised training regimes </w:t>
      </w:r>
      <w:r w:rsidR="00306FE2" w:rsidRPr="00146FBB">
        <w:t xml:space="preserve">gives formal recognition of their importance and value to students and employers. This </w:t>
      </w:r>
      <w:r w:rsidR="0007031D">
        <w:t>does not mean</w:t>
      </w:r>
      <w:r w:rsidR="00306FE2" w:rsidRPr="00146FBB">
        <w:t xml:space="preserve"> that students and employers </w:t>
      </w:r>
      <w:r w:rsidR="0007031D">
        <w:t>only</w:t>
      </w:r>
      <w:r w:rsidR="00306FE2" w:rsidRPr="00146FBB">
        <w:t xml:space="preserve"> </w:t>
      </w:r>
      <w:r w:rsidR="006310AF">
        <w:t>value</w:t>
      </w:r>
      <w:r w:rsidR="00306FE2" w:rsidRPr="00146FBB">
        <w:t xml:space="preserve"> </w:t>
      </w:r>
      <w:r w:rsidR="006310AF">
        <w:t xml:space="preserve">those </w:t>
      </w:r>
      <w:r w:rsidR="00306FE2" w:rsidRPr="00146FBB">
        <w:t xml:space="preserve">courses that lead to nationally recognised qualifications. </w:t>
      </w:r>
    </w:p>
    <w:p w:rsidR="007F662C" w:rsidRPr="00146FBB" w:rsidRDefault="00B620E2" w:rsidP="003950E8">
      <w:pPr>
        <w:pStyle w:val="Text"/>
      </w:pPr>
      <w:r>
        <w:t>The practice of specifying the content of training and assessment in training packages and accredited courses (</w:t>
      </w:r>
      <w:r w:rsidR="00D92DA4">
        <w:t>that is, the competency to be achieved</w:t>
      </w:r>
      <w:r>
        <w:t xml:space="preserve">) and not prescribing the nature of ‘how’ the training will be delivered or assessed has </w:t>
      </w:r>
      <w:r w:rsidR="002E1774">
        <w:t xml:space="preserve">aimed to safeguard the professional and pedagogic autonomy of practitioners. </w:t>
      </w:r>
      <w:r w:rsidR="00D92DA4">
        <w:t>At times t</w:t>
      </w:r>
      <w:r>
        <w:t xml:space="preserve">his approach has led to concerns about the quality of training and assessment </w:t>
      </w:r>
      <w:r w:rsidR="00D92DA4">
        <w:t>available to students</w:t>
      </w:r>
      <w:r>
        <w:t>. It is reasonable to expect that</w:t>
      </w:r>
      <w:r w:rsidR="00D92DA4">
        <w:t xml:space="preserve"> Training Packages and Accredited Courses will also include</w:t>
      </w:r>
      <w:r>
        <w:t xml:space="preserve"> </w:t>
      </w:r>
      <w:r w:rsidR="00D92DA4">
        <w:t>a specification of</w:t>
      </w:r>
      <w:r>
        <w:t xml:space="preserve"> the</w:t>
      </w:r>
      <w:r w:rsidR="00F216FB">
        <w:t xml:space="preserve"> </w:t>
      </w:r>
      <w:r w:rsidR="00F216FB">
        <w:lastRenderedPageBreak/>
        <w:t xml:space="preserve">resources </w:t>
      </w:r>
      <w:r w:rsidR="00D92DA4">
        <w:t xml:space="preserve">(type and amount per student) </w:t>
      </w:r>
      <w:r w:rsidR="00F216FB">
        <w:t xml:space="preserve">required to deliver and assess training </w:t>
      </w:r>
      <w:r w:rsidR="00FB0A05">
        <w:t>(especially in high risk qualifications)</w:t>
      </w:r>
      <w:r w:rsidR="00D92DA4">
        <w:t xml:space="preserve">. </w:t>
      </w:r>
    </w:p>
    <w:p w:rsidR="00C7676A" w:rsidRPr="00146FBB" w:rsidRDefault="006772EA" w:rsidP="00706585">
      <w:pPr>
        <w:pStyle w:val="Text"/>
        <w:rPr>
          <w:b/>
        </w:rPr>
      </w:pPr>
      <w:r w:rsidRPr="00146FBB">
        <w:rPr>
          <w:b/>
        </w:rPr>
        <w:t>Regulating</w:t>
      </w:r>
      <w:r w:rsidR="00C7676A" w:rsidRPr="00146FBB">
        <w:rPr>
          <w:b/>
        </w:rPr>
        <w:t xml:space="preserve"> the delivery of </w:t>
      </w:r>
      <w:r w:rsidR="007961DA" w:rsidRPr="00146FBB">
        <w:rPr>
          <w:b/>
        </w:rPr>
        <w:t xml:space="preserve">qualifications and </w:t>
      </w:r>
      <w:r w:rsidR="00C7676A" w:rsidRPr="00146FBB">
        <w:rPr>
          <w:b/>
        </w:rPr>
        <w:t>Training Package Qualifications</w:t>
      </w:r>
      <w:r w:rsidR="002C2BB6" w:rsidRPr="00146FBB">
        <w:rPr>
          <w:b/>
        </w:rPr>
        <w:t xml:space="preserve"> and Accredited Courses</w:t>
      </w:r>
    </w:p>
    <w:p w:rsidR="00401D11" w:rsidRPr="00146FBB" w:rsidRDefault="002D3822" w:rsidP="00560B0A">
      <w:pPr>
        <w:pStyle w:val="Text"/>
      </w:pPr>
      <w:r w:rsidRPr="00146FBB">
        <w:t>Effective regulation is based on having a set of standards that need</w:t>
      </w:r>
      <w:r w:rsidR="00FB6F3A" w:rsidRPr="00146FBB">
        <w:t xml:space="preserve"> </w:t>
      </w:r>
      <w:r w:rsidRPr="00146FBB">
        <w:t>to be achieved</w:t>
      </w:r>
      <w:r w:rsidR="00CB2D17" w:rsidRPr="00146FBB">
        <w:t xml:space="preserve"> by those wanting to be registered with the National VET Regulator (ASQA) or with the state training regulators of Victoria and Western Australia to deliver and award nationally accredited qualifications under the Australian Qualification Framework</w:t>
      </w:r>
      <w:r w:rsidRPr="00146FBB">
        <w:t xml:space="preserve">. </w:t>
      </w:r>
      <w:r w:rsidR="00CB2D17" w:rsidRPr="00146FBB">
        <w:t xml:space="preserve">Having RTOs that meet these standards for initial and continuing registration </w:t>
      </w:r>
      <w:r w:rsidRPr="00146FBB">
        <w:t xml:space="preserve">should </w:t>
      </w:r>
      <w:r w:rsidR="00FF1A33" w:rsidRPr="00146FBB">
        <w:t xml:space="preserve">help </w:t>
      </w:r>
      <w:r w:rsidR="00CB2D17" w:rsidRPr="00146FBB">
        <w:t>the national VET regulator (the Australian Skills Quality Authority (ASQA) and the VET regulators for Victoria and Western Australia</w:t>
      </w:r>
      <w:r w:rsidR="00FF1A33" w:rsidRPr="00146FBB">
        <w:t>,</w:t>
      </w:r>
      <w:r w:rsidR="00CB2D17" w:rsidRPr="00146FBB">
        <w:t xml:space="preserve"> to establish confidence of their key stakeholders in the training and assessment delivered by their registered training organisations (RTOs). </w:t>
      </w:r>
      <w:r w:rsidR="00FB6F3A" w:rsidRPr="00146FBB">
        <w:t>Ha</w:t>
      </w:r>
      <w:r w:rsidRPr="00146FBB">
        <w:t>ving a standardised approach to regulation</w:t>
      </w:r>
      <w:r w:rsidR="00E27B29" w:rsidRPr="00146FBB">
        <w:t xml:space="preserve"> provides a benchmark for achievement. It does not mean that each provider </w:t>
      </w:r>
      <w:r w:rsidRPr="00146FBB">
        <w:t>needs to meet the standards</w:t>
      </w:r>
      <w:r w:rsidR="00E27B29" w:rsidRPr="00146FBB">
        <w:t xml:space="preserve"> in exactly the same way. </w:t>
      </w:r>
      <w:r w:rsidR="00FB6F3A" w:rsidRPr="00146FBB">
        <w:t>Concepts of r</w:t>
      </w:r>
      <w:r w:rsidR="00014CC1" w:rsidRPr="00146FBB">
        <w:t xml:space="preserve">isk-based and responsive regulation have been promoted as key methods of customising regulation to the compliance behaviour of regulated populations or sectors. </w:t>
      </w:r>
      <w:r w:rsidR="002C2BB6" w:rsidRPr="00146FBB">
        <w:t>These should be continued.</w:t>
      </w:r>
      <w:r w:rsidR="00014CC1" w:rsidRPr="00146FBB">
        <w:t xml:space="preserve">  </w:t>
      </w:r>
      <w:r w:rsidRPr="00146FBB">
        <w:t xml:space="preserve"> </w:t>
      </w:r>
    </w:p>
    <w:p w:rsidR="00401D11" w:rsidRPr="00146FBB" w:rsidRDefault="002C2BB6" w:rsidP="00560B0A">
      <w:pPr>
        <w:pStyle w:val="Text"/>
      </w:pPr>
      <w:r w:rsidRPr="00146FBB">
        <w:t xml:space="preserve">Much has been written about the importance of concepts of regulation which respond to the behaviour of those that are regulated, often </w:t>
      </w:r>
      <w:r w:rsidR="00A66302">
        <w:t>known as</w:t>
      </w:r>
      <w:r w:rsidRPr="00146FBB">
        <w:t xml:space="preserve"> responsive regulation. This approach looks at patterns of and trends in compliance and then targets action and resources to those areas which are needed to achieve the greatest benefit. </w:t>
      </w:r>
      <w:r w:rsidR="00E3094C" w:rsidRPr="00146FBB">
        <w:t>Valerie Braithwaite of the Australian National University talks about the application of light and firm touch approaches to regulation</w:t>
      </w:r>
      <w:r w:rsidR="00654D22" w:rsidRPr="00146FBB">
        <w:t xml:space="preserve"> (Braithwaite</w:t>
      </w:r>
      <w:r w:rsidR="00FF1A33" w:rsidRPr="00146FBB">
        <w:t xml:space="preserve"> 2010, 2012)</w:t>
      </w:r>
      <w:r w:rsidR="00E3094C" w:rsidRPr="00146FBB">
        <w:t xml:space="preserve">. </w:t>
      </w:r>
      <w:r w:rsidR="00401D11" w:rsidRPr="00146FBB">
        <w:t xml:space="preserve"> A light touch approach is characterised by increasingly more favourable treatment for compliant behaviour and increasingly more severe sanctions for transgressions. A firm touch approach is characterised by punitive measures, especially for unacceptable transgressions. The general light touch practice is to address non-compliant behaviour (bar unacceptable transgressions) when it first appears, by efforts to understand why the behaviour is occurring and to provide support to get the behaviour back on the track to compliance. Such an approach depends on clarity of purpose, transparency of expectations, trust between regulators and the communities they regulate, and clearly defined and consistently applied regulatory sanctions of increasing severity for transgressions. The application of these approaches is promoted as helping to reduce both regulatory effort and costs of compliance.</w:t>
      </w:r>
      <w:r w:rsidR="00FB6F3A" w:rsidRPr="00146FBB">
        <w:t xml:space="preserve"> There are also some benefits to be had from light touch approaches. Cowan (2007) claims that a light-handed approach saves on the costs of more prescriptive regulation. He also makes the point that the threat of regulation may achieve what a regulator might want to achieve, without actually regulating for it. The downside to this form of light touch regulation is that one cannot mainly rely on regulated parties to play by the rules to achieve efficient outcomes. </w:t>
      </w:r>
      <w:r w:rsidR="00401D11" w:rsidRPr="00146FBB">
        <w:t xml:space="preserve"> Nevertheless there are circumstances where the firm touch, that is</w:t>
      </w:r>
      <w:r w:rsidR="00014CC1" w:rsidRPr="00146FBB">
        <w:t>,</w:t>
      </w:r>
      <w:r w:rsidR="00401D11" w:rsidRPr="00146FBB">
        <w:t xml:space="preserve"> punitive </w:t>
      </w:r>
      <w:r w:rsidR="00014CC1" w:rsidRPr="00146FBB">
        <w:t xml:space="preserve">action, is required when the behaviour first appears (for example, in cases of fraud and other unacceptable transgressions). </w:t>
      </w:r>
    </w:p>
    <w:p w:rsidR="00401D11" w:rsidRPr="00146FBB" w:rsidRDefault="00014CC1" w:rsidP="00560B0A">
      <w:pPr>
        <w:pStyle w:val="Text"/>
      </w:pPr>
      <w:r w:rsidRPr="00146FBB">
        <w:t>A risk</w:t>
      </w:r>
      <w:r w:rsidR="00401D11" w:rsidRPr="00146FBB">
        <w:t xml:space="preserve">-based approach </w:t>
      </w:r>
      <w:r w:rsidRPr="00146FBB">
        <w:t xml:space="preserve">to regulation of VET </w:t>
      </w:r>
      <w:r w:rsidR="00401D11" w:rsidRPr="00146FBB">
        <w:t>is commonly applied in domestic and overseas quality assurance systems and regulatory frameworks</w:t>
      </w:r>
      <w:r w:rsidR="00FB6F3A" w:rsidRPr="00146FBB">
        <w:t xml:space="preserve"> (Misko, 2015)</w:t>
      </w:r>
      <w:r w:rsidR="00401D11" w:rsidRPr="00146FBB">
        <w:t xml:space="preserve">. It represents a practical solution to reducing regulatory burden. The streamlining of standards may be another. The first is dependent on having sufficient information for identifying high and low risk; the second for having a clear and exhaustive picture of all of the other standards and regulatory requirements that might apply. It is also important to understand whether the condensing of standards in the pursuit of ‘streamlining’ may introduce more rather than less complexity. </w:t>
      </w:r>
    </w:p>
    <w:p w:rsidR="00401D11" w:rsidRPr="00146FBB" w:rsidRDefault="00E3094C" w:rsidP="00560B0A">
      <w:pPr>
        <w:pStyle w:val="Text"/>
      </w:pPr>
      <w:r w:rsidRPr="00146FBB">
        <w:t xml:space="preserve">A concrete example </w:t>
      </w:r>
      <w:r w:rsidR="00654D22" w:rsidRPr="00146FBB">
        <w:t xml:space="preserve">of </w:t>
      </w:r>
      <w:r w:rsidR="00FB6F3A" w:rsidRPr="00146FBB">
        <w:t xml:space="preserve">a </w:t>
      </w:r>
      <w:r w:rsidRPr="00146FBB">
        <w:t xml:space="preserve">risk-based approach to regulation is provided </w:t>
      </w:r>
      <w:r w:rsidR="00FB6F3A" w:rsidRPr="00146FBB">
        <w:t xml:space="preserve">by </w:t>
      </w:r>
      <w:r w:rsidR="00401D11" w:rsidRPr="00146FBB">
        <w:t xml:space="preserve">The Florida Department of Education in the USA </w:t>
      </w:r>
      <w:r w:rsidRPr="00146FBB">
        <w:t xml:space="preserve">in its </w:t>
      </w:r>
      <w:r w:rsidR="00401D11" w:rsidRPr="00146FBB">
        <w:t>explanation</w:t>
      </w:r>
      <w:r w:rsidRPr="00146FBB">
        <w:t>s</w:t>
      </w:r>
      <w:r w:rsidR="00401D11" w:rsidRPr="00146FBB">
        <w:t xml:space="preserve"> of how the department applies a risk-based rating system to monitor the compliance with state and federal funding requirements of public providers of career and technical education (VET) and adult education. A risk rating is assigned to each provider based on some pre-determined risk factors, and this risk rating is used to identify appropriate monitoring strategies. The risk factors include volume of learning (higher funding equals higher risk), number of programs (higher number equals higher risk), complexity of grants (consortia of grantees equals higher risk), number of grants with 10% proportion of funds unspent (more such grants equals higher risk), results of prior reviews (negative findings equals higher risk), and number of uncorrected actions (history of repeated and uncorrected actions equals greater risk). </w:t>
      </w:r>
    </w:p>
    <w:p w:rsidR="00401D11" w:rsidRPr="00146FBB" w:rsidRDefault="00654D22" w:rsidP="00560B0A">
      <w:pPr>
        <w:pStyle w:val="Text"/>
      </w:pPr>
      <w:r w:rsidRPr="00146FBB">
        <w:t>A r</w:t>
      </w:r>
      <w:r w:rsidR="00401D11" w:rsidRPr="00146FBB">
        <w:t xml:space="preserve">isk-based approach to inspection is also employed by the province of Ontario in Canada to monitor the performance of its private career colleges. The risk factors included: newly registered private career colleges, colleges that submitted problematic audited financial statements for the Ontario Student Assistance Program, colleges with a large international student population, colleges providing truck driving/heavy equipment </w:t>
      </w:r>
      <w:r w:rsidR="00401D11" w:rsidRPr="00146FBB">
        <w:lastRenderedPageBreak/>
        <w:t>training, colleges offering dental hygiene programs, colleges with a high volume of student complaints, and colleges with a history of non-compliance (Ontario case study in Australian Government 2009 p79).</w:t>
      </w:r>
    </w:p>
    <w:p w:rsidR="00654D22" w:rsidRDefault="0052661E" w:rsidP="00654D22">
      <w:pPr>
        <w:pStyle w:val="Text"/>
      </w:pPr>
      <w:r w:rsidRPr="00146FBB">
        <w:t xml:space="preserve">The ‘Risk-based Compliance Guide’ of the Better Regulation Office of New South Wales, sets out a step-by-step approach to assessing risk. These are about identifying and analysing the risks of non-compliance, prioritising the risks, identifying and selecting the compliance measures, planning for implementation and reporting and reviewing. Such an approach can ensure that the standards for regulation are the same for everyone, but the way that providers are regulated in a practical sense is driven by their behaviour in meeting the overall standard. </w:t>
      </w:r>
      <w:r w:rsidR="00654D22" w:rsidRPr="00146FBB">
        <w:t xml:space="preserve">Today the Australian VET system has also introduced a risk-based approach to regulation based on </w:t>
      </w:r>
      <w:r w:rsidRPr="00146FBB">
        <w:t xml:space="preserve">implementing </w:t>
      </w:r>
      <w:r w:rsidR="00654D22" w:rsidRPr="00146FBB">
        <w:t xml:space="preserve">a system which assigns a risk-rating to providers </w:t>
      </w:r>
      <w:r w:rsidRPr="00146FBB">
        <w:t>to signal</w:t>
      </w:r>
      <w:r w:rsidR="00654D22" w:rsidRPr="00146FBB">
        <w:t xml:space="preserve"> the amount of ‘regulatory scrutiny’ that must be applied. </w:t>
      </w:r>
      <w:r w:rsidRPr="00146FBB">
        <w:t xml:space="preserve">Such a system relies on having in place effective mechanisms for evaluating the performance of RTOs and for capturing information on training outcomes produced. </w:t>
      </w:r>
    </w:p>
    <w:p w:rsidR="0065606F" w:rsidRPr="00706585" w:rsidRDefault="004F1324" w:rsidP="00706585">
      <w:pPr>
        <w:pStyle w:val="Text"/>
        <w:rPr>
          <w:b/>
          <w:i/>
        </w:rPr>
      </w:pPr>
      <w:r w:rsidRPr="00706585">
        <w:rPr>
          <w:b/>
          <w:i/>
        </w:rPr>
        <w:t>The</w:t>
      </w:r>
      <w:r w:rsidR="0065606F" w:rsidRPr="00706585">
        <w:rPr>
          <w:b/>
          <w:i/>
        </w:rPr>
        <w:t xml:space="preserve"> maintenance of </w:t>
      </w:r>
      <w:r w:rsidRPr="00706585">
        <w:rPr>
          <w:b/>
          <w:i/>
        </w:rPr>
        <w:t xml:space="preserve">qualifications in </w:t>
      </w:r>
      <w:r w:rsidR="0065606F" w:rsidRPr="00706585">
        <w:rPr>
          <w:b/>
          <w:i/>
        </w:rPr>
        <w:t>training packages and accredited courses</w:t>
      </w:r>
    </w:p>
    <w:p w:rsidR="007D03B7" w:rsidRDefault="00DC78DB" w:rsidP="003B42EE">
      <w:pPr>
        <w:pStyle w:val="Text"/>
      </w:pPr>
      <w:r w:rsidRPr="00146FBB">
        <w:t>The issue of the proliferation of qualifications is currently being experienced by other systems</w:t>
      </w:r>
      <w:r w:rsidR="002B71E6" w:rsidRPr="00146FBB">
        <w:t xml:space="preserve"> (Misko 2015)</w:t>
      </w:r>
      <w:r w:rsidRPr="00146FBB">
        <w:t xml:space="preserve">. The New Zealand approach to </w:t>
      </w:r>
      <w:r w:rsidR="007A0A30" w:rsidRPr="00146FBB">
        <w:t xml:space="preserve">the </w:t>
      </w:r>
      <w:r w:rsidRPr="00146FBB">
        <w:t xml:space="preserve">removal of qualifications provides us with an </w:t>
      </w:r>
      <w:r w:rsidR="007D03B7" w:rsidRPr="00146FBB">
        <w:t xml:space="preserve">example of how </w:t>
      </w:r>
      <w:r w:rsidRPr="00146FBB">
        <w:t xml:space="preserve">similar systems </w:t>
      </w:r>
      <w:r w:rsidR="00A66302">
        <w:t xml:space="preserve">to ours </w:t>
      </w:r>
      <w:r w:rsidRPr="00146FBB">
        <w:t xml:space="preserve">go about </w:t>
      </w:r>
      <w:r w:rsidR="007D03B7" w:rsidRPr="00146FBB">
        <w:t>reduc</w:t>
      </w:r>
      <w:r w:rsidRPr="00146FBB">
        <w:t>ing</w:t>
      </w:r>
      <w:r w:rsidR="007D03B7" w:rsidRPr="00146FBB">
        <w:t xml:space="preserve"> or maintain</w:t>
      </w:r>
      <w:r w:rsidRPr="00146FBB">
        <w:t xml:space="preserve">ing qualifications that are not being used. </w:t>
      </w:r>
      <w:r w:rsidR="007D03B7" w:rsidRPr="00146FBB">
        <w:t xml:space="preserve"> The New Zealand Qualification Authority </w:t>
      </w:r>
      <w:r w:rsidR="00A66302">
        <w:t xml:space="preserve">(NZQA) </w:t>
      </w:r>
      <w:r w:rsidR="007D03B7" w:rsidRPr="00146FBB">
        <w:t>describes qualifications as</w:t>
      </w:r>
      <w:r w:rsidR="002B71E6" w:rsidRPr="00146FBB">
        <w:t xml:space="preserve"> being</w:t>
      </w:r>
      <w:r w:rsidR="007D03B7" w:rsidRPr="00146FBB">
        <w:t xml:space="preserve"> current, expiring or discontinued. Current qualifications are those that are currently accredited and listed on the N</w:t>
      </w:r>
      <w:r w:rsidR="00436404" w:rsidRPr="00146FBB">
        <w:t xml:space="preserve">ew </w:t>
      </w:r>
      <w:r w:rsidR="007D03B7" w:rsidRPr="00146FBB">
        <w:t>Z</w:t>
      </w:r>
      <w:r w:rsidR="00436404" w:rsidRPr="00146FBB">
        <w:t xml:space="preserve">ealand </w:t>
      </w:r>
      <w:r w:rsidR="007D03B7" w:rsidRPr="00146FBB">
        <w:t>Q</w:t>
      </w:r>
      <w:r w:rsidR="00436404" w:rsidRPr="00146FBB">
        <w:t xml:space="preserve">ualification </w:t>
      </w:r>
      <w:r w:rsidR="007D03B7" w:rsidRPr="00146FBB">
        <w:t>F</w:t>
      </w:r>
      <w:r w:rsidR="00436404" w:rsidRPr="00146FBB">
        <w:t xml:space="preserve">ramework </w:t>
      </w:r>
      <w:r w:rsidR="007D03B7" w:rsidRPr="00146FBB">
        <w:t xml:space="preserve">and can be offered to candidates. Expiring qualifications are those that will be replaced by a new qualification or will be closed. Discontinued qualifications are those that will no longer be available. The status of qualifications is based on the results of a periodic and mandatory review process. The aim of this review is to ensure that qualifications remain fit for purpose. These arrangements have helped to prevent the ‘duplication and proliferation’ of qualifications. The NZQA maintains that they have actually reduced the number of available qualifications to around 1000. The mandatory review can be thought of as ‘part of the </w:t>
      </w:r>
      <w:r w:rsidR="00436404" w:rsidRPr="00146FBB">
        <w:t>life cycle of the qualification</w:t>
      </w:r>
      <w:r w:rsidR="00654D22" w:rsidRPr="00146FBB">
        <w:t>’</w:t>
      </w:r>
      <w:r w:rsidR="007D03B7" w:rsidRPr="00146FBB">
        <w:t xml:space="preserve">. </w:t>
      </w:r>
      <w:r w:rsidRPr="00146FBB">
        <w:t xml:space="preserve">The purpose of the mandatory review is to ensure that the qualifications remain ‘useful, relevant and fit for purpose’ for the learners, industry and stakeholders for which they were initially developed. The NZQA publishes an annual review schedule for qualifications to be reviewed. The schedule groups together similar qualifications. </w:t>
      </w:r>
      <w:r w:rsidR="007D03B7" w:rsidRPr="00146FBB">
        <w:t xml:space="preserve">Factors which trigger the mandatory review include: the review date of an individual qualification, groups of qualifications that have been identified as being duplicating or proliferating, groups of qualifications that have a direct relationship to each other. A review can also be triggered if there is a request by a qualification developer or accredited user to say that a review is required because of major workforce, social, technological, legislative or policy change. Another trigger for review is the lack of enrolment activity in the qualification after two years. </w:t>
      </w:r>
    </w:p>
    <w:p w:rsidR="00436404" w:rsidRPr="00706585" w:rsidRDefault="00FD6F75" w:rsidP="00AA2985">
      <w:pPr>
        <w:pStyle w:val="Heading1"/>
        <w:numPr>
          <w:ilvl w:val="0"/>
          <w:numId w:val="32"/>
        </w:numPr>
      </w:pPr>
      <w:r w:rsidRPr="00706585">
        <w:t>Looking at whether a stronger focus on assessment of students would better ensure the training system meets the needs of employers and individuals</w:t>
      </w:r>
      <w:r w:rsidR="00AE160D" w:rsidRPr="00706585">
        <w:t>:</w:t>
      </w:r>
    </w:p>
    <w:p w:rsidR="00791838" w:rsidRPr="00146FBB" w:rsidRDefault="00791838" w:rsidP="00560B0A">
      <w:pPr>
        <w:pStyle w:val="Text"/>
      </w:pPr>
      <w:r w:rsidRPr="00146FBB">
        <w:t xml:space="preserve">Quality VET assessments help to develop student, employer and community confidence in the VET system. Having trainers and assessors develop the skills, knowledge and motivations to conduct assessments that are valid and reliable helps to maintain this confidence. </w:t>
      </w:r>
      <w:r w:rsidR="0067039A" w:rsidRPr="00146FBB">
        <w:t xml:space="preserve">A stronger focus on assessments </w:t>
      </w:r>
      <w:r w:rsidRPr="00146FBB">
        <w:t xml:space="preserve">of students </w:t>
      </w:r>
      <w:r w:rsidR="0067039A" w:rsidRPr="00146FBB">
        <w:t xml:space="preserve">necessarily requires </w:t>
      </w:r>
      <w:r w:rsidRPr="00146FBB">
        <w:t xml:space="preserve">improved opportunities for trainers and assessors to engage in continuing professional development programs aimed at raising the assessment skills of participants.  </w:t>
      </w:r>
    </w:p>
    <w:p w:rsidR="005A3180" w:rsidRPr="00146FBB" w:rsidRDefault="005A3180" w:rsidP="005A3180">
      <w:pPr>
        <w:pStyle w:val="Text"/>
      </w:pPr>
      <w:r w:rsidRPr="00146FBB">
        <w:t xml:space="preserve">A range of guidance already exists about how to go about improving the quality of assessment. The National Quality Council report (National Quality Council 2008) provides information on what are considered to be the key elements of an ideal system of assessment. These are: Training Package development including the prioritisation of critical units, training and ongoing professional development of assessors, validation and/or moderation, and a formal relationship between RTO and enterprises (for current employees undertaking training). This advice should be used to inform how to go about improving the quality of assessments for the future. </w:t>
      </w:r>
    </w:p>
    <w:p w:rsidR="00791838" w:rsidRPr="00146FBB" w:rsidRDefault="00244851" w:rsidP="007F3D48">
      <w:pPr>
        <w:pStyle w:val="Text"/>
      </w:pPr>
      <w:r w:rsidRPr="00146FBB">
        <w:t>A recent</w:t>
      </w:r>
      <w:r w:rsidR="002B71E6" w:rsidRPr="00146FBB">
        <w:t xml:space="preserve"> study </w:t>
      </w:r>
      <w:r w:rsidR="00D2197D">
        <w:t xml:space="preserve">on quality assessment </w:t>
      </w:r>
      <w:r w:rsidR="002B71E6" w:rsidRPr="00146FBB">
        <w:t>by NCVER researchers</w:t>
      </w:r>
      <w:r w:rsidRPr="00146FBB">
        <w:t xml:space="preserve"> </w:t>
      </w:r>
      <w:r w:rsidR="002B71E6" w:rsidRPr="00146FBB">
        <w:t>(</w:t>
      </w:r>
      <w:r w:rsidR="002B71E6" w:rsidRPr="00146FBB">
        <w:rPr>
          <w:szCs w:val="16"/>
        </w:rPr>
        <w:t xml:space="preserve">Misko, Halliday-Wynes, Stanwick &amp; Gemici, 2014) </w:t>
      </w:r>
      <w:r w:rsidRPr="00146FBB">
        <w:t xml:space="preserve">investigated </w:t>
      </w:r>
      <w:r w:rsidR="00E0465C" w:rsidRPr="00146FBB">
        <w:t xml:space="preserve">how </w:t>
      </w:r>
      <w:r w:rsidRPr="00146FBB">
        <w:t>VET</w:t>
      </w:r>
      <w:r w:rsidR="00E0465C" w:rsidRPr="00146FBB">
        <w:t xml:space="preserve"> practitioners</w:t>
      </w:r>
      <w:r w:rsidRPr="00146FBB">
        <w:t xml:space="preserve"> </w:t>
      </w:r>
      <w:r w:rsidR="00E0465C" w:rsidRPr="00146FBB">
        <w:t xml:space="preserve">understood and applied </w:t>
      </w:r>
      <w:r w:rsidR="002B71E6" w:rsidRPr="00146FBB">
        <w:t>concepts</w:t>
      </w:r>
      <w:r w:rsidR="00E0465C" w:rsidRPr="00146FBB">
        <w:t xml:space="preserve"> of quality assessment. The report found that </w:t>
      </w:r>
      <w:r w:rsidR="00CD0668" w:rsidRPr="00146FBB">
        <w:t>VET practitioners could describe commonly accepted criteria for quality or effective assessments. There was, however, variation in the application of moderation and validation practices across providers</w:t>
      </w:r>
      <w:r w:rsidR="007F3D48" w:rsidRPr="00146FBB">
        <w:t xml:space="preserve">, and the extent to which they had streamlined Recognition of Prior Learning </w:t>
      </w:r>
      <w:r w:rsidR="00454F1A" w:rsidRPr="00146FBB">
        <w:t xml:space="preserve">(RPL) </w:t>
      </w:r>
      <w:r w:rsidR="007F3D48" w:rsidRPr="00146FBB">
        <w:t>processes.</w:t>
      </w:r>
      <w:r w:rsidR="00CD0668" w:rsidRPr="00146FBB">
        <w:t xml:space="preserve"> </w:t>
      </w:r>
      <w:r w:rsidR="00454F1A" w:rsidRPr="00146FBB">
        <w:t>T</w:t>
      </w:r>
      <w:r w:rsidR="00CD0668" w:rsidRPr="00146FBB">
        <w:t xml:space="preserve">he need to ensure consistency among assessors, and clarity of requirements for students undertaking the assessments are </w:t>
      </w:r>
      <w:r w:rsidR="006A0C1F" w:rsidRPr="00146FBB">
        <w:t xml:space="preserve">often </w:t>
      </w:r>
      <w:r w:rsidR="006A0C1F" w:rsidRPr="00146FBB">
        <w:lastRenderedPageBreak/>
        <w:t xml:space="preserve">taken to mean the </w:t>
      </w:r>
      <w:r w:rsidR="00CD0668" w:rsidRPr="00146FBB">
        <w:t xml:space="preserve">up-front </w:t>
      </w:r>
      <w:r w:rsidRPr="00146FBB">
        <w:t>review of assessment tools and development and application of marking guides</w:t>
      </w:r>
      <w:r w:rsidR="006A0C1F" w:rsidRPr="00146FBB">
        <w:t xml:space="preserve">, rather than post-assessment processes for ensuring comparability among assessment results. In the </w:t>
      </w:r>
      <w:r w:rsidR="004A2BF5" w:rsidRPr="00146FBB">
        <w:t>occasional</w:t>
      </w:r>
      <w:r w:rsidR="006A0C1F" w:rsidRPr="00146FBB">
        <w:t xml:space="preserve"> case that any po</w:t>
      </w:r>
      <w:r w:rsidRPr="00146FBB">
        <w:t>st-assessment</w:t>
      </w:r>
      <w:r w:rsidR="006A0C1F" w:rsidRPr="00146FBB">
        <w:t xml:space="preserve"> review of results is undertaken</w:t>
      </w:r>
      <w:r w:rsidRPr="00146FBB">
        <w:t xml:space="preserve"> it is rare for teachers and trainers to alter any assessment decisions. When post-assessment moderation processes are used, the usual approach is to modify the assessment tools so that there are no issues for next time. </w:t>
      </w:r>
    </w:p>
    <w:p w:rsidR="00A103BA" w:rsidRPr="00146FBB" w:rsidRDefault="000107D1" w:rsidP="00454F1A">
      <w:pPr>
        <w:pStyle w:val="Text"/>
      </w:pPr>
      <w:r w:rsidRPr="00146FBB">
        <w:t xml:space="preserve">Trainers and assessors understand the wisdom of getting employer feedback to ensure that what they are doing in the classroom is what is required by industry. They also understand the constraints of getting employers to spend the time to devote to the validation of assessment tools. Where practitioners already have good networks with employers getting this involvement seems to be less difficult. </w:t>
      </w:r>
      <w:r w:rsidR="00A103BA" w:rsidRPr="00146FBB">
        <w:t>It is important to note that stakeholder involvement may be constrained by the ability and availability of stakeholders to meaningfully engage with the system. Identifying the type and extent of involvement that can be reasonably expected from industry, community or student stakeholders is an important step in ensuring they can provide valued input. Such an approach can also help to identify the role of these stakeholders in external assessments to improve the validity and reliability.</w:t>
      </w:r>
    </w:p>
    <w:p w:rsidR="000107D1" w:rsidRDefault="004A2BF5" w:rsidP="00454F1A">
      <w:pPr>
        <w:pStyle w:val="Text"/>
      </w:pPr>
      <w:r w:rsidRPr="00146FBB">
        <w:t>The</w:t>
      </w:r>
      <w:r w:rsidR="00454F1A" w:rsidRPr="00146FBB">
        <w:t xml:space="preserve"> Misko et al </w:t>
      </w:r>
      <w:r w:rsidRPr="00146FBB">
        <w:t>study finds that the</w:t>
      </w:r>
      <w:r w:rsidR="000107D1" w:rsidRPr="00146FBB">
        <w:t xml:space="preserve"> uptake of RPL </w:t>
      </w:r>
      <w:r w:rsidR="00A103BA" w:rsidRPr="00146FBB">
        <w:t xml:space="preserve">assessments </w:t>
      </w:r>
      <w:r w:rsidRPr="00146FBB">
        <w:t xml:space="preserve">is </w:t>
      </w:r>
      <w:r w:rsidR="000107D1" w:rsidRPr="00146FBB">
        <w:t>still relatively low, especially for Certificate III programs</w:t>
      </w:r>
      <w:r w:rsidRPr="00146FBB">
        <w:t xml:space="preserve">. It is </w:t>
      </w:r>
      <w:r w:rsidR="000107D1" w:rsidRPr="00146FBB">
        <w:t>more commonly requested for higher level programs. Where</w:t>
      </w:r>
      <w:r w:rsidR="00A103BA" w:rsidRPr="00146FBB">
        <w:t xml:space="preserve"> RPL</w:t>
      </w:r>
      <w:r w:rsidR="000107D1" w:rsidRPr="00146FBB">
        <w:t xml:space="preserve"> does occur it is generally </w:t>
      </w:r>
      <w:r w:rsidR="00C03EAF" w:rsidRPr="00146FBB">
        <w:t xml:space="preserve">still </w:t>
      </w:r>
      <w:r w:rsidR="000107D1" w:rsidRPr="00146FBB">
        <w:t xml:space="preserve">taking considerable time and effort on the part of assessors and students. </w:t>
      </w:r>
      <w:r w:rsidRPr="00146FBB">
        <w:t>The</w:t>
      </w:r>
      <w:r w:rsidR="000107D1" w:rsidRPr="00146FBB">
        <w:t xml:space="preserve"> COAG aim to have providers streamline RPL is not widespread for qualifications in this study. This is not to say that it has not happened at all, but it is still common for providers to spend substantial amounts of time making sure that they have accurate mapping of evidence to elements of competence, and expectations that students will provide sufficient amounts of evidence.  </w:t>
      </w:r>
      <w:r w:rsidRPr="00146FBB">
        <w:t xml:space="preserve">Key drivers </w:t>
      </w:r>
      <w:r w:rsidR="000107D1" w:rsidRPr="00146FBB">
        <w:t xml:space="preserve">of this behaviour </w:t>
      </w:r>
      <w:r w:rsidR="00777126" w:rsidRPr="00146FBB">
        <w:t>are</w:t>
      </w:r>
      <w:r w:rsidR="000107D1" w:rsidRPr="00146FBB">
        <w:t xml:space="preserve"> </w:t>
      </w:r>
      <w:r w:rsidRPr="00146FBB">
        <w:t>the need to meet</w:t>
      </w:r>
      <w:r w:rsidR="000107D1" w:rsidRPr="00146FBB">
        <w:t xml:space="preserve"> auditor expectations</w:t>
      </w:r>
      <w:r w:rsidRPr="00146FBB">
        <w:t xml:space="preserve">, and protect institutional brand. </w:t>
      </w:r>
      <w:r w:rsidR="000107D1" w:rsidRPr="00146FBB">
        <w:t xml:space="preserve"> </w:t>
      </w:r>
    </w:p>
    <w:p w:rsidR="00284D22" w:rsidRPr="00706585" w:rsidRDefault="00284D22" w:rsidP="00706585">
      <w:pPr>
        <w:pStyle w:val="Text"/>
        <w:rPr>
          <w:b/>
          <w:i/>
        </w:rPr>
      </w:pPr>
      <w:r w:rsidRPr="00706585">
        <w:rPr>
          <w:b/>
          <w:i/>
        </w:rPr>
        <w:t>Increasing prescriptions about durations and content of training</w:t>
      </w:r>
    </w:p>
    <w:p w:rsidR="00284D22" w:rsidRDefault="00284D22" w:rsidP="00284D22">
      <w:pPr>
        <w:pStyle w:val="Text"/>
      </w:pPr>
      <w:r w:rsidRPr="00146FBB">
        <w:t xml:space="preserve">The results of the independent assessment validation pilot for aged care qualifications, undertaken in South Australia (South Australian Government 2012), have highlighted the need to provide a higher level of prescription or direction to RTOs delivering the Aged Care Qualifications, especially in terms of course duration and content and quality of training and assessment.  Such an approach could be considered for other qualifications where the quality of assessment has been of concern.  </w:t>
      </w:r>
    </w:p>
    <w:p w:rsidR="007A4E03" w:rsidRPr="00146FBB" w:rsidRDefault="00146FBB" w:rsidP="00AA2985">
      <w:pPr>
        <w:pStyle w:val="Heading1"/>
        <w:numPr>
          <w:ilvl w:val="0"/>
          <w:numId w:val="32"/>
        </w:numPr>
      </w:pPr>
      <w:r w:rsidRPr="00146FBB">
        <w:t xml:space="preserve">Data </w:t>
      </w:r>
      <w:r w:rsidR="00706585">
        <w:t xml:space="preserve">related </w:t>
      </w:r>
      <w:r w:rsidRPr="00146FBB">
        <w:t xml:space="preserve">issues </w:t>
      </w:r>
      <w:r>
        <w:t>for consideration</w:t>
      </w:r>
      <w:r w:rsidR="00F4409F">
        <w:t xml:space="preserve"> </w:t>
      </w:r>
    </w:p>
    <w:p w:rsidR="00210D29" w:rsidRPr="00146FBB" w:rsidRDefault="00210D29" w:rsidP="0052661E">
      <w:pPr>
        <w:pStyle w:val="Text"/>
      </w:pPr>
      <w:r w:rsidRPr="00146FBB">
        <w:t xml:space="preserve">There are also range of data issues that </w:t>
      </w:r>
      <w:r w:rsidR="00C7091F">
        <w:t xml:space="preserve"> requiring further consideration,</w:t>
      </w:r>
      <w:r w:rsidRPr="00146FBB">
        <w:t xml:space="preserve"> including information on non-accredited training, the classification of qualifications and assignment of nominal hours, and inconsistency of course hour requirements for different qualifications at the same or different AQF levels. </w:t>
      </w:r>
    </w:p>
    <w:p w:rsidR="0067039A" w:rsidRPr="00706585" w:rsidRDefault="0067039A" w:rsidP="00706585">
      <w:pPr>
        <w:pStyle w:val="Text"/>
        <w:rPr>
          <w:b/>
          <w:i/>
        </w:rPr>
      </w:pPr>
      <w:r w:rsidRPr="00706585">
        <w:rPr>
          <w:b/>
          <w:i/>
        </w:rPr>
        <w:t>Capturing information on non-accredited training</w:t>
      </w:r>
    </w:p>
    <w:p w:rsidR="006310AF" w:rsidRDefault="0082776E" w:rsidP="0067039A">
      <w:pPr>
        <w:pStyle w:val="Text"/>
      </w:pPr>
      <w:r w:rsidRPr="00146FBB">
        <w:t>NCVER has expanded its data collections to capture data on private provision under the government-endorsed Total VET Activity</w:t>
      </w:r>
      <w:r w:rsidR="00B45EF7">
        <w:t xml:space="preserve"> (TVA) </w:t>
      </w:r>
      <w:r w:rsidRPr="00146FBB">
        <w:t xml:space="preserve">initiative. However, this does not include any training activity in courses </w:t>
      </w:r>
      <w:r w:rsidR="0006207D">
        <w:t>that are non-accredited. While we are not suggesting that the current TVA initiative be expanded to capture this activity we are of the view that this information (especially if it relates to government-funded training which has been recorded for government accountability purposes) should also be made publically available.</w:t>
      </w:r>
      <w:r w:rsidR="006310AF">
        <w:t xml:space="preserve"> For example, employers may receive government funding from the current Industry Skills Fund to </w:t>
      </w:r>
      <w:r w:rsidR="00483307">
        <w:t xml:space="preserve">help them develop the skills of their employees, as well as to boost productivity and competitiveness of their business.  </w:t>
      </w:r>
      <w:r w:rsidR="006310AF">
        <w:t xml:space="preserve">If they opt to engage their employees in </w:t>
      </w:r>
      <w:r w:rsidR="00483307">
        <w:t>training courses that will help boost their productivity and innovative capacity this activity will be captured on Industry Skills Fund data bases held by government, however it will not</w:t>
      </w:r>
      <w:r w:rsidR="00D2197D">
        <w:t xml:space="preserve"> necessarily</w:t>
      </w:r>
      <w:r w:rsidR="00483307">
        <w:t xml:space="preserve"> be captured in national VET collections.  </w:t>
      </w:r>
    </w:p>
    <w:p w:rsidR="0067039A" w:rsidRPr="00706585" w:rsidRDefault="0067039A" w:rsidP="00706585">
      <w:pPr>
        <w:pStyle w:val="Text"/>
        <w:rPr>
          <w:b/>
          <w:i/>
        </w:rPr>
      </w:pPr>
      <w:r w:rsidRPr="00706585">
        <w:rPr>
          <w:b/>
          <w:i/>
        </w:rPr>
        <w:t>Applying classifications and nominal hours to qualifications and units of competency</w:t>
      </w:r>
    </w:p>
    <w:p w:rsidR="00D2197D" w:rsidRDefault="00150381" w:rsidP="00210D29">
      <w:pPr>
        <w:pStyle w:val="Text"/>
      </w:pPr>
      <w:r w:rsidRPr="00146FBB">
        <w:t>The n</w:t>
      </w:r>
      <w:r w:rsidR="00364359" w:rsidRPr="00146FBB">
        <w:t>ational</w:t>
      </w:r>
      <w:r w:rsidR="00DE184C" w:rsidRPr="00146FBB">
        <w:t xml:space="preserve"> data </w:t>
      </w:r>
      <w:r w:rsidR="00C718E5" w:rsidRPr="00146FBB">
        <w:t xml:space="preserve">reporting </w:t>
      </w:r>
      <w:r w:rsidR="00DE184C" w:rsidRPr="00146FBB">
        <w:t xml:space="preserve">standard </w:t>
      </w:r>
      <w:r w:rsidR="00052008" w:rsidRPr="00146FBB">
        <w:t xml:space="preserve">(AVETMISS) </w:t>
      </w:r>
      <w:r w:rsidR="00C718E5" w:rsidRPr="00146FBB">
        <w:t xml:space="preserve">requires </w:t>
      </w:r>
      <w:r w:rsidR="00DE184C" w:rsidRPr="00146FBB">
        <w:t>qualifications and units of competency</w:t>
      </w:r>
      <w:r w:rsidR="004C02ED" w:rsidRPr="00146FBB">
        <w:t xml:space="preserve"> </w:t>
      </w:r>
      <w:r w:rsidR="00C718E5" w:rsidRPr="00146FBB">
        <w:t xml:space="preserve">to be </w:t>
      </w:r>
      <w:r w:rsidR="004C02ED" w:rsidRPr="00146FBB">
        <w:t>c</w:t>
      </w:r>
      <w:r w:rsidR="00BC70D2" w:rsidRPr="00146FBB">
        <w:t>lassifi</w:t>
      </w:r>
      <w:r w:rsidR="004C02ED" w:rsidRPr="00146FBB">
        <w:t xml:space="preserve">ed by occupation and field of education </w:t>
      </w:r>
      <w:r w:rsidR="00C718E5" w:rsidRPr="00146FBB">
        <w:t xml:space="preserve">(using </w:t>
      </w:r>
      <w:r w:rsidR="00DF2236" w:rsidRPr="00146FBB">
        <w:t xml:space="preserve">the </w:t>
      </w:r>
      <w:r w:rsidR="004C02ED" w:rsidRPr="00146FBB">
        <w:t xml:space="preserve">ABS </w:t>
      </w:r>
      <w:r w:rsidR="00C718E5" w:rsidRPr="00146FBB">
        <w:t>standards ANZSCO and ASCED).</w:t>
      </w:r>
      <w:r w:rsidR="004C02ED" w:rsidRPr="00146FBB">
        <w:t xml:space="preserve"> </w:t>
      </w:r>
      <w:r w:rsidR="00BC70D2" w:rsidRPr="00146FBB">
        <w:t xml:space="preserve"> </w:t>
      </w:r>
      <w:r w:rsidR="00113726" w:rsidRPr="00146FBB">
        <w:t>In addition</w:t>
      </w:r>
      <w:r w:rsidR="00BC70D2" w:rsidRPr="00146FBB">
        <w:t xml:space="preserve"> </w:t>
      </w:r>
      <w:r w:rsidR="00113726" w:rsidRPr="00146FBB">
        <w:t>nominal hour</w:t>
      </w:r>
      <w:r w:rsidRPr="00146FBB">
        <w:t>s</w:t>
      </w:r>
      <w:r w:rsidR="00DF2236" w:rsidRPr="00146FBB">
        <w:t xml:space="preserve"> are </w:t>
      </w:r>
      <w:r w:rsidR="00913388" w:rsidRPr="00146FBB">
        <w:t xml:space="preserve">statistically </w:t>
      </w:r>
      <w:r w:rsidR="00DF2236" w:rsidRPr="00146FBB">
        <w:t>allocated to units of competency</w:t>
      </w:r>
      <w:r w:rsidR="00913388" w:rsidRPr="00146FBB">
        <w:t xml:space="preserve"> for reporting as agreed national nominal hours</w:t>
      </w:r>
      <w:r w:rsidR="00C718E5" w:rsidRPr="00146FBB">
        <w:t>.</w:t>
      </w:r>
      <w:r w:rsidR="00BC70D2" w:rsidRPr="00146FBB">
        <w:t xml:space="preserve"> </w:t>
      </w:r>
      <w:r w:rsidR="00C718E5" w:rsidRPr="00146FBB">
        <w:t>This information is used to identify relevant training and the quantum of training</w:t>
      </w:r>
      <w:r w:rsidRPr="00146FBB">
        <w:t xml:space="preserve"> by industry</w:t>
      </w:r>
      <w:r w:rsidR="00C718E5" w:rsidRPr="00146FBB">
        <w:t xml:space="preserve">, in national reporting of the VET system (see for example NCVER 2014), and by states and territories in determining </w:t>
      </w:r>
      <w:r w:rsidR="00C718E5" w:rsidRPr="00146FBB">
        <w:lastRenderedPageBreak/>
        <w:t>funding allocations.</w:t>
      </w:r>
      <w:r w:rsidR="0067039A" w:rsidRPr="00146FBB">
        <w:t xml:space="preserve"> </w:t>
      </w:r>
      <w:r w:rsidR="009B4F10" w:rsidRPr="00146FBB">
        <w:t>Currently the RTO provides information on nominal hours for accredited courses and</w:t>
      </w:r>
      <w:r w:rsidR="00F4409F">
        <w:t xml:space="preserve"> new </w:t>
      </w:r>
      <w:r w:rsidR="009B4F10" w:rsidRPr="00146FBB">
        <w:t>units of competency to NCVER.</w:t>
      </w:r>
      <w:r w:rsidR="00390F1E">
        <w:t xml:space="preserve"> </w:t>
      </w:r>
      <w:r w:rsidR="00390F1E" w:rsidRPr="00390F1E">
        <w:t xml:space="preserve">Where the assignment of nominal hours for units of competency has not been applied before NCVER receives the data, then NCVER will make the assignment of nominal hours to the units of competency. </w:t>
      </w:r>
    </w:p>
    <w:p w:rsidR="009B4F10" w:rsidRPr="00146FBB" w:rsidRDefault="009B4F10" w:rsidP="00210D29">
      <w:pPr>
        <w:pStyle w:val="Text"/>
        <w:rPr>
          <w:color w:val="1F497D" w:themeColor="dark2"/>
        </w:rPr>
      </w:pPr>
      <w:r w:rsidRPr="00390F1E">
        <w:t xml:space="preserve">Ideally </w:t>
      </w:r>
      <w:r w:rsidRPr="00146FBB">
        <w:t xml:space="preserve">these </w:t>
      </w:r>
      <w:r w:rsidR="0067039A" w:rsidRPr="00146FBB">
        <w:t xml:space="preserve">classifications and nominal hour </w:t>
      </w:r>
      <w:r w:rsidRPr="00146FBB">
        <w:t>assignments should occur when the qualification or unit is being developed or updated</w:t>
      </w:r>
      <w:r w:rsidR="0067039A" w:rsidRPr="00146FBB">
        <w:t xml:space="preserve"> rather than after the fact</w:t>
      </w:r>
      <w:r w:rsidRPr="00146FBB">
        <w:t>.</w:t>
      </w:r>
      <w:r w:rsidR="00390F1E">
        <w:t xml:space="preserve"> This will </w:t>
      </w:r>
      <w:r w:rsidR="003D1951">
        <w:t xml:space="preserve">enable </w:t>
      </w:r>
      <w:r w:rsidR="00D2197D">
        <w:t xml:space="preserve">more </w:t>
      </w:r>
      <w:r w:rsidR="003D1951">
        <w:t xml:space="preserve">consistent and timely reporting. </w:t>
      </w:r>
    </w:p>
    <w:p w:rsidR="0067039A" w:rsidRPr="00706585" w:rsidRDefault="0067039A" w:rsidP="00706585">
      <w:pPr>
        <w:pStyle w:val="Text"/>
        <w:rPr>
          <w:b/>
          <w:i/>
        </w:rPr>
      </w:pPr>
      <w:r w:rsidRPr="00706585">
        <w:rPr>
          <w:b/>
          <w:i/>
        </w:rPr>
        <w:t xml:space="preserve">Ensuring comparability within and between qualification levels </w:t>
      </w:r>
    </w:p>
    <w:p w:rsidR="00DE184C" w:rsidRDefault="00E95CE7" w:rsidP="0067039A">
      <w:pPr>
        <w:pStyle w:val="Text"/>
      </w:pPr>
      <w:r w:rsidRPr="00146FBB">
        <w:t>There continues to be a wide spread of hours that are required to complete a qualification</w:t>
      </w:r>
      <w:r w:rsidR="00706585">
        <w:rPr>
          <w:rStyle w:val="FootnoteReference"/>
        </w:rPr>
        <w:footnoteReference w:id="6"/>
      </w:r>
      <w:r w:rsidR="00FF6F07" w:rsidRPr="00146FBB">
        <w:t xml:space="preserve"> (see A</w:t>
      </w:r>
      <w:r w:rsidR="00580540" w:rsidRPr="00146FBB">
        <w:t>ttachment A)</w:t>
      </w:r>
      <w:r w:rsidRPr="00146FBB">
        <w:t>. This spread is observed within and between qualification levels.</w:t>
      </w:r>
      <w:r w:rsidR="00FF6F07" w:rsidRPr="00146FBB">
        <w:t xml:space="preserve"> </w:t>
      </w:r>
      <w:r w:rsidR="00483307">
        <w:t>Whilst i</w:t>
      </w:r>
      <w:r w:rsidRPr="00146FBB">
        <w:t xml:space="preserve">t is reasonable to expect </w:t>
      </w:r>
      <w:r w:rsidR="00580540" w:rsidRPr="00146FBB">
        <w:t xml:space="preserve">to see </w:t>
      </w:r>
      <w:r w:rsidRPr="00146FBB">
        <w:t xml:space="preserve">differences in course hours for qualifications in different fields of education (for example, education courses would be shorter in duration than engineering) it is </w:t>
      </w:r>
      <w:r w:rsidR="00FF6F07" w:rsidRPr="00146FBB">
        <w:t>less</w:t>
      </w:r>
      <w:r w:rsidRPr="00146FBB">
        <w:t xml:space="preserve"> reasonable to expect that students studying courses </w:t>
      </w:r>
      <w:r w:rsidR="00580540" w:rsidRPr="00146FBB">
        <w:t xml:space="preserve">at the same level will be expected to do substantially different number of hours. In addition, it is also unreasonable to expect that students </w:t>
      </w:r>
      <w:r w:rsidRPr="00146FBB">
        <w:t xml:space="preserve">in one jurisdiction will do substantially more hours </w:t>
      </w:r>
      <w:r w:rsidR="00580540" w:rsidRPr="00146FBB">
        <w:t xml:space="preserve">for any given qualification </w:t>
      </w:r>
      <w:r w:rsidR="00FF6F07" w:rsidRPr="00146FBB">
        <w:t xml:space="preserve">(per field of education) </w:t>
      </w:r>
      <w:r w:rsidRPr="00146FBB">
        <w:t xml:space="preserve">than one studying </w:t>
      </w:r>
      <w:r w:rsidR="00580540" w:rsidRPr="00146FBB">
        <w:t xml:space="preserve">the same qualification </w:t>
      </w:r>
      <w:r w:rsidR="00FF6F07" w:rsidRPr="00146FBB">
        <w:t xml:space="preserve">(per field of education) </w:t>
      </w:r>
      <w:r w:rsidRPr="00146FBB">
        <w:t xml:space="preserve">in another jurisdiction. If we want to ensure that there is </w:t>
      </w:r>
      <w:r w:rsidR="00580540" w:rsidRPr="00146FBB">
        <w:t xml:space="preserve">comparability </w:t>
      </w:r>
      <w:r w:rsidRPr="00146FBB">
        <w:t>within</w:t>
      </w:r>
      <w:r w:rsidR="00580540" w:rsidRPr="00146FBB">
        <w:t xml:space="preserve"> </w:t>
      </w:r>
      <w:r w:rsidRPr="00146FBB">
        <w:t xml:space="preserve">qualification levels and differentiation between qualification levels then it is important that these issues be considered during the </w:t>
      </w:r>
      <w:r w:rsidR="00580540" w:rsidRPr="00146FBB">
        <w:t xml:space="preserve">development stage of </w:t>
      </w:r>
      <w:r w:rsidRPr="00146FBB">
        <w:t>Training Package</w:t>
      </w:r>
      <w:r w:rsidR="00580540" w:rsidRPr="00146FBB">
        <w:t>s</w:t>
      </w:r>
      <w:r w:rsidRPr="00146FBB">
        <w:t xml:space="preserve"> and Accredited Courses. It is </w:t>
      </w:r>
      <w:r w:rsidR="00580540" w:rsidRPr="00146FBB">
        <w:t xml:space="preserve">also </w:t>
      </w:r>
      <w:r w:rsidRPr="00146FBB">
        <w:t xml:space="preserve">important to ensure that </w:t>
      </w:r>
      <w:r w:rsidR="003D1951">
        <w:t xml:space="preserve">likely </w:t>
      </w:r>
      <w:r w:rsidRPr="00146FBB">
        <w:t xml:space="preserve">volume of learning as well as complexity is aligned with the level of qualification, with lower level qualifications requiring lower volume than higher qualifications and higher qualifications requiring higher complexity. </w:t>
      </w:r>
      <w:r w:rsidR="00DF2236" w:rsidRPr="00146FBB">
        <w:t xml:space="preserve"> </w:t>
      </w:r>
    </w:p>
    <w:p w:rsidR="00706585" w:rsidRDefault="00706585" w:rsidP="0067039A">
      <w:pPr>
        <w:pStyle w:val="Text"/>
      </w:pPr>
    </w:p>
    <w:p w:rsidR="00706585" w:rsidRPr="00146FBB" w:rsidRDefault="00706585" w:rsidP="0067039A">
      <w:pPr>
        <w:pStyle w:val="Text"/>
      </w:pPr>
    </w:p>
    <w:p w:rsidR="00EF4131" w:rsidRPr="00146FBB" w:rsidRDefault="003D1951" w:rsidP="00144413">
      <w:pPr>
        <w:pStyle w:val="Text"/>
        <w:spacing w:after="0"/>
      </w:pPr>
      <w:r>
        <w:t xml:space="preserve">Sandra Pattison (General Manager, Research) &amp; </w:t>
      </w:r>
      <w:r w:rsidR="008B4E91" w:rsidRPr="00146FBB">
        <w:t>Josie Misko</w:t>
      </w:r>
      <w:r>
        <w:t xml:space="preserve"> (Senior Research Fellow)</w:t>
      </w:r>
    </w:p>
    <w:p w:rsidR="004643BA" w:rsidRDefault="00BD0670" w:rsidP="00144413">
      <w:pPr>
        <w:pStyle w:val="Text"/>
        <w:spacing w:after="0"/>
      </w:pPr>
      <w:r w:rsidRPr="00146FBB">
        <w:t>NCVER, 08 8230 8</w:t>
      </w:r>
      <w:r w:rsidR="003D1951">
        <w:t>400</w:t>
      </w:r>
    </w:p>
    <w:p w:rsidR="00EF4131" w:rsidRPr="00146FBB" w:rsidRDefault="00EF4131" w:rsidP="00144413">
      <w:pPr>
        <w:pStyle w:val="Text"/>
        <w:spacing w:after="0"/>
      </w:pPr>
      <w:r w:rsidRPr="00146FBB">
        <w:t xml:space="preserve"> </w:t>
      </w:r>
      <w:hyperlink r:id="rId11" w:history="1">
        <w:r w:rsidR="00350C84" w:rsidRPr="00622CD4">
          <w:rPr>
            <w:rStyle w:val="Hyperlink"/>
          </w:rPr>
          <w:t>sandra.pattison@ncver.edu.au</w:t>
        </w:r>
      </w:hyperlink>
      <w:r w:rsidR="003D1951">
        <w:t xml:space="preserve">; </w:t>
      </w:r>
      <w:hyperlink r:id="rId12" w:history="1">
        <w:r w:rsidR="008B4E91" w:rsidRPr="00146FBB">
          <w:rPr>
            <w:rStyle w:val="Hyperlink"/>
          </w:rPr>
          <w:t>josie.misko</w:t>
        </w:r>
        <w:r w:rsidR="00BD0670" w:rsidRPr="00146FBB">
          <w:rPr>
            <w:rStyle w:val="Hyperlink"/>
          </w:rPr>
          <w:t>@ncver.edu.au</w:t>
        </w:r>
      </w:hyperlink>
      <w:r w:rsidR="00BD0670" w:rsidRPr="00146FBB">
        <w:t xml:space="preserve"> </w:t>
      </w:r>
    </w:p>
    <w:p w:rsidR="004B3426" w:rsidRDefault="004B3426" w:rsidP="00560B0A">
      <w:pPr>
        <w:pStyle w:val="Text"/>
      </w:pPr>
    </w:p>
    <w:p w:rsidR="00406C3D" w:rsidRPr="00146FBB" w:rsidRDefault="00EB6F8D" w:rsidP="00560B0A">
      <w:pPr>
        <w:pStyle w:val="Text"/>
        <w:rPr>
          <w:b/>
        </w:rPr>
      </w:pPr>
      <w:r w:rsidRPr="00146FBB">
        <w:rPr>
          <w:b/>
        </w:rPr>
        <w:t>References</w:t>
      </w:r>
    </w:p>
    <w:p w:rsidR="00FF1A33" w:rsidRPr="00146FBB" w:rsidRDefault="00FF1A33" w:rsidP="00FF1A33">
      <w:pPr>
        <w:pStyle w:val="References"/>
      </w:pPr>
      <w:r w:rsidRPr="00146FBB">
        <w:t>Australian Government, National Skills Standards Council, 2012, Training Package Development &amp; Endorsement Process Policy, &lt;</w:t>
      </w:r>
      <w:hyperlink r:id="rId13" w:history="1">
        <w:r w:rsidRPr="00146FBB">
          <w:rPr>
            <w:rStyle w:val="Hyperlink"/>
          </w:rPr>
          <w:t>http://www.nssc.natese.gov.au/__data/assets/pdf_file/0004/71509/NSSC_-_TP_Development_and_Endorsement_Process_Policy_v1.0.pdf</w:t>
        </w:r>
      </w:hyperlink>
      <w:r w:rsidRPr="00146FBB">
        <w:rPr>
          <w:rStyle w:val="Hyperlink"/>
        </w:rPr>
        <w:t>&gt;</w:t>
      </w:r>
      <w:r w:rsidRPr="00146FBB">
        <w:t>, viewed April 2014</w:t>
      </w:r>
    </w:p>
    <w:p w:rsidR="00FF1A33" w:rsidRPr="00146FBB" w:rsidRDefault="00FF1A33" w:rsidP="00FF1A33">
      <w:pPr>
        <w:pStyle w:val="References"/>
        <w:rPr>
          <w:rStyle w:val="Hyperlink"/>
        </w:rPr>
      </w:pPr>
      <w:r w:rsidRPr="00EF23CF">
        <w:rPr>
          <w:rStyle w:val="Hyperlink"/>
          <w:color w:val="auto"/>
          <w:u w:val="none"/>
        </w:rPr>
        <w:t>Australian Government, 2009, VET Training Products for the 21st Century, Final report of the Joint Steering Committee of the National Quality Council and the Council of Australian Governments Skills and Workforce Development Sub-group, June 2009,</w:t>
      </w:r>
      <w:r w:rsidRPr="00146FBB">
        <w:rPr>
          <w:rStyle w:val="Hyperlink"/>
          <w:color w:val="auto"/>
        </w:rPr>
        <w:t xml:space="preserve">  </w:t>
      </w:r>
      <w:r w:rsidRPr="00146FBB">
        <w:rPr>
          <w:rStyle w:val="Hyperlink"/>
        </w:rPr>
        <w:t>&lt;</w:t>
      </w:r>
      <w:hyperlink r:id="rId14" w:history="1">
        <w:r w:rsidRPr="00146FBB">
          <w:rPr>
            <w:rStyle w:val="Hyperlink"/>
          </w:rPr>
          <w:t>http://www.nssc.natese.gov.au/__data/assets/pdf_file/0004/49657/VET_Products_for_the_21st_Century_-_FINAL_REPORT.pdf</w:t>
        </w:r>
      </w:hyperlink>
      <w:r w:rsidRPr="00146FBB">
        <w:rPr>
          <w:rStyle w:val="Hyperlink"/>
        </w:rPr>
        <w:t>&gt;, viewed April 2014</w:t>
      </w:r>
    </w:p>
    <w:p w:rsidR="00FF1A33" w:rsidRPr="00146FBB" w:rsidRDefault="00FF1A33" w:rsidP="00FF1A33">
      <w:pPr>
        <w:pStyle w:val="References"/>
      </w:pPr>
      <w:r w:rsidRPr="00146FBB">
        <w:t xml:space="preserve">Braithwaite, V 2010, Compliance with migration law, Regulatory Institutions Network, ANU, Canberra, </w:t>
      </w:r>
      <w:hyperlink r:id="rId15" w:history="1">
        <w:r w:rsidRPr="00146FBB">
          <w:rPr>
            <w:rStyle w:val="Hyperlink"/>
          </w:rPr>
          <w:t>http://www.immi.gov.au/media/publications/research/_pdf/compliance-migration-law.pdf</w:t>
        </w:r>
      </w:hyperlink>
      <w:r w:rsidRPr="00146FBB">
        <w:t xml:space="preserve"> viewed 20 Jan 2013. </w:t>
      </w:r>
    </w:p>
    <w:p w:rsidR="00013D0E" w:rsidRDefault="00FF1A33" w:rsidP="00013D0E">
      <w:pPr>
        <w:pStyle w:val="References"/>
      </w:pPr>
      <w:r w:rsidRPr="00146FBB">
        <w:t>Braithwaite, V 2012, 'Regulating for learning in the tertiary education system', Unpublished, paper presented at the NCVER Forum on Structures in the tertiary education and training system</w:t>
      </w:r>
    </w:p>
    <w:p w:rsidR="00382264" w:rsidRDefault="00382264" w:rsidP="00013D0E">
      <w:pPr>
        <w:pStyle w:val="References"/>
      </w:pPr>
      <w:r>
        <w:t xml:space="preserve">Schofield K &amp; McDonald R, 2004, </w:t>
      </w:r>
      <w:r w:rsidRPr="00382264">
        <w:t>Moving on: report of the high level review of training packages</w:t>
      </w:r>
      <w:r>
        <w:t xml:space="preserve">, Australian National Training Authority, ANTA, ),  </w:t>
      </w:r>
      <w:hyperlink r:id="rId16" w:history="1">
        <w:r w:rsidRPr="00D57A45">
          <w:rPr>
            <w:rStyle w:val="Hyperlink"/>
          </w:rPr>
          <w:t>http://www.voced.edu.au/content/ngv5968</w:t>
        </w:r>
      </w:hyperlink>
      <w:r>
        <w:t xml:space="preserve"> </w:t>
      </w:r>
    </w:p>
    <w:p w:rsidR="00284D22" w:rsidRPr="00146FBB" w:rsidRDefault="00284D22" w:rsidP="00013D0E">
      <w:pPr>
        <w:pStyle w:val="References"/>
      </w:pPr>
      <w:r>
        <w:t>South Australian Government 2013</w:t>
      </w:r>
      <w:r w:rsidRPr="00284D22">
        <w:t xml:space="preserve"> ‘Skills for all’: Aged Care Training Providers Forum, unpublished, Adelaide.</w:t>
      </w:r>
    </w:p>
    <w:p w:rsidR="00013D0E" w:rsidRPr="00146FBB" w:rsidRDefault="00EB6F8D" w:rsidP="00013D0E">
      <w:pPr>
        <w:pStyle w:val="References"/>
      </w:pPr>
      <w:r w:rsidRPr="00146FBB">
        <w:t xml:space="preserve">Misko J, 2015, </w:t>
      </w:r>
      <w:r w:rsidR="00406C3D" w:rsidRPr="00146FBB">
        <w:t>Developing</w:t>
      </w:r>
      <w:r w:rsidRPr="00146FBB">
        <w:t xml:space="preserve">, approving and maintaining qualifications: </w:t>
      </w:r>
      <w:r w:rsidR="00406C3D" w:rsidRPr="00146FBB">
        <w:t>s</w:t>
      </w:r>
      <w:r w:rsidRPr="00146FBB">
        <w:t xml:space="preserve">elected international approaches, NCVER, Adelaide. </w:t>
      </w:r>
    </w:p>
    <w:p w:rsidR="00013D0E" w:rsidRPr="00146FBB" w:rsidRDefault="00406C3D" w:rsidP="00013D0E">
      <w:pPr>
        <w:pStyle w:val="References"/>
      </w:pPr>
      <w:r w:rsidRPr="00146FBB">
        <w:t xml:space="preserve">NCVER </w:t>
      </w:r>
      <w:r w:rsidR="000A1561" w:rsidRPr="00146FBB">
        <w:t xml:space="preserve">2013, Australian Vocational Education Training Management Information Statistical Standard (AVETMISS): VET Providers Release 7.0 April 2013, NCVER, Adelaide. </w:t>
      </w:r>
    </w:p>
    <w:p w:rsidR="007A4E03" w:rsidRPr="00146FBB" w:rsidRDefault="00406C3D" w:rsidP="00013D0E">
      <w:pPr>
        <w:pStyle w:val="References"/>
      </w:pPr>
      <w:r w:rsidRPr="00146FBB">
        <w:t xml:space="preserve">NCVER </w:t>
      </w:r>
      <w:r w:rsidR="007A4E03" w:rsidRPr="00146FBB">
        <w:t xml:space="preserve">2014, Australian </w:t>
      </w:r>
      <w:r w:rsidR="000A1561" w:rsidRPr="00146FBB">
        <w:t>v</w:t>
      </w:r>
      <w:r w:rsidR="007A4E03" w:rsidRPr="00146FBB">
        <w:t xml:space="preserve">ocational </w:t>
      </w:r>
      <w:r w:rsidR="000A1561" w:rsidRPr="00146FBB">
        <w:t>e</w:t>
      </w:r>
      <w:r w:rsidR="007A4E03" w:rsidRPr="00146FBB">
        <w:t xml:space="preserve">ducation </w:t>
      </w:r>
      <w:r w:rsidR="000A1561" w:rsidRPr="00146FBB">
        <w:t>t</w:t>
      </w:r>
      <w:r w:rsidR="007A4E03" w:rsidRPr="00146FBB">
        <w:t xml:space="preserve">raining </w:t>
      </w:r>
      <w:r w:rsidR="000A1561" w:rsidRPr="00146FBB">
        <w:t>s</w:t>
      </w:r>
      <w:r w:rsidR="007A4E03" w:rsidRPr="00146FBB">
        <w:t xml:space="preserve">tatistics: students and courses 2013 , NCVER, Adelaide. </w:t>
      </w:r>
    </w:p>
    <w:p w:rsidR="0051338D" w:rsidRPr="00146FBB" w:rsidRDefault="0051338D">
      <w:pPr>
        <w:rPr>
          <w:rFonts w:ascii="Arial" w:hAnsi="Arial" w:cs="Arial"/>
          <w:sz w:val="20"/>
          <w:szCs w:val="20"/>
        </w:rPr>
      </w:pPr>
      <w:r w:rsidRPr="00146FBB">
        <w:br w:type="page"/>
      </w:r>
    </w:p>
    <w:p w:rsidR="004B3426" w:rsidRPr="00146FBB" w:rsidRDefault="004B3426" w:rsidP="0051338D">
      <w:pPr>
        <w:tabs>
          <w:tab w:val="left" w:pos="6536"/>
          <w:tab w:val="left" w:pos="7528"/>
          <w:tab w:val="left" w:pos="8379"/>
          <w:tab w:val="left" w:pos="9688"/>
          <w:tab w:val="left" w:pos="10348"/>
        </w:tabs>
        <w:rPr>
          <w:rFonts w:ascii="Calibri" w:eastAsia="Times New Roman" w:hAnsi="Calibri" w:cs="Calibri"/>
          <w:b/>
          <w:bCs/>
          <w:color w:val="000000"/>
          <w:sz w:val="22"/>
          <w:szCs w:val="22"/>
          <w:lang w:eastAsia="en-AU"/>
        </w:rPr>
      </w:pPr>
      <w:r>
        <w:rPr>
          <w:rFonts w:ascii="Calibri" w:eastAsia="Times New Roman" w:hAnsi="Calibri" w:cs="Calibri"/>
          <w:b/>
          <w:bCs/>
          <w:color w:val="000000"/>
          <w:sz w:val="18"/>
          <w:szCs w:val="18"/>
          <w:lang w:eastAsia="en-AU"/>
        </w:rPr>
        <w:lastRenderedPageBreak/>
        <w:t xml:space="preserve">Attachment A: </w:t>
      </w:r>
      <w:r w:rsidRPr="00146FBB">
        <w:rPr>
          <w:rFonts w:ascii="Calibri" w:eastAsia="Times New Roman" w:hAnsi="Calibri" w:cs="Calibri"/>
          <w:b/>
          <w:bCs/>
          <w:color w:val="000000"/>
          <w:sz w:val="18"/>
          <w:szCs w:val="18"/>
          <w:lang w:eastAsia="en-AU"/>
        </w:rPr>
        <w:t>Spread of course nominal hours by AQF Level and</w:t>
      </w:r>
      <w:r>
        <w:rPr>
          <w:rFonts w:ascii="Calibri" w:eastAsia="Times New Roman" w:hAnsi="Calibri" w:cs="Calibri"/>
          <w:b/>
          <w:bCs/>
          <w:color w:val="000000"/>
          <w:sz w:val="18"/>
          <w:szCs w:val="18"/>
          <w:lang w:eastAsia="en-AU"/>
        </w:rPr>
        <w:t xml:space="preserve"> Field of Education, 2013</w:t>
      </w:r>
      <w:r w:rsidRPr="00146FBB">
        <w:rPr>
          <w:rFonts w:ascii="Calibri" w:eastAsia="Times New Roman" w:hAnsi="Calibri" w:cs="Calibri"/>
          <w:b/>
          <w:bCs/>
          <w:color w:val="000000"/>
          <w:sz w:val="18"/>
          <w:szCs w:val="18"/>
          <w:lang w:eastAsia="en-AU"/>
        </w:rPr>
        <w:tab/>
      </w:r>
    </w:p>
    <w:tbl>
      <w:tblPr>
        <w:tblW w:w="11247" w:type="dxa"/>
        <w:tblLook w:val="04A0" w:firstRow="1" w:lastRow="0" w:firstColumn="1" w:lastColumn="0" w:noHBand="0" w:noVBand="1"/>
      </w:tblPr>
      <w:tblGrid>
        <w:gridCol w:w="1858"/>
        <w:gridCol w:w="1701"/>
        <w:gridCol w:w="851"/>
        <w:gridCol w:w="992"/>
        <w:gridCol w:w="992"/>
        <w:gridCol w:w="142"/>
        <w:gridCol w:w="850"/>
        <w:gridCol w:w="142"/>
        <w:gridCol w:w="851"/>
        <w:gridCol w:w="977"/>
        <w:gridCol w:w="332"/>
        <w:gridCol w:w="660"/>
        <w:gridCol w:w="899"/>
      </w:tblGrid>
      <w:tr w:rsidR="0051338D" w:rsidRPr="00146FBB" w:rsidTr="009B4F10">
        <w:trPr>
          <w:trHeight w:val="300"/>
        </w:trPr>
        <w:tc>
          <w:tcPr>
            <w:tcW w:w="1858" w:type="dxa"/>
            <w:tcBorders>
              <w:top w:val="nil"/>
              <w:left w:val="nil"/>
              <w:bottom w:val="nil"/>
              <w:right w:val="nil"/>
            </w:tcBorders>
            <w:shd w:val="clear" w:color="auto" w:fill="auto"/>
            <w:noWrap/>
            <w:vAlign w:val="bottom"/>
            <w:hideMark/>
          </w:tcPr>
          <w:p w:rsidR="0051338D" w:rsidRPr="00146FBB" w:rsidRDefault="0051338D" w:rsidP="0051338D">
            <w:pPr>
              <w:jc w:val="center"/>
              <w:rPr>
                <w:rFonts w:ascii="Calibri" w:eastAsia="Times New Roman" w:hAnsi="Calibri" w:cs="Calibri"/>
                <w:color w:val="000000"/>
                <w:sz w:val="18"/>
                <w:szCs w:val="18"/>
                <w:lang w:eastAsia="en-AU"/>
              </w:rPr>
            </w:pPr>
          </w:p>
        </w:tc>
        <w:tc>
          <w:tcPr>
            <w:tcW w:w="1701" w:type="dxa"/>
            <w:tcBorders>
              <w:top w:val="nil"/>
              <w:left w:val="nil"/>
              <w:bottom w:val="nil"/>
              <w:right w:val="nil"/>
            </w:tcBorders>
            <w:shd w:val="clear" w:color="auto" w:fill="auto"/>
            <w:noWrap/>
            <w:vAlign w:val="bottom"/>
            <w:hideMark/>
          </w:tcPr>
          <w:p w:rsidR="0051338D" w:rsidRPr="00146FBB" w:rsidRDefault="0051338D" w:rsidP="0051338D">
            <w:pPr>
              <w:rPr>
                <w:rFonts w:ascii="Calibri" w:eastAsia="Times New Roman" w:hAnsi="Calibri" w:cs="Calibri"/>
                <w:color w:val="000000"/>
                <w:sz w:val="18"/>
                <w:szCs w:val="18"/>
                <w:lang w:eastAsia="en-AU"/>
              </w:rPr>
            </w:pPr>
          </w:p>
        </w:tc>
        <w:tc>
          <w:tcPr>
            <w:tcW w:w="1843" w:type="dxa"/>
            <w:gridSpan w:val="2"/>
            <w:tcBorders>
              <w:top w:val="nil"/>
              <w:left w:val="nil"/>
              <w:bottom w:val="nil"/>
              <w:right w:val="nil"/>
            </w:tcBorders>
            <w:shd w:val="clear" w:color="auto" w:fill="auto"/>
            <w:noWrap/>
            <w:vAlign w:val="bottom"/>
            <w:hideMark/>
          </w:tcPr>
          <w:p w:rsidR="0051338D" w:rsidRPr="00146FBB" w:rsidRDefault="0051338D" w:rsidP="0051338D">
            <w:pPr>
              <w:rPr>
                <w:rFonts w:ascii="Calibri" w:eastAsia="Times New Roman" w:hAnsi="Calibri" w:cs="Calibri"/>
                <w:color w:val="000000"/>
                <w:sz w:val="18"/>
                <w:szCs w:val="18"/>
                <w:lang w:eastAsia="en-AU"/>
              </w:rPr>
            </w:pPr>
          </w:p>
        </w:tc>
        <w:tc>
          <w:tcPr>
            <w:tcW w:w="1134" w:type="dxa"/>
            <w:gridSpan w:val="2"/>
            <w:tcBorders>
              <w:top w:val="nil"/>
              <w:left w:val="nil"/>
              <w:bottom w:val="nil"/>
              <w:right w:val="nil"/>
            </w:tcBorders>
            <w:shd w:val="clear" w:color="auto" w:fill="auto"/>
            <w:noWrap/>
            <w:vAlign w:val="bottom"/>
            <w:hideMark/>
          </w:tcPr>
          <w:p w:rsidR="0051338D" w:rsidRPr="00146FBB" w:rsidRDefault="0051338D" w:rsidP="0051338D">
            <w:pPr>
              <w:rPr>
                <w:rFonts w:ascii="Calibri" w:eastAsia="Times New Roman" w:hAnsi="Calibri" w:cs="Calibri"/>
                <w:color w:val="000000"/>
                <w:sz w:val="18"/>
                <w:szCs w:val="18"/>
                <w:lang w:eastAsia="en-AU"/>
              </w:rPr>
            </w:pPr>
          </w:p>
        </w:tc>
        <w:tc>
          <w:tcPr>
            <w:tcW w:w="992" w:type="dxa"/>
            <w:gridSpan w:val="2"/>
            <w:tcBorders>
              <w:top w:val="nil"/>
              <w:left w:val="nil"/>
              <w:bottom w:val="nil"/>
              <w:right w:val="nil"/>
            </w:tcBorders>
            <w:shd w:val="clear" w:color="auto" w:fill="auto"/>
            <w:noWrap/>
            <w:vAlign w:val="bottom"/>
            <w:hideMark/>
          </w:tcPr>
          <w:p w:rsidR="0051338D" w:rsidRPr="00146FBB" w:rsidRDefault="0051338D" w:rsidP="0051338D">
            <w:pPr>
              <w:rPr>
                <w:rFonts w:ascii="Calibri" w:eastAsia="Times New Roman" w:hAnsi="Calibri" w:cs="Calibri"/>
                <w:color w:val="000000"/>
                <w:sz w:val="18"/>
                <w:szCs w:val="18"/>
                <w:lang w:eastAsia="en-AU"/>
              </w:rPr>
            </w:pPr>
          </w:p>
        </w:tc>
        <w:tc>
          <w:tcPr>
            <w:tcW w:w="851" w:type="dxa"/>
            <w:tcBorders>
              <w:top w:val="nil"/>
              <w:left w:val="nil"/>
              <w:bottom w:val="nil"/>
              <w:right w:val="nil"/>
            </w:tcBorders>
            <w:shd w:val="clear" w:color="auto" w:fill="auto"/>
            <w:noWrap/>
            <w:vAlign w:val="bottom"/>
            <w:hideMark/>
          </w:tcPr>
          <w:p w:rsidR="0051338D" w:rsidRPr="00146FBB" w:rsidRDefault="0051338D" w:rsidP="0051338D">
            <w:pPr>
              <w:rPr>
                <w:rFonts w:ascii="Calibri" w:eastAsia="Times New Roman" w:hAnsi="Calibri" w:cs="Calibri"/>
                <w:color w:val="000000"/>
                <w:sz w:val="18"/>
                <w:szCs w:val="18"/>
                <w:lang w:eastAsia="en-AU"/>
              </w:rPr>
            </w:pPr>
          </w:p>
        </w:tc>
        <w:tc>
          <w:tcPr>
            <w:tcW w:w="1309" w:type="dxa"/>
            <w:gridSpan w:val="2"/>
            <w:tcBorders>
              <w:top w:val="nil"/>
              <w:left w:val="nil"/>
              <w:bottom w:val="nil"/>
              <w:right w:val="nil"/>
            </w:tcBorders>
            <w:shd w:val="clear" w:color="auto" w:fill="auto"/>
            <w:noWrap/>
            <w:vAlign w:val="bottom"/>
            <w:hideMark/>
          </w:tcPr>
          <w:p w:rsidR="0051338D" w:rsidRPr="00146FBB" w:rsidRDefault="0051338D" w:rsidP="0051338D">
            <w:pPr>
              <w:rPr>
                <w:rFonts w:ascii="Calibri" w:eastAsia="Times New Roman" w:hAnsi="Calibri" w:cs="Calibri"/>
                <w:color w:val="000000"/>
                <w:sz w:val="18"/>
                <w:szCs w:val="18"/>
                <w:lang w:eastAsia="en-AU"/>
              </w:rPr>
            </w:pPr>
          </w:p>
        </w:tc>
        <w:tc>
          <w:tcPr>
            <w:tcW w:w="660" w:type="dxa"/>
            <w:tcBorders>
              <w:top w:val="nil"/>
              <w:left w:val="nil"/>
              <w:bottom w:val="nil"/>
              <w:right w:val="nil"/>
            </w:tcBorders>
            <w:shd w:val="clear" w:color="auto" w:fill="auto"/>
            <w:noWrap/>
            <w:vAlign w:val="bottom"/>
            <w:hideMark/>
          </w:tcPr>
          <w:p w:rsidR="0051338D" w:rsidRPr="00146FBB" w:rsidRDefault="0051338D" w:rsidP="0051338D">
            <w:pPr>
              <w:rPr>
                <w:rFonts w:ascii="Calibri" w:eastAsia="Times New Roman" w:hAnsi="Calibri" w:cs="Calibri"/>
                <w:color w:val="000000"/>
                <w:sz w:val="18"/>
                <w:szCs w:val="18"/>
                <w:lang w:eastAsia="en-AU"/>
              </w:rPr>
            </w:pPr>
          </w:p>
        </w:tc>
        <w:tc>
          <w:tcPr>
            <w:tcW w:w="899" w:type="dxa"/>
            <w:tcBorders>
              <w:top w:val="nil"/>
              <w:left w:val="nil"/>
              <w:bottom w:val="nil"/>
              <w:right w:val="nil"/>
            </w:tcBorders>
            <w:shd w:val="clear" w:color="auto" w:fill="auto"/>
            <w:noWrap/>
            <w:vAlign w:val="bottom"/>
            <w:hideMark/>
          </w:tcPr>
          <w:p w:rsidR="0051338D" w:rsidRPr="00146FBB" w:rsidRDefault="0051338D" w:rsidP="0051338D">
            <w:pPr>
              <w:rPr>
                <w:rFonts w:ascii="Calibri" w:eastAsia="Times New Roman" w:hAnsi="Calibri" w:cs="Calibri"/>
                <w:color w:val="000000"/>
                <w:sz w:val="22"/>
                <w:szCs w:val="22"/>
                <w:lang w:eastAsia="en-AU"/>
              </w:rPr>
            </w:pPr>
          </w:p>
        </w:tc>
      </w:tr>
      <w:tr w:rsidR="0051338D" w:rsidRPr="00146FBB" w:rsidTr="009B4F10">
        <w:trPr>
          <w:gridAfter w:val="1"/>
          <w:wAfter w:w="899" w:type="dxa"/>
          <w:trHeight w:val="300"/>
        </w:trPr>
        <w:tc>
          <w:tcPr>
            <w:tcW w:w="1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Qualification Category</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Qualification FoE</w:t>
            </w:r>
          </w:p>
        </w:tc>
        <w:tc>
          <w:tcPr>
            <w:tcW w:w="6789" w:type="dxa"/>
            <w:gridSpan w:val="10"/>
            <w:tcBorders>
              <w:top w:val="single" w:sz="4" w:space="0" w:color="auto"/>
              <w:left w:val="nil"/>
              <w:bottom w:val="nil"/>
              <w:right w:val="single" w:sz="4" w:space="0" w:color="000000"/>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Percentile</w:t>
            </w:r>
          </w:p>
        </w:tc>
      </w:tr>
      <w:tr w:rsidR="009B4F10" w:rsidRPr="00146FBB" w:rsidTr="009B4F10">
        <w:trPr>
          <w:gridAfter w:val="1"/>
          <w:wAfter w:w="899" w:type="dxa"/>
          <w:trHeight w:val="300"/>
        </w:trPr>
        <w:tc>
          <w:tcPr>
            <w:tcW w:w="1858" w:type="dxa"/>
            <w:vMerge/>
            <w:tcBorders>
              <w:top w:val="single" w:sz="4" w:space="0" w:color="auto"/>
              <w:left w:val="single" w:sz="4" w:space="0" w:color="auto"/>
              <w:bottom w:val="single" w:sz="4" w:space="0" w:color="auto"/>
              <w:right w:val="single" w:sz="4" w:space="0" w:color="auto"/>
            </w:tcBorders>
            <w:vAlign w:val="center"/>
            <w:hideMark/>
          </w:tcPr>
          <w:p w:rsidR="0051338D" w:rsidRPr="00146FBB" w:rsidRDefault="0051338D" w:rsidP="0051338D">
            <w:pPr>
              <w:rPr>
                <w:rFonts w:ascii="Calibri" w:eastAsia="Times New Roman" w:hAnsi="Calibri" w:cs="Calibri"/>
                <w:b/>
                <w:bCs/>
                <w:color w:val="000000"/>
                <w:sz w:val="18"/>
                <w:szCs w:val="18"/>
                <w:lang w:eastAsia="en-A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338D" w:rsidRPr="00146FBB" w:rsidRDefault="0051338D" w:rsidP="0051338D">
            <w:pPr>
              <w:rPr>
                <w:rFonts w:ascii="Calibri" w:eastAsia="Times New Roman" w:hAnsi="Calibri" w:cs="Calibri"/>
                <w:b/>
                <w:bCs/>
                <w:color w:val="000000"/>
                <w:sz w:val="18"/>
                <w:szCs w:val="18"/>
                <w:lang w:eastAsia="en-AU"/>
              </w:rPr>
            </w:pPr>
          </w:p>
        </w:tc>
        <w:tc>
          <w:tcPr>
            <w:tcW w:w="851" w:type="dxa"/>
            <w:tcBorders>
              <w:top w:val="nil"/>
              <w:left w:val="nil"/>
              <w:bottom w:val="nil"/>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0%</w:t>
            </w:r>
          </w:p>
        </w:tc>
        <w:tc>
          <w:tcPr>
            <w:tcW w:w="992" w:type="dxa"/>
            <w:tcBorders>
              <w:top w:val="nil"/>
              <w:left w:val="nil"/>
              <w:bottom w:val="nil"/>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20%</w:t>
            </w:r>
          </w:p>
        </w:tc>
        <w:tc>
          <w:tcPr>
            <w:tcW w:w="992" w:type="dxa"/>
            <w:tcBorders>
              <w:top w:val="nil"/>
              <w:left w:val="nil"/>
              <w:bottom w:val="nil"/>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40%</w:t>
            </w:r>
          </w:p>
        </w:tc>
        <w:tc>
          <w:tcPr>
            <w:tcW w:w="992" w:type="dxa"/>
            <w:gridSpan w:val="2"/>
            <w:tcBorders>
              <w:top w:val="nil"/>
              <w:left w:val="nil"/>
              <w:bottom w:val="nil"/>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50%</w:t>
            </w:r>
          </w:p>
        </w:tc>
        <w:tc>
          <w:tcPr>
            <w:tcW w:w="993" w:type="dxa"/>
            <w:gridSpan w:val="2"/>
            <w:tcBorders>
              <w:top w:val="nil"/>
              <w:left w:val="nil"/>
              <w:bottom w:val="nil"/>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60%</w:t>
            </w:r>
          </w:p>
        </w:tc>
        <w:tc>
          <w:tcPr>
            <w:tcW w:w="977" w:type="dxa"/>
            <w:tcBorders>
              <w:top w:val="nil"/>
              <w:left w:val="nil"/>
              <w:bottom w:val="nil"/>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80%</w:t>
            </w:r>
          </w:p>
        </w:tc>
        <w:tc>
          <w:tcPr>
            <w:tcW w:w="992" w:type="dxa"/>
            <w:gridSpan w:val="2"/>
            <w:tcBorders>
              <w:top w:val="nil"/>
              <w:left w:val="nil"/>
              <w:bottom w:val="nil"/>
              <w:right w:val="single" w:sz="4" w:space="0" w:color="auto"/>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100%</w:t>
            </w:r>
          </w:p>
        </w:tc>
      </w:tr>
      <w:tr w:rsidR="009B4F10" w:rsidRPr="00146FBB" w:rsidTr="009B4F10">
        <w:trPr>
          <w:gridAfter w:val="1"/>
          <w:wAfter w:w="899" w:type="dxa"/>
          <w:trHeight w:val="300"/>
        </w:trPr>
        <w:tc>
          <w:tcPr>
            <w:tcW w:w="1858" w:type="dxa"/>
            <w:vMerge/>
            <w:tcBorders>
              <w:top w:val="single" w:sz="4" w:space="0" w:color="auto"/>
              <w:left w:val="single" w:sz="4" w:space="0" w:color="auto"/>
              <w:bottom w:val="single" w:sz="4" w:space="0" w:color="auto"/>
              <w:right w:val="single" w:sz="4" w:space="0" w:color="auto"/>
            </w:tcBorders>
            <w:vAlign w:val="center"/>
            <w:hideMark/>
          </w:tcPr>
          <w:p w:rsidR="0051338D" w:rsidRPr="00146FBB" w:rsidRDefault="0051338D" w:rsidP="0051338D">
            <w:pPr>
              <w:rPr>
                <w:rFonts w:ascii="Calibri" w:eastAsia="Times New Roman" w:hAnsi="Calibri" w:cs="Calibri"/>
                <w:b/>
                <w:bCs/>
                <w:color w:val="000000"/>
                <w:sz w:val="18"/>
                <w:szCs w:val="18"/>
                <w:lang w:eastAsia="en-A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338D" w:rsidRPr="00146FBB" w:rsidRDefault="0051338D" w:rsidP="0051338D">
            <w:pPr>
              <w:rPr>
                <w:rFonts w:ascii="Calibri" w:eastAsia="Times New Roman" w:hAnsi="Calibri" w:cs="Calibri"/>
                <w:b/>
                <w:bCs/>
                <w:color w:val="000000"/>
                <w:sz w:val="18"/>
                <w:szCs w:val="18"/>
                <w:lang w:eastAsia="en-AU"/>
              </w:rPr>
            </w:pPr>
          </w:p>
        </w:tc>
        <w:tc>
          <w:tcPr>
            <w:tcW w:w="851" w:type="dxa"/>
            <w:tcBorders>
              <w:top w:val="nil"/>
              <w:left w:val="nil"/>
              <w:bottom w:val="single" w:sz="4" w:space="0" w:color="auto"/>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(Min)</w:t>
            </w:r>
          </w:p>
        </w:tc>
        <w:tc>
          <w:tcPr>
            <w:tcW w:w="992" w:type="dxa"/>
            <w:tcBorders>
              <w:top w:val="nil"/>
              <w:left w:val="nil"/>
              <w:bottom w:val="single" w:sz="4" w:space="0" w:color="auto"/>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 </w:t>
            </w:r>
          </w:p>
        </w:tc>
        <w:tc>
          <w:tcPr>
            <w:tcW w:w="992" w:type="dxa"/>
            <w:tcBorders>
              <w:top w:val="nil"/>
              <w:left w:val="nil"/>
              <w:bottom w:val="single" w:sz="4" w:space="0" w:color="auto"/>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 </w:t>
            </w:r>
          </w:p>
        </w:tc>
        <w:tc>
          <w:tcPr>
            <w:tcW w:w="992" w:type="dxa"/>
            <w:gridSpan w:val="2"/>
            <w:tcBorders>
              <w:top w:val="nil"/>
              <w:left w:val="nil"/>
              <w:bottom w:val="single" w:sz="4" w:space="0" w:color="auto"/>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(Median)</w:t>
            </w:r>
          </w:p>
        </w:tc>
        <w:tc>
          <w:tcPr>
            <w:tcW w:w="993" w:type="dxa"/>
            <w:gridSpan w:val="2"/>
            <w:tcBorders>
              <w:top w:val="nil"/>
              <w:left w:val="nil"/>
              <w:bottom w:val="single" w:sz="4" w:space="0" w:color="auto"/>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 </w:t>
            </w:r>
          </w:p>
        </w:tc>
        <w:tc>
          <w:tcPr>
            <w:tcW w:w="977" w:type="dxa"/>
            <w:tcBorders>
              <w:top w:val="nil"/>
              <w:left w:val="nil"/>
              <w:bottom w:val="single" w:sz="4" w:space="0" w:color="auto"/>
              <w:right w:val="nil"/>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1338D" w:rsidRPr="00146FBB" w:rsidRDefault="0051338D" w:rsidP="0051338D">
            <w:pPr>
              <w:jc w:val="center"/>
              <w:rPr>
                <w:rFonts w:ascii="Calibri" w:eastAsia="Times New Roman" w:hAnsi="Calibri" w:cs="Calibri"/>
                <w:b/>
                <w:bCs/>
                <w:color w:val="000000"/>
                <w:sz w:val="18"/>
                <w:szCs w:val="18"/>
                <w:lang w:eastAsia="en-AU"/>
              </w:rPr>
            </w:pPr>
            <w:r w:rsidRPr="00146FBB">
              <w:rPr>
                <w:rFonts w:ascii="Calibri" w:eastAsia="Times New Roman" w:hAnsi="Calibri" w:cs="Calibri"/>
                <w:b/>
                <w:bCs/>
                <w:color w:val="000000"/>
                <w:sz w:val="18"/>
                <w:szCs w:val="18"/>
                <w:lang w:eastAsia="en-AU"/>
              </w:rPr>
              <w:t>(Max)</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625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790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655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655</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950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950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950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950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02-Information Technology</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04-Architecture &amp; Building</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05-Agriculture, Environmental &amp; Related Studies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225</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225</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225</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590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590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660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660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2000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09-Society &amp; Culture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614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659</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659</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835</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835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10-Creative Arts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455</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455</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455</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455</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295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295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295</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321.5</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348</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348</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350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Graduate Certificate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12-Mixed Field Programmes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(Honours)</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(Honours)</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06-Health</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(Honours)</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(Honours)</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10-Creative Arts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(Honours)</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2134</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2134</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2134</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2134</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2134</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2334</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2334</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(Pass)</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01-Natural &amp; Physical Sciences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1721</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1721</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1721</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2640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2640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2640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2640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(Pass)</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02-Information Technology</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1677</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1677</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(Pass)</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935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935</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935</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935</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935</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935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(Pass)</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04-Architecture &amp; Building</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1287</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1287</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1287</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1287</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1287</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(Pass)</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06-Health</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2814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2814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2814</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2814</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2814</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2814</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2814</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(Pass)</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2299</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2299</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2299</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2592</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2592</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2592</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(Pass)</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936</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998</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1100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1100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1105</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1209</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1668</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lastRenderedPageBreak/>
              <w:t>Bachelor Degree (Pass)</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10-Creative Arts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1170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1170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1170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1890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1890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1890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4043</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Bachelor Degree (Pass)</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1080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1240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01-Natural &amp; Physical Sciences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660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1760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02-Information Technology</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530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530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574</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574</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945</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571</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1400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1640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1775</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1980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2630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04-Architecture &amp; Building</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1996</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1996</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1996</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1996</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1996</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2661</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05-Agriculture, Environmental &amp; Related Studies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1380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1380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1950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1950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2340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06-Health</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470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495</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820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1163</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1928</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440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440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440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440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440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925</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925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420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570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900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1717</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2450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09-Society &amp; Culture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1392</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1885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Advanced 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10-Creative Arts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610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808</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970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1100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1464</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2249</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4300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Associate Degree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01-Natural &amp; Physical Sciences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1144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1144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1144</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1144</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1144</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1144</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1144</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Associate Degree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02-Information Technology</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1066</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1066</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1066</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1066</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1066</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1066</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1066</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Associate Degree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Associate Degree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200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960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960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960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960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960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Associate Degree</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332</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332</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624</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624</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624</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624</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624</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01-Natural &amp; Physical Sciences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720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1560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1560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1595</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1595</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2030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02-Information Technology</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575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715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761</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850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950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1210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1652</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780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1004</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1240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1270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1573</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2900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04-Architecture &amp; Building</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1220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1580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1690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1718</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1855</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2656</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05-Agriculture, Environmental &amp; Related Studies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242</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940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1080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1150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1171</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1410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2135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06-Health</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1010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1363</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1366</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1508</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1787</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415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465</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465</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480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1405</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2138</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390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430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430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475</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853</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2548</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09-Society &amp; Culture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275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1035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1094</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1136</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1155</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1550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2005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10-Creative Arts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480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783</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820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950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1088</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1530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440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1367</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1515</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1515</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1515</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1900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1935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Diploma</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12-Mixed Field Programmes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387</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1050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1050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1810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01-Natural &amp; Physical Sciences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390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830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830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880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880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1185</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1550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lastRenderedPageBreak/>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02-Information Technology</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490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715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800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810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895</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970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1195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580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800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985</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1360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1750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04-Architecture &amp; Building</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163</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790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828</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828</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830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923</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05-Agriculture, Environmental &amp; Related Studies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310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533</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708</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1058</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1190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1680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06-Health</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315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430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588</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723</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890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1555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290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315</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315</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315</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1545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415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473</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570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2240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09-Society &amp; Culture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735</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788</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818</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985</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1673</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10-Creative Arts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683</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750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760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873</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1390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865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1110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1112</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1112</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1362</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IV</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12-Mixed Field Programmes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270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530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610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630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720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1075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01-Natural &amp; Physical Sciences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368</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463</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568</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568</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605</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610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02-Information Technology</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164</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646</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646</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646</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665</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690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865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151</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620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864</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864</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950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1060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2109</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04-Architecture &amp; Building</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224</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864</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916</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1003</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1246</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2258</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05-Agriculture, Environmental &amp; Related Studies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589</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860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920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1006</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1120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06-Health</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420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480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508</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614</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680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990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510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524</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524</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645</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144</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395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508</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553</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727</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1150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09-Society &amp; Culture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489</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543</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574</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673</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2382</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10-Creative Arts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382</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496</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535</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563</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675</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1050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587</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729</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751</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889</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1005</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1355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12-Mixed Field Programmes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480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1320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01-Natural &amp; Physical Sciences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630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630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630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630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670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02-Information Technology</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362</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362</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97</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380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394</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468</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593</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976</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04-Architecture &amp; Building</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218</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408</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526</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616</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644</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776</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05-Agriculture, Environmental &amp; Related Studies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420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458</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493</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510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730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1270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06-Health</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161</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270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270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303</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399</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420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845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142</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142</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142</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lastRenderedPageBreak/>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325</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365</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384</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433</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1663</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09-Society &amp; Culture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88</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342</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373</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376</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461</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772</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10-Creative Arts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305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355</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390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390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505</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669</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153</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407</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441</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441</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506</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710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II</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12-Mixed Field Programmes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108</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320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340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340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340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880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02-Information Technology</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195</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64</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169</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216</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245</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632</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04-Architecture &amp; Building</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294</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314</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314</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314</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330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05-Agriculture, Environmental &amp; Related Studies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108</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115</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168</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270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06-Health</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215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230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142</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540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148</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150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09-Society &amp; Culture</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108</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130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165</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576</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10-Creative Arts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165</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375</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375</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375</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430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450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107</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170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195</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197</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363</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Certificate I</w:t>
            </w:r>
          </w:p>
        </w:tc>
        <w:tc>
          <w:tcPr>
            <w:tcW w:w="170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12-Mixed Field Programmes</w:t>
            </w:r>
          </w:p>
        </w:tc>
        <w:tc>
          <w:tcPr>
            <w:tcW w:w="851"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88</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350</w:t>
            </w:r>
          </w:p>
        </w:tc>
        <w:tc>
          <w:tcPr>
            <w:tcW w:w="992"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370</w:t>
            </w:r>
          </w:p>
        </w:tc>
        <w:tc>
          <w:tcPr>
            <w:tcW w:w="992"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370</w:t>
            </w:r>
          </w:p>
        </w:tc>
        <w:tc>
          <w:tcPr>
            <w:tcW w:w="993" w:type="dxa"/>
            <w:gridSpan w:val="2"/>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370</w:t>
            </w:r>
          </w:p>
        </w:tc>
        <w:tc>
          <w:tcPr>
            <w:tcW w:w="977" w:type="dxa"/>
            <w:tcBorders>
              <w:top w:val="nil"/>
              <w:left w:val="nil"/>
              <w:bottom w:val="single" w:sz="4" w:space="0" w:color="000000"/>
              <w:right w:val="single" w:sz="4"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500</w:t>
            </w:r>
          </w:p>
        </w:tc>
        <w:tc>
          <w:tcPr>
            <w:tcW w:w="992" w:type="dxa"/>
            <w:gridSpan w:val="2"/>
            <w:tcBorders>
              <w:top w:val="nil"/>
              <w:left w:val="nil"/>
              <w:bottom w:val="single" w:sz="4" w:space="0" w:color="000000"/>
              <w:right w:val="single" w:sz="8" w:space="0" w:color="000000"/>
            </w:tcBorders>
            <w:shd w:val="clear" w:color="auto" w:fill="DAEEF3" w:themeFill="accent5" w:themeFillTint="33"/>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Other</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03-Engineering &amp; Related Technologies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16</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24</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70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810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Other</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04-Architecture &amp; Building</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Other</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05-Agriculture, Environmental &amp; Related Studies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65</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340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Other</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06-Health</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Other</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07-Education</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100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250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600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Other</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08-Management &amp; Commerce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Other</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09-Society &amp; Culture</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180</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260</w:t>
            </w:r>
          </w:p>
        </w:tc>
      </w:tr>
      <w:tr w:rsidR="009B4F10" w:rsidRPr="00146FBB" w:rsidTr="009B4F10">
        <w:trPr>
          <w:gridAfter w:val="1"/>
          <w:wAfter w:w="899" w:type="dxa"/>
          <w:trHeight w:val="300"/>
        </w:trPr>
        <w:tc>
          <w:tcPr>
            <w:tcW w:w="1858" w:type="dxa"/>
            <w:tcBorders>
              <w:top w:val="nil"/>
              <w:left w:val="single" w:sz="8" w:space="0" w:color="000000"/>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Other</w:t>
            </w:r>
          </w:p>
        </w:tc>
        <w:tc>
          <w:tcPr>
            <w:tcW w:w="1701" w:type="dxa"/>
            <w:tcBorders>
              <w:top w:val="nil"/>
              <w:left w:val="nil"/>
              <w:bottom w:val="single" w:sz="4"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11-Food, Hospitality &amp; Personal Services</w:t>
            </w:r>
          </w:p>
        </w:tc>
        <w:tc>
          <w:tcPr>
            <w:tcW w:w="851"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92"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92"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93" w:type="dxa"/>
            <w:gridSpan w:val="2"/>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77" w:type="dxa"/>
            <w:tcBorders>
              <w:top w:val="nil"/>
              <w:left w:val="nil"/>
              <w:bottom w:val="single" w:sz="4"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w:t>
            </w:r>
          </w:p>
        </w:tc>
        <w:tc>
          <w:tcPr>
            <w:tcW w:w="992" w:type="dxa"/>
            <w:gridSpan w:val="2"/>
            <w:tcBorders>
              <w:top w:val="nil"/>
              <w:left w:val="nil"/>
              <w:bottom w:val="single" w:sz="4"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435</w:t>
            </w:r>
          </w:p>
        </w:tc>
      </w:tr>
      <w:tr w:rsidR="009B4F10" w:rsidRPr="00146FBB" w:rsidTr="009B4F10">
        <w:trPr>
          <w:gridAfter w:val="1"/>
          <w:wAfter w:w="899" w:type="dxa"/>
          <w:trHeight w:val="315"/>
        </w:trPr>
        <w:tc>
          <w:tcPr>
            <w:tcW w:w="1858" w:type="dxa"/>
            <w:tcBorders>
              <w:top w:val="nil"/>
              <w:left w:val="single" w:sz="8" w:space="0" w:color="000000"/>
              <w:bottom w:val="single" w:sz="8"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Other</w:t>
            </w:r>
          </w:p>
        </w:tc>
        <w:tc>
          <w:tcPr>
            <w:tcW w:w="1701" w:type="dxa"/>
            <w:tcBorders>
              <w:top w:val="nil"/>
              <w:left w:val="nil"/>
              <w:bottom w:val="single" w:sz="8" w:space="0" w:color="000000"/>
              <w:right w:val="single" w:sz="4" w:space="0" w:color="000000"/>
            </w:tcBorders>
            <w:shd w:val="clear" w:color="auto" w:fill="auto"/>
            <w:hideMark/>
          </w:tcPr>
          <w:p w:rsidR="0051338D" w:rsidRPr="00146FBB" w:rsidRDefault="0051338D" w:rsidP="0051338D">
            <w:pPr>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12-Mixed Field Programmes</w:t>
            </w:r>
          </w:p>
        </w:tc>
        <w:tc>
          <w:tcPr>
            <w:tcW w:w="851" w:type="dxa"/>
            <w:tcBorders>
              <w:top w:val="nil"/>
              <w:left w:val="nil"/>
              <w:bottom w:val="single" w:sz="8"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8</w:t>
            </w:r>
          </w:p>
        </w:tc>
        <w:tc>
          <w:tcPr>
            <w:tcW w:w="992" w:type="dxa"/>
            <w:tcBorders>
              <w:top w:val="nil"/>
              <w:left w:val="nil"/>
              <w:bottom w:val="single" w:sz="8"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90</w:t>
            </w:r>
          </w:p>
        </w:tc>
        <w:tc>
          <w:tcPr>
            <w:tcW w:w="992" w:type="dxa"/>
            <w:tcBorders>
              <w:top w:val="nil"/>
              <w:left w:val="nil"/>
              <w:bottom w:val="single" w:sz="8"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200</w:t>
            </w:r>
          </w:p>
        </w:tc>
        <w:tc>
          <w:tcPr>
            <w:tcW w:w="992" w:type="dxa"/>
            <w:gridSpan w:val="2"/>
            <w:tcBorders>
              <w:top w:val="nil"/>
              <w:left w:val="nil"/>
              <w:bottom w:val="single" w:sz="8"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200</w:t>
            </w:r>
          </w:p>
        </w:tc>
        <w:tc>
          <w:tcPr>
            <w:tcW w:w="993" w:type="dxa"/>
            <w:gridSpan w:val="2"/>
            <w:tcBorders>
              <w:top w:val="nil"/>
              <w:left w:val="nil"/>
              <w:bottom w:val="single" w:sz="8"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280</w:t>
            </w:r>
          </w:p>
        </w:tc>
        <w:tc>
          <w:tcPr>
            <w:tcW w:w="977" w:type="dxa"/>
            <w:tcBorders>
              <w:top w:val="nil"/>
              <w:left w:val="nil"/>
              <w:bottom w:val="single" w:sz="8" w:space="0" w:color="000000"/>
              <w:right w:val="single" w:sz="4"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380</w:t>
            </w:r>
          </w:p>
        </w:tc>
        <w:tc>
          <w:tcPr>
            <w:tcW w:w="992" w:type="dxa"/>
            <w:gridSpan w:val="2"/>
            <w:tcBorders>
              <w:top w:val="nil"/>
              <w:left w:val="nil"/>
              <w:bottom w:val="single" w:sz="8" w:space="0" w:color="000000"/>
              <w:right w:val="single" w:sz="8" w:space="0" w:color="000000"/>
            </w:tcBorders>
            <w:shd w:val="clear" w:color="auto" w:fill="auto"/>
            <w:hideMark/>
          </w:tcPr>
          <w:p w:rsidR="0051338D" w:rsidRPr="00146FBB" w:rsidRDefault="0051338D" w:rsidP="0051338D">
            <w:pPr>
              <w:jc w:val="right"/>
              <w:rPr>
                <w:rFonts w:ascii="Calibri" w:eastAsia="Times New Roman" w:hAnsi="Calibri" w:cs="Calibri"/>
                <w:color w:val="000000"/>
                <w:sz w:val="18"/>
                <w:szCs w:val="18"/>
                <w:lang w:eastAsia="en-AU"/>
              </w:rPr>
            </w:pPr>
            <w:r w:rsidRPr="00146FBB">
              <w:rPr>
                <w:rFonts w:ascii="Calibri" w:eastAsia="Times New Roman" w:hAnsi="Calibri" w:cs="Calibri"/>
                <w:color w:val="000000"/>
                <w:sz w:val="18"/>
                <w:szCs w:val="18"/>
                <w:lang w:eastAsia="en-AU"/>
              </w:rPr>
              <w:t>550</w:t>
            </w:r>
          </w:p>
        </w:tc>
      </w:tr>
    </w:tbl>
    <w:p w:rsidR="00324E6E" w:rsidRPr="00146FBB" w:rsidRDefault="00FF0492" w:rsidP="000967E7">
      <w:pPr>
        <w:pStyle w:val="References"/>
      </w:pPr>
      <w:r w:rsidRPr="00146FBB">
        <w:t>Source: NCVER, 2014 National VET Provider Collection, unpublished data</w:t>
      </w:r>
      <w:r w:rsidR="004B3426">
        <w:t>.</w:t>
      </w:r>
    </w:p>
    <w:p w:rsidR="00324E6E" w:rsidRPr="00146FBB" w:rsidRDefault="00324E6E" w:rsidP="00560B0A">
      <w:pPr>
        <w:pStyle w:val="Text"/>
      </w:pPr>
    </w:p>
    <w:p w:rsidR="00324E6E" w:rsidRPr="00146FBB" w:rsidRDefault="00324E6E" w:rsidP="00324E6E">
      <w:pPr>
        <w:rPr>
          <w:rFonts w:eastAsiaTheme="minorHAnsi"/>
          <w:sz w:val="22"/>
          <w:szCs w:val="22"/>
        </w:rPr>
      </w:pPr>
    </w:p>
    <w:p w:rsidR="00324E6E" w:rsidRPr="00146FBB" w:rsidRDefault="00324E6E" w:rsidP="00560B0A">
      <w:pPr>
        <w:pStyle w:val="Text"/>
      </w:pPr>
    </w:p>
    <w:p w:rsidR="005C0678" w:rsidRPr="00146FBB" w:rsidRDefault="005C0678">
      <w:pPr>
        <w:rPr>
          <w:rStyle w:val="Strong"/>
          <w:rFonts w:ascii="Arial" w:eastAsia="Times New Roman" w:hAnsi="Arial" w:cs="Times New Roman"/>
          <w:sz w:val="22"/>
          <w:szCs w:val="22"/>
        </w:rPr>
      </w:pPr>
    </w:p>
    <w:sectPr w:rsidR="005C0678" w:rsidRPr="00146FBB" w:rsidSect="009F12A5">
      <w:footerReference w:type="default" r:id="rId17"/>
      <w:headerReference w:type="first" r:id="rId18"/>
      <w:footerReference w:type="first" r:id="rId19"/>
      <w:type w:val="continuous"/>
      <w:pgSz w:w="11900" w:h="16840" w:code="9"/>
      <w:pgMar w:top="1440" w:right="1080" w:bottom="1440" w:left="1080" w:header="567" w:footer="165"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31D" w:rsidRDefault="0007031D" w:rsidP="00653A40">
      <w:r>
        <w:separator/>
      </w:r>
    </w:p>
  </w:endnote>
  <w:endnote w:type="continuationSeparator" w:id="0">
    <w:p w:rsidR="0007031D" w:rsidRDefault="0007031D" w:rsidP="0065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lveticaNeueLTStd-Lt">
    <w:altName w:val="HelveticaNeueLT Std Lt"/>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31D" w:rsidRPr="00C179DC" w:rsidRDefault="00D1401C" w:rsidP="009F12A5">
    <w:pPr>
      <w:pStyle w:val="Footer"/>
      <w:pBdr>
        <w:top w:val="single" w:sz="4" w:space="1" w:color="auto"/>
      </w:pBdr>
      <w:tabs>
        <w:tab w:val="right" w:pos="9180"/>
      </w:tabs>
      <w:rPr>
        <w:rFonts w:cs="Arial"/>
        <w:szCs w:val="16"/>
      </w:rPr>
    </w:pPr>
    <w:r w:rsidRPr="00D1401C">
      <w:rPr>
        <w:spacing w:val="10"/>
        <w:lang w:val="en-US"/>
      </w:rPr>
      <w:t>Review of Training Packages and Accredited Courses: NCVER Submission (#155384)</w:t>
    </w:r>
    <w:r w:rsidR="0007031D">
      <w:rPr>
        <w:rFonts w:cs="Arial"/>
        <w:szCs w:val="16"/>
      </w:rPr>
      <w:tab/>
    </w:r>
    <w:r w:rsidR="0007031D">
      <w:rPr>
        <w:rFonts w:cs="Arial"/>
        <w:szCs w:val="16"/>
      </w:rPr>
      <w:tab/>
    </w:r>
    <w:r w:rsidR="0007031D" w:rsidRPr="00C179DC">
      <w:rPr>
        <w:rFonts w:cs="Arial"/>
        <w:szCs w:val="16"/>
      </w:rPr>
      <w:fldChar w:fldCharType="begin"/>
    </w:r>
    <w:r w:rsidR="0007031D" w:rsidRPr="00C179DC">
      <w:rPr>
        <w:rFonts w:cs="Arial"/>
        <w:szCs w:val="16"/>
      </w:rPr>
      <w:instrText xml:space="preserve"> PAGE </w:instrText>
    </w:r>
    <w:r w:rsidR="0007031D" w:rsidRPr="00C179DC">
      <w:rPr>
        <w:rFonts w:cs="Arial"/>
        <w:szCs w:val="16"/>
      </w:rPr>
      <w:fldChar w:fldCharType="separate"/>
    </w:r>
    <w:r w:rsidR="00A61182">
      <w:rPr>
        <w:rFonts w:cs="Arial"/>
        <w:noProof/>
        <w:szCs w:val="16"/>
      </w:rPr>
      <w:t>2</w:t>
    </w:r>
    <w:r w:rsidR="0007031D" w:rsidRPr="00C179DC">
      <w:rPr>
        <w:rFonts w:cs="Arial"/>
        <w:szCs w:val="16"/>
      </w:rPr>
      <w:fldChar w:fldCharType="end"/>
    </w:r>
  </w:p>
  <w:p w:rsidR="0007031D" w:rsidRDefault="000703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31D" w:rsidRPr="00C179DC" w:rsidRDefault="00D1401C" w:rsidP="009F12A5">
    <w:pPr>
      <w:pStyle w:val="Footer"/>
      <w:pBdr>
        <w:top w:val="single" w:sz="4" w:space="1" w:color="auto"/>
      </w:pBdr>
      <w:tabs>
        <w:tab w:val="right" w:pos="9180"/>
      </w:tabs>
      <w:rPr>
        <w:rFonts w:cs="Arial"/>
        <w:szCs w:val="16"/>
      </w:rPr>
    </w:pPr>
    <w:r>
      <w:rPr>
        <w:spacing w:val="10"/>
        <w:lang w:val="en-US"/>
      </w:rPr>
      <w:t>Review of Training Packages and Accredited Courses</w:t>
    </w:r>
    <w:r w:rsidR="005C3347">
      <w:rPr>
        <w:rFonts w:cs="Arial"/>
        <w:szCs w:val="16"/>
      </w:rPr>
      <w:t>: NCVER Submission (#155384</w:t>
    </w:r>
    <w:r w:rsidR="0007031D">
      <w:rPr>
        <w:rFonts w:cs="Arial"/>
        <w:szCs w:val="16"/>
      </w:rPr>
      <w:t>)</w:t>
    </w:r>
    <w:r w:rsidR="0007031D">
      <w:rPr>
        <w:rFonts w:cs="Arial"/>
        <w:szCs w:val="16"/>
      </w:rPr>
      <w:tab/>
    </w:r>
    <w:r w:rsidR="0007031D">
      <w:rPr>
        <w:rFonts w:cs="Arial"/>
        <w:szCs w:val="16"/>
      </w:rPr>
      <w:tab/>
    </w:r>
    <w:r w:rsidR="0007031D" w:rsidRPr="00C179DC">
      <w:rPr>
        <w:rFonts w:cs="Arial"/>
        <w:szCs w:val="16"/>
      </w:rPr>
      <w:fldChar w:fldCharType="begin"/>
    </w:r>
    <w:r w:rsidR="0007031D" w:rsidRPr="00C179DC">
      <w:rPr>
        <w:rFonts w:cs="Arial"/>
        <w:szCs w:val="16"/>
      </w:rPr>
      <w:instrText xml:space="preserve"> PAGE </w:instrText>
    </w:r>
    <w:r w:rsidR="0007031D" w:rsidRPr="00C179DC">
      <w:rPr>
        <w:rFonts w:cs="Arial"/>
        <w:szCs w:val="16"/>
      </w:rPr>
      <w:fldChar w:fldCharType="separate"/>
    </w:r>
    <w:r w:rsidR="00A61182">
      <w:rPr>
        <w:rFonts w:cs="Arial"/>
        <w:noProof/>
        <w:szCs w:val="16"/>
      </w:rPr>
      <w:t>1</w:t>
    </w:r>
    <w:r w:rsidR="0007031D" w:rsidRPr="00C179DC">
      <w:rPr>
        <w:rFonts w:cs="Arial"/>
        <w:szCs w:val="16"/>
      </w:rPr>
      <w:fldChar w:fldCharType="end"/>
    </w:r>
  </w:p>
  <w:p w:rsidR="0007031D" w:rsidRDefault="000703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31D" w:rsidRDefault="0007031D" w:rsidP="00653A40">
      <w:r>
        <w:separator/>
      </w:r>
    </w:p>
  </w:footnote>
  <w:footnote w:type="continuationSeparator" w:id="0">
    <w:p w:rsidR="0007031D" w:rsidRDefault="0007031D" w:rsidP="00653A40">
      <w:r>
        <w:continuationSeparator/>
      </w:r>
    </w:p>
  </w:footnote>
  <w:footnote w:id="1">
    <w:p w:rsidR="000310C6" w:rsidRPr="000310C6" w:rsidRDefault="000310C6">
      <w:pPr>
        <w:pStyle w:val="FootnoteText"/>
        <w:rPr>
          <w:lang w:val="en-AU"/>
        </w:rPr>
      </w:pPr>
      <w:r>
        <w:rPr>
          <w:rStyle w:val="FootnoteReference"/>
        </w:rPr>
        <w:footnoteRef/>
      </w:r>
      <w:r>
        <w:t xml:space="preserve"> </w:t>
      </w:r>
      <w:hyperlink r:id="rId1" w:history="1">
        <w:r w:rsidRPr="009B2908">
          <w:rPr>
            <w:rStyle w:val="Hyperlink"/>
          </w:rPr>
          <w:t>http://vetreform.industry.gov.au/publication/review-training-packages-and-accredited-courses-discussion-paper</w:t>
        </w:r>
      </w:hyperlink>
    </w:p>
  </w:footnote>
  <w:footnote w:id="2">
    <w:p w:rsidR="003D1951" w:rsidRDefault="003D1951">
      <w:pPr>
        <w:pStyle w:val="FootnoteText"/>
        <w:rPr>
          <w:lang w:val="en-AU"/>
        </w:rPr>
      </w:pPr>
      <w:r>
        <w:rPr>
          <w:rStyle w:val="FootnoteReference"/>
        </w:rPr>
        <w:footnoteRef/>
      </w:r>
      <w:r>
        <w:t xml:space="preserve"> </w:t>
      </w:r>
      <w:r w:rsidR="0003619D">
        <w:t xml:space="preserve">Moving on: Report of the </w:t>
      </w:r>
      <w:r>
        <w:rPr>
          <w:lang w:val="en-AU"/>
        </w:rPr>
        <w:t>High Level Review of Training Packages</w:t>
      </w:r>
      <w:r w:rsidR="0003619D">
        <w:rPr>
          <w:lang w:val="en-AU"/>
        </w:rPr>
        <w:t xml:space="preserve"> (2004),  </w:t>
      </w:r>
      <w:hyperlink r:id="rId2" w:history="1">
        <w:r w:rsidR="0003619D" w:rsidRPr="00D57A45">
          <w:rPr>
            <w:rStyle w:val="Hyperlink"/>
            <w:lang w:val="en-AU"/>
          </w:rPr>
          <w:t>http://www.voced.edu.au/content/ngv5968</w:t>
        </w:r>
      </w:hyperlink>
      <w:r w:rsidR="00860611">
        <w:rPr>
          <w:rStyle w:val="Hyperlink"/>
          <w:lang w:val="en-AU"/>
        </w:rPr>
        <w:t xml:space="preserve"> </w:t>
      </w:r>
    </w:p>
    <w:p w:rsidR="003D1951" w:rsidRPr="003D1951" w:rsidRDefault="003D1951" w:rsidP="00BF0969">
      <w:pPr>
        <w:pStyle w:val="FootnoteText"/>
        <w:ind w:left="0" w:firstLine="0"/>
        <w:rPr>
          <w:lang w:val="en-AU"/>
        </w:rPr>
      </w:pPr>
    </w:p>
  </w:footnote>
  <w:footnote w:id="3">
    <w:p w:rsidR="0003619D" w:rsidRPr="00146FBB" w:rsidRDefault="0003619D" w:rsidP="0003619D">
      <w:pPr>
        <w:pStyle w:val="References"/>
        <w:rPr>
          <w:rStyle w:val="Hyperlink"/>
        </w:rPr>
      </w:pPr>
      <w:r>
        <w:rPr>
          <w:rStyle w:val="FootnoteReference"/>
        </w:rPr>
        <w:footnoteRef/>
      </w:r>
      <w:r>
        <w:t xml:space="preserve"> </w:t>
      </w:r>
      <w:r w:rsidRPr="0003619D">
        <w:rPr>
          <w:rStyle w:val="Hyperlink"/>
          <w:color w:val="auto"/>
          <w:u w:val="none"/>
        </w:rPr>
        <w:t>Australian Government, 2009, VET Training Products for the 21st Century, Final report of the Joint Steering Committee of the National Quality Council and the Council of Australian Governments Skills and Workforce Development Sub-group, June 2009</w:t>
      </w:r>
      <w:r w:rsidRPr="00146FBB">
        <w:rPr>
          <w:rStyle w:val="Hyperlink"/>
          <w:color w:val="auto"/>
        </w:rPr>
        <w:t xml:space="preserve">,  </w:t>
      </w:r>
      <w:r w:rsidRPr="00146FBB">
        <w:rPr>
          <w:rStyle w:val="Hyperlink"/>
        </w:rPr>
        <w:t>&lt;</w:t>
      </w:r>
      <w:hyperlink r:id="rId3" w:history="1">
        <w:r w:rsidRPr="00146FBB">
          <w:rPr>
            <w:rStyle w:val="Hyperlink"/>
          </w:rPr>
          <w:t>http://www.nssc.natese.gov.au/__data/assets/pdf_file/0004/49657/VET_Products_for_the_21st_Century_-_FINAL_REPORT.pdf</w:t>
        </w:r>
      </w:hyperlink>
      <w:r w:rsidRPr="00146FBB">
        <w:rPr>
          <w:rStyle w:val="Hyperlink"/>
        </w:rPr>
        <w:t>&gt;, viewed April 2014</w:t>
      </w:r>
    </w:p>
    <w:p w:rsidR="0003619D" w:rsidRPr="0003619D" w:rsidRDefault="0003619D">
      <w:pPr>
        <w:pStyle w:val="FootnoteText"/>
        <w:rPr>
          <w:lang w:val="en-AU"/>
        </w:rPr>
      </w:pPr>
    </w:p>
  </w:footnote>
  <w:footnote w:id="4">
    <w:p w:rsidR="0007031D" w:rsidRPr="004A0FD3" w:rsidRDefault="0007031D">
      <w:pPr>
        <w:pStyle w:val="FootnoteText"/>
        <w:rPr>
          <w:lang w:val="en-AU"/>
        </w:rPr>
      </w:pPr>
      <w:r>
        <w:rPr>
          <w:rStyle w:val="FootnoteReference"/>
        </w:rPr>
        <w:footnoteRef/>
      </w:r>
      <w:r>
        <w:t xml:space="preserve"> </w:t>
      </w:r>
      <w:r w:rsidRPr="00560B0A">
        <w:t>The restructuring of Training Packages has separated performance standards from guidance and supporting information; and Training Packaging rules have been altered to enable core and elective units to be included in the design of qualifications. Rules for the inclusion of electives have identified the number of elective units and the source; with elective units being set at one third of the total units; and the source being within Training Packages or from another Training Package or Accredited course. Up to one sixth of units can be imported from elsewhere, with some qualifications (including for licensed, regulated and trade occupations) exempt, and other requests for exemptions to be reviewed on a case by case basis. The aim of these qualification reforms is to help design qualifications that will be comparable, maintain the integrity of outcomes and provide the level of flexibility clients want. The credit system in terms of volume of learning required for qualifications has been incorporated into the revised A</w:t>
      </w:r>
      <w:r>
        <w:t xml:space="preserve">ustralian </w:t>
      </w:r>
      <w:r w:rsidRPr="00560B0A">
        <w:t>Q</w:t>
      </w:r>
      <w:r>
        <w:t xml:space="preserve">ualifications </w:t>
      </w:r>
      <w:r w:rsidRPr="00560B0A">
        <w:t>F</w:t>
      </w:r>
      <w:r>
        <w:t>ramework.</w:t>
      </w:r>
    </w:p>
  </w:footnote>
  <w:footnote w:id="5">
    <w:p w:rsidR="0007031D" w:rsidRPr="00DC78DB" w:rsidRDefault="0007031D" w:rsidP="006772EA">
      <w:pPr>
        <w:pStyle w:val="FootnoteText"/>
        <w:rPr>
          <w:lang w:val="en-AU"/>
        </w:rPr>
      </w:pPr>
      <w:r>
        <w:rPr>
          <w:rStyle w:val="FootnoteReference"/>
        </w:rPr>
        <w:footnoteRef/>
      </w:r>
      <w:r>
        <w:t xml:space="preserve"> </w:t>
      </w:r>
      <w:r w:rsidRPr="00065F2E">
        <w:t>http://www.isc.org.au/resources/uploads/pdf/Training_Package_Continuous_Improvement.pdf</w:t>
      </w:r>
    </w:p>
  </w:footnote>
  <w:footnote w:id="6">
    <w:p w:rsidR="0007031D" w:rsidRPr="00706585" w:rsidRDefault="0007031D">
      <w:pPr>
        <w:pStyle w:val="FootnoteText"/>
        <w:rPr>
          <w:rFonts w:ascii="Arial" w:hAnsi="Arial" w:cs="Arial"/>
          <w:lang w:val="en-AU"/>
        </w:rPr>
      </w:pPr>
      <w:r w:rsidRPr="00706585">
        <w:rPr>
          <w:rStyle w:val="FootnoteReference"/>
          <w:rFonts w:ascii="Arial" w:hAnsi="Arial" w:cs="Arial"/>
        </w:rPr>
        <w:footnoteRef/>
      </w:r>
      <w:r w:rsidRPr="00706585">
        <w:rPr>
          <w:rFonts w:ascii="Arial" w:hAnsi="Arial" w:cs="Arial"/>
        </w:rPr>
        <w:t xml:space="preserve"> Note this is different issue to that of the wide spread in the number of hours in which an individual qualification maybe delivered.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31D" w:rsidRDefault="0007031D">
    <w:pPr>
      <w:pStyle w:val="Header"/>
    </w:pPr>
    <w:r>
      <w:rPr>
        <w:noProof/>
        <w:lang w:eastAsia="en-AU"/>
      </w:rPr>
      <w:drawing>
        <wp:anchor distT="0" distB="0" distL="114300" distR="114300" simplePos="0" relativeHeight="251659264" behindDoc="1" locked="0" layoutInCell="1" allowOverlap="1" wp14:anchorId="6D199358" wp14:editId="093677C8">
          <wp:simplePos x="0" y="0"/>
          <wp:positionH relativeFrom="page">
            <wp:posOffset>142875</wp:posOffset>
          </wp:positionH>
          <wp:positionV relativeFrom="page">
            <wp:posOffset>152400</wp:posOffset>
          </wp:positionV>
          <wp:extent cx="7552019" cy="1285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7968"/>
                  <a:stretch/>
                </pic:blipFill>
                <pic:spPr bwMode="auto">
                  <a:xfrm>
                    <a:off x="0" y="0"/>
                    <a:ext cx="7555517" cy="1286471"/>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804A41E"/>
    <w:lvl w:ilvl="0">
      <w:start w:val="8"/>
      <w:numFmt w:val="decimal"/>
      <w:pStyle w:val="ListBullet"/>
      <w:lvlText w:val="%1."/>
      <w:lvlJc w:val="left"/>
      <w:pPr>
        <w:ind w:left="644" w:hanging="360"/>
      </w:pPr>
      <w:rPr>
        <w:rFonts w:hint="default"/>
        <w:i w:val="0"/>
      </w:rPr>
    </w:lvl>
  </w:abstractNum>
  <w:abstractNum w:abstractNumId="1">
    <w:nsid w:val="03F17086"/>
    <w:multiLevelType w:val="hybridMultilevel"/>
    <w:tmpl w:val="1F5ECA12"/>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nsid w:val="05217003"/>
    <w:multiLevelType w:val="hybridMultilevel"/>
    <w:tmpl w:val="05AAACCC"/>
    <w:lvl w:ilvl="0" w:tplc="7C320B82">
      <w:start w:val="1"/>
      <w:numFmt w:val="decimal"/>
      <w:pStyle w:val="Numbere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0682625B"/>
    <w:multiLevelType w:val="hybridMultilevel"/>
    <w:tmpl w:val="F08CCA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nsid w:val="0C2F2BBF"/>
    <w:multiLevelType w:val="hybridMultilevel"/>
    <w:tmpl w:val="F282F7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1600452F"/>
    <w:multiLevelType w:val="hybridMultilevel"/>
    <w:tmpl w:val="1F86A6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65C79D0"/>
    <w:multiLevelType w:val="hybridMultilevel"/>
    <w:tmpl w:val="F07EDC88"/>
    <w:lvl w:ilvl="0" w:tplc="0C090019">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7">
    <w:nsid w:val="1AE44955"/>
    <w:multiLevelType w:val="hybridMultilevel"/>
    <w:tmpl w:val="F740F648"/>
    <w:lvl w:ilvl="0" w:tplc="D7D0D4C6">
      <w:start w:val="1"/>
      <w:numFmt w:val="bullet"/>
      <w:pStyle w:val="Dotpoin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1FCB57FA"/>
    <w:multiLevelType w:val="hybridMultilevel"/>
    <w:tmpl w:val="B31A5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1446D85"/>
    <w:multiLevelType w:val="hybridMultilevel"/>
    <w:tmpl w:val="D29A0A92"/>
    <w:lvl w:ilvl="0" w:tplc="C8444DEA">
      <w:start w:val="1"/>
      <w:numFmt w:val="decimal"/>
      <w:pStyle w:val="Heading1"/>
      <w:lvlText w:val="%1"/>
      <w:lvlJc w:val="left"/>
      <w:pPr>
        <w:ind w:left="426" w:hanging="360"/>
      </w:pPr>
      <w:rPr>
        <w:rFonts w:eastAsiaTheme="minorEastAsia" w:hint="default"/>
      </w:rPr>
    </w:lvl>
    <w:lvl w:ilvl="1" w:tplc="0C090019" w:tentative="1">
      <w:start w:val="1"/>
      <w:numFmt w:val="lowerLetter"/>
      <w:lvlText w:val="%2."/>
      <w:lvlJc w:val="left"/>
      <w:pPr>
        <w:ind w:left="1146" w:hanging="360"/>
      </w:pPr>
    </w:lvl>
    <w:lvl w:ilvl="2" w:tplc="0C09001B" w:tentative="1">
      <w:start w:val="1"/>
      <w:numFmt w:val="lowerRoman"/>
      <w:lvlText w:val="%3."/>
      <w:lvlJc w:val="right"/>
      <w:pPr>
        <w:ind w:left="1866" w:hanging="180"/>
      </w:pPr>
    </w:lvl>
    <w:lvl w:ilvl="3" w:tplc="0C09000F" w:tentative="1">
      <w:start w:val="1"/>
      <w:numFmt w:val="decimal"/>
      <w:lvlText w:val="%4."/>
      <w:lvlJc w:val="left"/>
      <w:pPr>
        <w:ind w:left="2586" w:hanging="360"/>
      </w:pPr>
    </w:lvl>
    <w:lvl w:ilvl="4" w:tplc="0C090019" w:tentative="1">
      <w:start w:val="1"/>
      <w:numFmt w:val="lowerLetter"/>
      <w:lvlText w:val="%5."/>
      <w:lvlJc w:val="left"/>
      <w:pPr>
        <w:ind w:left="3306" w:hanging="360"/>
      </w:pPr>
    </w:lvl>
    <w:lvl w:ilvl="5" w:tplc="0C09001B" w:tentative="1">
      <w:start w:val="1"/>
      <w:numFmt w:val="lowerRoman"/>
      <w:lvlText w:val="%6."/>
      <w:lvlJc w:val="right"/>
      <w:pPr>
        <w:ind w:left="4026" w:hanging="180"/>
      </w:pPr>
    </w:lvl>
    <w:lvl w:ilvl="6" w:tplc="0C09000F" w:tentative="1">
      <w:start w:val="1"/>
      <w:numFmt w:val="decimal"/>
      <w:lvlText w:val="%7."/>
      <w:lvlJc w:val="left"/>
      <w:pPr>
        <w:ind w:left="4746" w:hanging="360"/>
      </w:pPr>
    </w:lvl>
    <w:lvl w:ilvl="7" w:tplc="0C090019" w:tentative="1">
      <w:start w:val="1"/>
      <w:numFmt w:val="lowerLetter"/>
      <w:lvlText w:val="%8."/>
      <w:lvlJc w:val="left"/>
      <w:pPr>
        <w:ind w:left="5466" w:hanging="360"/>
      </w:pPr>
    </w:lvl>
    <w:lvl w:ilvl="8" w:tplc="0C09001B" w:tentative="1">
      <w:start w:val="1"/>
      <w:numFmt w:val="lowerRoman"/>
      <w:lvlText w:val="%9."/>
      <w:lvlJc w:val="right"/>
      <w:pPr>
        <w:ind w:left="6186" w:hanging="180"/>
      </w:pPr>
    </w:lvl>
  </w:abstractNum>
  <w:abstractNum w:abstractNumId="10">
    <w:nsid w:val="2921087D"/>
    <w:multiLevelType w:val="hybridMultilevel"/>
    <w:tmpl w:val="281C2AD6"/>
    <w:lvl w:ilvl="0" w:tplc="9C144C22">
      <w:start w:val="1"/>
      <w:numFmt w:val="bullet"/>
      <w:pStyle w:val="Dotpoint2"/>
      <w:lvlText w:val=""/>
      <w:lvlJc w:val="left"/>
      <w:pPr>
        <w:tabs>
          <w:tab w:val="num" w:pos="851"/>
        </w:tabs>
        <w:ind w:left="851" w:hanging="341"/>
      </w:pPr>
      <w:rPr>
        <w:rFonts w:ascii="Symbol" w:hAnsi="Symbol" w:hint="default"/>
        <w:sz w:val="18"/>
      </w:rPr>
    </w:lvl>
    <w:lvl w:ilvl="1" w:tplc="D7FC6A34">
      <w:start w:val="1"/>
      <w:numFmt w:val="bullet"/>
      <w:lvlText w:val=""/>
      <w:lvlJc w:val="left"/>
      <w:pPr>
        <w:tabs>
          <w:tab w:val="num" w:pos="737"/>
        </w:tabs>
        <w:ind w:left="737" w:hanging="170"/>
      </w:pPr>
      <w:rPr>
        <w:rFonts w:ascii="Symbol" w:hAnsi="Symbol" w:hint="default"/>
        <w:sz w:val="18"/>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2C916554"/>
    <w:multiLevelType w:val="hybridMultilevel"/>
    <w:tmpl w:val="1690D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EF76D3C"/>
    <w:multiLevelType w:val="hybridMultilevel"/>
    <w:tmpl w:val="CF7449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F18645A"/>
    <w:multiLevelType w:val="multilevel"/>
    <w:tmpl w:val="4BCE6C88"/>
    <w:name w:val="RTNumbering3"/>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702"/>
        </w:tabs>
        <w:ind w:left="1702" w:hanging="1702"/>
      </w:pPr>
      <w:rPr>
        <w:rFonts w:hint="default"/>
      </w:rPr>
    </w:lvl>
    <w:lvl w:ilvl="6">
      <w:start w:val="1"/>
      <w:numFmt w:val="decimal"/>
      <w:lvlText w:val="%1.%2.%3.%4.%5.%6.%7"/>
      <w:lvlJc w:val="left"/>
      <w:pPr>
        <w:tabs>
          <w:tab w:val="num" w:pos="1702"/>
        </w:tabs>
        <w:ind w:left="1702" w:hanging="1702"/>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14">
    <w:nsid w:val="33383A75"/>
    <w:multiLevelType w:val="hybridMultilevel"/>
    <w:tmpl w:val="685AC8B0"/>
    <w:lvl w:ilvl="0" w:tplc="0C090013">
      <w:start w:val="1"/>
      <w:numFmt w:val="upperRoman"/>
      <w:lvlText w:val="%1."/>
      <w:lvlJc w:val="righ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355947F6"/>
    <w:multiLevelType w:val="hybridMultilevel"/>
    <w:tmpl w:val="3886F766"/>
    <w:lvl w:ilvl="0" w:tplc="D00E3462">
      <w:start w:val="1"/>
      <w:numFmt w:val="decimal"/>
      <w:lvlText w:val="%1."/>
      <w:lvlJc w:val="left"/>
      <w:pPr>
        <w:ind w:left="720" w:hanging="360"/>
      </w:pPr>
      <w:rPr>
        <w:rFonts w:eastAsiaTheme="minorEastAsia"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88349BB"/>
    <w:multiLevelType w:val="hybridMultilevel"/>
    <w:tmpl w:val="9F667A7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nsid w:val="3B707AD6"/>
    <w:multiLevelType w:val="hybridMultilevel"/>
    <w:tmpl w:val="4B7C4E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BD51955"/>
    <w:multiLevelType w:val="multilevel"/>
    <w:tmpl w:val="D1D09784"/>
    <w:lvl w:ilvl="0">
      <w:start w:val="1"/>
      <w:numFmt w:val="bullet"/>
      <w:pStyle w:val="ListContinue"/>
      <w:lvlText w:val=""/>
      <w:lvlJc w:val="left"/>
      <w:pPr>
        <w:tabs>
          <w:tab w:val="num" w:pos="1080"/>
        </w:tabs>
        <w:ind w:left="108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9">
    <w:nsid w:val="414A0438"/>
    <w:multiLevelType w:val="hybridMultilevel"/>
    <w:tmpl w:val="1FF2E5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nsid w:val="438B68FA"/>
    <w:multiLevelType w:val="hybridMultilevel"/>
    <w:tmpl w:val="82C68A1A"/>
    <w:lvl w:ilvl="0" w:tplc="8F96D12E">
      <w:start w:val="1"/>
      <w:numFmt w:val="bullet"/>
      <w:lvlText w:val="/"/>
      <w:lvlJc w:val="left"/>
      <w:pPr>
        <w:tabs>
          <w:tab w:val="num" w:pos="284"/>
        </w:tabs>
        <w:ind w:left="284" w:hanging="284"/>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4145F7"/>
    <w:multiLevelType w:val="hybridMultilevel"/>
    <w:tmpl w:val="B52A93D2"/>
    <w:lvl w:ilvl="0" w:tplc="0C090019">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2">
    <w:nsid w:val="449C4708"/>
    <w:multiLevelType w:val="hybridMultilevel"/>
    <w:tmpl w:val="78FCCA4A"/>
    <w:lvl w:ilvl="0" w:tplc="36EC7EA2">
      <w:start w:val="2"/>
      <w:numFmt w:val="decimal"/>
      <w:lvlText w:val="%1"/>
      <w:lvlJc w:val="left"/>
      <w:pPr>
        <w:ind w:left="426" w:hanging="360"/>
      </w:pPr>
      <w:rPr>
        <w:rFonts w:hint="default"/>
      </w:rPr>
    </w:lvl>
    <w:lvl w:ilvl="1" w:tplc="0C090019" w:tentative="1">
      <w:start w:val="1"/>
      <w:numFmt w:val="lowerLetter"/>
      <w:lvlText w:val="%2."/>
      <w:lvlJc w:val="left"/>
      <w:pPr>
        <w:ind w:left="1146" w:hanging="360"/>
      </w:pPr>
    </w:lvl>
    <w:lvl w:ilvl="2" w:tplc="0C09001B" w:tentative="1">
      <w:start w:val="1"/>
      <w:numFmt w:val="lowerRoman"/>
      <w:lvlText w:val="%3."/>
      <w:lvlJc w:val="right"/>
      <w:pPr>
        <w:ind w:left="1866" w:hanging="180"/>
      </w:pPr>
    </w:lvl>
    <w:lvl w:ilvl="3" w:tplc="0C09000F" w:tentative="1">
      <w:start w:val="1"/>
      <w:numFmt w:val="decimal"/>
      <w:lvlText w:val="%4."/>
      <w:lvlJc w:val="left"/>
      <w:pPr>
        <w:ind w:left="2586" w:hanging="360"/>
      </w:pPr>
    </w:lvl>
    <w:lvl w:ilvl="4" w:tplc="0C090019" w:tentative="1">
      <w:start w:val="1"/>
      <w:numFmt w:val="lowerLetter"/>
      <w:lvlText w:val="%5."/>
      <w:lvlJc w:val="left"/>
      <w:pPr>
        <w:ind w:left="3306" w:hanging="360"/>
      </w:pPr>
    </w:lvl>
    <w:lvl w:ilvl="5" w:tplc="0C09001B" w:tentative="1">
      <w:start w:val="1"/>
      <w:numFmt w:val="lowerRoman"/>
      <w:lvlText w:val="%6."/>
      <w:lvlJc w:val="right"/>
      <w:pPr>
        <w:ind w:left="4026" w:hanging="180"/>
      </w:pPr>
    </w:lvl>
    <w:lvl w:ilvl="6" w:tplc="0C09000F" w:tentative="1">
      <w:start w:val="1"/>
      <w:numFmt w:val="decimal"/>
      <w:lvlText w:val="%7."/>
      <w:lvlJc w:val="left"/>
      <w:pPr>
        <w:ind w:left="4746" w:hanging="360"/>
      </w:pPr>
    </w:lvl>
    <w:lvl w:ilvl="7" w:tplc="0C090019" w:tentative="1">
      <w:start w:val="1"/>
      <w:numFmt w:val="lowerLetter"/>
      <w:lvlText w:val="%8."/>
      <w:lvlJc w:val="left"/>
      <w:pPr>
        <w:ind w:left="5466" w:hanging="360"/>
      </w:pPr>
    </w:lvl>
    <w:lvl w:ilvl="8" w:tplc="0C09001B" w:tentative="1">
      <w:start w:val="1"/>
      <w:numFmt w:val="lowerRoman"/>
      <w:lvlText w:val="%9."/>
      <w:lvlJc w:val="right"/>
      <w:pPr>
        <w:ind w:left="6186" w:hanging="180"/>
      </w:pPr>
    </w:lvl>
  </w:abstractNum>
  <w:abstractNum w:abstractNumId="23">
    <w:nsid w:val="47F70429"/>
    <w:multiLevelType w:val="hybridMultilevel"/>
    <w:tmpl w:val="7AAC785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4CB465C0"/>
    <w:multiLevelType w:val="hybridMultilevel"/>
    <w:tmpl w:val="FEDAB80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5B5467BF"/>
    <w:multiLevelType w:val="hybridMultilevel"/>
    <w:tmpl w:val="9248758A"/>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6">
    <w:nsid w:val="69D14422"/>
    <w:multiLevelType w:val="hybridMultilevel"/>
    <w:tmpl w:val="AEC67CF8"/>
    <w:lvl w:ilvl="0" w:tplc="0C09000F">
      <w:start w:val="1"/>
      <w:numFmt w:val="decimal"/>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nsid w:val="6AC01FAC"/>
    <w:multiLevelType w:val="hybridMultilevel"/>
    <w:tmpl w:val="ECDEAA96"/>
    <w:lvl w:ilvl="0" w:tplc="EF008466">
      <w:start w:val="1"/>
      <w:numFmt w:val="decimal"/>
      <w:lvlText w:val="%1."/>
      <w:lvlJc w:val="left"/>
      <w:pPr>
        <w:tabs>
          <w:tab w:val="num" w:pos="255"/>
        </w:tabs>
        <w:ind w:left="255" w:hanging="2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041098"/>
    <w:multiLevelType w:val="hybridMultilevel"/>
    <w:tmpl w:val="93DE0E28"/>
    <w:lvl w:ilvl="0" w:tplc="0C090019">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9">
    <w:nsid w:val="6DA353FB"/>
    <w:multiLevelType w:val="hybridMultilevel"/>
    <w:tmpl w:val="198423C4"/>
    <w:lvl w:ilvl="0" w:tplc="0C09000F">
      <w:start w:val="1"/>
      <w:numFmt w:val="decimal"/>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0">
    <w:nsid w:val="7585454C"/>
    <w:multiLevelType w:val="hybridMultilevel"/>
    <w:tmpl w:val="805264D2"/>
    <w:lvl w:ilvl="0" w:tplc="0C090003">
      <w:start w:val="1"/>
      <w:numFmt w:val="bullet"/>
      <w:lvlText w:val="o"/>
      <w:lvlJc w:val="left"/>
      <w:pPr>
        <w:ind w:left="644" w:hanging="360"/>
      </w:pPr>
      <w:rPr>
        <w:rFonts w:ascii="Courier New" w:hAnsi="Courier New" w:cs="Courier New"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num w:numId="1">
    <w:abstractNumId w:val="20"/>
  </w:num>
  <w:num w:numId="2">
    <w:abstractNumId w:val="27"/>
  </w:num>
  <w:num w:numId="3">
    <w:abstractNumId w:val="13"/>
  </w:num>
  <w:num w:numId="4">
    <w:abstractNumId w:val="10"/>
  </w:num>
  <w:num w:numId="5">
    <w:abstractNumId w:val="26"/>
  </w:num>
  <w:num w:numId="6">
    <w:abstractNumId w:val="23"/>
  </w:num>
  <w:num w:numId="7">
    <w:abstractNumId w:val="4"/>
  </w:num>
  <w:num w:numId="8">
    <w:abstractNumId w:val="7"/>
  </w:num>
  <w:num w:numId="9">
    <w:abstractNumId w:val="3"/>
  </w:num>
  <w:num w:numId="10">
    <w:abstractNumId w:val="2"/>
  </w:num>
  <w:num w:numId="11">
    <w:abstractNumId w:val="14"/>
  </w:num>
  <w:num w:numId="12">
    <w:abstractNumId w:val="19"/>
  </w:num>
  <w:num w:numId="13">
    <w:abstractNumId w:val="0"/>
  </w:num>
  <w:num w:numId="14">
    <w:abstractNumId w:val="29"/>
  </w:num>
  <w:num w:numId="15">
    <w:abstractNumId w:val="30"/>
  </w:num>
  <w:num w:numId="16">
    <w:abstractNumId w:val="0"/>
    <w:lvlOverride w:ilvl="0">
      <w:startOverride w:val="3"/>
    </w:lvlOverride>
  </w:num>
  <w:num w:numId="17">
    <w:abstractNumId w:val="18"/>
  </w:num>
  <w:num w:numId="18">
    <w:abstractNumId w:val="17"/>
  </w:num>
  <w:num w:numId="19">
    <w:abstractNumId w:val="21"/>
  </w:num>
  <w:num w:numId="20">
    <w:abstractNumId w:val="28"/>
  </w:num>
  <w:num w:numId="21">
    <w:abstractNumId w:val="16"/>
  </w:num>
  <w:num w:numId="22">
    <w:abstractNumId w:val="5"/>
  </w:num>
  <w:num w:numId="23">
    <w:abstractNumId w:val="1"/>
  </w:num>
  <w:num w:numId="24">
    <w:abstractNumId w:val="24"/>
  </w:num>
  <w:num w:numId="25">
    <w:abstractNumId w:val="12"/>
  </w:num>
  <w:num w:numId="26">
    <w:abstractNumId w:val="11"/>
  </w:num>
  <w:num w:numId="27">
    <w:abstractNumId w:val="8"/>
  </w:num>
  <w:num w:numId="28">
    <w:abstractNumId w:val="25"/>
  </w:num>
  <w:num w:numId="29">
    <w:abstractNumId w:val="6"/>
  </w:num>
  <w:num w:numId="30">
    <w:abstractNumId w:val="15"/>
  </w:num>
  <w:num w:numId="31">
    <w:abstractNumId w:val="15"/>
    <w:lvlOverride w:ilvl="0">
      <w:startOverride w:val="1"/>
    </w:lvlOverride>
  </w:num>
  <w:num w:numId="32">
    <w:abstractNumId w:val="22"/>
  </w:num>
  <w:num w:numId="33">
    <w:abstractNumId w:val="9"/>
  </w:num>
  <w:num w:numId="34">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1146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16B"/>
    <w:rsid w:val="00003117"/>
    <w:rsid w:val="00004A19"/>
    <w:rsid w:val="000107D1"/>
    <w:rsid w:val="00010A83"/>
    <w:rsid w:val="000122DB"/>
    <w:rsid w:val="00013D0E"/>
    <w:rsid w:val="00014CC1"/>
    <w:rsid w:val="000177FC"/>
    <w:rsid w:val="000237C0"/>
    <w:rsid w:val="000310C6"/>
    <w:rsid w:val="00031D54"/>
    <w:rsid w:val="0003619D"/>
    <w:rsid w:val="000373AD"/>
    <w:rsid w:val="00042A5B"/>
    <w:rsid w:val="00052008"/>
    <w:rsid w:val="00056983"/>
    <w:rsid w:val="0006207D"/>
    <w:rsid w:val="000654A2"/>
    <w:rsid w:val="00065F2E"/>
    <w:rsid w:val="0007031D"/>
    <w:rsid w:val="00073747"/>
    <w:rsid w:val="00092B56"/>
    <w:rsid w:val="00092FA4"/>
    <w:rsid w:val="000967E7"/>
    <w:rsid w:val="000A1561"/>
    <w:rsid w:val="000B370E"/>
    <w:rsid w:val="000B7C0C"/>
    <w:rsid w:val="000F2A23"/>
    <w:rsid w:val="001057A2"/>
    <w:rsid w:val="00106A3E"/>
    <w:rsid w:val="00113726"/>
    <w:rsid w:val="00116AEF"/>
    <w:rsid w:val="00123746"/>
    <w:rsid w:val="00124909"/>
    <w:rsid w:val="00144413"/>
    <w:rsid w:val="00144489"/>
    <w:rsid w:val="00146FBB"/>
    <w:rsid w:val="00150381"/>
    <w:rsid w:val="001626AC"/>
    <w:rsid w:val="00177CB8"/>
    <w:rsid w:val="0018777F"/>
    <w:rsid w:val="001A75E7"/>
    <w:rsid w:val="001B062C"/>
    <w:rsid w:val="001B3417"/>
    <w:rsid w:val="001B360E"/>
    <w:rsid w:val="001C194A"/>
    <w:rsid w:val="001C28C5"/>
    <w:rsid w:val="001C4C82"/>
    <w:rsid w:val="001D13F2"/>
    <w:rsid w:val="001D302C"/>
    <w:rsid w:val="001D3679"/>
    <w:rsid w:val="001E584C"/>
    <w:rsid w:val="00210D29"/>
    <w:rsid w:val="0022000F"/>
    <w:rsid w:val="00244851"/>
    <w:rsid w:val="002701AA"/>
    <w:rsid w:val="00282BF1"/>
    <w:rsid w:val="00284D22"/>
    <w:rsid w:val="002B16FD"/>
    <w:rsid w:val="002B1A7A"/>
    <w:rsid w:val="002B71E6"/>
    <w:rsid w:val="002C2BB6"/>
    <w:rsid w:val="002D3822"/>
    <w:rsid w:val="002E1774"/>
    <w:rsid w:val="00302537"/>
    <w:rsid w:val="00306FE2"/>
    <w:rsid w:val="00311488"/>
    <w:rsid w:val="0031487D"/>
    <w:rsid w:val="00324E6E"/>
    <w:rsid w:val="003263D1"/>
    <w:rsid w:val="00326A8A"/>
    <w:rsid w:val="00327AC6"/>
    <w:rsid w:val="00331379"/>
    <w:rsid w:val="00350C84"/>
    <w:rsid w:val="00364359"/>
    <w:rsid w:val="00372272"/>
    <w:rsid w:val="00382264"/>
    <w:rsid w:val="00390F1E"/>
    <w:rsid w:val="00391AA5"/>
    <w:rsid w:val="003928EF"/>
    <w:rsid w:val="00394AA0"/>
    <w:rsid w:val="003950E8"/>
    <w:rsid w:val="003A1991"/>
    <w:rsid w:val="003A65E1"/>
    <w:rsid w:val="003B42EE"/>
    <w:rsid w:val="003C5EBA"/>
    <w:rsid w:val="003C781D"/>
    <w:rsid w:val="003D1951"/>
    <w:rsid w:val="003D26B2"/>
    <w:rsid w:val="003D7C21"/>
    <w:rsid w:val="00401D11"/>
    <w:rsid w:val="00406C3D"/>
    <w:rsid w:val="00407C72"/>
    <w:rsid w:val="004330B5"/>
    <w:rsid w:val="00436404"/>
    <w:rsid w:val="004423D3"/>
    <w:rsid w:val="00450213"/>
    <w:rsid w:val="00454F1A"/>
    <w:rsid w:val="004643BA"/>
    <w:rsid w:val="00472E3A"/>
    <w:rsid w:val="00483307"/>
    <w:rsid w:val="004915EA"/>
    <w:rsid w:val="004A0FD3"/>
    <w:rsid w:val="004A2BF5"/>
    <w:rsid w:val="004B3426"/>
    <w:rsid w:val="004B7206"/>
    <w:rsid w:val="004C02ED"/>
    <w:rsid w:val="004C38BE"/>
    <w:rsid w:val="004C6B53"/>
    <w:rsid w:val="004D464C"/>
    <w:rsid w:val="004D47A0"/>
    <w:rsid w:val="004F1324"/>
    <w:rsid w:val="005011F4"/>
    <w:rsid w:val="00506448"/>
    <w:rsid w:val="0051338D"/>
    <w:rsid w:val="0052661E"/>
    <w:rsid w:val="00530FA9"/>
    <w:rsid w:val="005341DE"/>
    <w:rsid w:val="00553325"/>
    <w:rsid w:val="00560B0A"/>
    <w:rsid w:val="00580540"/>
    <w:rsid w:val="00591E04"/>
    <w:rsid w:val="0059786F"/>
    <w:rsid w:val="005A3180"/>
    <w:rsid w:val="005C0678"/>
    <w:rsid w:val="005C3347"/>
    <w:rsid w:val="005C570D"/>
    <w:rsid w:val="005E1D2B"/>
    <w:rsid w:val="005E24C2"/>
    <w:rsid w:val="006073E1"/>
    <w:rsid w:val="006212B7"/>
    <w:rsid w:val="006310AF"/>
    <w:rsid w:val="006450DE"/>
    <w:rsid w:val="00653A40"/>
    <w:rsid w:val="00654D22"/>
    <w:rsid w:val="0065606F"/>
    <w:rsid w:val="00657FBC"/>
    <w:rsid w:val="0066078A"/>
    <w:rsid w:val="00664574"/>
    <w:rsid w:val="0067039A"/>
    <w:rsid w:val="00673DC7"/>
    <w:rsid w:val="006754E3"/>
    <w:rsid w:val="006772EA"/>
    <w:rsid w:val="006835AB"/>
    <w:rsid w:val="00687DF4"/>
    <w:rsid w:val="00695904"/>
    <w:rsid w:val="006A0C1F"/>
    <w:rsid w:val="006B4BB0"/>
    <w:rsid w:val="006B52FB"/>
    <w:rsid w:val="006C22D7"/>
    <w:rsid w:val="006D71A6"/>
    <w:rsid w:val="006E1109"/>
    <w:rsid w:val="006E6862"/>
    <w:rsid w:val="006E73D7"/>
    <w:rsid w:val="006F72FC"/>
    <w:rsid w:val="007036A4"/>
    <w:rsid w:val="00706585"/>
    <w:rsid w:val="007176F1"/>
    <w:rsid w:val="007718B9"/>
    <w:rsid w:val="00773781"/>
    <w:rsid w:val="00777126"/>
    <w:rsid w:val="00784E15"/>
    <w:rsid w:val="00790DFE"/>
    <w:rsid w:val="00791838"/>
    <w:rsid w:val="00795E9D"/>
    <w:rsid w:val="007961DA"/>
    <w:rsid w:val="007A0A30"/>
    <w:rsid w:val="007A4E03"/>
    <w:rsid w:val="007D03B7"/>
    <w:rsid w:val="007D6648"/>
    <w:rsid w:val="007F029B"/>
    <w:rsid w:val="007F3875"/>
    <w:rsid w:val="007F3D48"/>
    <w:rsid w:val="007F662C"/>
    <w:rsid w:val="00822F81"/>
    <w:rsid w:val="00823758"/>
    <w:rsid w:val="0082776E"/>
    <w:rsid w:val="00835B2C"/>
    <w:rsid w:val="00843DDD"/>
    <w:rsid w:val="008538E5"/>
    <w:rsid w:val="00860611"/>
    <w:rsid w:val="008618DE"/>
    <w:rsid w:val="0087186D"/>
    <w:rsid w:val="00871EBC"/>
    <w:rsid w:val="008755E6"/>
    <w:rsid w:val="00875EE7"/>
    <w:rsid w:val="008761C9"/>
    <w:rsid w:val="008B0BD8"/>
    <w:rsid w:val="008B2A7F"/>
    <w:rsid w:val="008B4E91"/>
    <w:rsid w:val="008D7A77"/>
    <w:rsid w:val="008E1FC5"/>
    <w:rsid w:val="008F0179"/>
    <w:rsid w:val="008F58BC"/>
    <w:rsid w:val="00900F65"/>
    <w:rsid w:val="0090584C"/>
    <w:rsid w:val="00913388"/>
    <w:rsid w:val="00927DED"/>
    <w:rsid w:val="00935BC9"/>
    <w:rsid w:val="00950CDF"/>
    <w:rsid w:val="00955218"/>
    <w:rsid w:val="00987747"/>
    <w:rsid w:val="0099232C"/>
    <w:rsid w:val="00992DD7"/>
    <w:rsid w:val="009B1CDD"/>
    <w:rsid w:val="009B3918"/>
    <w:rsid w:val="009B4F10"/>
    <w:rsid w:val="009B63C3"/>
    <w:rsid w:val="009D5A24"/>
    <w:rsid w:val="009E699C"/>
    <w:rsid w:val="009F12A5"/>
    <w:rsid w:val="009F4225"/>
    <w:rsid w:val="009F6659"/>
    <w:rsid w:val="00A103BA"/>
    <w:rsid w:val="00A1432C"/>
    <w:rsid w:val="00A454FA"/>
    <w:rsid w:val="00A61182"/>
    <w:rsid w:val="00A61638"/>
    <w:rsid w:val="00A64798"/>
    <w:rsid w:val="00A66302"/>
    <w:rsid w:val="00A679BC"/>
    <w:rsid w:val="00A70C8F"/>
    <w:rsid w:val="00A80DD7"/>
    <w:rsid w:val="00A92F7A"/>
    <w:rsid w:val="00A943FA"/>
    <w:rsid w:val="00A95865"/>
    <w:rsid w:val="00A967BD"/>
    <w:rsid w:val="00AA2985"/>
    <w:rsid w:val="00AD0506"/>
    <w:rsid w:val="00AD5A78"/>
    <w:rsid w:val="00AE160D"/>
    <w:rsid w:val="00AE3B60"/>
    <w:rsid w:val="00AE4F01"/>
    <w:rsid w:val="00B01DBB"/>
    <w:rsid w:val="00B0244B"/>
    <w:rsid w:val="00B05543"/>
    <w:rsid w:val="00B10897"/>
    <w:rsid w:val="00B249EE"/>
    <w:rsid w:val="00B30978"/>
    <w:rsid w:val="00B3322E"/>
    <w:rsid w:val="00B35943"/>
    <w:rsid w:val="00B45EF7"/>
    <w:rsid w:val="00B52C5F"/>
    <w:rsid w:val="00B620E2"/>
    <w:rsid w:val="00B7586C"/>
    <w:rsid w:val="00B832E3"/>
    <w:rsid w:val="00B93114"/>
    <w:rsid w:val="00BB284B"/>
    <w:rsid w:val="00BB572A"/>
    <w:rsid w:val="00BB70DA"/>
    <w:rsid w:val="00BC3AB2"/>
    <w:rsid w:val="00BC4EA1"/>
    <w:rsid w:val="00BC70D2"/>
    <w:rsid w:val="00BD0670"/>
    <w:rsid w:val="00BF0969"/>
    <w:rsid w:val="00BF0BFC"/>
    <w:rsid w:val="00BF7C26"/>
    <w:rsid w:val="00C02431"/>
    <w:rsid w:val="00C03EAF"/>
    <w:rsid w:val="00C063F0"/>
    <w:rsid w:val="00C0713A"/>
    <w:rsid w:val="00C201AA"/>
    <w:rsid w:val="00C26A4D"/>
    <w:rsid w:val="00C33E02"/>
    <w:rsid w:val="00C43787"/>
    <w:rsid w:val="00C456A7"/>
    <w:rsid w:val="00C7091F"/>
    <w:rsid w:val="00C718E5"/>
    <w:rsid w:val="00C748DE"/>
    <w:rsid w:val="00C754B5"/>
    <w:rsid w:val="00C7676A"/>
    <w:rsid w:val="00C8463C"/>
    <w:rsid w:val="00CA5DEB"/>
    <w:rsid w:val="00CB2D17"/>
    <w:rsid w:val="00CC09E8"/>
    <w:rsid w:val="00CD0668"/>
    <w:rsid w:val="00CD5173"/>
    <w:rsid w:val="00CE6443"/>
    <w:rsid w:val="00D0120C"/>
    <w:rsid w:val="00D1401C"/>
    <w:rsid w:val="00D15673"/>
    <w:rsid w:val="00D2197D"/>
    <w:rsid w:val="00D25E20"/>
    <w:rsid w:val="00D46598"/>
    <w:rsid w:val="00D47568"/>
    <w:rsid w:val="00D55EB5"/>
    <w:rsid w:val="00D56267"/>
    <w:rsid w:val="00D71D27"/>
    <w:rsid w:val="00D86CAA"/>
    <w:rsid w:val="00D92378"/>
    <w:rsid w:val="00D92DA4"/>
    <w:rsid w:val="00D94F24"/>
    <w:rsid w:val="00DC78DB"/>
    <w:rsid w:val="00DE01EE"/>
    <w:rsid w:val="00DE184C"/>
    <w:rsid w:val="00DE242D"/>
    <w:rsid w:val="00DE2CEB"/>
    <w:rsid w:val="00DF2236"/>
    <w:rsid w:val="00E01321"/>
    <w:rsid w:val="00E0465C"/>
    <w:rsid w:val="00E06A4C"/>
    <w:rsid w:val="00E27B29"/>
    <w:rsid w:val="00E3094C"/>
    <w:rsid w:val="00E333A8"/>
    <w:rsid w:val="00E40BF1"/>
    <w:rsid w:val="00E436E5"/>
    <w:rsid w:val="00E47B6E"/>
    <w:rsid w:val="00E6336D"/>
    <w:rsid w:val="00E63F92"/>
    <w:rsid w:val="00E81CB9"/>
    <w:rsid w:val="00E915E2"/>
    <w:rsid w:val="00E95CE7"/>
    <w:rsid w:val="00EA03C3"/>
    <w:rsid w:val="00EA0CD0"/>
    <w:rsid w:val="00EA2D0F"/>
    <w:rsid w:val="00EA3B52"/>
    <w:rsid w:val="00EB6F8D"/>
    <w:rsid w:val="00EC330A"/>
    <w:rsid w:val="00ED134F"/>
    <w:rsid w:val="00EE0A1E"/>
    <w:rsid w:val="00EE297E"/>
    <w:rsid w:val="00EF23CF"/>
    <w:rsid w:val="00EF4131"/>
    <w:rsid w:val="00F0016B"/>
    <w:rsid w:val="00F031E5"/>
    <w:rsid w:val="00F216FB"/>
    <w:rsid w:val="00F4409F"/>
    <w:rsid w:val="00F51E47"/>
    <w:rsid w:val="00F56151"/>
    <w:rsid w:val="00F57BAC"/>
    <w:rsid w:val="00F95799"/>
    <w:rsid w:val="00FB0A05"/>
    <w:rsid w:val="00FB6F3A"/>
    <w:rsid w:val="00FC6E44"/>
    <w:rsid w:val="00FD669D"/>
    <w:rsid w:val="00FD6F75"/>
    <w:rsid w:val="00FD723A"/>
    <w:rsid w:val="00FE022D"/>
    <w:rsid w:val="00FE5944"/>
    <w:rsid w:val="00FF0492"/>
    <w:rsid w:val="00FF1A33"/>
    <w:rsid w:val="00FF6F0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AA2985"/>
    <w:pPr>
      <w:numPr>
        <w:numId w:val="33"/>
      </w:numPr>
      <w:spacing w:before="240" w:after="360"/>
      <w:ind w:hanging="426"/>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2985"/>
    <w:rPr>
      <w:rFonts w:ascii="Arial" w:eastAsia="Times New Roman" w:hAnsi="Arial" w:cs="Arial"/>
      <w:b/>
      <w:bCs/>
      <w:color w:val="000000" w:themeColor="text1"/>
      <w:sz w:val="20"/>
      <w:szCs w:val="26"/>
      <w:lang w:val="en-GB"/>
    </w:r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560B0A"/>
    <w:pPr>
      <w:spacing w:after="240"/>
    </w:pPr>
    <w:rPr>
      <w:rFonts w:ascii="Arial" w:hAnsi="Arial" w:cs="Arial"/>
      <w:sz w:val="20"/>
      <w:szCs w:val="20"/>
    </w:rPr>
  </w:style>
  <w:style w:type="character" w:customStyle="1" w:styleId="TextChar">
    <w:name w:val="Text Char"/>
    <w:basedOn w:val="DefaultParagraphFont"/>
    <w:link w:val="Text"/>
    <w:rsid w:val="00560B0A"/>
    <w:rPr>
      <w:rFonts w:ascii="Arial" w:hAnsi="Arial" w:cs="Arial"/>
      <w:sz w:val="20"/>
      <w:szCs w:val="20"/>
      <w:lang w:val="en-AU"/>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paragraph" w:customStyle="1" w:styleId="Dotpoint1">
    <w:name w:val="Dotpoint1"/>
    <w:basedOn w:val="Text"/>
    <w:qFormat/>
    <w:rsid w:val="00042A5B"/>
    <w:pPr>
      <w:numPr>
        <w:numId w:val="8"/>
      </w:numPr>
    </w:p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iPriority w:val="99"/>
    <w:unhideWhenUsed/>
    <w:rsid w:val="002B1A7A"/>
    <w:rPr>
      <w:color w:val="0000FF" w:themeColor="hyperlink"/>
      <w:u w:val="single"/>
    </w:rPr>
  </w:style>
  <w:style w:type="paragraph" w:styleId="PlainText">
    <w:name w:val="Plain Text"/>
    <w:basedOn w:val="Normal"/>
    <w:link w:val="PlainTextChar"/>
    <w:uiPriority w:val="99"/>
    <w:semiHidden/>
    <w:unhideWhenUsed/>
    <w:rsid w:val="004C6B5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C6B53"/>
    <w:rPr>
      <w:rFonts w:ascii="Calibri" w:eastAsiaTheme="minorHAnsi" w:hAnsi="Calibri" w:cs="Consolas"/>
      <w:sz w:val="22"/>
      <w:szCs w:val="21"/>
      <w:lang w:val="en-AU"/>
    </w:rPr>
  </w:style>
  <w:style w:type="paragraph" w:styleId="Title">
    <w:name w:val="Title"/>
    <w:basedOn w:val="Normal"/>
    <w:next w:val="Normal"/>
    <w:link w:val="TitleChar"/>
    <w:uiPriority w:val="10"/>
    <w:qFormat/>
    <w:rsid w:val="00A95865"/>
    <w:pPr>
      <w:spacing w:after="30" w:line="264" w:lineRule="atLeast"/>
    </w:pPr>
    <w:rPr>
      <w:rFonts w:ascii="Verdana" w:eastAsiaTheme="majorEastAsia" w:hAnsi="Verdana" w:cs="Times New Roman"/>
      <w:color w:val="484848"/>
      <w:sz w:val="36"/>
      <w:szCs w:val="36"/>
      <w:lang w:eastAsia="en-AU"/>
    </w:rPr>
  </w:style>
  <w:style w:type="character" w:customStyle="1" w:styleId="TitleChar">
    <w:name w:val="Title Char"/>
    <w:basedOn w:val="DefaultParagraphFont"/>
    <w:link w:val="Title"/>
    <w:uiPriority w:val="10"/>
    <w:rsid w:val="00A95865"/>
    <w:rPr>
      <w:rFonts w:ascii="Verdana" w:eastAsiaTheme="majorEastAsia" w:hAnsi="Verdana" w:cs="Times New Roman"/>
      <w:color w:val="484848"/>
      <w:sz w:val="36"/>
      <w:szCs w:val="36"/>
      <w:lang w:val="en-AU" w:eastAsia="en-AU"/>
    </w:rPr>
  </w:style>
  <w:style w:type="paragraph" w:styleId="ListParagraph">
    <w:name w:val="List Paragraph"/>
    <w:basedOn w:val="Normal"/>
    <w:uiPriority w:val="34"/>
    <w:qFormat/>
    <w:rsid w:val="00A95865"/>
    <w:pPr>
      <w:ind w:left="720"/>
      <w:contextualSpacing/>
    </w:pPr>
    <w:rPr>
      <w:rFonts w:ascii="Verdana" w:eastAsia="Times New Roman" w:hAnsi="Verdana" w:cs="Times New Roman"/>
      <w:sz w:val="22"/>
      <w:lang w:eastAsia="en-AU"/>
    </w:rPr>
  </w:style>
  <w:style w:type="paragraph" w:customStyle="1" w:styleId="Titleofenquiry">
    <w:name w:val="Title of enquiry"/>
    <w:basedOn w:val="Normal"/>
    <w:rsid w:val="00A95865"/>
    <w:pPr>
      <w:spacing w:before="120" w:after="120"/>
      <w:jc w:val="center"/>
    </w:pPr>
    <w:rPr>
      <w:rFonts w:ascii="Verdana" w:eastAsia="Times New Roman" w:hAnsi="Verdana" w:cs="Times New Roman"/>
      <w:b/>
      <w:color w:val="FFFFFF"/>
      <w:sz w:val="28"/>
      <w:szCs w:val="28"/>
      <w:lang w:eastAsia="en-AU"/>
    </w:rPr>
  </w:style>
  <w:style w:type="paragraph" w:styleId="ListBullet">
    <w:name w:val="List Bullet"/>
    <w:basedOn w:val="Normal"/>
    <w:autoRedefine/>
    <w:rsid w:val="00D94F24"/>
    <w:pPr>
      <w:numPr>
        <w:numId w:val="13"/>
      </w:numPr>
      <w:spacing w:after="200"/>
    </w:pPr>
    <w:rPr>
      <w:rFonts w:ascii="Arial" w:eastAsia="Times New Roman" w:hAnsi="Arial" w:cs="Times New Roman"/>
      <w:sz w:val="22"/>
      <w:szCs w:val="22"/>
    </w:rPr>
  </w:style>
  <w:style w:type="character" w:styleId="Strong">
    <w:name w:val="Strong"/>
    <w:qFormat/>
    <w:rsid w:val="00D94F24"/>
    <w:rPr>
      <w:b/>
    </w:rPr>
  </w:style>
  <w:style w:type="character" w:styleId="Emphasis">
    <w:name w:val="Emphasis"/>
    <w:qFormat/>
    <w:rsid w:val="00D94F24"/>
    <w:rPr>
      <w:i/>
    </w:rPr>
  </w:style>
  <w:style w:type="paragraph" w:styleId="BodyText">
    <w:name w:val="Body Text"/>
    <w:basedOn w:val="Normal"/>
    <w:link w:val="BodyTextChar"/>
    <w:rsid w:val="00D94F24"/>
    <w:pPr>
      <w:spacing w:after="200"/>
    </w:pPr>
    <w:rPr>
      <w:rFonts w:ascii="Arial" w:eastAsia="Times New Roman" w:hAnsi="Arial" w:cs="Times New Roman"/>
      <w:sz w:val="22"/>
      <w:szCs w:val="22"/>
    </w:rPr>
  </w:style>
  <w:style w:type="character" w:customStyle="1" w:styleId="BodyTextChar">
    <w:name w:val="Body Text Char"/>
    <w:basedOn w:val="DefaultParagraphFont"/>
    <w:link w:val="BodyText"/>
    <w:rsid w:val="00D94F24"/>
    <w:rPr>
      <w:rFonts w:ascii="Arial" w:eastAsia="Times New Roman" w:hAnsi="Arial" w:cs="Times New Roman"/>
      <w:sz w:val="22"/>
      <w:szCs w:val="22"/>
      <w:lang w:val="en-AU"/>
    </w:rPr>
  </w:style>
  <w:style w:type="table" w:styleId="TableGrid">
    <w:name w:val="Table Grid"/>
    <w:basedOn w:val="TableNormal"/>
    <w:uiPriority w:val="59"/>
    <w:rsid w:val="00D94F24"/>
    <w:pPr>
      <w:spacing w:after="80"/>
    </w:pPr>
    <w:rPr>
      <w:rFonts w:ascii="Calibri" w:eastAsia="Times New Roman" w:hAnsi="Calibri" w:cs="Times New Roman"/>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rsid w:val="00D94F24"/>
    <w:pPr>
      <w:numPr>
        <w:numId w:val="17"/>
      </w:numPr>
      <w:spacing w:after="200"/>
    </w:pPr>
    <w:rPr>
      <w:rFonts w:ascii="Arial" w:eastAsia="Times New Roman" w:hAnsi="Arial" w:cs="Times New Roman"/>
      <w:sz w:val="22"/>
      <w:szCs w:val="22"/>
    </w:rPr>
  </w:style>
  <w:style w:type="character" w:styleId="FootnoteReference">
    <w:name w:val="footnote reference"/>
    <w:basedOn w:val="DefaultParagraphFont"/>
    <w:uiPriority w:val="99"/>
    <w:semiHidden/>
    <w:unhideWhenUsed/>
    <w:rsid w:val="00AE160D"/>
    <w:rPr>
      <w:vertAlign w:val="superscript"/>
    </w:rPr>
  </w:style>
  <w:style w:type="paragraph" w:styleId="FootnoteText">
    <w:name w:val="footnote text"/>
    <w:basedOn w:val="Text"/>
    <w:link w:val="FootnoteTextChar"/>
    <w:uiPriority w:val="99"/>
    <w:unhideWhenUsed/>
    <w:rsid w:val="00AE160D"/>
    <w:pPr>
      <w:tabs>
        <w:tab w:val="left" w:pos="1418"/>
      </w:tabs>
      <w:spacing w:after="0" w:line="220" w:lineRule="exact"/>
      <w:ind w:left="170" w:right="-1" w:hanging="170"/>
    </w:pPr>
    <w:rPr>
      <w:rFonts w:ascii="Trebuchet MS" w:eastAsia="Times New Roman" w:hAnsi="Trebuchet MS" w:cs="Times New Roman"/>
      <w:sz w:val="16"/>
      <w:lang w:val="en-US"/>
    </w:rPr>
  </w:style>
  <w:style w:type="character" w:customStyle="1" w:styleId="FootnoteTextChar">
    <w:name w:val="Footnote Text Char"/>
    <w:basedOn w:val="DefaultParagraphFont"/>
    <w:link w:val="FootnoteText"/>
    <w:uiPriority w:val="99"/>
    <w:rsid w:val="00AE160D"/>
    <w:rPr>
      <w:rFonts w:ascii="Trebuchet MS" w:eastAsia="Times New Roman" w:hAnsi="Trebuchet MS" w:cs="Times New Roman"/>
      <w:sz w:val="16"/>
      <w:szCs w:val="20"/>
    </w:rPr>
  </w:style>
  <w:style w:type="paragraph" w:customStyle="1" w:styleId="References">
    <w:name w:val="References"/>
    <w:rsid w:val="00FF1A33"/>
    <w:pPr>
      <w:spacing w:before="80"/>
      <w:ind w:left="284" w:right="-369" w:hanging="284"/>
    </w:pPr>
    <w:rPr>
      <w:rFonts w:ascii="Trebuchet MS" w:eastAsia="Times New Roman" w:hAnsi="Trebuchet MS" w:cs="Times New Roman"/>
      <w:sz w:val="18"/>
      <w:szCs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AA2985"/>
    <w:pPr>
      <w:numPr>
        <w:numId w:val="33"/>
      </w:numPr>
      <w:spacing w:before="240" w:after="360"/>
      <w:ind w:hanging="426"/>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2985"/>
    <w:rPr>
      <w:rFonts w:ascii="Arial" w:eastAsia="Times New Roman" w:hAnsi="Arial" w:cs="Arial"/>
      <w:b/>
      <w:bCs/>
      <w:color w:val="000000" w:themeColor="text1"/>
      <w:sz w:val="20"/>
      <w:szCs w:val="26"/>
      <w:lang w:val="en-GB"/>
    </w:r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560B0A"/>
    <w:pPr>
      <w:spacing w:after="240"/>
    </w:pPr>
    <w:rPr>
      <w:rFonts w:ascii="Arial" w:hAnsi="Arial" w:cs="Arial"/>
      <w:sz w:val="20"/>
      <w:szCs w:val="20"/>
    </w:rPr>
  </w:style>
  <w:style w:type="character" w:customStyle="1" w:styleId="TextChar">
    <w:name w:val="Text Char"/>
    <w:basedOn w:val="DefaultParagraphFont"/>
    <w:link w:val="Text"/>
    <w:rsid w:val="00560B0A"/>
    <w:rPr>
      <w:rFonts w:ascii="Arial" w:hAnsi="Arial" w:cs="Arial"/>
      <w:sz w:val="20"/>
      <w:szCs w:val="20"/>
      <w:lang w:val="en-AU"/>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paragraph" w:customStyle="1" w:styleId="Dotpoint1">
    <w:name w:val="Dotpoint1"/>
    <w:basedOn w:val="Text"/>
    <w:qFormat/>
    <w:rsid w:val="00042A5B"/>
    <w:pPr>
      <w:numPr>
        <w:numId w:val="8"/>
      </w:numPr>
    </w:p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iPriority w:val="99"/>
    <w:unhideWhenUsed/>
    <w:rsid w:val="002B1A7A"/>
    <w:rPr>
      <w:color w:val="0000FF" w:themeColor="hyperlink"/>
      <w:u w:val="single"/>
    </w:rPr>
  </w:style>
  <w:style w:type="paragraph" w:styleId="PlainText">
    <w:name w:val="Plain Text"/>
    <w:basedOn w:val="Normal"/>
    <w:link w:val="PlainTextChar"/>
    <w:uiPriority w:val="99"/>
    <w:semiHidden/>
    <w:unhideWhenUsed/>
    <w:rsid w:val="004C6B5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C6B53"/>
    <w:rPr>
      <w:rFonts w:ascii="Calibri" w:eastAsiaTheme="minorHAnsi" w:hAnsi="Calibri" w:cs="Consolas"/>
      <w:sz w:val="22"/>
      <w:szCs w:val="21"/>
      <w:lang w:val="en-AU"/>
    </w:rPr>
  </w:style>
  <w:style w:type="paragraph" w:styleId="Title">
    <w:name w:val="Title"/>
    <w:basedOn w:val="Normal"/>
    <w:next w:val="Normal"/>
    <w:link w:val="TitleChar"/>
    <w:uiPriority w:val="10"/>
    <w:qFormat/>
    <w:rsid w:val="00A95865"/>
    <w:pPr>
      <w:spacing w:after="30" w:line="264" w:lineRule="atLeast"/>
    </w:pPr>
    <w:rPr>
      <w:rFonts w:ascii="Verdana" w:eastAsiaTheme="majorEastAsia" w:hAnsi="Verdana" w:cs="Times New Roman"/>
      <w:color w:val="484848"/>
      <w:sz w:val="36"/>
      <w:szCs w:val="36"/>
      <w:lang w:eastAsia="en-AU"/>
    </w:rPr>
  </w:style>
  <w:style w:type="character" w:customStyle="1" w:styleId="TitleChar">
    <w:name w:val="Title Char"/>
    <w:basedOn w:val="DefaultParagraphFont"/>
    <w:link w:val="Title"/>
    <w:uiPriority w:val="10"/>
    <w:rsid w:val="00A95865"/>
    <w:rPr>
      <w:rFonts w:ascii="Verdana" w:eastAsiaTheme="majorEastAsia" w:hAnsi="Verdana" w:cs="Times New Roman"/>
      <w:color w:val="484848"/>
      <w:sz w:val="36"/>
      <w:szCs w:val="36"/>
      <w:lang w:val="en-AU" w:eastAsia="en-AU"/>
    </w:rPr>
  </w:style>
  <w:style w:type="paragraph" w:styleId="ListParagraph">
    <w:name w:val="List Paragraph"/>
    <w:basedOn w:val="Normal"/>
    <w:uiPriority w:val="34"/>
    <w:qFormat/>
    <w:rsid w:val="00A95865"/>
    <w:pPr>
      <w:ind w:left="720"/>
      <w:contextualSpacing/>
    </w:pPr>
    <w:rPr>
      <w:rFonts w:ascii="Verdana" w:eastAsia="Times New Roman" w:hAnsi="Verdana" w:cs="Times New Roman"/>
      <w:sz w:val="22"/>
      <w:lang w:eastAsia="en-AU"/>
    </w:rPr>
  </w:style>
  <w:style w:type="paragraph" w:customStyle="1" w:styleId="Titleofenquiry">
    <w:name w:val="Title of enquiry"/>
    <w:basedOn w:val="Normal"/>
    <w:rsid w:val="00A95865"/>
    <w:pPr>
      <w:spacing w:before="120" w:after="120"/>
      <w:jc w:val="center"/>
    </w:pPr>
    <w:rPr>
      <w:rFonts w:ascii="Verdana" w:eastAsia="Times New Roman" w:hAnsi="Verdana" w:cs="Times New Roman"/>
      <w:b/>
      <w:color w:val="FFFFFF"/>
      <w:sz w:val="28"/>
      <w:szCs w:val="28"/>
      <w:lang w:eastAsia="en-AU"/>
    </w:rPr>
  </w:style>
  <w:style w:type="paragraph" w:styleId="ListBullet">
    <w:name w:val="List Bullet"/>
    <w:basedOn w:val="Normal"/>
    <w:autoRedefine/>
    <w:rsid w:val="00D94F24"/>
    <w:pPr>
      <w:numPr>
        <w:numId w:val="13"/>
      </w:numPr>
      <w:spacing w:after="200"/>
    </w:pPr>
    <w:rPr>
      <w:rFonts w:ascii="Arial" w:eastAsia="Times New Roman" w:hAnsi="Arial" w:cs="Times New Roman"/>
      <w:sz w:val="22"/>
      <w:szCs w:val="22"/>
    </w:rPr>
  </w:style>
  <w:style w:type="character" w:styleId="Strong">
    <w:name w:val="Strong"/>
    <w:qFormat/>
    <w:rsid w:val="00D94F24"/>
    <w:rPr>
      <w:b/>
    </w:rPr>
  </w:style>
  <w:style w:type="character" w:styleId="Emphasis">
    <w:name w:val="Emphasis"/>
    <w:qFormat/>
    <w:rsid w:val="00D94F24"/>
    <w:rPr>
      <w:i/>
    </w:rPr>
  </w:style>
  <w:style w:type="paragraph" w:styleId="BodyText">
    <w:name w:val="Body Text"/>
    <w:basedOn w:val="Normal"/>
    <w:link w:val="BodyTextChar"/>
    <w:rsid w:val="00D94F24"/>
    <w:pPr>
      <w:spacing w:after="200"/>
    </w:pPr>
    <w:rPr>
      <w:rFonts w:ascii="Arial" w:eastAsia="Times New Roman" w:hAnsi="Arial" w:cs="Times New Roman"/>
      <w:sz w:val="22"/>
      <w:szCs w:val="22"/>
    </w:rPr>
  </w:style>
  <w:style w:type="character" w:customStyle="1" w:styleId="BodyTextChar">
    <w:name w:val="Body Text Char"/>
    <w:basedOn w:val="DefaultParagraphFont"/>
    <w:link w:val="BodyText"/>
    <w:rsid w:val="00D94F24"/>
    <w:rPr>
      <w:rFonts w:ascii="Arial" w:eastAsia="Times New Roman" w:hAnsi="Arial" w:cs="Times New Roman"/>
      <w:sz w:val="22"/>
      <w:szCs w:val="22"/>
      <w:lang w:val="en-AU"/>
    </w:rPr>
  </w:style>
  <w:style w:type="table" w:styleId="TableGrid">
    <w:name w:val="Table Grid"/>
    <w:basedOn w:val="TableNormal"/>
    <w:uiPriority w:val="59"/>
    <w:rsid w:val="00D94F24"/>
    <w:pPr>
      <w:spacing w:after="80"/>
    </w:pPr>
    <w:rPr>
      <w:rFonts w:ascii="Calibri" w:eastAsia="Times New Roman" w:hAnsi="Calibri" w:cs="Times New Roman"/>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rsid w:val="00D94F24"/>
    <w:pPr>
      <w:numPr>
        <w:numId w:val="17"/>
      </w:numPr>
      <w:spacing w:after="200"/>
    </w:pPr>
    <w:rPr>
      <w:rFonts w:ascii="Arial" w:eastAsia="Times New Roman" w:hAnsi="Arial" w:cs="Times New Roman"/>
      <w:sz w:val="22"/>
      <w:szCs w:val="22"/>
    </w:rPr>
  </w:style>
  <w:style w:type="character" w:styleId="FootnoteReference">
    <w:name w:val="footnote reference"/>
    <w:basedOn w:val="DefaultParagraphFont"/>
    <w:uiPriority w:val="99"/>
    <w:semiHidden/>
    <w:unhideWhenUsed/>
    <w:rsid w:val="00AE160D"/>
    <w:rPr>
      <w:vertAlign w:val="superscript"/>
    </w:rPr>
  </w:style>
  <w:style w:type="paragraph" w:styleId="FootnoteText">
    <w:name w:val="footnote text"/>
    <w:basedOn w:val="Text"/>
    <w:link w:val="FootnoteTextChar"/>
    <w:uiPriority w:val="99"/>
    <w:unhideWhenUsed/>
    <w:rsid w:val="00AE160D"/>
    <w:pPr>
      <w:tabs>
        <w:tab w:val="left" w:pos="1418"/>
      </w:tabs>
      <w:spacing w:after="0" w:line="220" w:lineRule="exact"/>
      <w:ind w:left="170" w:right="-1" w:hanging="170"/>
    </w:pPr>
    <w:rPr>
      <w:rFonts w:ascii="Trebuchet MS" w:eastAsia="Times New Roman" w:hAnsi="Trebuchet MS" w:cs="Times New Roman"/>
      <w:sz w:val="16"/>
      <w:lang w:val="en-US"/>
    </w:rPr>
  </w:style>
  <w:style w:type="character" w:customStyle="1" w:styleId="FootnoteTextChar">
    <w:name w:val="Footnote Text Char"/>
    <w:basedOn w:val="DefaultParagraphFont"/>
    <w:link w:val="FootnoteText"/>
    <w:uiPriority w:val="99"/>
    <w:rsid w:val="00AE160D"/>
    <w:rPr>
      <w:rFonts w:ascii="Trebuchet MS" w:eastAsia="Times New Roman" w:hAnsi="Trebuchet MS" w:cs="Times New Roman"/>
      <w:sz w:val="16"/>
      <w:szCs w:val="20"/>
    </w:rPr>
  </w:style>
  <w:style w:type="paragraph" w:customStyle="1" w:styleId="References">
    <w:name w:val="References"/>
    <w:rsid w:val="00FF1A33"/>
    <w:pPr>
      <w:spacing w:before="80"/>
      <w:ind w:left="284" w:right="-369" w:hanging="284"/>
    </w:pPr>
    <w:rPr>
      <w:rFonts w:ascii="Trebuchet MS" w:eastAsia="Times New Roman" w:hAnsi="Trebuchet MS" w:cs="Times New Roman"/>
      <w:sz w:val="18"/>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348883">
      <w:bodyDiv w:val="1"/>
      <w:marLeft w:val="0"/>
      <w:marRight w:val="0"/>
      <w:marTop w:val="0"/>
      <w:marBottom w:val="0"/>
      <w:divBdr>
        <w:top w:val="none" w:sz="0" w:space="0" w:color="auto"/>
        <w:left w:val="none" w:sz="0" w:space="0" w:color="auto"/>
        <w:bottom w:val="none" w:sz="0" w:space="0" w:color="auto"/>
        <w:right w:val="none" w:sz="0" w:space="0" w:color="auto"/>
      </w:divBdr>
    </w:div>
    <w:div w:id="275213630">
      <w:bodyDiv w:val="1"/>
      <w:marLeft w:val="0"/>
      <w:marRight w:val="0"/>
      <w:marTop w:val="0"/>
      <w:marBottom w:val="0"/>
      <w:divBdr>
        <w:top w:val="none" w:sz="0" w:space="0" w:color="auto"/>
        <w:left w:val="none" w:sz="0" w:space="0" w:color="auto"/>
        <w:bottom w:val="none" w:sz="0" w:space="0" w:color="auto"/>
        <w:right w:val="none" w:sz="0" w:space="0" w:color="auto"/>
      </w:divBdr>
    </w:div>
    <w:div w:id="304089823">
      <w:bodyDiv w:val="1"/>
      <w:marLeft w:val="0"/>
      <w:marRight w:val="0"/>
      <w:marTop w:val="0"/>
      <w:marBottom w:val="0"/>
      <w:divBdr>
        <w:top w:val="none" w:sz="0" w:space="0" w:color="auto"/>
        <w:left w:val="none" w:sz="0" w:space="0" w:color="auto"/>
        <w:bottom w:val="none" w:sz="0" w:space="0" w:color="auto"/>
        <w:right w:val="none" w:sz="0" w:space="0" w:color="auto"/>
      </w:divBdr>
      <w:divsChild>
        <w:div w:id="49545974">
          <w:marLeft w:val="45"/>
          <w:marRight w:val="45"/>
          <w:marTop w:val="0"/>
          <w:marBottom w:val="300"/>
          <w:divBdr>
            <w:top w:val="single" w:sz="2" w:space="0" w:color="B2BBBF"/>
            <w:left w:val="single" w:sz="6" w:space="15" w:color="B2BBBF"/>
            <w:bottom w:val="single" w:sz="6" w:space="15" w:color="B2BBBF"/>
            <w:right w:val="single" w:sz="6" w:space="15" w:color="B2BBBF"/>
          </w:divBdr>
          <w:divsChild>
            <w:div w:id="130620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2926">
      <w:bodyDiv w:val="1"/>
      <w:marLeft w:val="0"/>
      <w:marRight w:val="0"/>
      <w:marTop w:val="0"/>
      <w:marBottom w:val="0"/>
      <w:divBdr>
        <w:top w:val="none" w:sz="0" w:space="0" w:color="auto"/>
        <w:left w:val="none" w:sz="0" w:space="0" w:color="auto"/>
        <w:bottom w:val="none" w:sz="0" w:space="0" w:color="auto"/>
        <w:right w:val="none" w:sz="0" w:space="0" w:color="auto"/>
      </w:divBdr>
    </w:div>
    <w:div w:id="574895498">
      <w:bodyDiv w:val="1"/>
      <w:marLeft w:val="0"/>
      <w:marRight w:val="0"/>
      <w:marTop w:val="0"/>
      <w:marBottom w:val="0"/>
      <w:divBdr>
        <w:top w:val="none" w:sz="0" w:space="0" w:color="auto"/>
        <w:left w:val="none" w:sz="0" w:space="0" w:color="auto"/>
        <w:bottom w:val="none" w:sz="0" w:space="0" w:color="auto"/>
        <w:right w:val="none" w:sz="0" w:space="0" w:color="auto"/>
      </w:divBdr>
    </w:div>
    <w:div w:id="1285306894">
      <w:bodyDiv w:val="1"/>
      <w:marLeft w:val="0"/>
      <w:marRight w:val="0"/>
      <w:marTop w:val="0"/>
      <w:marBottom w:val="0"/>
      <w:divBdr>
        <w:top w:val="none" w:sz="0" w:space="0" w:color="auto"/>
        <w:left w:val="none" w:sz="0" w:space="0" w:color="auto"/>
        <w:bottom w:val="none" w:sz="0" w:space="0" w:color="auto"/>
        <w:right w:val="none" w:sz="0" w:space="0" w:color="auto"/>
      </w:divBdr>
    </w:div>
    <w:div w:id="1505631314">
      <w:bodyDiv w:val="1"/>
      <w:marLeft w:val="0"/>
      <w:marRight w:val="0"/>
      <w:marTop w:val="0"/>
      <w:marBottom w:val="0"/>
      <w:divBdr>
        <w:top w:val="none" w:sz="0" w:space="0" w:color="auto"/>
        <w:left w:val="none" w:sz="0" w:space="0" w:color="auto"/>
        <w:bottom w:val="none" w:sz="0" w:space="0" w:color="auto"/>
        <w:right w:val="none" w:sz="0" w:space="0" w:color="auto"/>
      </w:divBdr>
    </w:div>
    <w:div w:id="18766962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ssc.natese.gov.au/__data/assets/pdf_file/0004/71509/NSSC_-_TP_Development_and_Endorsement_Process_Policy_v1.0.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sandra.pattison@ncver.edu.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voced.edu.au/content/ngv596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ndra.pattison@ncver.edu.au" TargetMode="External"/><Relationship Id="rId5" Type="http://schemas.openxmlformats.org/officeDocument/2006/relationships/settings" Target="settings.xml"/><Relationship Id="rId15" Type="http://schemas.openxmlformats.org/officeDocument/2006/relationships/hyperlink" Target="http://www.immi.gov.au/media/publications/research/_pdf/compliance-migration-law.pdf" TargetMode="External"/><Relationship Id="rId10" Type="http://schemas.openxmlformats.org/officeDocument/2006/relationships/hyperlink" Target="mailto:craig.fowler@ncver.edu.au"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vettaskforce@industry.gov.au" TargetMode="External"/><Relationship Id="rId14" Type="http://schemas.openxmlformats.org/officeDocument/2006/relationships/hyperlink" Target="http://www.nssc.natese.gov.au/__data/assets/pdf_file/0004/49657/VET_Products_for_the_21st_Century_-_FINAL_REPORT.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nssc.natese.gov.au/__data/assets/pdf_file/0004/49657/VET_Products_for_the_21st_Century_-_FINAL_REPORT.pdf" TargetMode="External"/><Relationship Id="rId2" Type="http://schemas.openxmlformats.org/officeDocument/2006/relationships/hyperlink" Target="http://www.voced.edu.au/content/ngv5968" TargetMode="External"/><Relationship Id="rId1" Type="http://schemas.openxmlformats.org/officeDocument/2006/relationships/hyperlink" Target="http://vetreform.industry.gov.au/publication/review-training-packages-and-accredited-courses-discussion-pap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2FB49-7CDC-476C-9C67-440D75D7C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NCVER_Letterhead.dotx</Template>
  <TotalTime>1</TotalTime>
  <Pages>11</Pages>
  <Words>5651</Words>
  <Characters>32217</Characters>
  <Application>Microsoft Office Word</Application>
  <DocSecurity>4</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Algo Mas Marketing</Company>
  <LinksUpToDate>false</LinksUpToDate>
  <CharactersWithSpaces>37793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eleenabuchiw</dc:creator>
  <cp:lastModifiedBy>Lea-Ann Harris</cp:lastModifiedBy>
  <cp:revision>2</cp:revision>
  <cp:lastPrinted>2015-02-17T00:14:00Z</cp:lastPrinted>
  <dcterms:created xsi:type="dcterms:W3CDTF">2015-03-02T04:07:00Z</dcterms:created>
  <dcterms:modified xsi:type="dcterms:W3CDTF">2015-03-02T04:07:00Z</dcterms:modified>
</cp:coreProperties>
</file>