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108" w:type="dxa"/>
        <w:tblLook w:val="0000" w:firstRow="0" w:lastRow="0" w:firstColumn="0" w:lastColumn="0" w:noHBand="0" w:noVBand="0"/>
      </w:tblPr>
      <w:tblGrid>
        <w:gridCol w:w="9360"/>
      </w:tblGrid>
      <w:tr w:rsidR="00A95865" w:rsidRPr="003B173B" w:rsidTr="00045F60">
        <w:trPr>
          <w:trHeight w:val="573"/>
          <w:jc w:val="center"/>
        </w:trPr>
        <w:tc>
          <w:tcPr>
            <w:tcW w:w="9360" w:type="dxa"/>
            <w:tcBorders>
              <w:bottom w:val="single" w:sz="4" w:space="0" w:color="808080"/>
            </w:tcBorders>
            <w:shd w:val="clear" w:color="auto" w:fill="auto"/>
            <w:vAlign w:val="center"/>
          </w:tcPr>
          <w:p w:rsidR="00A95865" w:rsidRPr="00D45E6E" w:rsidRDefault="00C8463C" w:rsidP="00045F60">
            <w:pPr>
              <w:pStyle w:val="Heading1"/>
              <w:spacing w:after="60"/>
              <w:jc w:val="center"/>
              <w:rPr>
                <w:rFonts w:ascii="Verdana" w:hAnsi="Verdana"/>
                <w:b w:val="0"/>
              </w:rPr>
            </w:pPr>
            <w:bookmarkStart w:id="0" w:name="_GoBack"/>
            <w:bookmarkEnd w:id="0"/>
            <w:r>
              <w:rPr>
                <w:rFonts w:ascii="Verdana" w:hAnsi="Verdana"/>
                <w:sz w:val="40"/>
              </w:rPr>
              <w:br/>
            </w:r>
            <w:r w:rsidR="00A95865" w:rsidRPr="00D45E6E">
              <w:rPr>
                <w:rFonts w:ascii="Verdana" w:hAnsi="Verdana"/>
                <w:sz w:val="40"/>
              </w:rPr>
              <w:t>Submission</w:t>
            </w:r>
          </w:p>
        </w:tc>
      </w:tr>
      <w:tr w:rsidR="00A95865" w:rsidTr="00045F60">
        <w:trPr>
          <w:trHeight w:val="268"/>
          <w:jc w:val="center"/>
        </w:trPr>
        <w:tc>
          <w:tcPr>
            <w:tcW w:w="9360" w:type="dxa"/>
            <w:tcBorders>
              <w:top w:val="single" w:sz="4" w:space="0" w:color="808080"/>
            </w:tcBorders>
            <w:vAlign w:val="center"/>
          </w:tcPr>
          <w:p w:rsidR="00A95865" w:rsidRPr="00D45E6E" w:rsidRDefault="00A95865" w:rsidP="00045F60">
            <w:pPr>
              <w:pStyle w:val="Heading2"/>
              <w:spacing w:before="60" w:after="60"/>
              <w:jc w:val="center"/>
              <w:rPr>
                <w:rFonts w:ascii="Verdana" w:hAnsi="Verdana"/>
                <w:sz w:val="22"/>
                <w:szCs w:val="22"/>
              </w:rPr>
            </w:pPr>
            <w:proofErr w:type="gramStart"/>
            <w:r w:rsidRPr="00D45E6E">
              <w:rPr>
                <w:rFonts w:ascii="Verdana" w:hAnsi="Verdana"/>
                <w:sz w:val="22"/>
                <w:szCs w:val="22"/>
              </w:rPr>
              <w:t>by</w:t>
            </w:r>
            <w:proofErr w:type="gramEnd"/>
            <w:r w:rsidRPr="00D45E6E">
              <w:rPr>
                <w:rFonts w:ascii="Verdana" w:hAnsi="Verdana"/>
                <w:sz w:val="22"/>
                <w:szCs w:val="22"/>
              </w:rPr>
              <w:t xml:space="preserve"> the National Centre For Vocational Education Research (NCVER)</w:t>
            </w:r>
          </w:p>
        </w:tc>
      </w:tr>
      <w:tr w:rsidR="00A95865" w:rsidTr="00045F60">
        <w:trPr>
          <w:trHeight w:val="268"/>
          <w:jc w:val="center"/>
        </w:trPr>
        <w:tc>
          <w:tcPr>
            <w:tcW w:w="9360" w:type="dxa"/>
            <w:vAlign w:val="center"/>
          </w:tcPr>
          <w:p w:rsidR="00A95865" w:rsidRPr="00D45E6E" w:rsidRDefault="00A95865" w:rsidP="00045F60">
            <w:pPr>
              <w:pStyle w:val="Heading2"/>
              <w:spacing w:before="60" w:after="60"/>
              <w:jc w:val="center"/>
              <w:rPr>
                <w:rFonts w:ascii="Verdana" w:hAnsi="Verdana"/>
                <w:sz w:val="22"/>
                <w:szCs w:val="22"/>
              </w:rPr>
            </w:pPr>
            <w:r w:rsidRPr="00D45E6E">
              <w:rPr>
                <w:rFonts w:ascii="Verdana" w:hAnsi="Verdana"/>
                <w:sz w:val="22"/>
                <w:szCs w:val="22"/>
              </w:rPr>
              <w:t>To</w:t>
            </w:r>
          </w:p>
        </w:tc>
      </w:tr>
      <w:tr w:rsidR="00A95865" w:rsidTr="00045F60">
        <w:trPr>
          <w:trHeight w:val="268"/>
          <w:jc w:val="center"/>
        </w:trPr>
        <w:tc>
          <w:tcPr>
            <w:tcW w:w="9360" w:type="dxa"/>
            <w:vAlign w:val="center"/>
          </w:tcPr>
          <w:p w:rsidR="002A4CC7" w:rsidRPr="002A4CC7" w:rsidRDefault="002A4CC7" w:rsidP="002A4CC7">
            <w:pPr>
              <w:pStyle w:val="Heading2"/>
              <w:spacing w:before="60" w:after="60"/>
              <w:jc w:val="center"/>
              <w:rPr>
                <w:rFonts w:ascii="Verdana" w:hAnsi="Verdana"/>
                <w:sz w:val="22"/>
                <w:szCs w:val="22"/>
              </w:rPr>
            </w:pPr>
            <w:r w:rsidRPr="002A4CC7">
              <w:rPr>
                <w:rFonts w:ascii="Verdana" w:hAnsi="Verdana"/>
                <w:sz w:val="22"/>
                <w:szCs w:val="22"/>
              </w:rPr>
              <w:t>Committee Secretary</w:t>
            </w:r>
            <w:r>
              <w:rPr>
                <w:rFonts w:ascii="Verdana" w:hAnsi="Verdana"/>
                <w:sz w:val="22"/>
                <w:szCs w:val="22"/>
              </w:rPr>
              <w:t xml:space="preserve">, </w:t>
            </w:r>
            <w:r w:rsidRPr="002A4CC7">
              <w:rPr>
                <w:rFonts w:ascii="Verdana" w:hAnsi="Verdana"/>
                <w:sz w:val="22"/>
                <w:szCs w:val="22"/>
              </w:rPr>
              <w:t>Senate Education and Employment Committees</w:t>
            </w:r>
          </w:p>
          <w:p w:rsidR="00A95865" w:rsidRPr="00DA797F" w:rsidRDefault="004E3B50" w:rsidP="00DA797F">
            <w:pPr>
              <w:pStyle w:val="Heading2"/>
              <w:spacing w:before="60" w:after="60"/>
              <w:jc w:val="center"/>
              <w:rPr>
                <w:rFonts w:ascii="Verdana" w:hAnsi="Verdana"/>
                <w:sz w:val="22"/>
                <w:szCs w:val="22"/>
              </w:rPr>
            </w:pPr>
            <w:hyperlink r:id="rId9" w:history="1">
              <w:r w:rsidR="002A4CC7" w:rsidRPr="00682709">
                <w:rPr>
                  <w:rStyle w:val="Hyperlink"/>
                  <w:rFonts w:ascii="Verdana" w:hAnsi="Verdana"/>
                  <w:sz w:val="22"/>
                  <w:szCs w:val="22"/>
                </w:rPr>
                <w:t>eec.sen@aph.gov.au</w:t>
              </w:r>
            </w:hyperlink>
            <w:r w:rsidR="002A4CC7">
              <w:rPr>
                <w:rFonts w:ascii="Verdana" w:hAnsi="Verdana"/>
                <w:sz w:val="22"/>
                <w:szCs w:val="22"/>
              </w:rPr>
              <w:t xml:space="preserve"> </w:t>
            </w:r>
            <w:r w:rsidR="00A95865">
              <w:rPr>
                <w:rFonts w:ascii="Verdana" w:hAnsi="Verdana"/>
                <w:sz w:val="22"/>
                <w:szCs w:val="22"/>
              </w:rPr>
              <w:t xml:space="preserve"> </w:t>
            </w:r>
          </w:p>
        </w:tc>
      </w:tr>
      <w:tr w:rsidR="00A95865" w:rsidRPr="004918DE" w:rsidTr="00045F60">
        <w:trPr>
          <w:trHeight w:val="302"/>
          <w:jc w:val="center"/>
        </w:trPr>
        <w:tc>
          <w:tcPr>
            <w:tcW w:w="9360" w:type="dxa"/>
            <w:tcBorders>
              <w:bottom w:val="single" w:sz="4" w:space="0" w:color="808080"/>
            </w:tcBorders>
            <w:shd w:val="clear" w:color="auto" w:fill="auto"/>
            <w:vAlign w:val="center"/>
          </w:tcPr>
          <w:p w:rsidR="00A95865" w:rsidRPr="006752AE" w:rsidRDefault="00A95865" w:rsidP="00045F60">
            <w:pPr>
              <w:pStyle w:val="Titleofenquiry"/>
              <w:spacing w:before="0" w:after="0"/>
            </w:pPr>
          </w:p>
        </w:tc>
      </w:tr>
      <w:tr w:rsidR="00A95865" w:rsidRPr="004918DE" w:rsidTr="00045F60">
        <w:trPr>
          <w:trHeight w:val="268"/>
          <w:jc w:val="center"/>
        </w:trPr>
        <w:tc>
          <w:tcPr>
            <w:tcW w:w="9360" w:type="dxa"/>
            <w:tcBorders>
              <w:bottom w:val="single" w:sz="4" w:space="0" w:color="808080"/>
            </w:tcBorders>
            <w:shd w:val="clear" w:color="auto" w:fill="999999"/>
            <w:vAlign w:val="center"/>
          </w:tcPr>
          <w:p w:rsidR="00A95865" w:rsidRPr="006752AE" w:rsidRDefault="00195D7D" w:rsidP="00DA797F">
            <w:pPr>
              <w:pStyle w:val="Titleofenquiry"/>
            </w:pPr>
            <w:r>
              <w:rPr>
                <w:b w:val="0"/>
                <w:spacing w:val="10"/>
                <w:lang w:val="en-US"/>
              </w:rPr>
              <w:t>Inquiry into t</w:t>
            </w:r>
            <w:r w:rsidR="002A4CC7" w:rsidRPr="002A4CC7">
              <w:rPr>
                <w:b w:val="0"/>
                <w:spacing w:val="10"/>
                <w:lang w:val="en-US"/>
              </w:rPr>
              <w:t>he operation, regulation and funding of private vocational education and training (VET) providers in Australia</w:t>
            </w:r>
          </w:p>
        </w:tc>
      </w:tr>
    </w:tbl>
    <w:p w:rsidR="00A95865" w:rsidRDefault="00A95865" w:rsidP="00A95865">
      <w:pPr>
        <w:pStyle w:val="Text"/>
        <w:spacing w:after="120"/>
        <w:rPr>
          <w:szCs w:val="19"/>
        </w:rPr>
      </w:pPr>
    </w:p>
    <w:p w:rsidR="00A95865" w:rsidRPr="00F14B06" w:rsidRDefault="00A95865" w:rsidP="000654A2">
      <w:pPr>
        <w:pStyle w:val="Text"/>
        <w:tabs>
          <w:tab w:val="left" w:pos="1418"/>
        </w:tabs>
        <w:spacing w:after="120"/>
        <w:rPr>
          <w:szCs w:val="19"/>
        </w:rPr>
      </w:pPr>
      <w:r w:rsidRPr="00F14B06">
        <w:rPr>
          <w:szCs w:val="19"/>
        </w:rPr>
        <w:t xml:space="preserve">Name: </w:t>
      </w:r>
      <w:r w:rsidR="000654A2">
        <w:rPr>
          <w:szCs w:val="19"/>
        </w:rPr>
        <w:tab/>
      </w:r>
      <w:r w:rsidRPr="00F14B06">
        <w:rPr>
          <w:szCs w:val="19"/>
        </w:rPr>
        <w:t xml:space="preserve">National Centre for Vocational Education Research </w:t>
      </w:r>
      <w:r>
        <w:rPr>
          <w:szCs w:val="19"/>
        </w:rPr>
        <w:t>(NCVER)</w:t>
      </w:r>
    </w:p>
    <w:p w:rsidR="00A95865" w:rsidRPr="00F14B06" w:rsidRDefault="00A95865" w:rsidP="000654A2">
      <w:pPr>
        <w:pStyle w:val="Text"/>
        <w:tabs>
          <w:tab w:val="left" w:pos="1418"/>
        </w:tabs>
        <w:spacing w:after="120"/>
        <w:rPr>
          <w:szCs w:val="19"/>
        </w:rPr>
      </w:pPr>
      <w:r w:rsidRPr="00F14B06">
        <w:rPr>
          <w:szCs w:val="19"/>
        </w:rPr>
        <w:t>Category:</w:t>
      </w:r>
      <w:r w:rsidR="000654A2">
        <w:rPr>
          <w:szCs w:val="19"/>
        </w:rPr>
        <w:tab/>
      </w:r>
      <w:r w:rsidRPr="00F14B06">
        <w:rPr>
          <w:szCs w:val="19"/>
        </w:rPr>
        <w:t>Ministerial Owned Company</w:t>
      </w:r>
    </w:p>
    <w:p w:rsidR="00A95865" w:rsidRPr="00F14B06" w:rsidRDefault="00A95865" w:rsidP="000654A2">
      <w:pPr>
        <w:pStyle w:val="Text"/>
        <w:tabs>
          <w:tab w:val="left" w:pos="1418"/>
        </w:tabs>
        <w:spacing w:after="120"/>
        <w:rPr>
          <w:szCs w:val="19"/>
        </w:rPr>
      </w:pPr>
      <w:r>
        <w:rPr>
          <w:szCs w:val="19"/>
        </w:rPr>
        <w:t xml:space="preserve">Contact: </w:t>
      </w:r>
      <w:r w:rsidR="000654A2">
        <w:rPr>
          <w:szCs w:val="19"/>
        </w:rPr>
        <w:tab/>
      </w:r>
      <w:r w:rsidR="005011F4">
        <w:rPr>
          <w:szCs w:val="19"/>
        </w:rPr>
        <w:t xml:space="preserve">Dr </w:t>
      </w:r>
      <w:r>
        <w:rPr>
          <w:szCs w:val="19"/>
        </w:rPr>
        <w:t xml:space="preserve">Craig Fowler, </w:t>
      </w:r>
      <w:r w:rsidRPr="00F14B06">
        <w:rPr>
          <w:szCs w:val="19"/>
        </w:rPr>
        <w:t>Managing Director</w:t>
      </w:r>
    </w:p>
    <w:p w:rsidR="00A95865" w:rsidRPr="00F14B06" w:rsidRDefault="00A95865" w:rsidP="000654A2">
      <w:pPr>
        <w:pStyle w:val="Text"/>
        <w:tabs>
          <w:tab w:val="left" w:pos="1418"/>
        </w:tabs>
        <w:spacing w:after="120"/>
        <w:rPr>
          <w:szCs w:val="19"/>
        </w:rPr>
      </w:pPr>
      <w:r w:rsidRPr="00F14B06">
        <w:rPr>
          <w:szCs w:val="19"/>
        </w:rPr>
        <w:t xml:space="preserve">Phone: </w:t>
      </w:r>
      <w:r w:rsidR="000654A2">
        <w:rPr>
          <w:szCs w:val="19"/>
        </w:rPr>
        <w:tab/>
      </w:r>
      <w:r w:rsidRPr="00F14B06">
        <w:rPr>
          <w:szCs w:val="19"/>
        </w:rPr>
        <w:t>08 8230 8</w:t>
      </w:r>
      <w:r>
        <w:rPr>
          <w:szCs w:val="19"/>
        </w:rPr>
        <w:t>400</w:t>
      </w:r>
    </w:p>
    <w:p w:rsidR="00A95865" w:rsidRDefault="00A95865" w:rsidP="000654A2">
      <w:pPr>
        <w:pStyle w:val="Text"/>
        <w:tabs>
          <w:tab w:val="left" w:pos="1418"/>
        </w:tabs>
        <w:spacing w:after="120"/>
      </w:pPr>
      <w:r w:rsidRPr="00F14B06">
        <w:rPr>
          <w:szCs w:val="19"/>
        </w:rPr>
        <w:t xml:space="preserve">Email: </w:t>
      </w:r>
      <w:r w:rsidR="000654A2">
        <w:rPr>
          <w:szCs w:val="19"/>
        </w:rPr>
        <w:tab/>
      </w:r>
      <w:hyperlink r:id="rId10" w:history="1">
        <w:r w:rsidRPr="008A3C9C">
          <w:rPr>
            <w:rStyle w:val="Hyperlink"/>
          </w:rPr>
          <w:t>craig.fowler@ncver.edu.au</w:t>
        </w:r>
      </w:hyperlink>
    </w:p>
    <w:p w:rsidR="00A95865" w:rsidRDefault="00A95865" w:rsidP="00A95865">
      <w:pPr>
        <w:pStyle w:val="Text"/>
        <w:spacing w:after="120"/>
      </w:pPr>
    </w:p>
    <w:p w:rsidR="00A95865" w:rsidRPr="00A95865" w:rsidRDefault="00DA797F" w:rsidP="006754E3">
      <w:pPr>
        <w:pStyle w:val="Heading3"/>
        <w:spacing w:after="240"/>
        <w:rPr>
          <w:rFonts w:asciiTheme="majorHAnsi" w:hAnsiTheme="majorHAnsi" w:cstheme="majorHAnsi"/>
          <w:b/>
          <w:i w:val="0"/>
          <w:sz w:val="28"/>
          <w:szCs w:val="28"/>
          <w:lang w:val="en-US"/>
        </w:rPr>
      </w:pPr>
      <w:r>
        <w:rPr>
          <w:rFonts w:asciiTheme="majorHAnsi" w:hAnsiTheme="majorHAnsi" w:cstheme="majorHAnsi"/>
          <w:b/>
          <w:i w:val="0"/>
          <w:sz w:val="28"/>
          <w:szCs w:val="28"/>
          <w:lang w:val="en-US"/>
        </w:rPr>
        <w:t>RESPONSE TO THE TERMS OF REFERENCE</w:t>
      </w:r>
      <w:r w:rsidRPr="00354173">
        <w:rPr>
          <w:rStyle w:val="FootnoteReference"/>
          <w:rFonts w:asciiTheme="majorHAnsi" w:hAnsiTheme="majorHAnsi" w:cstheme="majorHAnsi"/>
          <w:i w:val="0"/>
          <w:sz w:val="28"/>
          <w:szCs w:val="28"/>
          <w:lang w:val="en-US"/>
        </w:rPr>
        <w:footnoteReference w:id="1"/>
      </w:r>
      <w:r w:rsidR="00A95865" w:rsidRPr="00A95865">
        <w:rPr>
          <w:rFonts w:asciiTheme="majorHAnsi" w:hAnsiTheme="majorHAnsi" w:cstheme="majorHAnsi"/>
          <w:b/>
          <w:i w:val="0"/>
          <w:sz w:val="28"/>
          <w:szCs w:val="28"/>
          <w:lang w:val="en-US"/>
        </w:rPr>
        <w:t xml:space="preserve"> </w:t>
      </w:r>
    </w:p>
    <w:p w:rsidR="00A95865" w:rsidRPr="00452FE4" w:rsidRDefault="00A95865" w:rsidP="00060C31">
      <w:pPr>
        <w:pStyle w:val="Text"/>
        <w:jc w:val="both"/>
        <w:rPr>
          <w:rFonts w:ascii="Verdana" w:hAnsi="Verdana"/>
        </w:rPr>
      </w:pPr>
      <w:r w:rsidRPr="00452FE4">
        <w:rPr>
          <w:rFonts w:ascii="Verdana" w:hAnsi="Verdana"/>
        </w:rPr>
        <w:t xml:space="preserve">The National Centre for Vocational Education Research (NCVER) is an independent body responsible for collecting, managing, analysing, evaluating and communicating research and statistics about tertiary education and training. </w:t>
      </w:r>
    </w:p>
    <w:p w:rsidR="00195D7D" w:rsidRPr="003A32AF" w:rsidRDefault="008F0179" w:rsidP="00060C31">
      <w:pPr>
        <w:pStyle w:val="Text"/>
        <w:jc w:val="both"/>
        <w:rPr>
          <w:rFonts w:ascii="Verdana" w:hAnsi="Verdana"/>
        </w:rPr>
      </w:pPr>
      <w:r w:rsidRPr="00452FE4">
        <w:rPr>
          <w:rFonts w:ascii="Verdana" w:hAnsi="Verdana"/>
        </w:rPr>
        <w:t xml:space="preserve">With regard to </w:t>
      </w:r>
      <w:r w:rsidR="00195D7D" w:rsidRPr="00452FE4">
        <w:rPr>
          <w:rFonts w:ascii="Verdana" w:hAnsi="Verdana"/>
        </w:rPr>
        <w:t xml:space="preserve">inquiry into the </w:t>
      </w:r>
      <w:r w:rsidR="00195D7D" w:rsidRPr="003A32AF">
        <w:rPr>
          <w:rFonts w:ascii="Verdana" w:hAnsi="Verdana"/>
        </w:rPr>
        <w:t xml:space="preserve">operation, regulation and funding of private vocational education and training (VET) providers in Australia we </w:t>
      </w:r>
      <w:r w:rsidR="0066460E" w:rsidRPr="003A32AF">
        <w:rPr>
          <w:rFonts w:ascii="Verdana" w:hAnsi="Verdana"/>
        </w:rPr>
        <w:t xml:space="preserve">provide background </w:t>
      </w:r>
      <w:r w:rsidR="00517DBD" w:rsidRPr="003A32AF">
        <w:rPr>
          <w:rFonts w:ascii="Verdana" w:hAnsi="Verdana"/>
        </w:rPr>
        <w:t xml:space="preserve">information </w:t>
      </w:r>
      <w:r w:rsidR="00195D7D" w:rsidRPr="003A32AF">
        <w:rPr>
          <w:rFonts w:ascii="Verdana" w:hAnsi="Verdana"/>
        </w:rPr>
        <w:t xml:space="preserve">to </w:t>
      </w:r>
      <w:r w:rsidR="0066460E" w:rsidRPr="003A32AF">
        <w:rPr>
          <w:rFonts w:ascii="Verdana" w:hAnsi="Verdana"/>
        </w:rPr>
        <w:t>support</w:t>
      </w:r>
      <w:r w:rsidR="00195D7D" w:rsidRPr="003A32AF">
        <w:rPr>
          <w:rFonts w:ascii="Verdana" w:hAnsi="Verdana"/>
        </w:rPr>
        <w:t xml:space="preserve"> the </w:t>
      </w:r>
      <w:r w:rsidR="0066460E" w:rsidRPr="003A32AF">
        <w:rPr>
          <w:rFonts w:ascii="Verdana" w:hAnsi="Verdana"/>
        </w:rPr>
        <w:t xml:space="preserve">deliberations of the </w:t>
      </w:r>
      <w:r w:rsidR="00195D7D" w:rsidRPr="003A32AF">
        <w:rPr>
          <w:rFonts w:ascii="Verdana" w:hAnsi="Verdana"/>
        </w:rPr>
        <w:t xml:space="preserve">Education and Employment References Committee.  </w:t>
      </w:r>
    </w:p>
    <w:p w:rsidR="00D968ED" w:rsidRPr="003A32AF" w:rsidRDefault="00DE01EE" w:rsidP="00060C31">
      <w:pPr>
        <w:pStyle w:val="Text"/>
        <w:jc w:val="both"/>
        <w:rPr>
          <w:rFonts w:ascii="Verdana" w:hAnsi="Verdana"/>
        </w:rPr>
      </w:pPr>
      <w:r w:rsidRPr="00452FE4">
        <w:rPr>
          <w:rFonts w:ascii="Verdana" w:hAnsi="Verdana"/>
        </w:rPr>
        <w:t xml:space="preserve">These </w:t>
      </w:r>
      <w:r w:rsidR="007F3875" w:rsidRPr="00452FE4">
        <w:rPr>
          <w:rFonts w:ascii="Verdana" w:hAnsi="Verdana"/>
        </w:rPr>
        <w:t xml:space="preserve">comments </w:t>
      </w:r>
      <w:r w:rsidRPr="00452FE4">
        <w:rPr>
          <w:rFonts w:ascii="Verdana" w:hAnsi="Verdana"/>
        </w:rPr>
        <w:t>are</w:t>
      </w:r>
      <w:r w:rsidR="005C0678" w:rsidRPr="00452FE4">
        <w:rPr>
          <w:rFonts w:ascii="Verdana" w:hAnsi="Verdana"/>
        </w:rPr>
        <w:t xml:space="preserve"> based on </w:t>
      </w:r>
      <w:r w:rsidR="00452FE4">
        <w:rPr>
          <w:rFonts w:ascii="Verdana" w:hAnsi="Verdana"/>
        </w:rPr>
        <w:t>data from the nation</w:t>
      </w:r>
      <w:r w:rsidR="00782FE9">
        <w:rPr>
          <w:rFonts w:ascii="Verdana" w:hAnsi="Verdana"/>
        </w:rPr>
        <w:t>al VET provider collection and student o</w:t>
      </w:r>
      <w:r w:rsidR="00452FE4">
        <w:rPr>
          <w:rFonts w:ascii="Verdana" w:hAnsi="Verdana"/>
        </w:rPr>
        <w:t xml:space="preserve">utcomes </w:t>
      </w:r>
      <w:r w:rsidR="00782FE9">
        <w:rPr>
          <w:rFonts w:ascii="Verdana" w:hAnsi="Verdana"/>
        </w:rPr>
        <w:t>s</w:t>
      </w:r>
      <w:r w:rsidR="00452FE4" w:rsidRPr="00A76961">
        <w:rPr>
          <w:rFonts w:ascii="Verdana" w:hAnsi="Verdana"/>
        </w:rPr>
        <w:t>urvey undertaken by NCVER</w:t>
      </w:r>
      <w:r w:rsidR="00A76961" w:rsidRPr="00A76961">
        <w:rPr>
          <w:rFonts w:ascii="Verdana" w:hAnsi="Verdana"/>
        </w:rPr>
        <w:t xml:space="preserve">, </w:t>
      </w:r>
      <w:r w:rsidR="00452FE4" w:rsidRPr="00A76961">
        <w:rPr>
          <w:rFonts w:ascii="Verdana" w:hAnsi="Verdana"/>
        </w:rPr>
        <w:t xml:space="preserve">and </w:t>
      </w:r>
      <w:r w:rsidR="00195D7D" w:rsidRPr="003A32AF">
        <w:rPr>
          <w:rFonts w:ascii="Verdana" w:hAnsi="Verdana"/>
        </w:rPr>
        <w:t>relev</w:t>
      </w:r>
      <w:r w:rsidR="00452FE4" w:rsidRPr="003A32AF">
        <w:rPr>
          <w:rFonts w:ascii="Verdana" w:hAnsi="Verdana"/>
        </w:rPr>
        <w:t>ant research</w:t>
      </w:r>
      <w:r w:rsidR="00A76961" w:rsidRPr="003A32AF">
        <w:rPr>
          <w:rFonts w:ascii="Verdana" w:hAnsi="Verdana"/>
        </w:rPr>
        <w:t xml:space="preserve"> also highlighted in a submission made by NCVER to the 2014 </w:t>
      </w:r>
      <w:r w:rsidR="00A76961" w:rsidRPr="00A76961">
        <w:rPr>
          <w:rFonts w:ascii="Verdana" w:hAnsi="Verdana"/>
        </w:rPr>
        <w:t xml:space="preserve">House of Representatives Standing Committee on Education and Employment </w:t>
      </w:r>
      <w:r w:rsidR="00797FCC">
        <w:rPr>
          <w:rFonts w:ascii="Verdana" w:hAnsi="Verdana"/>
          <w:i/>
        </w:rPr>
        <w:t>Inquiry into TAFE and its o</w:t>
      </w:r>
      <w:r w:rsidR="00A76961" w:rsidRPr="00797FCC">
        <w:rPr>
          <w:rFonts w:ascii="Verdana" w:hAnsi="Verdana"/>
          <w:i/>
        </w:rPr>
        <w:t>perations</w:t>
      </w:r>
      <w:r w:rsidR="00782FE9">
        <w:rPr>
          <w:rFonts w:ascii="Verdana" w:hAnsi="Verdana"/>
        </w:rPr>
        <w:t>.</w:t>
      </w:r>
      <w:r w:rsidR="00A76961" w:rsidRPr="003A32AF">
        <w:rPr>
          <w:rFonts w:ascii="Verdana" w:hAnsi="Verdana"/>
        </w:rPr>
        <w:t xml:space="preserve"> </w:t>
      </w:r>
    </w:p>
    <w:p w:rsidR="00607123" w:rsidRPr="00607123" w:rsidRDefault="00607123" w:rsidP="00607123">
      <w:pPr>
        <w:pStyle w:val="Text"/>
        <w:rPr>
          <w:rFonts w:ascii="Verdana" w:hAnsi="Verdana"/>
          <w:b/>
          <w:szCs w:val="19"/>
        </w:rPr>
      </w:pPr>
      <w:r w:rsidRPr="00607123">
        <w:rPr>
          <w:rFonts w:ascii="Verdana" w:hAnsi="Verdana"/>
          <w:b/>
          <w:szCs w:val="19"/>
        </w:rPr>
        <w:t xml:space="preserve">VET </w:t>
      </w:r>
      <w:r w:rsidR="00797FCC">
        <w:rPr>
          <w:rFonts w:ascii="Verdana" w:hAnsi="Verdana"/>
          <w:b/>
          <w:szCs w:val="19"/>
        </w:rPr>
        <w:t>system d</w:t>
      </w:r>
      <w:r w:rsidRPr="00607123">
        <w:rPr>
          <w:rFonts w:ascii="Verdana" w:hAnsi="Verdana"/>
          <w:b/>
          <w:szCs w:val="19"/>
        </w:rPr>
        <w:t>ata</w:t>
      </w:r>
    </w:p>
    <w:p w:rsidR="00C967E7" w:rsidRDefault="00452FE4" w:rsidP="00060C31">
      <w:pPr>
        <w:pStyle w:val="Text"/>
        <w:jc w:val="both"/>
        <w:rPr>
          <w:rFonts w:ascii="Verdana" w:hAnsi="Verdana"/>
          <w:szCs w:val="19"/>
        </w:rPr>
      </w:pPr>
      <w:r w:rsidRPr="00452FE4">
        <w:rPr>
          <w:rFonts w:ascii="Verdana" w:hAnsi="Verdana"/>
          <w:szCs w:val="19"/>
        </w:rPr>
        <w:t xml:space="preserve">It is very important to recognise that, until 2014, private </w:t>
      </w:r>
      <w:r w:rsidR="00607123">
        <w:rPr>
          <w:rFonts w:ascii="Verdana" w:hAnsi="Verdana"/>
          <w:szCs w:val="19"/>
        </w:rPr>
        <w:t>registered training organisations (</w:t>
      </w:r>
      <w:r w:rsidRPr="00452FE4">
        <w:rPr>
          <w:rFonts w:ascii="Verdana" w:hAnsi="Verdana"/>
          <w:szCs w:val="19"/>
        </w:rPr>
        <w:t>RTOs</w:t>
      </w:r>
      <w:r w:rsidR="00607123">
        <w:rPr>
          <w:rFonts w:ascii="Verdana" w:hAnsi="Verdana"/>
          <w:szCs w:val="19"/>
        </w:rPr>
        <w:t>)</w:t>
      </w:r>
      <w:r w:rsidRPr="00452FE4">
        <w:rPr>
          <w:rFonts w:ascii="Verdana" w:hAnsi="Verdana"/>
          <w:szCs w:val="19"/>
        </w:rPr>
        <w:t xml:space="preserve"> were not required to publish information about their fee-for-service training activity.  Going forward, all Australian governments have agreed that information about all accredited vocational training will be collected and published. This is expected to generate significant benefits in terms of comprehensive, reliable and timely information to support policy decisions and regulation of the vocational training system, as well as future investment by governments, industry and individual students. The first total VET collection is currently underway and we expect to be able to report on it</w:t>
      </w:r>
      <w:r w:rsidR="00607123">
        <w:rPr>
          <w:rFonts w:ascii="Verdana" w:hAnsi="Verdana"/>
          <w:szCs w:val="19"/>
        </w:rPr>
        <w:t xml:space="preserve"> in </w:t>
      </w:r>
      <w:r w:rsidRPr="00452FE4">
        <w:rPr>
          <w:rFonts w:ascii="Verdana" w:hAnsi="Verdana"/>
          <w:szCs w:val="19"/>
        </w:rPr>
        <w:t xml:space="preserve">the middle of </w:t>
      </w:r>
      <w:r w:rsidR="00607123">
        <w:rPr>
          <w:rFonts w:ascii="Verdana" w:hAnsi="Verdana"/>
          <w:szCs w:val="19"/>
        </w:rPr>
        <w:t>2015</w:t>
      </w:r>
      <w:r w:rsidRPr="00452FE4">
        <w:rPr>
          <w:rFonts w:ascii="Verdana" w:hAnsi="Verdana"/>
          <w:szCs w:val="19"/>
        </w:rPr>
        <w:t>.</w:t>
      </w:r>
      <w:r w:rsidR="00607123">
        <w:rPr>
          <w:rFonts w:ascii="Verdana" w:hAnsi="Verdana"/>
          <w:szCs w:val="19"/>
        </w:rPr>
        <w:t xml:space="preserve"> </w:t>
      </w:r>
    </w:p>
    <w:p w:rsidR="00452FE4" w:rsidRDefault="00607123" w:rsidP="00060C31">
      <w:pPr>
        <w:pStyle w:val="Text"/>
        <w:jc w:val="both"/>
        <w:rPr>
          <w:rFonts w:ascii="Verdana" w:hAnsi="Verdana"/>
          <w:szCs w:val="19"/>
        </w:rPr>
      </w:pPr>
      <w:r>
        <w:rPr>
          <w:rFonts w:ascii="Verdana" w:hAnsi="Verdana"/>
          <w:szCs w:val="19"/>
        </w:rPr>
        <w:lastRenderedPageBreak/>
        <w:t xml:space="preserve">Without full training data the breadth and depth of the volume of training </w:t>
      </w:r>
      <w:r w:rsidR="00517DBD">
        <w:rPr>
          <w:rFonts w:ascii="Verdana" w:hAnsi="Verdana"/>
          <w:szCs w:val="19"/>
        </w:rPr>
        <w:t xml:space="preserve">and graduate outcomes across </w:t>
      </w:r>
      <w:r>
        <w:rPr>
          <w:rFonts w:ascii="Verdana" w:hAnsi="Verdana"/>
          <w:szCs w:val="19"/>
        </w:rPr>
        <w:t xml:space="preserve">the entire system cannot be accurately measured. </w:t>
      </w:r>
      <w:r w:rsidR="00C967E7">
        <w:rPr>
          <w:rFonts w:ascii="Verdana" w:hAnsi="Verdana"/>
          <w:szCs w:val="19"/>
        </w:rPr>
        <w:t xml:space="preserve">In time we will be able to map out both the training activity and </w:t>
      </w:r>
      <w:r w:rsidR="00517DBD">
        <w:rPr>
          <w:rFonts w:ascii="Verdana" w:hAnsi="Verdana"/>
          <w:szCs w:val="19"/>
        </w:rPr>
        <w:t xml:space="preserve">estimate the outcomes of training across all accredited training. There will however remain limitations on the financial data collected from the system to that of the </w:t>
      </w:r>
      <w:r w:rsidR="00380E5B">
        <w:rPr>
          <w:rFonts w:ascii="Verdana" w:hAnsi="Verdana"/>
          <w:szCs w:val="19"/>
        </w:rPr>
        <w:t>publicly</w:t>
      </w:r>
      <w:r w:rsidR="00517DBD">
        <w:rPr>
          <w:rFonts w:ascii="Verdana" w:hAnsi="Verdana"/>
          <w:szCs w:val="19"/>
        </w:rPr>
        <w:t xml:space="preserve"> funded VET system. </w:t>
      </w:r>
    </w:p>
    <w:p w:rsidR="00C967E7" w:rsidRPr="00C967E7" w:rsidRDefault="00797FCC" w:rsidP="00452FE4">
      <w:pPr>
        <w:pStyle w:val="Text"/>
        <w:rPr>
          <w:rFonts w:ascii="Verdana" w:hAnsi="Verdana"/>
          <w:b/>
          <w:szCs w:val="19"/>
        </w:rPr>
      </w:pPr>
      <w:r>
        <w:rPr>
          <w:rFonts w:ascii="Verdana" w:hAnsi="Verdana"/>
          <w:b/>
          <w:szCs w:val="19"/>
        </w:rPr>
        <w:t>The public VET s</w:t>
      </w:r>
      <w:r w:rsidR="003120BF">
        <w:rPr>
          <w:rFonts w:ascii="Verdana" w:hAnsi="Verdana"/>
          <w:b/>
          <w:szCs w:val="19"/>
        </w:rPr>
        <w:t>ystem</w:t>
      </w:r>
      <w:r w:rsidR="00C967E7" w:rsidRPr="00C967E7">
        <w:rPr>
          <w:rFonts w:ascii="Verdana" w:hAnsi="Verdana"/>
          <w:b/>
          <w:szCs w:val="19"/>
        </w:rPr>
        <w:t xml:space="preserve"> </w:t>
      </w:r>
    </w:p>
    <w:p w:rsidR="003120BF" w:rsidRPr="001D2ECA" w:rsidRDefault="00607123" w:rsidP="00060C31">
      <w:pPr>
        <w:pStyle w:val="Text"/>
        <w:jc w:val="both"/>
        <w:rPr>
          <w:rFonts w:ascii="Verdana" w:hAnsi="Verdana"/>
          <w:szCs w:val="19"/>
        </w:rPr>
      </w:pPr>
      <w:r w:rsidRPr="00452FE4">
        <w:rPr>
          <w:rFonts w:ascii="Verdana" w:hAnsi="Verdana"/>
          <w:szCs w:val="19"/>
        </w:rPr>
        <w:t>In relation to access to Commonwealth and state public funding, this is</w:t>
      </w:r>
      <w:r>
        <w:rPr>
          <w:rFonts w:ascii="Verdana" w:hAnsi="Verdana"/>
          <w:szCs w:val="19"/>
        </w:rPr>
        <w:t xml:space="preserve"> very much </w:t>
      </w:r>
      <w:r w:rsidRPr="00452FE4">
        <w:rPr>
          <w:rFonts w:ascii="Verdana" w:hAnsi="Verdana"/>
          <w:szCs w:val="19"/>
        </w:rPr>
        <w:t>driven by policy set by government</w:t>
      </w:r>
      <w:r>
        <w:rPr>
          <w:rFonts w:ascii="Verdana" w:hAnsi="Verdana"/>
          <w:szCs w:val="19"/>
        </w:rPr>
        <w:t xml:space="preserve">. </w:t>
      </w:r>
      <w:r w:rsidR="00C967E7">
        <w:rPr>
          <w:rFonts w:ascii="Verdana" w:hAnsi="Verdana"/>
          <w:szCs w:val="19"/>
        </w:rPr>
        <w:t xml:space="preserve"> </w:t>
      </w:r>
      <w:r>
        <w:rPr>
          <w:rFonts w:ascii="Verdana" w:hAnsi="Verdana"/>
          <w:szCs w:val="19"/>
        </w:rPr>
        <w:t xml:space="preserve">Over the last 5 years the number of </w:t>
      </w:r>
      <w:r w:rsidR="00380E5B">
        <w:rPr>
          <w:rFonts w:ascii="Verdana" w:hAnsi="Verdana"/>
          <w:szCs w:val="19"/>
        </w:rPr>
        <w:t>publicly</w:t>
      </w:r>
      <w:r>
        <w:rPr>
          <w:rFonts w:ascii="Verdana" w:hAnsi="Verdana"/>
          <w:szCs w:val="19"/>
        </w:rPr>
        <w:t xml:space="preserve"> subsidised students</w:t>
      </w:r>
      <w:r w:rsidR="00D43B78">
        <w:rPr>
          <w:rStyle w:val="FootnoteReference"/>
          <w:rFonts w:ascii="Verdana" w:hAnsi="Verdana"/>
          <w:szCs w:val="19"/>
        </w:rPr>
        <w:footnoteReference w:id="2"/>
      </w:r>
      <w:r w:rsidR="00D43B78">
        <w:rPr>
          <w:rFonts w:ascii="Verdana" w:hAnsi="Verdana"/>
          <w:szCs w:val="19"/>
        </w:rPr>
        <w:t xml:space="preserve"> </w:t>
      </w:r>
      <w:r>
        <w:rPr>
          <w:rFonts w:ascii="Verdana" w:hAnsi="Verdana"/>
          <w:szCs w:val="19"/>
        </w:rPr>
        <w:t xml:space="preserve">enrolled in private RTOs has </w:t>
      </w:r>
      <w:r w:rsidRPr="001D2ECA">
        <w:rPr>
          <w:rFonts w:ascii="Verdana" w:hAnsi="Verdana"/>
          <w:szCs w:val="19"/>
        </w:rPr>
        <w:t>doubled from 267,300 in 2009 to 537,600 in 2013</w:t>
      </w:r>
      <w:r w:rsidR="00C967E7" w:rsidRPr="001D2ECA">
        <w:rPr>
          <w:rFonts w:ascii="Verdana" w:hAnsi="Verdana"/>
          <w:szCs w:val="19"/>
        </w:rPr>
        <w:t xml:space="preserve"> (NCVER 2014a). The </w:t>
      </w:r>
      <w:r w:rsidRPr="001D2ECA">
        <w:rPr>
          <w:rFonts w:ascii="Verdana" w:hAnsi="Verdana"/>
          <w:szCs w:val="19"/>
        </w:rPr>
        <w:t>number enrolled</w:t>
      </w:r>
      <w:r w:rsidR="00C967E7" w:rsidRPr="001D2ECA">
        <w:rPr>
          <w:rFonts w:ascii="Verdana" w:hAnsi="Verdana"/>
          <w:szCs w:val="19"/>
        </w:rPr>
        <w:t xml:space="preserve"> </w:t>
      </w:r>
      <w:r w:rsidRPr="001D2ECA">
        <w:rPr>
          <w:rFonts w:ascii="Verdana" w:hAnsi="Verdana"/>
          <w:szCs w:val="19"/>
        </w:rPr>
        <w:t>in TAFE</w:t>
      </w:r>
      <w:r w:rsidR="00C03897" w:rsidRPr="00D43B78">
        <w:rPr>
          <w:rStyle w:val="FootnoteReference"/>
          <w:rFonts w:ascii="Verdana" w:hAnsi="Verdana"/>
          <w:szCs w:val="19"/>
        </w:rPr>
        <w:footnoteReference w:id="3"/>
      </w:r>
      <w:r w:rsidR="00D43B78">
        <w:rPr>
          <w:rFonts w:ascii="Verdana" w:hAnsi="Verdana"/>
          <w:szCs w:val="19"/>
          <w:vertAlign w:val="superscript"/>
        </w:rPr>
        <w:t xml:space="preserve"> </w:t>
      </w:r>
      <w:r w:rsidRPr="001D2ECA">
        <w:rPr>
          <w:rFonts w:ascii="Verdana" w:hAnsi="Verdana"/>
          <w:szCs w:val="19"/>
        </w:rPr>
        <w:t xml:space="preserve">has remained fairly constant </w:t>
      </w:r>
      <w:r w:rsidR="00A969A8" w:rsidRPr="001D2ECA">
        <w:rPr>
          <w:rFonts w:ascii="Verdana" w:hAnsi="Verdana"/>
          <w:szCs w:val="19"/>
        </w:rPr>
        <w:t>(</w:t>
      </w:r>
      <w:r w:rsidR="00C967E7" w:rsidRPr="001D2ECA">
        <w:rPr>
          <w:rFonts w:ascii="Verdana" w:hAnsi="Verdana"/>
          <w:szCs w:val="19"/>
        </w:rPr>
        <w:t xml:space="preserve">between </w:t>
      </w:r>
      <w:r w:rsidR="001D2ECA" w:rsidRPr="001D2ECA">
        <w:rPr>
          <w:rFonts w:ascii="Verdana" w:hAnsi="Verdana"/>
          <w:szCs w:val="19"/>
        </w:rPr>
        <w:t>1.2</w:t>
      </w:r>
      <w:r w:rsidR="00782FE9">
        <w:rPr>
          <w:rFonts w:ascii="Verdana" w:hAnsi="Verdana"/>
          <w:szCs w:val="19"/>
        </w:rPr>
        <w:t>5</w:t>
      </w:r>
      <w:r w:rsidR="001D2ECA" w:rsidRPr="001D2ECA">
        <w:rPr>
          <w:rFonts w:ascii="Verdana" w:hAnsi="Verdana"/>
          <w:szCs w:val="19"/>
        </w:rPr>
        <w:t xml:space="preserve"> and 1.</w:t>
      </w:r>
      <w:r w:rsidR="00782FE9">
        <w:rPr>
          <w:rFonts w:ascii="Verdana" w:hAnsi="Verdana"/>
          <w:szCs w:val="19"/>
        </w:rPr>
        <w:t>3</w:t>
      </w:r>
      <w:r w:rsidR="00C967E7" w:rsidRPr="001D2ECA">
        <w:rPr>
          <w:rFonts w:ascii="Verdana" w:hAnsi="Verdana"/>
          <w:szCs w:val="19"/>
        </w:rPr>
        <w:t xml:space="preserve"> million</w:t>
      </w:r>
      <w:r w:rsidR="00A969A8" w:rsidRPr="001D2ECA">
        <w:rPr>
          <w:rFonts w:ascii="Verdana" w:hAnsi="Verdana"/>
          <w:szCs w:val="19"/>
        </w:rPr>
        <w:t xml:space="preserve">) </w:t>
      </w:r>
      <w:r w:rsidR="00782FE9">
        <w:rPr>
          <w:rFonts w:ascii="Verdana" w:hAnsi="Verdana"/>
          <w:szCs w:val="19"/>
        </w:rPr>
        <w:t xml:space="preserve">between </w:t>
      </w:r>
      <w:r w:rsidR="00A969A8" w:rsidRPr="001D2ECA">
        <w:rPr>
          <w:rFonts w:ascii="Verdana" w:hAnsi="Verdana"/>
          <w:szCs w:val="19"/>
        </w:rPr>
        <w:t>2009</w:t>
      </w:r>
      <w:r w:rsidR="00782FE9">
        <w:rPr>
          <w:rFonts w:ascii="Verdana" w:hAnsi="Verdana"/>
          <w:szCs w:val="19"/>
        </w:rPr>
        <w:t xml:space="preserve"> and </w:t>
      </w:r>
      <w:r w:rsidR="00A969A8" w:rsidRPr="001D2ECA">
        <w:rPr>
          <w:rFonts w:ascii="Verdana" w:hAnsi="Verdana"/>
          <w:szCs w:val="19"/>
        </w:rPr>
        <w:t>2012,</w:t>
      </w:r>
      <w:r w:rsidR="00C967E7" w:rsidRPr="001D2ECA">
        <w:rPr>
          <w:rFonts w:ascii="Verdana" w:hAnsi="Verdana"/>
          <w:szCs w:val="19"/>
        </w:rPr>
        <w:t xml:space="preserve"> dropping to 1.19 million in 2013 (NCVER 2014</w:t>
      </w:r>
      <w:r w:rsidR="00A969A8" w:rsidRPr="001D2ECA">
        <w:rPr>
          <w:rFonts w:ascii="Verdana" w:hAnsi="Verdana"/>
          <w:szCs w:val="19"/>
        </w:rPr>
        <w:t>a</w:t>
      </w:r>
      <w:r w:rsidR="007C5A32" w:rsidRPr="001D2ECA">
        <w:rPr>
          <w:rStyle w:val="FootnoteReference"/>
          <w:rFonts w:ascii="Verdana" w:hAnsi="Verdana"/>
          <w:szCs w:val="19"/>
        </w:rPr>
        <w:footnoteReference w:id="4"/>
      </w:r>
      <w:r w:rsidR="00C967E7" w:rsidRPr="001D2ECA">
        <w:rPr>
          <w:rFonts w:ascii="Verdana" w:hAnsi="Verdana"/>
          <w:szCs w:val="19"/>
        </w:rPr>
        <w:t xml:space="preserve">). </w:t>
      </w:r>
    </w:p>
    <w:p w:rsidR="003120BF" w:rsidRDefault="007C5A32" w:rsidP="00060C31">
      <w:pPr>
        <w:pStyle w:val="Text"/>
        <w:spacing w:after="0"/>
        <w:jc w:val="both"/>
        <w:rPr>
          <w:rFonts w:ascii="Verdana" w:hAnsi="Verdana"/>
          <w:szCs w:val="19"/>
        </w:rPr>
      </w:pPr>
      <w:r>
        <w:rPr>
          <w:rFonts w:ascii="Verdana" w:hAnsi="Verdana"/>
          <w:szCs w:val="19"/>
        </w:rPr>
        <w:t>The total o</w:t>
      </w:r>
      <w:r w:rsidRPr="003120BF">
        <w:rPr>
          <w:rFonts w:ascii="Verdana" w:hAnsi="Verdana"/>
          <w:szCs w:val="19"/>
        </w:rPr>
        <w:t>perating</w:t>
      </w:r>
      <w:r w:rsidR="003120BF" w:rsidRPr="003120BF">
        <w:rPr>
          <w:rFonts w:ascii="Verdana" w:hAnsi="Verdana"/>
          <w:szCs w:val="19"/>
        </w:rPr>
        <w:t xml:space="preserve"> revenues </w:t>
      </w:r>
      <w:r>
        <w:rPr>
          <w:rFonts w:ascii="Verdana" w:hAnsi="Verdana"/>
          <w:szCs w:val="19"/>
        </w:rPr>
        <w:t xml:space="preserve">available </w:t>
      </w:r>
      <w:r w:rsidR="003120BF" w:rsidRPr="003120BF">
        <w:rPr>
          <w:rFonts w:ascii="Verdana" w:hAnsi="Verdana"/>
          <w:szCs w:val="19"/>
        </w:rPr>
        <w:t>for the public</w:t>
      </w:r>
      <w:r w:rsidR="00045F60">
        <w:rPr>
          <w:rFonts w:ascii="Verdana" w:hAnsi="Verdana"/>
          <w:szCs w:val="19"/>
        </w:rPr>
        <w:t>ly funded</w:t>
      </w:r>
      <w:r w:rsidR="003120BF" w:rsidRPr="003120BF">
        <w:rPr>
          <w:rFonts w:ascii="Verdana" w:hAnsi="Verdana"/>
          <w:szCs w:val="19"/>
        </w:rPr>
        <w:t xml:space="preserve"> VET system in 2013 were $8519.1 million, an increase in nominal terms of</w:t>
      </w:r>
      <w:r w:rsidR="003120BF">
        <w:rPr>
          <w:rFonts w:ascii="Verdana" w:hAnsi="Verdana"/>
          <w:szCs w:val="19"/>
        </w:rPr>
        <w:t xml:space="preserve"> </w:t>
      </w:r>
      <w:r w:rsidR="003120BF" w:rsidRPr="003120BF">
        <w:rPr>
          <w:rFonts w:ascii="Verdana" w:hAnsi="Verdana"/>
          <w:szCs w:val="19"/>
        </w:rPr>
        <w:t>$116.2 million (1.4%) from 2012</w:t>
      </w:r>
      <w:r>
        <w:rPr>
          <w:rFonts w:ascii="Verdana" w:hAnsi="Verdana"/>
          <w:szCs w:val="19"/>
        </w:rPr>
        <w:t>. R</w:t>
      </w:r>
      <w:r w:rsidR="003120BF" w:rsidRPr="003120BF">
        <w:rPr>
          <w:rFonts w:ascii="Verdana" w:hAnsi="Verdana"/>
          <w:szCs w:val="19"/>
        </w:rPr>
        <w:t>evenue from the Australian Government increased by $374.6 million (17.2%) from 2012</w:t>
      </w:r>
      <w:r>
        <w:rPr>
          <w:rFonts w:ascii="Verdana" w:hAnsi="Verdana"/>
          <w:szCs w:val="19"/>
        </w:rPr>
        <w:t xml:space="preserve"> while r</w:t>
      </w:r>
      <w:r w:rsidR="003120BF" w:rsidRPr="003120BF">
        <w:rPr>
          <w:rFonts w:ascii="Verdana" w:hAnsi="Verdana"/>
          <w:szCs w:val="19"/>
        </w:rPr>
        <w:t>evenue from state and territory governments decreased by $344.4 million (7.9%) from 2012</w:t>
      </w:r>
      <w:r w:rsidR="003120BF">
        <w:rPr>
          <w:rFonts w:ascii="Verdana" w:hAnsi="Verdana"/>
          <w:szCs w:val="19"/>
        </w:rPr>
        <w:t xml:space="preserve"> (NCVER 2014b</w:t>
      </w:r>
      <w:r w:rsidR="007E3FED">
        <w:rPr>
          <w:rStyle w:val="FootnoteReference"/>
          <w:rFonts w:ascii="Verdana" w:hAnsi="Verdana"/>
          <w:szCs w:val="19"/>
        </w:rPr>
        <w:footnoteReference w:id="5"/>
      </w:r>
      <w:r w:rsidR="003120BF">
        <w:rPr>
          <w:rFonts w:ascii="Verdana" w:hAnsi="Verdana"/>
          <w:szCs w:val="19"/>
        </w:rPr>
        <w:t xml:space="preserve">). </w:t>
      </w:r>
    </w:p>
    <w:p w:rsidR="007C5A32" w:rsidRDefault="007C5A32" w:rsidP="00060C31">
      <w:pPr>
        <w:pStyle w:val="Text"/>
        <w:spacing w:after="0"/>
        <w:jc w:val="both"/>
        <w:rPr>
          <w:rFonts w:ascii="Verdana" w:hAnsi="Verdana"/>
          <w:szCs w:val="19"/>
        </w:rPr>
      </w:pPr>
    </w:p>
    <w:p w:rsidR="00A969A8" w:rsidRDefault="00A969A8" w:rsidP="00060C31">
      <w:pPr>
        <w:pStyle w:val="Text"/>
        <w:jc w:val="both"/>
        <w:rPr>
          <w:rFonts w:ascii="Verdana" w:hAnsi="Verdana"/>
          <w:szCs w:val="19"/>
        </w:rPr>
      </w:pPr>
      <w:r>
        <w:rPr>
          <w:rFonts w:ascii="Verdana" w:hAnsi="Verdana"/>
          <w:szCs w:val="19"/>
        </w:rPr>
        <w:t>The characteristics of students enrolled in TAFE</w:t>
      </w:r>
      <w:r w:rsidR="00C03897">
        <w:rPr>
          <w:rFonts w:ascii="Verdana" w:hAnsi="Verdana"/>
          <w:szCs w:val="19"/>
        </w:rPr>
        <w:t xml:space="preserve"> </w:t>
      </w:r>
      <w:r>
        <w:rPr>
          <w:rFonts w:ascii="Verdana" w:hAnsi="Verdana"/>
          <w:szCs w:val="19"/>
        </w:rPr>
        <w:t xml:space="preserve">and </w:t>
      </w:r>
      <w:r w:rsidR="00380E5B">
        <w:rPr>
          <w:rFonts w:ascii="Verdana" w:hAnsi="Verdana"/>
          <w:szCs w:val="19"/>
        </w:rPr>
        <w:t>publicly</w:t>
      </w:r>
      <w:r>
        <w:rPr>
          <w:rFonts w:ascii="Verdana" w:hAnsi="Verdana"/>
          <w:szCs w:val="19"/>
        </w:rPr>
        <w:t xml:space="preserve"> funded students enrolled with private RTO</w:t>
      </w:r>
      <w:r w:rsidR="001F31B5">
        <w:rPr>
          <w:rFonts w:ascii="Verdana" w:hAnsi="Verdana"/>
          <w:szCs w:val="19"/>
        </w:rPr>
        <w:t>s</w:t>
      </w:r>
      <w:r>
        <w:rPr>
          <w:rFonts w:ascii="Verdana" w:hAnsi="Verdana"/>
          <w:szCs w:val="19"/>
        </w:rPr>
        <w:t xml:space="preserve"> are similar, although TAFE students are somewhat </w:t>
      </w:r>
      <w:r w:rsidR="00045F60">
        <w:rPr>
          <w:rFonts w:ascii="Verdana" w:hAnsi="Verdana"/>
          <w:szCs w:val="19"/>
        </w:rPr>
        <w:t xml:space="preserve">more </w:t>
      </w:r>
      <w:r>
        <w:rPr>
          <w:rFonts w:ascii="Verdana" w:hAnsi="Verdana"/>
          <w:szCs w:val="19"/>
        </w:rPr>
        <w:t>diverse</w:t>
      </w:r>
      <w:r w:rsidR="003120BF">
        <w:rPr>
          <w:rFonts w:ascii="Verdana" w:hAnsi="Verdana"/>
          <w:szCs w:val="19"/>
        </w:rPr>
        <w:t xml:space="preserve"> (NCVER 2014c)</w:t>
      </w:r>
      <w:r>
        <w:rPr>
          <w:rFonts w:ascii="Verdana" w:hAnsi="Verdana"/>
          <w:szCs w:val="19"/>
        </w:rPr>
        <w:t xml:space="preserve">. In 2012 TAFE was more likely to enrol students who were indigenous, have a disability, </w:t>
      </w:r>
      <w:r w:rsidR="00045F60">
        <w:rPr>
          <w:rFonts w:ascii="Verdana" w:hAnsi="Verdana"/>
          <w:szCs w:val="19"/>
        </w:rPr>
        <w:t>were</w:t>
      </w:r>
      <w:r>
        <w:rPr>
          <w:rFonts w:ascii="Verdana" w:hAnsi="Verdana"/>
          <w:szCs w:val="19"/>
        </w:rPr>
        <w:t xml:space="preserve"> from </w:t>
      </w:r>
      <w:r w:rsidR="00797FCC">
        <w:rPr>
          <w:rFonts w:ascii="Verdana" w:hAnsi="Verdana"/>
          <w:szCs w:val="19"/>
        </w:rPr>
        <w:t>n</w:t>
      </w:r>
      <w:r>
        <w:rPr>
          <w:rFonts w:ascii="Verdana" w:hAnsi="Verdana"/>
          <w:szCs w:val="19"/>
        </w:rPr>
        <w:t>on-English speaking background, or who reside</w:t>
      </w:r>
      <w:r w:rsidR="00045F60">
        <w:rPr>
          <w:rFonts w:ascii="Verdana" w:hAnsi="Verdana"/>
          <w:szCs w:val="19"/>
        </w:rPr>
        <w:t>d</w:t>
      </w:r>
      <w:r>
        <w:rPr>
          <w:rFonts w:ascii="Verdana" w:hAnsi="Verdana"/>
          <w:szCs w:val="19"/>
        </w:rPr>
        <w:t xml:space="preserve"> in remote/very remote areas. For publicly funded students at private RTOs the share of enrolments that are apprentices and trainees (37</w:t>
      </w:r>
      <w:r w:rsidR="00CB7BD7">
        <w:rPr>
          <w:rFonts w:ascii="Verdana" w:hAnsi="Verdana"/>
          <w:szCs w:val="19"/>
        </w:rPr>
        <w:t>.3</w:t>
      </w:r>
      <w:r>
        <w:rPr>
          <w:rFonts w:ascii="Verdana" w:hAnsi="Verdana"/>
          <w:szCs w:val="19"/>
        </w:rPr>
        <w:t xml:space="preserve">% in 2012) </w:t>
      </w:r>
      <w:r w:rsidR="00045F60">
        <w:rPr>
          <w:rFonts w:ascii="Verdana" w:hAnsi="Verdana"/>
          <w:szCs w:val="19"/>
        </w:rPr>
        <w:t>was</w:t>
      </w:r>
      <w:r>
        <w:rPr>
          <w:rFonts w:ascii="Verdana" w:hAnsi="Verdana"/>
          <w:szCs w:val="19"/>
        </w:rPr>
        <w:t xml:space="preserve"> more than twice as large as for TAFE</w:t>
      </w:r>
      <w:r w:rsidR="001F31B5">
        <w:rPr>
          <w:rFonts w:ascii="Verdana" w:hAnsi="Verdana"/>
          <w:szCs w:val="19"/>
        </w:rPr>
        <w:t xml:space="preserve"> (</w:t>
      </w:r>
      <w:r w:rsidR="00CB7BD7" w:rsidRPr="00CB7BD7">
        <w:rPr>
          <w:rFonts w:ascii="Verdana" w:hAnsi="Verdana"/>
          <w:szCs w:val="19"/>
        </w:rPr>
        <w:t>14.3</w:t>
      </w:r>
      <w:r w:rsidR="001F31B5" w:rsidRPr="00CB7BD7">
        <w:rPr>
          <w:rFonts w:ascii="Verdana" w:hAnsi="Verdana"/>
          <w:szCs w:val="19"/>
        </w:rPr>
        <w:t>%</w:t>
      </w:r>
      <w:r w:rsidR="001F31B5">
        <w:rPr>
          <w:rFonts w:ascii="Verdana" w:hAnsi="Verdana"/>
          <w:szCs w:val="19"/>
        </w:rPr>
        <w:t xml:space="preserve"> in 2012)</w:t>
      </w:r>
      <w:r>
        <w:rPr>
          <w:rFonts w:ascii="Verdana" w:hAnsi="Verdana"/>
          <w:szCs w:val="19"/>
        </w:rPr>
        <w:t>, perhaps reflecting the User Choice of training provider for apprenticeships and traineeships</w:t>
      </w:r>
      <w:r w:rsidR="003120BF">
        <w:rPr>
          <w:rFonts w:ascii="Verdana" w:hAnsi="Verdana"/>
          <w:szCs w:val="19"/>
        </w:rPr>
        <w:t xml:space="preserve"> </w:t>
      </w:r>
      <w:r w:rsidR="007C5A32">
        <w:rPr>
          <w:rFonts w:ascii="Verdana" w:hAnsi="Verdana"/>
          <w:szCs w:val="19"/>
        </w:rPr>
        <w:t xml:space="preserve">(NCVER 2014c). </w:t>
      </w:r>
    </w:p>
    <w:p w:rsidR="007C5A32" w:rsidRPr="00396544" w:rsidRDefault="00396544" w:rsidP="00607123">
      <w:pPr>
        <w:pStyle w:val="Text"/>
        <w:rPr>
          <w:rFonts w:ascii="Verdana" w:hAnsi="Verdana"/>
          <w:b/>
          <w:szCs w:val="19"/>
        </w:rPr>
      </w:pPr>
      <w:r>
        <w:rPr>
          <w:rFonts w:ascii="Verdana" w:hAnsi="Verdana"/>
          <w:b/>
          <w:szCs w:val="19"/>
        </w:rPr>
        <w:t xml:space="preserve">Graduate </w:t>
      </w:r>
      <w:r w:rsidR="00797FCC">
        <w:rPr>
          <w:rFonts w:ascii="Verdana" w:hAnsi="Verdana"/>
          <w:b/>
          <w:szCs w:val="19"/>
        </w:rPr>
        <w:t>o</w:t>
      </w:r>
      <w:r w:rsidR="007C5A32" w:rsidRPr="00396544">
        <w:rPr>
          <w:rFonts w:ascii="Verdana" w:hAnsi="Verdana"/>
          <w:b/>
          <w:szCs w:val="19"/>
        </w:rPr>
        <w:t>utcomes</w:t>
      </w:r>
      <w:r>
        <w:rPr>
          <w:rFonts w:ascii="Verdana" w:hAnsi="Verdana"/>
          <w:b/>
          <w:szCs w:val="19"/>
        </w:rPr>
        <w:t xml:space="preserve"> from the </w:t>
      </w:r>
      <w:r w:rsidR="00797FCC">
        <w:rPr>
          <w:rFonts w:ascii="Verdana" w:hAnsi="Verdana"/>
          <w:b/>
          <w:szCs w:val="19"/>
        </w:rPr>
        <w:t>p</w:t>
      </w:r>
      <w:r>
        <w:rPr>
          <w:rFonts w:ascii="Verdana" w:hAnsi="Verdana"/>
          <w:b/>
          <w:szCs w:val="19"/>
        </w:rPr>
        <w:t>ublic VET system</w:t>
      </w:r>
    </w:p>
    <w:p w:rsidR="00717F0F" w:rsidRPr="00517DBD" w:rsidRDefault="007C5A32" w:rsidP="00717F0F">
      <w:pPr>
        <w:pStyle w:val="Text"/>
        <w:jc w:val="both"/>
        <w:rPr>
          <w:rFonts w:ascii="Verdana" w:hAnsi="Verdana"/>
          <w:szCs w:val="19"/>
        </w:rPr>
      </w:pPr>
      <w:r>
        <w:rPr>
          <w:rFonts w:ascii="Verdana" w:hAnsi="Verdana"/>
          <w:szCs w:val="19"/>
        </w:rPr>
        <w:t xml:space="preserve">Graduate outcomes are </w:t>
      </w:r>
      <w:r w:rsidR="0062206B">
        <w:rPr>
          <w:rFonts w:ascii="Verdana" w:hAnsi="Verdana"/>
          <w:szCs w:val="19"/>
        </w:rPr>
        <w:t>m</w:t>
      </w:r>
      <w:r w:rsidR="00DA6E0C">
        <w:rPr>
          <w:rFonts w:ascii="Verdana" w:hAnsi="Verdana"/>
          <w:szCs w:val="19"/>
        </w:rPr>
        <w:t>easured as part of the annual n</w:t>
      </w:r>
      <w:r>
        <w:rPr>
          <w:rFonts w:ascii="Verdana" w:hAnsi="Verdana"/>
          <w:szCs w:val="19"/>
        </w:rPr>
        <w:t xml:space="preserve">ational </w:t>
      </w:r>
      <w:r w:rsidR="0062206B">
        <w:rPr>
          <w:rFonts w:ascii="Verdana" w:hAnsi="Verdana"/>
          <w:szCs w:val="19"/>
        </w:rPr>
        <w:t>Student Outcomes S</w:t>
      </w:r>
      <w:r>
        <w:rPr>
          <w:rFonts w:ascii="Verdana" w:hAnsi="Verdana"/>
          <w:szCs w:val="19"/>
        </w:rPr>
        <w:t>urvey</w:t>
      </w:r>
      <w:r w:rsidR="00396544">
        <w:rPr>
          <w:rFonts w:ascii="Verdana" w:hAnsi="Verdana"/>
          <w:szCs w:val="19"/>
        </w:rPr>
        <w:t xml:space="preserve">. </w:t>
      </w:r>
      <w:r w:rsidR="0062206B">
        <w:rPr>
          <w:rFonts w:ascii="Verdana" w:hAnsi="Verdana"/>
          <w:szCs w:val="19"/>
        </w:rPr>
        <w:t>Currently,</w:t>
      </w:r>
      <w:r>
        <w:rPr>
          <w:rFonts w:ascii="Verdana" w:hAnsi="Verdana"/>
          <w:szCs w:val="19"/>
        </w:rPr>
        <w:t xml:space="preserve"> </w:t>
      </w:r>
      <w:r w:rsidR="00396544">
        <w:rPr>
          <w:rFonts w:ascii="Verdana" w:hAnsi="Verdana"/>
          <w:szCs w:val="19"/>
        </w:rPr>
        <w:t xml:space="preserve">the survey measures outcomes of graduates </w:t>
      </w:r>
      <w:r>
        <w:rPr>
          <w:rFonts w:ascii="Verdana" w:hAnsi="Verdana"/>
          <w:szCs w:val="19"/>
        </w:rPr>
        <w:t>from the publicly funded VET system</w:t>
      </w:r>
      <w:r>
        <w:rPr>
          <w:rStyle w:val="FootnoteReference"/>
          <w:rFonts w:ascii="Verdana" w:hAnsi="Verdana"/>
          <w:szCs w:val="19"/>
        </w:rPr>
        <w:footnoteReference w:id="6"/>
      </w:r>
      <w:r>
        <w:rPr>
          <w:rFonts w:ascii="Verdana" w:hAnsi="Verdana"/>
          <w:szCs w:val="19"/>
        </w:rPr>
        <w:t xml:space="preserve">. </w:t>
      </w:r>
      <w:r w:rsidR="0062206B">
        <w:rPr>
          <w:rFonts w:ascii="Verdana" w:hAnsi="Verdana"/>
          <w:szCs w:val="19"/>
        </w:rPr>
        <w:t xml:space="preserve">  </w:t>
      </w:r>
      <w:r w:rsidR="00717F0F">
        <w:rPr>
          <w:rFonts w:ascii="Verdana" w:hAnsi="Verdana"/>
          <w:szCs w:val="19"/>
        </w:rPr>
        <w:lastRenderedPageBreak/>
        <w:t>While c</w:t>
      </w:r>
      <w:r w:rsidR="0062206B">
        <w:rPr>
          <w:rFonts w:ascii="Verdana" w:hAnsi="Verdana"/>
          <w:szCs w:val="19"/>
        </w:rPr>
        <w:t>omparisons can be made between the outcomes of graduates from government-funded TAFE</w:t>
      </w:r>
      <w:r w:rsidR="00DA6E0C">
        <w:rPr>
          <w:rFonts w:ascii="Verdana" w:hAnsi="Verdana"/>
          <w:szCs w:val="19"/>
        </w:rPr>
        <w:t xml:space="preserve"> training</w:t>
      </w:r>
      <w:r w:rsidR="0062206B">
        <w:rPr>
          <w:rFonts w:ascii="Verdana" w:hAnsi="Verdana"/>
          <w:szCs w:val="19"/>
        </w:rPr>
        <w:t xml:space="preserve"> and graduates from government-funded private provider</w:t>
      </w:r>
      <w:r w:rsidR="00DA6E0C">
        <w:rPr>
          <w:rFonts w:ascii="Verdana" w:hAnsi="Verdana"/>
          <w:szCs w:val="19"/>
        </w:rPr>
        <w:t xml:space="preserve"> training</w:t>
      </w:r>
      <w:r w:rsidR="0062206B">
        <w:rPr>
          <w:rFonts w:ascii="Verdana" w:hAnsi="Verdana"/>
          <w:szCs w:val="19"/>
        </w:rPr>
        <w:t xml:space="preserve">, </w:t>
      </w:r>
      <w:r w:rsidR="00717F0F">
        <w:rPr>
          <w:rFonts w:ascii="Verdana" w:hAnsi="Verdana"/>
          <w:szCs w:val="19"/>
        </w:rPr>
        <w:t xml:space="preserve">the diversity </w:t>
      </w:r>
      <w:r w:rsidR="0062206B">
        <w:rPr>
          <w:rFonts w:ascii="Verdana" w:hAnsi="Verdana"/>
          <w:szCs w:val="19"/>
        </w:rPr>
        <w:t>between th</w:t>
      </w:r>
      <w:r w:rsidR="0062206B" w:rsidRPr="00517DBD">
        <w:rPr>
          <w:rFonts w:ascii="Verdana" w:hAnsi="Verdana"/>
          <w:szCs w:val="19"/>
        </w:rPr>
        <w:t>ese cohort</w:t>
      </w:r>
      <w:r w:rsidR="0062206B">
        <w:rPr>
          <w:rFonts w:ascii="Verdana" w:hAnsi="Verdana"/>
          <w:szCs w:val="19"/>
        </w:rPr>
        <w:t>s</w:t>
      </w:r>
      <w:r w:rsidR="0062206B" w:rsidRPr="00517DBD">
        <w:rPr>
          <w:rFonts w:ascii="Verdana" w:hAnsi="Verdana"/>
          <w:szCs w:val="19"/>
        </w:rPr>
        <w:t xml:space="preserve"> </w:t>
      </w:r>
      <w:r w:rsidR="00717F0F">
        <w:rPr>
          <w:rFonts w:ascii="Verdana" w:hAnsi="Verdana"/>
          <w:szCs w:val="19"/>
        </w:rPr>
        <w:t xml:space="preserve">(as discussed above) </w:t>
      </w:r>
      <w:proofErr w:type="gramStart"/>
      <w:r w:rsidR="008717EF">
        <w:rPr>
          <w:rFonts w:ascii="Verdana" w:hAnsi="Verdana"/>
          <w:szCs w:val="19"/>
        </w:rPr>
        <w:t>need</w:t>
      </w:r>
      <w:proofErr w:type="gramEnd"/>
      <w:r w:rsidR="008717EF">
        <w:rPr>
          <w:rFonts w:ascii="Verdana" w:hAnsi="Verdana"/>
          <w:szCs w:val="19"/>
        </w:rPr>
        <w:t xml:space="preserve"> to </w:t>
      </w:r>
      <w:r w:rsidR="00717F0F">
        <w:rPr>
          <w:rFonts w:ascii="Verdana" w:hAnsi="Verdana"/>
          <w:szCs w:val="19"/>
        </w:rPr>
        <w:t xml:space="preserve">also </w:t>
      </w:r>
      <w:r w:rsidR="008717EF">
        <w:rPr>
          <w:rFonts w:ascii="Verdana" w:hAnsi="Verdana"/>
          <w:szCs w:val="19"/>
        </w:rPr>
        <w:t xml:space="preserve">be </w:t>
      </w:r>
      <w:r w:rsidR="00717F0F">
        <w:rPr>
          <w:rFonts w:ascii="Verdana" w:hAnsi="Verdana"/>
          <w:szCs w:val="19"/>
        </w:rPr>
        <w:t>considered</w:t>
      </w:r>
      <w:r w:rsidR="008717EF">
        <w:rPr>
          <w:rFonts w:ascii="Verdana" w:hAnsi="Verdana"/>
          <w:szCs w:val="19"/>
        </w:rPr>
        <w:t xml:space="preserve">. </w:t>
      </w:r>
      <w:r w:rsidR="00717F0F">
        <w:rPr>
          <w:rFonts w:ascii="Verdana" w:hAnsi="Verdana"/>
          <w:szCs w:val="19"/>
        </w:rPr>
        <w:t xml:space="preserve">In addition: </w:t>
      </w:r>
    </w:p>
    <w:p w:rsidR="00717F0F" w:rsidRPr="00517DBD" w:rsidRDefault="00717F0F" w:rsidP="00717F0F">
      <w:pPr>
        <w:pStyle w:val="Text"/>
        <w:numPr>
          <w:ilvl w:val="0"/>
          <w:numId w:val="21"/>
        </w:numPr>
        <w:spacing w:after="120"/>
        <w:ind w:left="426" w:hanging="437"/>
        <w:jc w:val="both"/>
        <w:rPr>
          <w:rFonts w:ascii="Verdana" w:hAnsi="Verdana"/>
          <w:szCs w:val="19"/>
        </w:rPr>
      </w:pPr>
      <w:r w:rsidRPr="00517DBD">
        <w:rPr>
          <w:rFonts w:ascii="Verdana" w:hAnsi="Verdana"/>
          <w:szCs w:val="19"/>
        </w:rPr>
        <w:t>A higher proportion of government-funded TAFE graduates undertook their training for further study reasons than government-funded private provider graduates, at 6.3% and 1.7% respectively in 2014.</w:t>
      </w:r>
    </w:p>
    <w:p w:rsidR="00717F0F" w:rsidRPr="00517DBD" w:rsidRDefault="00717F0F" w:rsidP="00717F0F">
      <w:pPr>
        <w:pStyle w:val="Text"/>
        <w:numPr>
          <w:ilvl w:val="0"/>
          <w:numId w:val="21"/>
        </w:numPr>
        <w:spacing w:after="120"/>
        <w:ind w:left="426" w:hanging="437"/>
        <w:jc w:val="both"/>
        <w:rPr>
          <w:rFonts w:ascii="Verdana" w:hAnsi="Verdana"/>
          <w:szCs w:val="19"/>
        </w:rPr>
      </w:pPr>
      <w:r w:rsidRPr="00517DBD">
        <w:rPr>
          <w:rFonts w:ascii="Verdana" w:hAnsi="Verdana"/>
          <w:szCs w:val="19"/>
        </w:rPr>
        <w:t>A lower proportion of government-funded TAFE graduates were employed before undertaking the training than government-funded private provider graduates, at 68.1% and 72.2% respectively in 2014.</w:t>
      </w:r>
    </w:p>
    <w:p w:rsidR="00517DBD" w:rsidRPr="00396544" w:rsidRDefault="00517DBD" w:rsidP="00517DBD">
      <w:pPr>
        <w:pStyle w:val="Text"/>
        <w:rPr>
          <w:rFonts w:ascii="Verdana" w:hAnsi="Verdana"/>
          <w:i/>
          <w:szCs w:val="19"/>
        </w:rPr>
      </w:pPr>
      <w:r w:rsidRPr="00396544">
        <w:rPr>
          <w:rFonts w:ascii="Verdana" w:hAnsi="Verdana"/>
          <w:i/>
          <w:szCs w:val="19"/>
        </w:rPr>
        <w:t>Employment and further study outcomes</w:t>
      </w:r>
    </w:p>
    <w:p w:rsidR="00517DBD" w:rsidRPr="00517DBD" w:rsidRDefault="00517DBD" w:rsidP="00060C31">
      <w:pPr>
        <w:pStyle w:val="Text"/>
        <w:jc w:val="both"/>
        <w:rPr>
          <w:rFonts w:ascii="Verdana" w:hAnsi="Verdana"/>
          <w:szCs w:val="19"/>
        </w:rPr>
      </w:pPr>
      <w:r w:rsidRPr="00517DBD">
        <w:rPr>
          <w:rFonts w:ascii="Verdana" w:hAnsi="Verdana"/>
          <w:szCs w:val="19"/>
        </w:rPr>
        <w:t>Over the last five years (from 2010 to 2014) outcomes for government funded VET graduates have remained reasonably constant</w:t>
      </w:r>
      <w:r w:rsidR="00C301F3">
        <w:rPr>
          <w:rFonts w:ascii="Verdana" w:hAnsi="Verdana"/>
          <w:szCs w:val="19"/>
        </w:rPr>
        <w:t xml:space="preserve"> (NCVER, 2014d)</w:t>
      </w:r>
      <w:r w:rsidRPr="00517DBD">
        <w:rPr>
          <w:rFonts w:ascii="Verdana" w:hAnsi="Verdana"/>
          <w:szCs w:val="19"/>
        </w:rPr>
        <w:t>.  In general:</w:t>
      </w:r>
    </w:p>
    <w:p w:rsidR="00517DBD" w:rsidRPr="00517DBD" w:rsidRDefault="00517DBD" w:rsidP="00060C31">
      <w:pPr>
        <w:pStyle w:val="Text"/>
        <w:numPr>
          <w:ilvl w:val="0"/>
          <w:numId w:val="21"/>
        </w:numPr>
        <w:spacing w:after="120"/>
        <w:ind w:left="426" w:hanging="426"/>
        <w:jc w:val="both"/>
        <w:rPr>
          <w:rFonts w:ascii="Verdana" w:hAnsi="Verdana"/>
          <w:szCs w:val="19"/>
        </w:rPr>
      </w:pPr>
      <w:r w:rsidRPr="00517DBD">
        <w:rPr>
          <w:rFonts w:ascii="Verdana" w:hAnsi="Verdana"/>
          <w:szCs w:val="19"/>
        </w:rPr>
        <w:t>Similar proportions of government-funded TAFE and private provider graduates were employed or in further study after training, at 87.8% and 87.1% respectively in 2014.</w:t>
      </w:r>
    </w:p>
    <w:p w:rsidR="00517DBD" w:rsidRPr="00517DBD" w:rsidRDefault="00517DBD" w:rsidP="00060C31">
      <w:pPr>
        <w:pStyle w:val="Text"/>
        <w:numPr>
          <w:ilvl w:val="0"/>
          <w:numId w:val="21"/>
        </w:numPr>
        <w:spacing w:after="120"/>
        <w:ind w:left="426" w:hanging="426"/>
        <w:jc w:val="both"/>
        <w:rPr>
          <w:rFonts w:ascii="Verdana" w:hAnsi="Verdana"/>
          <w:szCs w:val="19"/>
        </w:rPr>
      </w:pPr>
      <w:r w:rsidRPr="00517DBD">
        <w:rPr>
          <w:rFonts w:ascii="Verdana" w:hAnsi="Verdana"/>
          <w:szCs w:val="19"/>
        </w:rPr>
        <w:t>A lower proportion of government-funded TAFE graduates were employed after training compared with those from private providers, at 74.9% and 78.8% respectively in 2014.</w:t>
      </w:r>
    </w:p>
    <w:p w:rsidR="00517DBD" w:rsidRPr="00517DBD" w:rsidRDefault="00517DBD" w:rsidP="00060C31">
      <w:pPr>
        <w:pStyle w:val="Text"/>
        <w:numPr>
          <w:ilvl w:val="0"/>
          <w:numId w:val="21"/>
        </w:numPr>
        <w:ind w:left="426" w:hanging="426"/>
        <w:jc w:val="both"/>
        <w:rPr>
          <w:rFonts w:ascii="Verdana" w:hAnsi="Verdana"/>
          <w:szCs w:val="19"/>
        </w:rPr>
      </w:pPr>
      <w:r w:rsidRPr="00517DBD">
        <w:rPr>
          <w:rFonts w:ascii="Verdana" w:hAnsi="Verdana"/>
          <w:szCs w:val="19"/>
        </w:rPr>
        <w:t>However, a higher proportion of government-funded TAFE graduates were enrolled in further study after training compared with those from private providers, at 38.1% and 31.7% respectively in 2014.</w:t>
      </w:r>
    </w:p>
    <w:p w:rsidR="00517DBD" w:rsidRPr="00396544" w:rsidRDefault="00517DBD" w:rsidP="00396544">
      <w:pPr>
        <w:pStyle w:val="Text"/>
        <w:rPr>
          <w:rFonts w:ascii="Verdana" w:hAnsi="Verdana"/>
          <w:i/>
          <w:szCs w:val="19"/>
        </w:rPr>
      </w:pPr>
      <w:r w:rsidRPr="00396544">
        <w:rPr>
          <w:rFonts w:ascii="Verdana" w:hAnsi="Verdana"/>
          <w:i/>
          <w:szCs w:val="19"/>
        </w:rPr>
        <w:t>Satisfaction with training</w:t>
      </w:r>
    </w:p>
    <w:p w:rsidR="00517DBD" w:rsidRPr="00517DBD" w:rsidRDefault="00517DBD" w:rsidP="00060C31">
      <w:pPr>
        <w:pStyle w:val="Text"/>
        <w:jc w:val="both"/>
        <w:rPr>
          <w:rFonts w:ascii="Verdana" w:hAnsi="Verdana"/>
          <w:szCs w:val="19"/>
        </w:rPr>
      </w:pPr>
      <w:r w:rsidRPr="00517DBD">
        <w:rPr>
          <w:rFonts w:ascii="Verdana" w:hAnsi="Verdana"/>
          <w:szCs w:val="19"/>
        </w:rPr>
        <w:t xml:space="preserve">Over the last two years, a slightly higher proportion of government-funded TAFE graduates were satisfied with the overall quality of their training compared with those from private providers, at 88.7% </w:t>
      </w:r>
      <w:r w:rsidR="00396544">
        <w:rPr>
          <w:rFonts w:ascii="Verdana" w:hAnsi="Verdana"/>
          <w:szCs w:val="19"/>
        </w:rPr>
        <w:t>and 85.9% respectively in 2014.</w:t>
      </w:r>
    </w:p>
    <w:p w:rsidR="00517DBD" w:rsidRPr="00396544" w:rsidRDefault="00517DBD" w:rsidP="00517DBD">
      <w:pPr>
        <w:pStyle w:val="Text"/>
        <w:rPr>
          <w:rFonts w:ascii="Verdana" w:hAnsi="Verdana"/>
          <w:i/>
          <w:szCs w:val="19"/>
        </w:rPr>
      </w:pPr>
      <w:r w:rsidRPr="00396544">
        <w:rPr>
          <w:rFonts w:ascii="Verdana" w:hAnsi="Verdana"/>
          <w:i/>
          <w:szCs w:val="19"/>
        </w:rPr>
        <w:t>Benefits from training</w:t>
      </w:r>
    </w:p>
    <w:p w:rsidR="00517DBD" w:rsidRPr="00517DBD" w:rsidRDefault="00517DBD" w:rsidP="00060C31">
      <w:pPr>
        <w:pStyle w:val="Text"/>
        <w:jc w:val="both"/>
        <w:rPr>
          <w:rFonts w:ascii="Verdana" w:hAnsi="Verdana"/>
          <w:szCs w:val="19"/>
        </w:rPr>
      </w:pPr>
      <w:r w:rsidRPr="00517DBD">
        <w:rPr>
          <w:rFonts w:ascii="Verdana" w:hAnsi="Verdana"/>
          <w:szCs w:val="19"/>
        </w:rPr>
        <w:t>Of those employed before training, a higher proportion of government-funded TAFE graduates received at least one job-related benefit from the training compared with those from private providers, at 74.3% and 70.6% respectively in 2014.</w:t>
      </w:r>
    </w:p>
    <w:p w:rsidR="00517DBD" w:rsidRPr="00396544" w:rsidRDefault="00517DBD" w:rsidP="00517DBD">
      <w:pPr>
        <w:pStyle w:val="Text"/>
        <w:rPr>
          <w:rFonts w:ascii="Verdana" w:hAnsi="Verdana"/>
          <w:i/>
          <w:szCs w:val="19"/>
        </w:rPr>
      </w:pPr>
      <w:r w:rsidRPr="00396544">
        <w:rPr>
          <w:rFonts w:ascii="Verdana" w:hAnsi="Verdana"/>
          <w:i/>
          <w:szCs w:val="19"/>
        </w:rPr>
        <w:t>Improved employment status after training</w:t>
      </w:r>
    </w:p>
    <w:p w:rsidR="00517DBD" w:rsidRPr="00517DBD" w:rsidRDefault="00517DBD" w:rsidP="00060C31">
      <w:pPr>
        <w:pStyle w:val="Text"/>
        <w:jc w:val="both"/>
        <w:rPr>
          <w:rFonts w:ascii="Verdana" w:hAnsi="Verdana"/>
          <w:szCs w:val="19"/>
        </w:rPr>
      </w:pPr>
      <w:r w:rsidRPr="00517DBD">
        <w:rPr>
          <w:rFonts w:ascii="Verdana" w:hAnsi="Verdana"/>
          <w:szCs w:val="19"/>
        </w:rPr>
        <w:t>Similar proportions of government-funded TAFE and private provider graduates had an improved employment status after training, at 58.9% and 59.9% respectively in 2014.</w:t>
      </w:r>
    </w:p>
    <w:p w:rsidR="00517DBD" w:rsidRPr="00517DBD" w:rsidRDefault="00517DBD" w:rsidP="00060C31">
      <w:pPr>
        <w:pStyle w:val="Text"/>
        <w:jc w:val="both"/>
        <w:rPr>
          <w:rFonts w:ascii="Verdana" w:hAnsi="Verdana"/>
          <w:szCs w:val="19"/>
        </w:rPr>
      </w:pPr>
      <w:r w:rsidRPr="00517DBD">
        <w:rPr>
          <w:rFonts w:ascii="Verdana" w:hAnsi="Verdana"/>
          <w:szCs w:val="19"/>
        </w:rPr>
        <w:t>Of those employed before training, a higher proportion of government-funded TAFE graduates were employed at a higher skill level after training compared with those from private providers, at 17.3% and 13.6% respectively in 2014.</w:t>
      </w:r>
    </w:p>
    <w:p w:rsidR="00517DBD" w:rsidRPr="00517DBD" w:rsidRDefault="00517DBD" w:rsidP="00060C31">
      <w:pPr>
        <w:pStyle w:val="Text"/>
        <w:jc w:val="both"/>
        <w:rPr>
          <w:rFonts w:ascii="Verdana" w:hAnsi="Verdana"/>
          <w:szCs w:val="19"/>
        </w:rPr>
      </w:pPr>
      <w:r w:rsidRPr="00517DBD">
        <w:rPr>
          <w:rFonts w:ascii="Verdana" w:hAnsi="Verdana"/>
          <w:szCs w:val="19"/>
        </w:rPr>
        <w:t>Of those not employed before training, a lower proportion of government-funded TAFE graduates were employed after training compared with those from private providers, at 42.3% and 47.2% respectively in 2014.</w:t>
      </w:r>
    </w:p>
    <w:p w:rsidR="00717F0F" w:rsidRDefault="00717F0F" w:rsidP="00060C31">
      <w:pPr>
        <w:pStyle w:val="Text"/>
        <w:spacing w:after="0"/>
        <w:jc w:val="both"/>
        <w:rPr>
          <w:rFonts w:ascii="Verdana" w:hAnsi="Verdana"/>
        </w:rPr>
      </w:pPr>
    </w:p>
    <w:p w:rsidR="00EF4131" w:rsidRPr="00810DF0" w:rsidRDefault="00E61D11" w:rsidP="00060C31">
      <w:pPr>
        <w:pStyle w:val="Text"/>
        <w:spacing w:after="0"/>
        <w:jc w:val="both"/>
        <w:rPr>
          <w:rFonts w:ascii="Verdana" w:hAnsi="Verdana"/>
        </w:rPr>
      </w:pPr>
      <w:r w:rsidRPr="00810DF0">
        <w:rPr>
          <w:rFonts w:ascii="Verdana" w:hAnsi="Verdana"/>
        </w:rPr>
        <w:t xml:space="preserve">Detailed tables are provided in Appendix 1. </w:t>
      </w:r>
    </w:p>
    <w:p w:rsidR="00810DF0" w:rsidRPr="00810DF0" w:rsidRDefault="00810DF0" w:rsidP="00060C31">
      <w:pPr>
        <w:pStyle w:val="Text"/>
        <w:spacing w:after="0"/>
        <w:jc w:val="both"/>
        <w:rPr>
          <w:rFonts w:ascii="Verdana" w:hAnsi="Verdana"/>
        </w:rPr>
      </w:pPr>
    </w:p>
    <w:p w:rsidR="00A76961" w:rsidRDefault="00A76961" w:rsidP="00810DF0">
      <w:pPr>
        <w:pStyle w:val="Text"/>
        <w:rPr>
          <w:rFonts w:ascii="Verdana" w:hAnsi="Verdana"/>
          <w:b/>
        </w:rPr>
      </w:pPr>
    </w:p>
    <w:p w:rsidR="00A76961" w:rsidRDefault="00A76961" w:rsidP="00810DF0">
      <w:pPr>
        <w:pStyle w:val="Text"/>
        <w:rPr>
          <w:rFonts w:ascii="Verdana" w:hAnsi="Verdana"/>
          <w:b/>
        </w:rPr>
      </w:pPr>
    </w:p>
    <w:p w:rsidR="00810DF0" w:rsidRPr="00810DF0" w:rsidRDefault="00810DF0" w:rsidP="00810DF0">
      <w:pPr>
        <w:pStyle w:val="Text"/>
        <w:rPr>
          <w:rFonts w:ascii="Verdana" w:hAnsi="Verdana"/>
          <w:b/>
        </w:rPr>
      </w:pPr>
      <w:r w:rsidRPr="00810DF0">
        <w:rPr>
          <w:rFonts w:ascii="Verdana" w:hAnsi="Verdana"/>
          <w:b/>
        </w:rPr>
        <w:lastRenderedPageBreak/>
        <w:t>Factors enabling effective transitions to work and further study</w:t>
      </w:r>
      <w:r w:rsidR="00A76961">
        <w:rPr>
          <w:rStyle w:val="FootnoteReference"/>
          <w:rFonts w:ascii="Verdana" w:hAnsi="Verdana"/>
          <w:b/>
        </w:rPr>
        <w:footnoteReference w:id="7"/>
      </w:r>
    </w:p>
    <w:p w:rsidR="001F31B5" w:rsidRDefault="00810DF0" w:rsidP="00060C31">
      <w:pPr>
        <w:pStyle w:val="Text"/>
        <w:jc w:val="both"/>
        <w:rPr>
          <w:rFonts w:ascii="Verdana" w:hAnsi="Verdana"/>
        </w:rPr>
      </w:pPr>
      <w:r>
        <w:rPr>
          <w:rFonts w:ascii="Verdana" w:hAnsi="Verdana"/>
        </w:rPr>
        <w:t>Regardless of type of training provider there</w:t>
      </w:r>
      <w:r w:rsidRPr="00810DF0">
        <w:rPr>
          <w:rFonts w:ascii="Verdana" w:hAnsi="Verdana"/>
        </w:rPr>
        <w:t xml:space="preserve"> are a range of studies indicating that well-established training providers with the capacity to develop effective relationships with employers are able to deliver better outcomes for VET students.  </w:t>
      </w:r>
    </w:p>
    <w:p w:rsidR="00810DF0" w:rsidRDefault="00810DF0" w:rsidP="00060C31">
      <w:pPr>
        <w:pStyle w:val="Text"/>
        <w:jc w:val="both"/>
        <w:rPr>
          <w:rFonts w:ascii="Verdana" w:hAnsi="Verdana"/>
        </w:rPr>
      </w:pPr>
      <w:r w:rsidRPr="00810DF0">
        <w:rPr>
          <w:rFonts w:ascii="Verdana" w:hAnsi="Verdana"/>
        </w:rPr>
        <w:t xml:space="preserve">Effective </w:t>
      </w:r>
      <w:r w:rsidR="00E620C7">
        <w:rPr>
          <w:rFonts w:ascii="Verdana" w:hAnsi="Verdana"/>
        </w:rPr>
        <w:t xml:space="preserve">provider </w:t>
      </w:r>
      <w:r w:rsidRPr="00810DF0">
        <w:rPr>
          <w:rFonts w:ascii="Verdana" w:hAnsi="Verdana"/>
        </w:rPr>
        <w:t xml:space="preserve">engagement with </w:t>
      </w:r>
      <w:r w:rsidRPr="004252D4">
        <w:rPr>
          <w:rFonts w:ascii="Verdana" w:hAnsi="Verdana"/>
        </w:rPr>
        <w:t xml:space="preserve">industry can foster innovation and diffusion of new technology (Callan, 2004).  </w:t>
      </w:r>
      <w:r w:rsidR="001F31B5">
        <w:rPr>
          <w:rFonts w:ascii="Verdana" w:hAnsi="Verdana"/>
        </w:rPr>
        <w:t>I</w:t>
      </w:r>
      <w:r w:rsidRPr="004252D4">
        <w:rPr>
          <w:rFonts w:ascii="Verdana" w:hAnsi="Verdana"/>
        </w:rPr>
        <w:t>ndividual</w:t>
      </w:r>
      <w:r w:rsidR="001F31B5">
        <w:rPr>
          <w:rFonts w:ascii="Verdana" w:hAnsi="Verdana"/>
        </w:rPr>
        <w:t>s</w:t>
      </w:r>
      <w:r w:rsidRPr="004252D4">
        <w:rPr>
          <w:rFonts w:ascii="Verdana" w:hAnsi="Verdana"/>
        </w:rPr>
        <w:t xml:space="preserve"> and teams engag</w:t>
      </w:r>
      <w:r w:rsidR="001F31B5">
        <w:rPr>
          <w:rFonts w:ascii="Verdana" w:hAnsi="Verdana"/>
        </w:rPr>
        <w:t>ing in</w:t>
      </w:r>
      <w:r w:rsidRPr="004252D4">
        <w:rPr>
          <w:rFonts w:ascii="Verdana" w:hAnsi="Verdana"/>
        </w:rPr>
        <w:t xml:space="preserve"> broader industry partnerships </w:t>
      </w:r>
      <w:r w:rsidR="001F31B5">
        <w:rPr>
          <w:rFonts w:ascii="Verdana" w:hAnsi="Verdana"/>
        </w:rPr>
        <w:t xml:space="preserve">often </w:t>
      </w:r>
      <w:r w:rsidRPr="004252D4">
        <w:rPr>
          <w:rFonts w:ascii="Verdana" w:hAnsi="Verdana"/>
        </w:rPr>
        <w:t>promot</w:t>
      </w:r>
      <w:r w:rsidR="001F31B5">
        <w:rPr>
          <w:rFonts w:ascii="Verdana" w:hAnsi="Verdana"/>
        </w:rPr>
        <w:t>e</w:t>
      </w:r>
      <w:r w:rsidRPr="004252D4">
        <w:rPr>
          <w:rFonts w:ascii="Verdana" w:hAnsi="Verdana"/>
        </w:rPr>
        <w:t xml:space="preserve"> more flexible training programs</w:t>
      </w:r>
      <w:r w:rsidR="001F31B5">
        <w:rPr>
          <w:rFonts w:ascii="Verdana" w:hAnsi="Verdana"/>
        </w:rPr>
        <w:t xml:space="preserve"> that </w:t>
      </w:r>
      <w:r w:rsidRPr="004252D4">
        <w:rPr>
          <w:rFonts w:ascii="Verdana" w:hAnsi="Verdana"/>
        </w:rPr>
        <w:t xml:space="preserve">yield good financial returns and staff development opportunities for both the </w:t>
      </w:r>
      <w:r w:rsidR="001F31B5">
        <w:rPr>
          <w:rFonts w:ascii="Verdana" w:hAnsi="Verdana"/>
        </w:rPr>
        <w:t xml:space="preserve">RTO and </w:t>
      </w:r>
      <w:r w:rsidRPr="004252D4">
        <w:rPr>
          <w:rFonts w:ascii="Verdana" w:hAnsi="Verdana"/>
        </w:rPr>
        <w:t xml:space="preserve">the industry </w:t>
      </w:r>
      <w:r w:rsidR="001F31B5">
        <w:rPr>
          <w:rFonts w:ascii="Verdana" w:hAnsi="Verdana"/>
        </w:rPr>
        <w:t>partner</w:t>
      </w:r>
      <w:r w:rsidRPr="004252D4">
        <w:rPr>
          <w:rFonts w:ascii="Verdana" w:hAnsi="Verdana"/>
        </w:rPr>
        <w:t xml:space="preserve">. Partnerships have </w:t>
      </w:r>
      <w:r w:rsidR="001F31B5">
        <w:rPr>
          <w:rFonts w:ascii="Verdana" w:hAnsi="Verdana"/>
        </w:rPr>
        <w:t xml:space="preserve">also </w:t>
      </w:r>
      <w:r w:rsidRPr="004252D4">
        <w:rPr>
          <w:rFonts w:ascii="Verdana" w:hAnsi="Verdana"/>
        </w:rPr>
        <w:t>allowed experimentation and fine-tuning of practices, such as flexible and individualised training, customisation of training, blended models of delivery, the use of workplace assessors, and the mapping of competency development within existing workplace projects.</w:t>
      </w:r>
    </w:p>
    <w:p w:rsidR="00D06CFB" w:rsidRPr="004252D4" w:rsidRDefault="004C6659" w:rsidP="00060C31">
      <w:pPr>
        <w:pStyle w:val="Text"/>
        <w:jc w:val="both"/>
        <w:rPr>
          <w:rFonts w:ascii="Verdana" w:hAnsi="Verdana"/>
        </w:rPr>
      </w:pPr>
      <w:r>
        <w:rPr>
          <w:rFonts w:ascii="Verdana" w:hAnsi="Verdana"/>
        </w:rPr>
        <w:t>When managed well, a</w:t>
      </w:r>
      <w:r w:rsidR="00D06CFB">
        <w:rPr>
          <w:rFonts w:ascii="Verdana" w:hAnsi="Verdana"/>
        </w:rPr>
        <w:t xml:space="preserve">pprenticeships and traineeships as a three way </w:t>
      </w:r>
      <w:r>
        <w:rPr>
          <w:rFonts w:ascii="Verdana" w:hAnsi="Verdana"/>
        </w:rPr>
        <w:t>e</w:t>
      </w:r>
      <w:r w:rsidR="00D06CFB">
        <w:rPr>
          <w:rFonts w:ascii="Verdana" w:hAnsi="Verdana"/>
        </w:rPr>
        <w:t xml:space="preserve">ngagement between provider, employer and individual is </w:t>
      </w:r>
      <w:r w:rsidR="007263A2">
        <w:rPr>
          <w:rFonts w:ascii="Verdana" w:hAnsi="Verdana"/>
        </w:rPr>
        <w:t xml:space="preserve">also </w:t>
      </w:r>
      <w:r w:rsidR="00D06CFB">
        <w:rPr>
          <w:rFonts w:ascii="Verdana" w:hAnsi="Verdana"/>
        </w:rPr>
        <w:t xml:space="preserve">a powerful on and off the job learning experience. </w:t>
      </w:r>
      <w:r>
        <w:rPr>
          <w:rFonts w:ascii="Verdana" w:hAnsi="Verdana"/>
        </w:rPr>
        <w:t>F</w:t>
      </w:r>
      <w:r w:rsidRPr="004C6659">
        <w:rPr>
          <w:rFonts w:ascii="Verdana" w:hAnsi="Verdana"/>
        </w:rPr>
        <w:t xml:space="preserve">rom the Apprentice and Trainee Destination Survey (NCVER 2009; 2010) and other studies (Cully &amp; Curtain 2001) </w:t>
      </w:r>
      <w:r>
        <w:rPr>
          <w:rFonts w:ascii="Verdana" w:hAnsi="Verdana"/>
        </w:rPr>
        <w:t xml:space="preserve">we </w:t>
      </w:r>
      <w:r w:rsidRPr="004C6659">
        <w:rPr>
          <w:rFonts w:ascii="Verdana" w:hAnsi="Verdana"/>
        </w:rPr>
        <w:t>suggest that the off-the-job training experience</w:t>
      </w:r>
      <w:r>
        <w:rPr>
          <w:rFonts w:ascii="Verdana" w:hAnsi="Verdana"/>
        </w:rPr>
        <w:t xml:space="preserve"> </w:t>
      </w:r>
      <w:r w:rsidR="00FC1232">
        <w:rPr>
          <w:rFonts w:ascii="Verdana" w:hAnsi="Verdana"/>
        </w:rPr>
        <w:t xml:space="preserve">delivered </w:t>
      </w:r>
      <w:r>
        <w:rPr>
          <w:rFonts w:ascii="Verdana" w:hAnsi="Verdana"/>
        </w:rPr>
        <w:t xml:space="preserve">by the training provider </w:t>
      </w:r>
      <w:r w:rsidRPr="004C6659">
        <w:rPr>
          <w:rFonts w:ascii="Verdana" w:hAnsi="Verdana"/>
        </w:rPr>
        <w:t>is not the main cause of non-completion.</w:t>
      </w:r>
    </w:p>
    <w:p w:rsidR="00810DF0" w:rsidRPr="004252D4" w:rsidRDefault="00810DF0" w:rsidP="00060C31">
      <w:pPr>
        <w:pStyle w:val="Text"/>
        <w:jc w:val="both"/>
        <w:rPr>
          <w:rFonts w:ascii="Verdana" w:hAnsi="Verdana"/>
        </w:rPr>
      </w:pPr>
      <w:r w:rsidRPr="004252D4">
        <w:rPr>
          <w:rFonts w:ascii="Verdana" w:hAnsi="Verdana"/>
        </w:rPr>
        <w:t xml:space="preserve">Similarly, stable credit transfer arrangements are critical to the value of training for many students.  Credit transfer arrangements are the subject of negotiation between VET providers, and universities or higher education providers.  Effective arrangements rely on institutional relationships, which in turn rely on relationships between individual teachers and trainers at the faculty or school level (Robinson and Misko, 2003; </w:t>
      </w:r>
      <w:proofErr w:type="spellStart"/>
      <w:r w:rsidRPr="004252D4">
        <w:rPr>
          <w:rFonts w:ascii="Verdana" w:hAnsi="Verdana"/>
        </w:rPr>
        <w:t>Wheelahan</w:t>
      </w:r>
      <w:proofErr w:type="spellEnd"/>
      <w:r w:rsidRPr="004252D4">
        <w:rPr>
          <w:rFonts w:ascii="Verdana" w:hAnsi="Verdana"/>
        </w:rPr>
        <w:t xml:space="preserve">, </w:t>
      </w:r>
      <w:proofErr w:type="spellStart"/>
      <w:r w:rsidRPr="004252D4">
        <w:rPr>
          <w:rFonts w:ascii="Verdana" w:hAnsi="Verdana"/>
        </w:rPr>
        <w:t>Moodie</w:t>
      </w:r>
      <w:proofErr w:type="spellEnd"/>
      <w:r w:rsidRPr="004252D4">
        <w:rPr>
          <w:rFonts w:ascii="Verdana" w:hAnsi="Verdana"/>
        </w:rPr>
        <w:t xml:space="preserve">, Billet and Wells, 2009).  Indeed, transfer in both directions between VET and higher education is common (Harris, Sumner and Rainey, 2005). </w:t>
      </w:r>
    </w:p>
    <w:p w:rsidR="00810DF0" w:rsidRDefault="00810DF0" w:rsidP="00060C31">
      <w:pPr>
        <w:pStyle w:val="Text"/>
        <w:jc w:val="both"/>
        <w:rPr>
          <w:rFonts w:ascii="Verdana" w:hAnsi="Verdana"/>
        </w:rPr>
      </w:pPr>
      <w:r w:rsidRPr="004252D4">
        <w:rPr>
          <w:rFonts w:ascii="Verdana" w:hAnsi="Verdana"/>
        </w:rPr>
        <w:t>Providers should also have the capacity to develop effective relationships with employers, job network agencies and local communities to enable work-integrated learning and pathways to employment (</w:t>
      </w:r>
      <w:proofErr w:type="spellStart"/>
      <w:r w:rsidRPr="004252D4">
        <w:rPr>
          <w:rFonts w:ascii="Verdana" w:hAnsi="Verdana"/>
        </w:rPr>
        <w:t>Wyn</w:t>
      </w:r>
      <w:proofErr w:type="spellEnd"/>
      <w:r w:rsidRPr="004252D4">
        <w:rPr>
          <w:rFonts w:ascii="Verdana" w:hAnsi="Verdana"/>
        </w:rPr>
        <w:t>, Stokes and Tyler, 2004; Barnett and Spoehr, 2008; Walls and Pardy, 2010).</w:t>
      </w:r>
    </w:p>
    <w:p w:rsidR="009F073D" w:rsidRPr="009F073D" w:rsidRDefault="009F073D" w:rsidP="00810DF0">
      <w:pPr>
        <w:pStyle w:val="Text"/>
        <w:rPr>
          <w:rFonts w:ascii="Verdana" w:hAnsi="Verdana"/>
          <w:b/>
        </w:rPr>
      </w:pPr>
      <w:r w:rsidRPr="009F073D">
        <w:rPr>
          <w:rFonts w:ascii="Verdana" w:hAnsi="Verdana"/>
          <w:b/>
        </w:rPr>
        <w:t xml:space="preserve">International </w:t>
      </w:r>
      <w:r w:rsidR="00384EA9">
        <w:rPr>
          <w:rFonts w:ascii="Verdana" w:hAnsi="Verdana"/>
          <w:b/>
        </w:rPr>
        <w:t>approaches to</w:t>
      </w:r>
      <w:r w:rsidRPr="009F073D">
        <w:rPr>
          <w:rFonts w:ascii="Verdana" w:hAnsi="Verdana"/>
          <w:b/>
        </w:rPr>
        <w:t xml:space="preserve"> regulation</w:t>
      </w:r>
    </w:p>
    <w:p w:rsidR="00C17160" w:rsidRPr="00C17160" w:rsidRDefault="001F31B5" w:rsidP="00060C31">
      <w:pPr>
        <w:pStyle w:val="Text"/>
        <w:jc w:val="both"/>
        <w:rPr>
          <w:rFonts w:ascii="Verdana" w:hAnsi="Verdana"/>
        </w:rPr>
      </w:pPr>
      <w:r>
        <w:rPr>
          <w:rFonts w:ascii="Verdana" w:hAnsi="Verdana"/>
        </w:rPr>
        <w:t>Fo</w:t>
      </w:r>
      <w:r w:rsidR="00C17160">
        <w:rPr>
          <w:rFonts w:ascii="Verdana" w:hAnsi="Verdana"/>
        </w:rPr>
        <w:t xml:space="preserve">rthcoming research by NCVER looks at the regulation </w:t>
      </w:r>
      <w:r w:rsidR="008E4DAA">
        <w:rPr>
          <w:rFonts w:ascii="Verdana" w:hAnsi="Verdana"/>
        </w:rPr>
        <w:t>of VET both in Australia and o</w:t>
      </w:r>
      <w:r w:rsidR="00C17160">
        <w:rPr>
          <w:rFonts w:ascii="Verdana" w:hAnsi="Verdana"/>
        </w:rPr>
        <w:t xml:space="preserve">verseas. Once finalised a copy of the final report will be made available to the Committee. </w:t>
      </w:r>
      <w:r>
        <w:rPr>
          <w:rFonts w:ascii="Verdana" w:hAnsi="Verdana"/>
        </w:rPr>
        <w:t>In general, the p</w:t>
      </w:r>
      <w:r w:rsidR="00254712" w:rsidRPr="00254712">
        <w:rPr>
          <w:rFonts w:ascii="Verdana" w:hAnsi="Verdana"/>
        </w:rPr>
        <w:t>rinciples and practices of regulatory and quality assurance systems for vocational education and training (VET), and other education sectors, at home and overseas are c</w:t>
      </w:r>
      <w:r w:rsidR="00254712">
        <w:rPr>
          <w:rFonts w:ascii="Verdana" w:hAnsi="Verdana"/>
        </w:rPr>
        <w:t>onverging (Misko and Polvere</w:t>
      </w:r>
      <w:r w:rsidR="00C17160">
        <w:rPr>
          <w:rFonts w:ascii="Verdana" w:hAnsi="Verdana"/>
        </w:rPr>
        <w:t xml:space="preserve">, forthcoming </w:t>
      </w:r>
      <w:r w:rsidR="00254712">
        <w:rPr>
          <w:rFonts w:ascii="Verdana" w:hAnsi="Verdana"/>
        </w:rPr>
        <w:t>2015)</w:t>
      </w:r>
      <w:r w:rsidR="00C17160">
        <w:rPr>
          <w:rFonts w:ascii="Verdana" w:hAnsi="Verdana"/>
        </w:rPr>
        <w:t>. A</w:t>
      </w:r>
      <w:r w:rsidR="00C17160" w:rsidRPr="00C17160">
        <w:rPr>
          <w:rFonts w:ascii="Verdana" w:hAnsi="Verdana"/>
        </w:rPr>
        <w:t xml:space="preserve">lthough the details of the regulatory processes followed may differ many of the issues confronted by and important to VET regulation in Australia are often being experienced in education and training systems overseas. </w:t>
      </w:r>
    </w:p>
    <w:p w:rsidR="00C17160" w:rsidRPr="003A32AF" w:rsidRDefault="00C17160" w:rsidP="00060C31">
      <w:pPr>
        <w:pStyle w:val="Text"/>
        <w:jc w:val="both"/>
        <w:rPr>
          <w:rFonts w:ascii="Verdana" w:hAnsi="Verdana"/>
        </w:rPr>
      </w:pPr>
      <w:r w:rsidRPr="003A32AF">
        <w:rPr>
          <w:rFonts w:ascii="Verdana" w:hAnsi="Verdana"/>
        </w:rPr>
        <w:t>Common in many systems are provisions for: initial provider registration, and accreditation (including provisional registration or equivalent); frameworks for qualifications; institutional self-reviews (</w:t>
      </w:r>
      <w:proofErr w:type="spellStart"/>
      <w:r w:rsidRPr="003A32AF">
        <w:rPr>
          <w:rFonts w:ascii="Verdana" w:hAnsi="Verdana"/>
        </w:rPr>
        <w:t>self study</w:t>
      </w:r>
      <w:proofErr w:type="spellEnd"/>
      <w:r w:rsidRPr="003A32AF">
        <w:rPr>
          <w:rFonts w:ascii="Verdana" w:hAnsi="Verdana"/>
        </w:rPr>
        <w:t xml:space="preserve">, </w:t>
      </w:r>
      <w:proofErr w:type="spellStart"/>
      <w:r w:rsidRPr="003A32AF">
        <w:rPr>
          <w:rFonts w:ascii="Verdana" w:hAnsi="Verdana"/>
        </w:rPr>
        <w:t>self assessment</w:t>
      </w:r>
      <w:proofErr w:type="spellEnd"/>
      <w:r w:rsidRPr="003A32AF">
        <w:rPr>
          <w:rFonts w:ascii="Verdana" w:hAnsi="Verdana"/>
        </w:rPr>
        <w:t xml:space="preserve">) combined with external reviews (often including desk-top audits, on-site visits, and third-party assessments). In some countries site visits include observations of teachers and learners in institutions, as well as visits to employers and observations of learners at workplaces. </w:t>
      </w:r>
    </w:p>
    <w:p w:rsidR="00C17160" w:rsidRPr="003A32AF" w:rsidRDefault="00C17160" w:rsidP="00060C31">
      <w:pPr>
        <w:pStyle w:val="Text"/>
        <w:jc w:val="both"/>
        <w:rPr>
          <w:rFonts w:ascii="Verdana" w:hAnsi="Verdana"/>
        </w:rPr>
      </w:pPr>
      <w:r w:rsidRPr="003A32AF">
        <w:rPr>
          <w:rFonts w:ascii="Verdana" w:hAnsi="Verdana"/>
        </w:rPr>
        <w:t xml:space="preserve">The adoption of objective measures on outcomes of performance for systems, providers and students is also gaining traction and encompasses student learning and competency outcomes, graduate destinations, and employer and student satisfaction with training. In some countries </w:t>
      </w:r>
      <w:r w:rsidRPr="003A32AF">
        <w:rPr>
          <w:rFonts w:ascii="Verdana" w:hAnsi="Verdana"/>
        </w:rPr>
        <w:lastRenderedPageBreak/>
        <w:t xml:space="preserve">output measures (like numbers of participating students, teachers and employers and hours of training delivery) continue to be used to signal quality. Although there is increasingly a shift towards continuous improvement as opposed to a strict compliance with rules regimes in many systems, the need for and use of external accountability combined with internal quality assurance regimes remains high. </w:t>
      </w:r>
    </w:p>
    <w:p w:rsidR="00C17160" w:rsidRPr="003A32AF" w:rsidRDefault="00C17160" w:rsidP="00060C31">
      <w:pPr>
        <w:pStyle w:val="Text"/>
        <w:jc w:val="both"/>
        <w:rPr>
          <w:rFonts w:ascii="Verdana" w:hAnsi="Verdana"/>
        </w:rPr>
      </w:pPr>
      <w:r w:rsidRPr="003A32AF">
        <w:rPr>
          <w:rFonts w:ascii="Verdana" w:hAnsi="Verdana"/>
        </w:rPr>
        <w:t xml:space="preserve">Risk-based approaches to reduce regulatory burden on the regulated and the regulator, and to improve the efficient use of resources, are also being commonly applied. This is especially the case for those systems which have given substantial independence and autonomy to providers. The identification of key risk factors helps regulators to establish audit or review schedules and to focus reviews on specific issues. </w:t>
      </w:r>
    </w:p>
    <w:p w:rsidR="00C17160" w:rsidRPr="003A32AF" w:rsidRDefault="00C17160" w:rsidP="00060C31">
      <w:pPr>
        <w:pStyle w:val="Text"/>
        <w:jc w:val="both"/>
        <w:rPr>
          <w:rFonts w:ascii="Verdana" w:hAnsi="Verdana"/>
        </w:rPr>
      </w:pPr>
      <w:r w:rsidRPr="003A32AF">
        <w:rPr>
          <w:rFonts w:ascii="Verdana" w:hAnsi="Verdana"/>
        </w:rPr>
        <w:t>Not surprisingly the key quality standards and or quality areas in many quality systems cover similar issues. These include</w:t>
      </w:r>
      <w:r w:rsidR="00797FCC">
        <w:rPr>
          <w:rFonts w:ascii="Verdana" w:hAnsi="Verdana"/>
        </w:rPr>
        <w:t>:</w:t>
      </w:r>
      <w:r w:rsidRPr="003A32AF">
        <w:rPr>
          <w:rFonts w:ascii="Verdana" w:hAnsi="Verdana"/>
        </w:rPr>
        <w:t xml:space="preserve"> ethical, legal and good business and financial management (including ownership, and financial sustainability)</w:t>
      </w:r>
      <w:r w:rsidR="00797FCC">
        <w:rPr>
          <w:rFonts w:ascii="Verdana" w:hAnsi="Verdana"/>
        </w:rPr>
        <w:t>;</w:t>
      </w:r>
      <w:r w:rsidRPr="003A32AF">
        <w:rPr>
          <w:rFonts w:ascii="Verdana" w:hAnsi="Verdana"/>
        </w:rPr>
        <w:t xml:space="preserve"> competent staff for administrative operations (inclu</w:t>
      </w:r>
      <w:r w:rsidR="00797FCC">
        <w:rPr>
          <w:rFonts w:ascii="Verdana" w:hAnsi="Verdana"/>
        </w:rPr>
        <w:t>ding management and leadership);</w:t>
      </w:r>
      <w:r w:rsidRPr="003A32AF">
        <w:rPr>
          <w:rFonts w:ascii="Verdana" w:hAnsi="Verdana"/>
        </w:rPr>
        <w:t xml:space="preserve"> appropriately qualified teachers, trainers and assessors</w:t>
      </w:r>
      <w:r w:rsidR="00797FCC">
        <w:rPr>
          <w:rFonts w:ascii="Verdana" w:hAnsi="Verdana"/>
        </w:rPr>
        <w:t>;</w:t>
      </w:r>
      <w:r w:rsidRPr="003A32AF">
        <w:rPr>
          <w:rFonts w:ascii="Verdana" w:hAnsi="Verdana"/>
        </w:rPr>
        <w:t xml:space="preserve"> accurate and timely information to be given to students prior to enrolment to enable them to make informed selections</w:t>
      </w:r>
      <w:r w:rsidR="00797FCC">
        <w:rPr>
          <w:rFonts w:ascii="Verdana" w:hAnsi="Verdana"/>
        </w:rPr>
        <w:t>;</w:t>
      </w:r>
      <w:r w:rsidRPr="003A32AF">
        <w:rPr>
          <w:rFonts w:ascii="Verdana" w:hAnsi="Verdana"/>
        </w:rPr>
        <w:t xml:space="preserve"> and non-misleading marketing strategies. </w:t>
      </w:r>
    </w:p>
    <w:p w:rsidR="00C17160" w:rsidRPr="003A32AF" w:rsidRDefault="00C17160" w:rsidP="00060C31">
      <w:pPr>
        <w:pStyle w:val="Text"/>
        <w:jc w:val="both"/>
        <w:rPr>
          <w:rFonts w:ascii="Verdana" w:hAnsi="Verdana"/>
        </w:rPr>
      </w:pPr>
      <w:r w:rsidRPr="003A32AF">
        <w:rPr>
          <w:rFonts w:ascii="Verdana" w:hAnsi="Verdana"/>
        </w:rPr>
        <w:t>There are also definite moves to increase the transparency of information about the expectations and outcomes of service provision supporting consumer choice. Across systems and sectors transparency initiatives are promoted as ways of helping governments, systems, providers and clients make informed decisions. Nevertheless, what are considered to be traditional approaches to ensuring quality continue to operate (for example, defined curriculum and qualifications, external examinations, and inspections). The use of mechanisms to regulate and quality assure providers eligible for government funding is also used in voluntary systems, as in the United States.</w:t>
      </w:r>
    </w:p>
    <w:p w:rsidR="00810DF0" w:rsidRPr="009F073D" w:rsidRDefault="00810DF0" w:rsidP="00810DF0">
      <w:pPr>
        <w:pStyle w:val="Text"/>
        <w:rPr>
          <w:rFonts w:ascii="Verdana" w:hAnsi="Verdana"/>
          <w:b/>
        </w:rPr>
      </w:pPr>
      <w:r w:rsidRPr="009F073D">
        <w:rPr>
          <w:rFonts w:ascii="Verdana" w:hAnsi="Verdana"/>
          <w:b/>
        </w:rPr>
        <w:t>Conclusion</w:t>
      </w:r>
    </w:p>
    <w:p w:rsidR="00810DF0" w:rsidRPr="009F073D" w:rsidRDefault="00810DF0" w:rsidP="00060C31">
      <w:pPr>
        <w:pStyle w:val="Text"/>
        <w:jc w:val="both"/>
        <w:rPr>
          <w:rFonts w:ascii="Verdana" w:hAnsi="Verdana"/>
        </w:rPr>
      </w:pPr>
      <w:r w:rsidRPr="009F073D">
        <w:rPr>
          <w:rFonts w:ascii="Verdana" w:hAnsi="Verdana"/>
        </w:rPr>
        <w:t xml:space="preserve">There are some differences between the characteristics of students of TAFE, and those of private RTOs. Overall, TAFE students are more diverse.  Nonetheless, based on analysis of </w:t>
      </w:r>
      <w:r w:rsidR="00380E5B">
        <w:rPr>
          <w:rFonts w:ascii="Verdana" w:hAnsi="Verdana"/>
        </w:rPr>
        <w:t>publicly</w:t>
      </w:r>
      <w:r w:rsidR="009F073D" w:rsidRPr="009F073D">
        <w:rPr>
          <w:rFonts w:ascii="Verdana" w:hAnsi="Verdana"/>
        </w:rPr>
        <w:t xml:space="preserve"> funded </w:t>
      </w:r>
      <w:r w:rsidRPr="009F073D">
        <w:rPr>
          <w:rFonts w:ascii="Verdana" w:hAnsi="Verdana"/>
        </w:rPr>
        <w:t>training activity and student outcomes it is clear that both TAFE and private training providers can provide effective vocational training leading to both employment and further learning.</w:t>
      </w:r>
    </w:p>
    <w:p w:rsidR="00810DF0" w:rsidRPr="009F073D" w:rsidRDefault="00810DF0" w:rsidP="00060C31">
      <w:pPr>
        <w:pStyle w:val="Text"/>
        <w:jc w:val="both"/>
        <w:rPr>
          <w:rFonts w:ascii="Verdana" w:hAnsi="Verdana"/>
        </w:rPr>
      </w:pPr>
      <w:r w:rsidRPr="009F073D">
        <w:rPr>
          <w:rFonts w:ascii="Verdana" w:hAnsi="Verdana"/>
        </w:rPr>
        <w:t xml:space="preserve">The development of a competitive training market has the potential to encourage effective investment in training.  However, there are clearly risks in a training market based purely on price and short-term funding contracts.  </w:t>
      </w:r>
    </w:p>
    <w:p w:rsidR="00810DF0" w:rsidRDefault="00810DF0" w:rsidP="00060C31">
      <w:pPr>
        <w:pStyle w:val="Text"/>
        <w:jc w:val="both"/>
        <w:rPr>
          <w:rFonts w:ascii="Verdana" w:hAnsi="Verdana"/>
        </w:rPr>
      </w:pPr>
      <w:r w:rsidRPr="009F073D">
        <w:rPr>
          <w:rFonts w:ascii="Verdana" w:hAnsi="Verdana"/>
        </w:rPr>
        <w:t xml:space="preserve">Some aspects </w:t>
      </w:r>
      <w:r w:rsidR="00006AE1">
        <w:rPr>
          <w:rFonts w:ascii="Verdana" w:hAnsi="Verdana"/>
        </w:rPr>
        <w:t>of</w:t>
      </w:r>
      <w:r w:rsidRPr="009F073D">
        <w:rPr>
          <w:rFonts w:ascii="Verdana" w:hAnsi="Verdana"/>
        </w:rPr>
        <w:t xml:space="preserve"> </w:t>
      </w:r>
      <w:r w:rsidR="009F073D">
        <w:rPr>
          <w:rFonts w:ascii="Verdana" w:hAnsi="Verdana"/>
        </w:rPr>
        <w:t>training</w:t>
      </w:r>
      <w:r w:rsidR="00006AE1">
        <w:rPr>
          <w:rFonts w:ascii="Verdana" w:hAnsi="Verdana"/>
        </w:rPr>
        <w:t xml:space="preserve"> </w:t>
      </w:r>
      <w:r w:rsidR="00176021">
        <w:rPr>
          <w:rFonts w:ascii="Verdana" w:hAnsi="Verdana"/>
        </w:rPr>
        <w:t>r</w:t>
      </w:r>
      <w:r w:rsidR="00B7771B">
        <w:rPr>
          <w:rFonts w:ascii="Verdana" w:hAnsi="Verdana"/>
        </w:rPr>
        <w:t xml:space="preserve">equire time to </w:t>
      </w:r>
      <w:r w:rsidRPr="009F073D">
        <w:rPr>
          <w:rFonts w:ascii="Verdana" w:hAnsi="Verdana"/>
        </w:rPr>
        <w:t xml:space="preserve">establish, including effective </w:t>
      </w:r>
      <w:r w:rsidR="00176021">
        <w:rPr>
          <w:rFonts w:ascii="Verdana" w:hAnsi="Verdana"/>
        </w:rPr>
        <w:t xml:space="preserve">training provider </w:t>
      </w:r>
      <w:r w:rsidRPr="009F073D">
        <w:rPr>
          <w:rFonts w:ascii="Verdana" w:hAnsi="Verdana"/>
        </w:rPr>
        <w:t>relationships with employers, other education sectors, and local communities</w:t>
      </w:r>
      <w:r w:rsidR="00176021">
        <w:rPr>
          <w:rFonts w:ascii="Verdana" w:hAnsi="Verdana"/>
        </w:rPr>
        <w:t xml:space="preserve"> (in the </w:t>
      </w:r>
      <w:r w:rsidR="00006AE1">
        <w:rPr>
          <w:rFonts w:ascii="Verdana" w:hAnsi="Verdana"/>
        </w:rPr>
        <w:t xml:space="preserve">case of TAFE Institutes over </w:t>
      </w:r>
      <w:r w:rsidR="00176021">
        <w:rPr>
          <w:rFonts w:ascii="Verdana" w:hAnsi="Verdana"/>
        </w:rPr>
        <w:t xml:space="preserve">several </w:t>
      </w:r>
      <w:r w:rsidR="00006AE1">
        <w:rPr>
          <w:rFonts w:ascii="Verdana" w:hAnsi="Verdana"/>
        </w:rPr>
        <w:t>decades</w:t>
      </w:r>
      <w:r w:rsidR="00176021">
        <w:rPr>
          <w:rFonts w:ascii="Verdana" w:hAnsi="Verdana"/>
        </w:rPr>
        <w:t xml:space="preserve">, </w:t>
      </w:r>
      <w:r w:rsidR="00B7771B">
        <w:rPr>
          <w:rFonts w:ascii="Verdana" w:hAnsi="Verdana"/>
        </w:rPr>
        <w:t>Goozee</w:t>
      </w:r>
      <w:r w:rsidR="00176021">
        <w:rPr>
          <w:rFonts w:ascii="Verdana" w:hAnsi="Verdana"/>
        </w:rPr>
        <w:t xml:space="preserve"> </w:t>
      </w:r>
      <w:r w:rsidR="00B7771B">
        <w:rPr>
          <w:rFonts w:ascii="Verdana" w:hAnsi="Verdana"/>
        </w:rPr>
        <w:t>1995</w:t>
      </w:r>
      <w:r w:rsidR="00176021">
        <w:rPr>
          <w:rFonts w:ascii="Verdana" w:hAnsi="Verdana"/>
        </w:rPr>
        <w:t>)</w:t>
      </w:r>
      <w:r w:rsidR="00B7771B">
        <w:rPr>
          <w:rFonts w:ascii="Verdana" w:hAnsi="Verdana"/>
        </w:rPr>
        <w:t xml:space="preserve">. These support </w:t>
      </w:r>
      <w:r w:rsidRPr="009F073D">
        <w:rPr>
          <w:rFonts w:ascii="Verdana" w:hAnsi="Verdana"/>
        </w:rPr>
        <w:t>high quality training, innovation, and well-integrated student pathways to work and further learning.  In turn, the development of this capacity has required a stable, supportive policy and funding environment.</w:t>
      </w:r>
      <w:r w:rsidRPr="00810DF0">
        <w:rPr>
          <w:rFonts w:ascii="Verdana" w:hAnsi="Verdana"/>
        </w:rPr>
        <w:t xml:space="preserve"> </w:t>
      </w:r>
    </w:p>
    <w:p w:rsidR="006C6FC7" w:rsidRPr="00810DF0" w:rsidRDefault="006C6FC7" w:rsidP="00060C31">
      <w:pPr>
        <w:pStyle w:val="Text"/>
        <w:jc w:val="both"/>
        <w:rPr>
          <w:rFonts w:ascii="Verdana" w:hAnsi="Verdana"/>
        </w:rPr>
      </w:pPr>
      <w:r>
        <w:rPr>
          <w:rFonts w:ascii="Verdana" w:hAnsi="Verdana"/>
        </w:rPr>
        <w:t xml:space="preserve">The expansion of national VET systems data to now include not only </w:t>
      </w:r>
      <w:r w:rsidR="00380E5B">
        <w:rPr>
          <w:rFonts w:ascii="Verdana" w:hAnsi="Verdana"/>
        </w:rPr>
        <w:t>publicly</w:t>
      </w:r>
      <w:r>
        <w:rPr>
          <w:rFonts w:ascii="Verdana" w:hAnsi="Verdana"/>
        </w:rPr>
        <w:t xml:space="preserve"> funded but also privately funded training from private RTOs is expected to provide significant benefits, including support of system quality and regulation. While the first collection of  2014 ‘total VET activity’ is expected to be reported in mid-2015, it will take some further years before clearer evidence on VET system performance is available. </w:t>
      </w:r>
    </w:p>
    <w:p w:rsidR="00810DF0" w:rsidRPr="00810DF0" w:rsidRDefault="00810DF0" w:rsidP="00060C31">
      <w:pPr>
        <w:pStyle w:val="Text"/>
        <w:spacing w:after="0"/>
        <w:jc w:val="both"/>
        <w:rPr>
          <w:rFonts w:ascii="Verdana" w:hAnsi="Verdana"/>
        </w:rPr>
      </w:pPr>
    </w:p>
    <w:p w:rsidR="00A76961" w:rsidRDefault="00A76961">
      <w:pPr>
        <w:rPr>
          <w:rFonts w:ascii="Arial" w:hAnsi="Arial" w:cs="Arial"/>
          <w:b/>
          <w:sz w:val="20"/>
          <w:szCs w:val="20"/>
        </w:rPr>
      </w:pPr>
      <w:r>
        <w:rPr>
          <w:b/>
        </w:rPr>
        <w:br w:type="page"/>
      </w:r>
    </w:p>
    <w:p w:rsidR="00D94F24" w:rsidRDefault="00EB6F8D" w:rsidP="003C781D">
      <w:pPr>
        <w:pStyle w:val="Text"/>
        <w:spacing w:after="0"/>
        <w:rPr>
          <w:b/>
        </w:rPr>
      </w:pPr>
      <w:r w:rsidRPr="00EB6F8D">
        <w:rPr>
          <w:b/>
        </w:rPr>
        <w:lastRenderedPageBreak/>
        <w:t>References</w:t>
      </w:r>
    </w:p>
    <w:p w:rsidR="00406C3D" w:rsidRDefault="00406C3D" w:rsidP="003C781D">
      <w:pPr>
        <w:pStyle w:val="Text"/>
        <w:spacing w:after="0"/>
      </w:pPr>
    </w:p>
    <w:p w:rsidR="00974030" w:rsidRPr="00974030" w:rsidRDefault="00974030" w:rsidP="00974030">
      <w:pPr>
        <w:tabs>
          <w:tab w:val="left" w:pos="567"/>
        </w:tabs>
        <w:spacing w:after="120" w:line="276" w:lineRule="auto"/>
        <w:ind w:left="567" w:hanging="567"/>
        <w:jc w:val="both"/>
        <w:rPr>
          <w:rFonts w:ascii="Arial" w:hAnsi="Arial" w:cs="Arial"/>
          <w:sz w:val="20"/>
          <w:szCs w:val="20"/>
        </w:rPr>
      </w:pPr>
      <w:r w:rsidRPr="00974030">
        <w:rPr>
          <w:rFonts w:ascii="Arial" w:hAnsi="Arial" w:cs="Arial"/>
          <w:sz w:val="20"/>
          <w:szCs w:val="20"/>
        </w:rPr>
        <w:t>Barnett, Kate and Spoehr</w:t>
      </w:r>
      <w:r w:rsidR="007263A2">
        <w:rPr>
          <w:rFonts w:ascii="Arial" w:hAnsi="Arial" w:cs="Arial"/>
          <w:sz w:val="20"/>
          <w:szCs w:val="20"/>
        </w:rPr>
        <w:t>,</w:t>
      </w:r>
      <w:r w:rsidRPr="00974030">
        <w:rPr>
          <w:rFonts w:ascii="Arial" w:hAnsi="Arial" w:cs="Arial"/>
          <w:sz w:val="20"/>
          <w:szCs w:val="20"/>
        </w:rPr>
        <w:t xml:space="preserve"> John 2008, Complex not simple: the vocational education and training pathway from welfare to work, NCVER, Adelaide.</w:t>
      </w:r>
    </w:p>
    <w:p w:rsidR="00974030" w:rsidRPr="00974030" w:rsidRDefault="00974030" w:rsidP="00974030">
      <w:pPr>
        <w:tabs>
          <w:tab w:val="left" w:pos="567"/>
        </w:tabs>
        <w:spacing w:after="120" w:line="276" w:lineRule="auto"/>
        <w:ind w:left="567" w:hanging="567"/>
        <w:jc w:val="both"/>
        <w:rPr>
          <w:rFonts w:ascii="Arial" w:hAnsi="Arial" w:cs="Arial"/>
          <w:sz w:val="20"/>
          <w:szCs w:val="20"/>
        </w:rPr>
      </w:pPr>
      <w:proofErr w:type="gramStart"/>
      <w:r w:rsidRPr="00974030">
        <w:rPr>
          <w:rFonts w:ascii="Arial" w:hAnsi="Arial" w:cs="Arial"/>
          <w:sz w:val="20"/>
          <w:szCs w:val="20"/>
        </w:rPr>
        <w:t>Callan, Victor J. 2004, Building innovative vocational education and training organisations, NCVER, Adelaide.</w:t>
      </w:r>
      <w:proofErr w:type="gramEnd"/>
    </w:p>
    <w:p w:rsidR="007263A2" w:rsidRDefault="007263A2" w:rsidP="00974030">
      <w:pPr>
        <w:tabs>
          <w:tab w:val="left" w:pos="567"/>
        </w:tabs>
        <w:spacing w:after="120" w:line="276" w:lineRule="auto"/>
        <w:ind w:left="567" w:hanging="567"/>
        <w:jc w:val="both"/>
        <w:rPr>
          <w:rFonts w:ascii="Arial" w:hAnsi="Arial" w:cs="Arial"/>
          <w:sz w:val="20"/>
          <w:szCs w:val="20"/>
        </w:rPr>
      </w:pPr>
      <w:r w:rsidRPr="007263A2">
        <w:rPr>
          <w:rFonts w:ascii="Arial" w:hAnsi="Arial" w:cs="Arial"/>
          <w:sz w:val="20"/>
          <w:szCs w:val="20"/>
        </w:rPr>
        <w:t>Cully, M</w:t>
      </w:r>
      <w:r>
        <w:rPr>
          <w:rFonts w:ascii="Arial" w:hAnsi="Arial" w:cs="Arial"/>
          <w:sz w:val="20"/>
          <w:szCs w:val="20"/>
        </w:rPr>
        <w:t xml:space="preserve">ark and </w:t>
      </w:r>
      <w:r w:rsidRPr="007263A2">
        <w:rPr>
          <w:rFonts w:ascii="Arial" w:hAnsi="Arial" w:cs="Arial"/>
          <w:sz w:val="20"/>
          <w:szCs w:val="20"/>
        </w:rPr>
        <w:t>Curtain</w:t>
      </w:r>
      <w:r>
        <w:rPr>
          <w:rFonts w:ascii="Arial" w:hAnsi="Arial" w:cs="Arial"/>
          <w:sz w:val="20"/>
          <w:szCs w:val="20"/>
        </w:rPr>
        <w:t>,</w:t>
      </w:r>
      <w:r w:rsidRPr="007263A2">
        <w:rPr>
          <w:rFonts w:ascii="Arial" w:hAnsi="Arial" w:cs="Arial"/>
          <w:sz w:val="20"/>
          <w:szCs w:val="20"/>
        </w:rPr>
        <w:t xml:space="preserve"> R</w:t>
      </w:r>
      <w:r>
        <w:rPr>
          <w:rFonts w:ascii="Arial" w:hAnsi="Arial" w:cs="Arial"/>
          <w:sz w:val="20"/>
          <w:szCs w:val="20"/>
        </w:rPr>
        <w:t>ichard</w:t>
      </w:r>
      <w:r w:rsidRPr="007263A2">
        <w:rPr>
          <w:rFonts w:ascii="Arial" w:hAnsi="Arial" w:cs="Arial"/>
          <w:sz w:val="20"/>
          <w:szCs w:val="20"/>
        </w:rPr>
        <w:t xml:space="preserve"> 2001, Reasons for new apprentices’ non-completions, NCVER, Adelaide</w:t>
      </w:r>
      <w:r>
        <w:rPr>
          <w:rFonts w:ascii="Arial" w:hAnsi="Arial" w:cs="Arial"/>
          <w:sz w:val="20"/>
          <w:szCs w:val="20"/>
        </w:rPr>
        <w:t>.</w:t>
      </w:r>
    </w:p>
    <w:p w:rsidR="00974030" w:rsidRPr="00974030" w:rsidRDefault="00974030" w:rsidP="00974030">
      <w:pPr>
        <w:tabs>
          <w:tab w:val="left" w:pos="567"/>
        </w:tabs>
        <w:spacing w:after="120" w:line="276" w:lineRule="auto"/>
        <w:ind w:left="567" w:hanging="567"/>
        <w:jc w:val="both"/>
        <w:rPr>
          <w:rFonts w:ascii="Arial" w:hAnsi="Arial" w:cs="Arial"/>
          <w:sz w:val="20"/>
          <w:szCs w:val="20"/>
        </w:rPr>
      </w:pPr>
      <w:r w:rsidRPr="00974030">
        <w:rPr>
          <w:rFonts w:ascii="Arial" w:hAnsi="Arial" w:cs="Arial"/>
          <w:sz w:val="20"/>
          <w:szCs w:val="20"/>
        </w:rPr>
        <w:t>Goozee, Gillian 1995, The development of TAFE in Australia: an historical perspective</w:t>
      </w:r>
      <w:proofErr w:type="gramStart"/>
      <w:r w:rsidRPr="00974030">
        <w:rPr>
          <w:rFonts w:ascii="Arial" w:hAnsi="Arial" w:cs="Arial"/>
          <w:sz w:val="20"/>
          <w:szCs w:val="20"/>
        </w:rPr>
        <w:t>,  NCVER</w:t>
      </w:r>
      <w:proofErr w:type="gramEnd"/>
      <w:r w:rsidRPr="00974030">
        <w:rPr>
          <w:rFonts w:ascii="Arial" w:hAnsi="Arial" w:cs="Arial"/>
          <w:sz w:val="20"/>
          <w:szCs w:val="20"/>
        </w:rPr>
        <w:t>, Adelaide.</w:t>
      </w:r>
    </w:p>
    <w:p w:rsidR="00974030" w:rsidRPr="00974030" w:rsidRDefault="00974030" w:rsidP="00974030">
      <w:pPr>
        <w:tabs>
          <w:tab w:val="left" w:pos="567"/>
        </w:tabs>
        <w:spacing w:after="120" w:line="276" w:lineRule="auto"/>
        <w:ind w:left="567" w:hanging="567"/>
        <w:jc w:val="both"/>
        <w:rPr>
          <w:rFonts w:ascii="Arial" w:hAnsi="Arial" w:cs="Arial"/>
          <w:sz w:val="20"/>
          <w:szCs w:val="20"/>
        </w:rPr>
      </w:pPr>
      <w:r w:rsidRPr="00974030">
        <w:rPr>
          <w:rFonts w:ascii="Arial" w:hAnsi="Arial" w:cs="Arial"/>
          <w:sz w:val="20"/>
          <w:szCs w:val="20"/>
        </w:rPr>
        <w:t>Harris, Roger, Sumner, Robert and Rainey, Linda 2005, Student traffic: two-way movement between vocational education and training and higher education, NCVER, Adelaide.</w:t>
      </w:r>
    </w:p>
    <w:p w:rsidR="00974030" w:rsidRPr="00AB5C6B" w:rsidRDefault="00974030" w:rsidP="00AB5C6B">
      <w:pPr>
        <w:tabs>
          <w:tab w:val="left" w:pos="567"/>
        </w:tabs>
        <w:spacing w:after="120" w:line="276" w:lineRule="auto"/>
        <w:ind w:left="567" w:hanging="567"/>
        <w:jc w:val="both"/>
        <w:rPr>
          <w:rFonts w:ascii="Arial" w:hAnsi="Arial" w:cs="Arial"/>
          <w:sz w:val="20"/>
          <w:szCs w:val="20"/>
        </w:rPr>
      </w:pPr>
      <w:r w:rsidRPr="00AB5C6B">
        <w:rPr>
          <w:rFonts w:ascii="Arial" w:hAnsi="Arial" w:cs="Arial"/>
          <w:sz w:val="20"/>
          <w:szCs w:val="20"/>
        </w:rPr>
        <w:t xml:space="preserve">Misko J and Polvere R, forthcoming 2015, Regulating VET: Australian and overseas developments, NCVER, Adelaide. </w:t>
      </w:r>
    </w:p>
    <w:p w:rsidR="007263A2" w:rsidRPr="007263A2" w:rsidRDefault="007263A2" w:rsidP="007263A2">
      <w:pPr>
        <w:tabs>
          <w:tab w:val="left" w:pos="567"/>
        </w:tabs>
        <w:spacing w:after="120" w:line="276" w:lineRule="auto"/>
        <w:ind w:left="567" w:hanging="567"/>
        <w:jc w:val="both"/>
        <w:rPr>
          <w:rFonts w:ascii="Arial" w:hAnsi="Arial" w:cs="Arial"/>
          <w:sz w:val="20"/>
          <w:szCs w:val="20"/>
        </w:rPr>
      </w:pPr>
      <w:r w:rsidRPr="007263A2">
        <w:rPr>
          <w:rFonts w:ascii="Arial" w:hAnsi="Arial" w:cs="Arial"/>
          <w:sz w:val="20"/>
          <w:szCs w:val="20"/>
        </w:rPr>
        <w:t>NCVER 2009, Australian vocational education and training statistics: apprentice and trainee destinations 2008, NCVER</w:t>
      </w:r>
      <w:r>
        <w:rPr>
          <w:rFonts w:ascii="Arial" w:hAnsi="Arial" w:cs="Arial"/>
          <w:sz w:val="20"/>
          <w:szCs w:val="20"/>
        </w:rPr>
        <w:t>, Adelaide.</w:t>
      </w:r>
      <w:r w:rsidRPr="007263A2">
        <w:rPr>
          <w:rFonts w:ascii="Arial" w:hAnsi="Arial" w:cs="Arial"/>
          <w:sz w:val="20"/>
          <w:szCs w:val="20"/>
        </w:rPr>
        <w:t xml:space="preserve"> </w:t>
      </w:r>
    </w:p>
    <w:p w:rsidR="007263A2" w:rsidRDefault="007263A2" w:rsidP="007263A2">
      <w:pPr>
        <w:tabs>
          <w:tab w:val="left" w:pos="567"/>
        </w:tabs>
        <w:spacing w:after="120" w:line="276" w:lineRule="auto"/>
        <w:ind w:left="567" w:hanging="567"/>
        <w:jc w:val="both"/>
        <w:rPr>
          <w:rFonts w:ascii="Arial" w:hAnsi="Arial" w:cs="Arial"/>
          <w:sz w:val="20"/>
          <w:szCs w:val="20"/>
        </w:rPr>
      </w:pPr>
      <w:r>
        <w:rPr>
          <w:rFonts w:ascii="Arial" w:hAnsi="Arial" w:cs="Arial"/>
          <w:sz w:val="20"/>
          <w:szCs w:val="20"/>
        </w:rPr>
        <w:t>NCVER 2</w:t>
      </w:r>
      <w:r w:rsidRPr="007263A2">
        <w:rPr>
          <w:rFonts w:ascii="Arial" w:hAnsi="Arial" w:cs="Arial"/>
          <w:sz w:val="20"/>
          <w:szCs w:val="20"/>
        </w:rPr>
        <w:t>010, Australian vocational education and training statistics: apprentice and trainee destinations 2010, NCVER, Adelaide</w:t>
      </w:r>
      <w:r>
        <w:rPr>
          <w:rFonts w:ascii="Arial" w:hAnsi="Arial" w:cs="Arial"/>
          <w:sz w:val="20"/>
          <w:szCs w:val="20"/>
        </w:rPr>
        <w:t>.</w:t>
      </w:r>
      <w:r w:rsidRPr="007263A2">
        <w:rPr>
          <w:rFonts w:ascii="Arial" w:hAnsi="Arial" w:cs="Arial"/>
          <w:sz w:val="20"/>
          <w:szCs w:val="20"/>
        </w:rPr>
        <w:t xml:space="preserve"> </w:t>
      </w:r>
    </w:p>
    <w:p w:rsidR="00974030" w:rsidRPr="00974030" w:rsidRDefault="00974030" w:rsidP="00AB5C6B">
      <w:pPr>
        <w:tabs>
          <w:tab w:val="left" w:pos="567"/>
        </w:tabs>
        <w:spacing w:after="120" w:line="276" w:lineRule="auto"/>
        <w:ind w:left="567" w:hanging="567"/>
        <w:jc w:val="both"/>
        <w:rPr>
          <w:rFonts w:ascii="Arial" w:hAnsi="Arial" w:cs="Arial"/>
          <w:sz w:val="20"/>
          <w:szCs w:val="20"/>
        </w:rPr>
      </w:pPr>
      <w:r w:rsidRPr="00974030">
        <w:rPr>
          <w:rFonts w:ascii="Arial" w:hAnsi="Arial" w:cs="Arial"/>
          <w:sz w:val="20"/>
          <w:szCs w:val="20"/>
        </w:rPr>
        <w:t xml:space="preserve">NCVER 2014a, Australian vocational education training statistics: students and courses 2013, NCVER, Adelaide. </w:t>
      </w:r>
    </w:p>
    <w:p w:rsidR="00974030" w:rsidRPr="00974030" w:rsidRDefault="00974030" w:rsidP="00AB5C6B">
      <w:pPr>
        <w:tabs>
          <w:tab w:val="left" w:pos="567"/>
        </w:tabs>
        <w:spacing w:after="120" w:line="276" w:lineRule="auto"/>
        <w:ind w:left="567" w:hanging="567"/>
        <w:jc w:val="both"/>
        <w:rPr>
          <w:rFonts w:ascii="Arial" w:hAnsi="Arial" w:cs="Arial"/>
          <w:sz w:val="20"/>
          <w:szCs w:val="20"/>
        </w:rPr>
      </w:pPr>
      <w:r w:rsidRPr="00974030">
        <w:rPr>
          <w:rFonts w:ascii="Arial" w:hAnsi="Arial" w:cs="Arial"/>
          <w:sz w:val="20"/>
          <w:szCs w:val="20"/>
        </w:rPr>
        <w:t>NCVER 2014b, Australian vocational education training statistics: finance 2013, NCVER, Adelaide.</w:t>
      </w:r>
    </w:p>
    <w:p w:rsidR="00974030" w:rsidRPr="00974030" w:rsidRDefault="00974030" w:rsidP="00AB5C6B">
      <w:pPr>
        <w:tabs>
          <w:tab w:val="left" w:pos="567"/>
        </w:tabs>
        <w:spacing w:after="120" w:line="276" w:lineRule="auto"/>
        <w:ind w:left="567" w:hanging="567"/>
        <w:rPr>
          <w:rFonts w:ascii="Arial" w:hAnsi="Arial" w:cs="Arial"/>
          <w:sz w:val="20"/>
          <w:szCs w:val="20"/>
        </w:rPr>
      </w:pPr>
      <w:r w:rsidRPr="00974030">
        <w:rPr>
          <w:rFonts w:ascii="Arial" w:hAnsi="Arial" w:cs="Arial"/>
          <w:sz w:val="20"/>
          <w:szCs w:val="20"/>
        </w:rPr>
        <w:t>NCVER 2014c,</w:t>
      </w:r>
      <w:r w:rsidRPr="00AB5C6B">
        <w:rPr>
          <w:rFonts w:ascii="Arial" w:hAnsi="Arial" w:cs="Arial"/>
          <w:sz w:val="20"/>
          <w:szCs w:val="20"/>
        </w:rPr>
        <w:t xml:space="preserve"> Submission to the House of Representatives Standing Committee on Education and Employment, Inquiry into TAFE and its Operations, </w:t>
      </w:r>
      <w:hyperlink r:id="rId11" w:history="1">
        <w:r w:rsidRPr="00AB5C6B">
          <w:rPr>
            <w:rFonts w:ascii="Arial" w:hAnsi="Arial" w:cs="Arial"/>
            <w:sz w:val="20"/>
            <w:szCs w:val="20"/>
          </w:rPr>
          <w:t>http://www.aph.gov.au/Parliamentary_Business/Committees/House/Education_and_Employment/TAFE/Submissions</w:t>
        </w:r>
      </w:hyperlink>
      <w:r w:rsidRPr="00974030">
        <w:rPr>
          <w:rFonts w:ascii="Arial" w:hAnsi="Arial" w:cs="Arial"/>
          <w:sz w:val="20"/>
          <w:szCs w:val="20"/>
        </w:rPr>
        <w:t>, Submission 1976, accessed 10 February 2015</w:t>
      </w:r>
      <w:r w:rsidR="00CB7BD7">
        <w:rPr>
          <w:rFonts w:ascii="Arial" w:hAnsi="Arial" w:cs="Arial"/>
          <w:sz w:val="20"/>
          <w:szCs w:val="20"/>
        </w:rPr>
        <w:t>.</w:t>
      </w:r>
    </w:p>
    <w:p w:rsidR="00C301F3" w:rsidRPr="00974030" w:rsidRDefault="00C301F3" w:rsidP="00C301F3">
      <w:pPr>
        <w:tabs>
          <w:tab w:val="left" w:pos="567"/>
        </w:tabs>
        <w:spacing w:after="120" w:line="276" w:lineRule="auto"/>
        <w:ind w:left="720" w:hanging="720"/>
        <w:jc w:val="both"/>
        <w:rPr>
          <w:rFonts w:ascii="Arial" w:hAnsi="Arial" w:cs="Arial"/>
          <w:sz w:val="20"/>
          <w:szCs w:val="20"/>
        </w:rPr>
      </w:pPr>
      <w:r w:rsidRPr="00974030">
        <w:rPr>
          <w:rFonts w:ascii="Arial" w:hAnsi="Arial" w:cs="Arial"/>
          <w:sz w:val="20"/>
          <w:szCs w:val="20"/>
        </w:rPr>
        <w:t>N</w:t>
      </w:r>
      <w:r>
        <w:rPr>
          <w:rFonts w:ascii="Arial" w:hAnsi="Arial" w:cs="Arial"/>
          <w:sz w:val="20"/>
          <w:szCs w:val="20"/>
        </w:rPr>
        <w:t>CVER</w:t>
      </w:r>
      <w:r w:rsidRPr="00974030">
        <w:rPr>
          <w:rFonts w:ascii="Arial" w:hAnsi="Arial" w:cs="Arial"/>
          <w:sz w:val="20"/>
          <w:szCs w:val="20"/>
        </w:rPr>
        <w:t xml:space="preserve"> 201</w:t>
      </w:r>
      <w:r>
        <w:rPr>
          <w:rFonts w:ascii="Arial" w:hAnsi="Arial" w:cs="Arial"/>
          <w:sz w:val="20"/>
          <w:szCs w:val="20"/>
        </w:rPr>
        <w:t>4d</w:t>
      </w:r>
      <w:r w:rsidRPr="00974030">
        <w:rPr>
          <w:rFonts w:ascii="Arial" w:hAnsi="Arial" w:cs="Arial"/>
          <w:sz w:val="20"/>
          <w:szCs w:val="20"/>
        </w:rPr>
        <w:t>, Australian vocational education and training s</w:t>
      </w:r>
      <w:r w:rsidR="0062206B">
        <w:rPr>
          <w:rFonts w:ascii="Arial" w:hAnsi="Arial" w:cs="Arial"/>
          <w:sz w:val="20"/>
          <w:szCs w:val="20"/>
        </w:rPr>
        <w:t>tatistics: student outcomes 2014</w:t>
      </w:r>
      <w:r w:rsidRPr="00974030">
        <w:rPr>
          <w:rFonts w:ascii="Arial" w:hAnsi="Arial" w:cs="Arial"/>
          <w:sz w:val="20"/>
          <w:szCs w:val="20"/>
        </w:rPr>
        <w:t>, NCVER, Adelaide.</w:t>
      </w:r>
    </w:p>
    <w:p w:rsidR="00974030" w:rsidRPr="00974030" w:rsidRDefault="00974030" w:rsidP="00974030">
      <w:pPr>
        <w:tabs>
          <w:tab w:val="left" w:pos="567"/>
        </w:tabs>
        <w:spacing w:after="120" w:line="276" w:lineRule="auto"/>
        <w:ind w:left="567" w:hanging="567"/>
        <w:jc w:val="both"/>
        <w:rPr>
          <w:rFonts w:ascii="Arial" w:hAnsi="Arial" w:cs="Arial"/>
          <w:sz w:val="20"/>
          <w:szCs w:val="20"/>
        </w:rPr>
      </w:pPr>
      <w:r w:rsidRPr="00974030">
        <w:rPr>
          <w:rFonts w:ascii="Arial" w:hAnsi="Arial" w:cs="Arial"/>
          <w:sz w:val="20"/>
          <w:szCs w:val="20"/>
        </w:rPr>
        <w:t>Robinson, Chris and Misko, Josie 2003, Extending learning opportunities: a study of co-operation between TAFE institutes, and schools and universities in Queensland, NCVER, Adelaide.</w:t>
      </w:r>
    </w:p>
    <w:p w:rsidR="00974030" w:rsidRPr="00974030" w:rsidRDefault="00974030" w:rsidP="00974030">
      <w:pPr>
        <w:tabs>
          <w:tab w:val="left" w:pos="567"/>
        </w:tabs>
        <w:spacing w:after="120" w:line="276" w:lineRule="auto"/>
        <w:ind w:left="567" w:hanging="567"/>
        <w:jc w:val="both"/>
        <w:rPr>
          <w:rFonts w:ascii="Arial" w:hAnsi="Arial" w:cs="Arial"/>
          <w:sz w:val="20"/>
          <w:szCs w:val="20"/>
        </w:rPr>
      </w:pPr>
      <w:r w:rsidRPr="00974030">
        <w:rPr>
          <w:rFonts w:ascii="Arial" w:hAnsi="Arial" w:cs="Arial"/>
          <w:sz w:val="20"/>
          <w:szCs w:val="20"/>
        </w:rPr>
        <w:t>Walls, Sandra and Pardy, John, 2010, Crediting vocational education and training for learner mobility, NCVER, Adelaide.</w:t>
      </w:r>
    </w:p>
    <w:p w:rsidR="00974030" w:rsidRPr="00974030" w:rsidRDefault="00974030" w:rsidP="00974030">
      <w:pPr>
        <w:tabs>
          <w:tab w:val="left" w:pos="567"/>
        </w:tabs>
        <w:spacing w:after="120" w:line="276" w:lineRule="auto"/>
        <w:ind w:left="567" w:hanging="567"/>
        <w:jc w:val="both"/>
        <w:rPr>
          <w:rFonts w:ascii="Arial" w:hAnsi="Arial" w:cs="Arial"/>
          <w:sz w:val="20"/>
          <w:szCs w:val="20"/>
        </w:rPr>
      </w:pPr>
      <w:proofErr w:type="spellStart"/>
      <w:proofErr w:type="gramStart"/>
      <w:r w:rsidRPr="00974030">
        <w:rPr>
          <w:rFonts w:ascii="Arial" w:hAnsi="Arial" w:cs="Arial"/>
          <w:sz w:val="20"/>
          <w:szCs w:val="20"/>
        </w:rPr>
        <w:t>Wheelahan</w:t>
      </w:r>
      <w:proofErr w:type="spellEnd"/>
      <w:r w:rsidRPr="00974030">
        <w:rPr>
          <w:rFonts w:ascii="Arial" w:hAnsi="Arial" w:cs="Arial"/>
          <w:sz w:val="20"/>
          <w:szCs w:val="20"/>
        </w:rPr>
        <w:t xml:space="preserve">, </w:t>
      </w:r>
      <w:proofErr w:type="spellStart"/>
      <w:r w:rsidRPr="00974030">
        <w:rPr>
          <w:rFonts w:ascii="Arial" w:hAnsi="Arial" w:cs="Arial"/>
          <w:sz w:val="20"/>
          <w:szCs w:val="20"/>
        </w:rPr>
        <w:t>Leesa</w:t>
      </w:r>
      <w:proofErr w:type="spellEnd"/>
      <w:r w:rsidRPr="00974030">
        <w:rPr>
          <w:rFonts w:ascii="Arial" w:hAnsi="Arial" w:cs="Arial"/>
          <w:sz w:val="20"/>
          <w:szCs w:val="20"/>
        </w:rPr>
        <w:t xml:space="preserve">, </w:t>
      </w:r>
      <w:proofErr w:type="spellStart"/>
      <w:r w:rsidRPr="00974030">
        <w:rPr>
          <w:rFonts w:ascii="Arial" w:hAnsi="Arial" w:cs="Arial"/>
          <w:sz w:val="20"/>
          <w:szCs w:val="20"/>
        </w:rPr>
        <w:t>Moodie</w:t>
      </w:r>
      <w:proofErr w:type="spellEnd"/>
      <w:r w:rsidRPr="00974030">
        <w:rPr>
          <w:rFonts w:ascii="Arial" w:hAnsi="Arial" w:cs="Arial"/>
          <w:sz w:val="20"/>
          <w:szCs w:val="20"/>
        </w:rPr>
        <w:t>, Gavin, Billett, Stephen and Kelly, Ann 2009, Higher education in TAFE, NCVER, Adelaide.</w:t>
      </w:r>
      <w:proofErr w:type="gramEnd"/>
    </w:p>
    <w:p w:rsidR="00974030" w:rsidRDefault="00974030" w:rsidP="00974030">
      <w:pPr>
        <w:tabs>
          <w:tab w:val="left" w:pos="567"/>
        </w:tabs>
        <w:spacing w:after="120" w:line="276" w:lineRule="auto"/>
        <w:ind w:left="567" w:hanging="567"/>
        <w:jc w:val="both"/>
        <w:rPr>
          <w:rFonts w:ascii="Arial" w:hAnsi="Arial" w:cs="Arial"/>
          <w:sz w:val="20"/>
          <w:szCs w:val="20"/>
        </w:rPr>
      </w:pPr>
      <w:proofErr w:type="spellStart"/>
      <w:r w:rsidRPr="00974030">
        <w:rPr>
          <w:rFonts w:ascii="Arial" w:hAnsi="Arial" w:cs="Arial"/>
          <w:sz w:val="20"/>
          <w:szCs w:val="20"/>
        </w:rPr>
        <w:t>Wyn</w:t>
      </w:r>
      <w:proofErr w:type="spellEnd"/>
      <w:r w:rsidRPr="00974030">
        <w:rPr>
          <w:rFonts w:ascii="Arial" w:hAnsi="Arial" w:cs="Arial"/>
          <w:sz w:val="20"/>
          <w:szCs w:val="20"/>
        </w:rPr>
        <w:t xml:space="preserve">, Johanna, Stokes, Helen and Tyler, Debra 2004, </w:t>
      </w:r>
      <w:proofErr w:type="gramStart"/>
      <w:r w:rsidRPr="00974030">
        <w:rPr>
          <w:rFonts w:ascii="Arial" w:hAnsi="Arial" w:cs="Arial"/>
          <w:sz w:val="20"/>
          <w:szCs w:val="20"/>
        </w:rPr>
        <w:t>Stepping</w:t>
      </w:r>
      <w:proofErr w:type="gramEnd"/>
      <w:r w:rsidRPr="00974030">
        <w:rPr>
          <w:rFonts w:ascii="Arial" w:hAnsi="Arial" w:cs="Arial"/>
          <w:sz w:val="20"/>
          <w:szCs w:val="20"/>
        </w:rPr>
        <w:t xml:space="preserve"> stones: TAFE and ACE program development for early school leavers, NCVER, Adelaide.</w:t>
      </w:r>
    </w:p>
    <w:p w:rsidR="00A2779F" w:rsidRDefault="00A2779F" w:rsidP="00974030">
      <w:pPr>
        <w:tabs>
          <w:tab w:val="left" w:pos="567"/>
        </w:tabs>
        <w:spacing w:after="120" w:line="276" w:lineRule="auto"/>
        <w:ind w:left="567" w:hanging="567"/>
        <w:jc w:val="both"/>
        <w:rPr>
          <w:rFonts w:ascii="Arial" w:hAnsi="Arial" w:cs="Arial"/>
          <w:sz w:val="20"/>
          <w:szCs w:val="20"/>
        </w:rPr>
      </w:pPr>
    </w:p>
    <w:p w:rsidR="00A2779F" w:rsidRDefault="00A2779F" w:rsidP="00974030">
      <w:pPr>
        <w:tabs>
          <w:tab w:val="left" w:pos="567"/>
        </w:tabs>
        <w:spacing w:after="120" w:line="276" w:lineRule="auto"/>
        <w:ind w:left="567" w:hanging="567"/>
        <w:jc w:val="both"/>
        <w:rPr>
          <w:rFonts w:ascii="Arial" w:hAnsi="Arial" w:cs="Arial"/>
          <w:sz w:val="20"/>
          <w:szCs w:val="20"/>
        </w:rPr>
      </w:pPr>
    </w:p>
    <w:p w:rsidR="00254712" w:rsidRDefault="00254712" w:rsidP="003C781D">
      <w:pPr>
        <w:pStyle w:val="Text"/>
        <w:spacing w:after="0"/>
      </w:pPr>
    </w:p>
    <w:p w:rsidR="00E2460D" w:rsidRDefault="003120BF" w:rsidP="003C781D">
      <w:pPr>
        <w:pStyle w:val="Text"/>
        <w:spacing w:after="0"/>
        <w:sectPr w:rsidR="00E2460D" w:rsidSect="009F12A5">
          <w:footerReference w:type="default" r:id="rId12"/>
          <w:headerReference w:type="first" r:id="rId13"/>
          <w:footerReference w:type="first" r:id="rId14"/>
          <w:type w:val="continuous"/>
          <w:pgSz w:w="11900" w:h="16840" w:code="9"/>
          <w:pgMar w:top="1440" w:right="1080" w:bottom="1440" w:left="1080" w:header="567" w:footer="165" w:gutter="0"/>
          <w:cols w:space="708"/>
          <w:titlePg/>
          <w:docGrid w:linePitch="326"/>
        </w:sectPr>
      </w:pPr>
      <w:r>
        <w:t xml:space="preserve">. </w:t>
      </w:r>
    </w:p>
    <w:p w:rsidR="00CF1064" w:rsidRPr="008F2A9F" w:rsidRDefault="00CF1064" w:rsidP="00CF1064">
      <w:pPr>
        <w:pStyle w:val="Tabletitle"/>
        <w:tabs>
          <w:tab w:val="decimal" w:pos="9781"/>
        </w:tabs>
        <w:spacing w:before="0"/>
      </w:pPr>
      <w:bookmarkStart w:id="1" w:name="_Toc405888539"/>
      <w:r>
        <w:lastRenderedPageBreak/>
        <w:t xml:space="preserve">Appendix 1: </w:t>
      </w:r>
      <w:r w:rsidRPr="008F2A9F">
        <w:t>Key findings for</w:t>
      </w:r>
      <w:r>
        <w:t xml:space="preserve"> publicly funded VET</w:t>
      </w:r>
      <w:r w:rsidRPr="008F2A9F">
        <w:t xml:space="preserve"> graduates, ten-year time series (%)</w:t>
      </w:r>
      <w:bookmarkEnd w:id="1"/>
      <w:r>
        <w:t>, Student Outcomes Survey,</w:t>
      </w:r>
      <w:r w:rsidR="00DA6E0C">
        <w:t xml:space="preserve"> unpublished data, </w:t>
      </w:r>
      <w:r>
        <w:t>NCVER.</w:t>
      </w:r>
    </w:p>
    <w:tbl>
      <w:tblPr>
        <w:tblW w:w="13750" w:type="dxa"/>
        <w:tblInd w:w="108" w:type="dxa"/>
        <w:tblLayout w:type="fixed"/>
        <w:tblLook w:val="0000" w:firstRow="0" w:lastRow="0" w:firstColumn="0" w:lastColumn="0" w:noHBand="0" w:noVBand="0"/>
      </w:tblPr>
      <w:tblGrid>
        <w:gridCol w:w="4962"/>
        <w:gridCol w:w="878"/>
        <w:gridCol w:w="879"/>
        <w:gridCol w:w="879"/>
        <w:gridCol w:w="879"/>
        <w:gridCol w:w="879"/>
        <w:gridCol w:w="878"/>
        <w:gridCol w:w="879"/>
        <w:gridCol w:w="879"/>
        <w:gridCol w:w="879"/>
        <w:gridCol w:w="879"/>
      </w:tblGrid>
      <w:tr w:rsidR="00CF1064" w:rsidRPr="008F2A9F" w:rsidTr="00045F60">
        <w:trPr>
          <w:trHeight w:val="255"/>
        </w:trPr>
        <w:tc>
          <w:tcPr>
            <w:tcW w:w="4962" w:type="dxa"/>
            <w:tcBorders>
              <w:top w:val="single" w:sz="8" w:space="0" w:color="008000"/>
              <w:left w:val="nil"/>
              <w:bottom w:val="single" w:sz="8" w:space="0" w:color="008000"/>
              <w:right w:val="nil"/>
            </w:tcBorders>
            <w:shd w:val="clear" w:color="auto" w:fill="auto"/>
          </w:tcPr>
          <w:p w:rsidR="00CF1064" w:rsidRPr="008F2A9F" w:rsidRDefault="00CF1064" w:rsidP="00045F60">
            <w:pPr>
              <w:pStyle w:val="Tablehead1"/>
              <w:jc w:val="left"/>
              <w:rPr>
                <w:lang w:eastAsia="en-AU"/>
              </w:rPr>
            </w:pPr>
            <w:r w:rsidRPr="008F2A9F">
              <w:rPr>
                <w:lang w:eastAsia="en-AU"/>
              </w:rPr>
              <w:t>Graduates</w:t>
            </w:r>
            <w:bookmarkStart w:id="2" w:name="table5"/>
            <w:bookmarkEnd w:id="2"/>
          </w:p>
        </w:tc>
        <w:tc>
          <w:tcPr>
            <w:tcW w:w="878" w:type="dxa"/>
            <w:tcBorders>
              <w:top w:val="single" w:sz="8" w:space="0" w:color="008000"/>
              <w:left w:val="nil"/>
              <w:bottom w:val="single" w:sz="8" w:space="0" w:color="008000"/>
              <w:right w:val="nil"/>
            </w:tcBorders>
            <w:shd w:val="clear" w:color="auto" w:fill="auto"/>
          </w:tcPr>
          <w:p w:rsidR="00CF1064" w:rsidRPr="008F2A9F" w:rsidRDefault="00CF1064" w:rsidP="00045F60">
            <w:pPr>
              <w:pStyle w:val="Tablehead1"/>
              <w:rPr>
                <w:lang w:eastAsia="en-AU"/>
              </w:rPr>
            </w:pPr>
            <w:r>
              <w:rPr>
                <w:lang w:eastAsia="en-AU"/>
              </w:rPr>
              <w:t>2005</w:t>
            </w:r>
          </w:p>
        </w:tc>
        <w:tc>
          <w:tcPr>
            <w:tcW w:w="879" w:type="dxa"/>
            <w:tcBorders>
              <w:top w:val="single" w:sz="8" w:space="0" w:color="008000"/>
              <w:left w:val="nil"/>
              <w:bottom w:val="single" w:sz="8" w:space="0" w:color="008000"/>
              <w:right w:val="nil"/>
            </w:tcBorders>
            <w:shd w:val="clear" w:color="auto" w:fill="auto"/>
          </w:tcPr>
          <w:p w:rsidR="00CF1064" w:rsidRPr="008F2A9F" w:rsidRDefault="00CF1064" w:rsidP="00045F60">
            <w:pPr>
              <w:pStyle w:val="Tablehead1"/>
              <w:rPr>
                <w:lang w:eastAsia="en-AU"/>
              </w:rPr>
            </w:pPr>
            <w:r>
              <w:rPr>
                <w:lang w:eastAsia="en-AU"/>
              </w:rPr>
              <w:t>2006</w:t>
            </w:r>
          </w:p>
        </w:tc>
        <w:tc>
          <w:tcPr>
            <w:tcW w:w="879" w:type="dxa"/>
            <w:tcBorders>
              <w:top w:val="single" w:sz="8" w:space="0" w:color="008000"/>
              <w:left w:val="nil"/>
              <w:bottom w:val="single" w:sz="8" w:space="0" w:color="008000"/>
              <w:right w:val="nil"/>
            </w:tcBorders>
            <w:shd w:val="clear" w:color="auto" w:fill="auto"/>
          </w:tcPr>
          <w:p w:rsidR="00CF1064" w:rsidRPr="008F2A9F" w:rsidRDefault="00CF1064" w:rsidP="00045F60">
            <w:pPr>
              <w:pStyle w:val="Tablehead1"/>
              <w:rPr>
                <w:lang w:eastAsia="en-AU"/>
              </w:rPr>
            </w:pPr>
            <w:r>
              <w:rPr>
                <w:lang w:eastAsia="en-AU"/>
              </w:rPr>
              <w:t>2007</w:t>
            </w:r>
          </w:p>
        </w:tc>
        <w:tc>
          <w:tcPr>
            <w:tcW w:w="879" w:type="dxa"/>
            <w:tcBorders>
              <w:top w:val="single" w:sz="8" w:space="0" w:color="008000"/>
              <w:left w:val="nil"/>
              <w:bottom w:val="single" w:sz="8" w:space="0" w:color="008000"/>
              <w:right w:val="nil"/>
            </w:tcBorders>
            <w:shd w:val="clear" w:color="auto" w:fill="auto"/>
          </w:tcPr>
          <w:p w:rsidR="00CF1064" w:rsidRPr="008F2A9F" w:rsidRDefault="00CF1064" w:rsidP="00045F60">
            <w:pPr>
              <w:pStyle w:val="Tablehead1"/>
              <w:rPr>
                <w:lang w:eastAsia="en-AU"/>
              </w:rPr>
            </w:pPr>
            <w:r>
              <w:rPr>
                <w:lang w:eastAsia="en-AU"/>
              </w:rPr>
              <w:t>2008</w:t>
            </w:r>
          </w:p>
        </w:tc>
        <w:tc>
          <w:tcPr>
            <w:tcW w:w="879" w:type="dxa"/>
            <w:tcBorders>
              <w:top w:val="single" w:sz="8" w:space="0" w:color="008000"/>
              <w:left w:val="nil"/>
              <w:bottom w:val="single" w:sz="8" w:space="0" w:color="008000"/>
              <w:right w:val="nil"/>
            </w:tcBorders>
            <w:shd w:val="clear" w:color="auto" w:fill="auto"/>
          </w:tcPr>
          <w:p w:rsidR="00CF1064" w:rsidRPr="008F2A9F" w:rsidRDefault="00CF1064" w:rsidP="00045F60">
            <w:pPr>
              <w:pStyle w:val="Tablehead1"/>
              <w:tabs>
                <w:tab w:val="decimal" w:pos="335"/>
              </w:tabs>
              <w:rPr>
                <w:lang w:eastAsia="en-AU"/>
              </w:rPr>
            </w:pPr>
            <w:r>
              <w:rPr>
                <w:lang w:eastAsia="en-AU"/>
              </w:rPr>
              <w:t>2009</w:t>
            </w:r>
          </w:p>
        </w:tc>
        <w:tc>
          <w:tcPr>
            <w:tcW w:w="878" w:type="dxa"/>
            <w:tcBorders>
              <w:top w:val="single" w:sz="8" w:space="0" w:color="008000"/>
              <w:left w:val="nil"/>
              <w:bottom w:val="single" w:sz="8" w:space="0" w:color="008000"/>
              <w:right w:val="nil"/>
            </w:tcBorders>
            <w:shd w:val="clear" w:color="auto" w:fill="auto"/>
          </w:tcPr>
          <w:p w:rsidR="00CF1064" w:rsidRPr="008F2A9F" w:rsidRDefault="00CF1064" w:rsidP="00045F60">
            <w:pPr>
              <w:pStyle w:val="Tablehead1"/>
              <w:rPr>
                <w:lang w:eastAsia="en-AU"/>
              </w:rPr>
            </w:pPr>
            <w:r>
              <w:rPr>
                <w:lang w:eastAsia="en-AU"/>
              </w:rPr>
              <w:t>2010</w:t>
            </w:r>
          </w:p>
        </w:tc>
        <w:tc>
          <w:tcPr>
            <w:tcW w:w="879" w:type="dxa"/>
            <w:tcBorders>
              <w:top w:val="single" w:sz="8" w:space="0" w:color="008000"/>
              <w:left w:val="nil"/>
              <w:bottom w:val="single" w:sz="8" w:space="0" w:color="008000"/>
              <w:right w:val="nil"/>
            </w:tcBorders>
            <w:shd w:val="clear" w:color="auto" w:fill="auto"/>
          </w:tcPr>
          <w:p w:rsidR="00CF1064" w:rsidRPr="008F2A9F" w:rsidRDefault="00CF1064" w:rsidP="00045F60">
            <w:pPr>
              <w:pStyle w:val="Tablehead1"/>
              <w:rPr>
                <w:lang w:eastAsia="en-AU"/>
              </w:rPr>
            </w:pPr>
            <w:r>
              <w:rPr>
                <w:lang w:eastAsia="en-AU"/>
              </w:rPr>
              <w:t>2011</w:t>
            </w:r>
          </w:p>
        </w:tc>
        <w:tc>
          <w:tcPr>
            <w:tcW w:w="879" w:type="dxa"/>
            <w:tcBorders>
              <w:top w:val="single" w:sz="8" w:space="0" w:color="008000"/>
              <w:left w:val="nil"/>
              <w:bottom w:val="single" w:sz="8" w:space="0" w:color="008000"/>
              <w:right w:val="nil"/>
            </w:tcBorders>
            <w:shd w:val="clear" w:color="auto" w:fill="auto"/>
          </w:tcPr>
          <w:p w:rsidR="00CF1064" w:rsidRPr="008F2A9F" w:rsidRDefault="00CF1064" w:rsidP="00045F60">
            <w:pPr>
              <w:pStyle w:val="Tablehead1"/>
              <w:rPr>
                <w:lang w:eastAsia="en-AU"/>
              </w:rPr>
            </w:pPr>
            <w:r>
              <w:rPr>
                <w:lang w:eastAsia="en-AU"/>
              </w:rPr>
              <w:t>2012</w:t>
            </w:r>
          </w:p>
        </w:tc>
        <w:tc>
          <w:tcPr>
            <w:tcW w:w="879" w:type="dxa"/>
            <w:tcBorders>
              <w:top w:val="single" w:sz="8" w:space="0" w:color="008000"/>
              <w:left w:val="nil"/>
              <w:bottom w:val="single" w:sz="8" w:space="0" w:color="008000"/>
              <w:right w:val="nil"/>
            </w:tcBorders>
            <w:shd w:val="clear" w:color="auto" w:fill="auto"/>
          </w:tcPr>
          <w:p w:rsidR="00CF1064" w:rsidRPr="008F2A9F" w:rsidRDefault="00CF1064" w:rsidP="00045F60">
            <w:pPr>
              <w:pStyle w:val="Tablehead1"/>
              <w:tabs>
                <w:tab w:val="decimal" w:pos="346"/>
              </w:tabs>
              <w:rPr>
                <w:lang w:eastAsia="en-AU"/>
              </w:rPr>
            </w:pPr>
            <w:r>
              <w:rPr>
                <w:lang w:eastAsia="en-AU"/>
              </w:rPr>
              <w:t>2013</w:t>
            </w:r>
          </w:p>
        </w:tc>
        <w:tc>
          <w:tcPr>
            <w:tcW w:w="879" w:type="dxa"/>
            <w:tcBorders>
              <w:top w:val="single" w:sz="8" w:space="0" w:color="008000"/>
              <w:left w:val="nil"/>
              <w:bottom w:val="single" w:sz="8" w:space="0" w:color="008000"/>
              <w:right w:val="nil"/>
            </w:tcBorders>
            <w:shd w:val="clear" w:color="auto" w:fill="auto"/>
          </w:tcPr>
          <w:p w:rsidR="00CF1064" w:rsidRPr="008F2A9F" w:rsidRDefault="00CF1064" w:rsidP="00045F60">
            <w:pPr>
              <w:pStyle w:val="Tablehead1"/>
              <w:tabs>
                <w:tab w:val="decimal" w:pos="346"/>
              </w:tabs>
              <w:rPr>
                <w:lang w:eastAsia="en-AU"/>
              </w:rPr>
            </w:pPr>
            <w:r>
              <w:rPr>
                <w:lang w:eastAsia="en-AU"/>
              </w:rPr>
              <w:t>2014</w:t>
            </w:r>
          </w:p>
        </w:tc>
      </w:tr>
      <w:tr w:rsidR="00CF1064" w:rsidRPr="008F2A9F" w:rsidTr="00045F60">
        <w:trPr>
          <w:trHeight w:val="255"/>
        </w:trPr>
        <w:tc>
          <w:tcPr>
            <w:tcW w:w="4962" w:type="dxa"/>
            <w:tcBorders>
              <w:top w:val="single" w:sz="8" w:space="0" w:color="008000"/>
              <w:left w:val="nil"/>
              <w:bottom w:val="nil"/>
              <w:right w:val="nil"/>
            </w:tcBorders>
            <w:shd w:val="clear" w:color="auto" w:fill="auto"/>
          </w:tcPr>
          <w:p w:rsidR="00CF1064" w:rsidRPr="008F2A9F" w:rsidRDefault="00CF1064" w:rsidP="00045F60">
            <w:pPr>
              <w:pStyle w:val="TableRowBold"/>
              <w:rPr>
                <w:lang w:eastAsia="en-AU"/>
              </w:rPr>
            </w:pPr>
            <w:r w:rsidRPr="008F2A9F">
              <w:rPr>
                <w:lang w:eastAsia="en-AU"/>
              </w:rPr>
              <w:t>Government-funded TAFE</w:t>
            </w:r>
          </w:p>
        </w:tc>
        <w:tc>
          <w:tcPr>
            <w:tcW w:w="878" w:type="dxa"/>
            <w:tcBorders>
              <w:top w:val="single" w:sz="8" w:space="0" w:color="008000"/>
              <w:left w:val="nil"/>
              <w:bottom w:val="nil"/>
              <w:right w:val="nil"/>
            </w:tcBorders>
            <w:shd w:val="clear" w:color="auto" w:fill="auto"/>
          </w:tcPr>
          <w:p w:rsidR="00CF1064" w:rsidRPr="008F2A9F" w:rsidRDefault="00CF1064" w:rsidP="00045F60">
            <w:pPr>
              <w:pStyle w:val="Tabletext"/>
              <w:tabs>
                <w:tab w:val="decimal" w:pos="282"/>
              </w:tabs>
              <w:jc w:val="right"/>
              <w:rPr>
                <w:b/>
                <w:lang w:eastAsia="en-AU"/>
              </w:rPr>
            </w:pPr>
            <w:r w:rsidRPr="008F2A9F">
              <w:rPr>
                <w:b/>
                <w:lang w:eastAsia="en-AU"/>
              </w:rPr>
              <w:t> </w:t>
            </w:r>
          </w:p>
        </w:tc>
        <w:tc>
          <w:tcPr>
            <w:tcW w:w="879" w:type="dxa"/>
            <w:tcBorders>
              <w:top w:val="single" w:sz="8" w:space="0" w:color="008000"/>
              <w:left w:val="nil"/>
              <w:bottom w:val="nil"/>
              <w:right w:val="nil"/>
            </w:tcBorders>
            <w:shd w:val="clear" w:color="auto" w:fill="auto"/>
          </w:tcPr>
          <w:p w:rsidR="00CF1064" w:rsidRPr="008F2A9F" w:rsidRDefault="00CF1064" w:rsidP="00045F60">
            <w:pPr>
              <w:pStyle w:val="Tabletext"/>
              <w:tabs>
                <w:tab w:val="decimal" w:pos="282"/>
              </w:tabs>
              <w:jc w:val="right"/>
              <w:rPr>
                <w:b/>
                <w:lang w:eastAsia="en-AU"/>
              </w:rPr>
            </w:pPr>
            <w:r w:rsidRPr="008F2A9F">
              <w:rPr>
                <w:b/>
                <w:lang w:eastAsia="en-AU"/>
              </w:rPr>
              <w:t> </w:t>
            </w:r>
          </w:p>
        </w:tc>
        <w:tc>
          <w:tcPr>
            <w:tcW w:w="879" w:type="dxa"/>
            <w:tcBorders>
              <w:top w:val="single" w:sz="8" w:space="0" w:color="008000"/>
              <w:left w:val="nil"/>
              <w:bottom w:val="nil"/>
              <w:right w:val="nil"/>
            </w:tcBorders>
            <w:shd w:val="clear" w:color="auto" w:fill="auto"/>
          </w:tcPr>
          <w:p w:rsidR="00CF1064" w:rsidRPr="008F2A9F" w:rsidRDefault="00CF1064" w:rsidP="00045F60">
            <w:pPr>
              <w:pStyle w:val="Tabletext"/>
              <w:tabs>
                <w:tab w:val="decimal" w:pos="312"/>
              </w:tabs>
              <w:jc w:val="right"/>
              <w:rPr>
                <w:b/>
                <w:lang w:eastAsia="en-AU"/>
              </w:rPr>
            </w:pPr>
            <w:r w:rsidRPr="008F2A9F">
              <w:rPr>
                <w:b/>
                <w:lang w:eastAsia="en-AU"/>
              </w:rPr>
              <w:t> </w:t>
            </w:r>
          </w:p>
        </w:tc>
        <w:tc>
          <w:tcPr>
            <w:tcW w:w="879" w:type="dxa"/>
            <w:tcBorders>
              <w:top w:val="single" w:sz="8" w:space="0" w:color="008000"/>
              <w:left w:val="nil"/>
              <w:bottom w:val="nil"/>
              <w:right w:val="nil"/>
            </w:tcBorders>
            <w:shd w:val="clear" w:color="auto" w:fill="auto"/>
          </w:tcPr>
          <w:p w:rsidR="00CF1064" w:rsidRPr="008F2A9F" w:rsidRDefault="00CF1064" w:rsidP="00045F60">
            <w:pPr>
              <w:pStyle w:val="Tabletext"/>
              <w:tabs>
                <w:tab w:val="decimal" w:pos="282"/>
              </w:tabs>
              <w:jc w:val="right"/>
              <w:rPr>
                <w:b/>
                <w:lang w:eastAsia="en-AU"/>
              </w:rPr>
            </w:pPr>
            <w:r w:rsidRPr="008F2A9F">
              <w:rPr>
                <w:b/>
                <w:lang w:eastAsia="en-AU"/>
              </w:rPr>
              <w:t> </w:t>
            </w:r>
          </w:p>
        </w:tc>
        <w:tc>
          <w:tcPr>
            <w:tcW w:w="879" w:type="dxa"/>
            <w:tcBorders>
              <w:top w:val="single" w:sz="8" w:space="0" w:color="008000"/>
              <w:left w:val="nil"/>
              <w:bottom w:val="nil"/>
              <w:right w:val="nil"/>
            </w:tcBorders>
            <w:shd w:val="clear" w:color="auto" w:fill="auto"/>
          </w:tcPr>
          <w:p w:rsidR="00CF1064" w:rsidRPr="008F2A9F" w:rsidRDefault="00CF1064" w:rsidP="00045F60">
            <w:pPr>
              <w:pStyle w:val="Tabletext"/>
              <w:tabs>
                <w:tab w:val="decimal" w:pos="282"/>
                <w:tab w:val="decimal" w:pos="335"/>
              </w:tabs>
              <w:jc w:val="right"/>
              <w:rPr>
                <w:b/>
                <w:lang w:eastAsia="en-AU"/>
              </w:rPr>
            </w:pPr>
            <w:r w:rsidRPr="008F2A9F">
              <w:rPr>
                <w:b/>
                <w:lang w:eastAsia="en-AU"/>
              </w:rPr>
              <w:t> </w:t>
            </w:r>
          </w:p>
        </w:tc>
        <w:tc>
          <w:tcPr>
            <w:tcW w:w="878" w:type="dxa"/>
            <w:tcBorders>
              <w:top w:val="single" w:sz="8" w:space="0" w:color="008000"/>
              <w:left w:val="nil"/>
              <w:bottom w:val="nil"/>
              <w:right w:val="nil"/>
            </w:tcBorders>
            <w:shd w:val="clear" w:color="auto" w:fill="auto"/>
          </w:tcPr>
          <w:p w:rsidR="00CF1064" w:rsidRPr="008F2A9F" w:rsidRDefault="00CF1064" w:rsidP="00045F60">
            <w:pPr>
              <w:pStyle w:val="Tabletext"/>
              <w:tabs>
                <w:tab w:val="decimal" w:pos="312"/>
              </w:tabs>
              <w:jc w:val="right"/>
              <w:rPr>
                <w:b/>
                <w:lang w:eastAsia="en-AU"/>
              </w:rPr>
            </w:pPr>
            <w:r w:rsidRPr="008F2A9F">
              <w:rPr>
                <w:b/>
                <w:lang w:eastAsia="en-AU"/>
              </w:rPr>
              <w:t> </w:t>
            </w:r>
          </w:p>
        </w:tc>
        <w:tc>
          <w:tcPr>
            <w:tcW w:w="879" w:type="dxa"/>
            <w:tcBorders>
              <w:top w:val="single" w:sz="8" w:space="0" w:color="008000"/>
              <w:left w:val="nil"/>
              <w:bottom w:val="nil"/>
              <w:right w:val="nil"/>
            </w:tcBorders>
            <w:shd w:val="clear" w:color="auto" w:fill="auto"/>
          </w:tcPr>
          <w:p w:rsidR="00CF1064" w:rsidRPr="008F2A9F" w:rsidRDefault="00CF1064" w:rsidP="00045F60">
            <w:pPr>
              <w:pStyle w:val="Tabletext"/>
              <w:tabs>
                <w:tab w:val="decimal" w:pos="312"/>
              </w:tabs>
              <w:jc w:val="right"/>
              <w:rPr>
                <w:b/>
                <w:lang w:eastAsia="en-AU"/>
              </w:rPr>
            </w:pPr>
          </w:p>
        </w:tc>
        <w:tc>
          <w:tcPr>
            <w:tcW w:w="879" w:type="dxa"/>
            <w:tcBorders>
              <w:top w:val="single" w:sz="8" w:space="0" w:color="008000"/>
              <w:left w:val="nil"/>
              <w:bottom w:val="nil"/>
              <w:right w:val="nil"/>
            </w:tcBorders>
            <w:shd w:val="clear" w:color="auto" w:fill="auto"/>
          </w:tcPr>
          <w:p w:rsidR="00CF1064" w:rsidRPr="008F2A9F" w:rsidRDefault="00CF1064" w:rsidP="00045F60">
            <w:pPr>
              <w:pStyle w:val="Tabletext"/>
              <w:tabs>
                <w:tab w:val="decimal" w:pos="312"/>
              </w:tabs>
              <w:jc w:val="right"/>
              <w:rPr>
                <w:b/>
                <w:lang w:eastAsia="en-AU"/>
              </w:rPr>
            </w:pPr>
          </w:p>
        </w:tc>
        <w:tc>
          <w:tcPr>
            <w:tcW w:w="879" w:type="dxa"/>
            <w:tcBorders>
              <w:top w:val="single" w:sz="8" w:space="0" w:color="008000"/>
              <w:left w:val="nil"/>
              <w:bottom w:val="nil"/>
              <w:right w:val="nil"/>
            </w:tcBorders>
            <w:shd w:val="clear" w:color="auto" w:fill="auto"/>
          </w:tcPr>
          <w:p w:rsidR="00CF1064" w:rsidRPr="008F2A9F" w:rsidRDefault="00CF1064" w:rsidP="00045F60">
            <w:pPr>
              <w:pStyle w:val="Tabletext"/>
              <w:tabs>
                <w:tab w:val="decimal" w:pos="346"/>
              </w:tabs>
              <w:jc w:val="right"/>
              <w:rPr>
                <w:b/>
                <w:lang w:eastAsia="en-AU"/>
              </w:rPr>
            </w:pPr>
          </w:p>
        </w:tc>
        <w:tc>
          <w:tcPr>
            <w:tcW w:w="879" w:type="dxa"/>
            <w:tcBorders>
              <w:top w:val="single" w:sz="8" w:space="0" w:color="008000"/>
              <w:left w:val="nil"/>
              <w:bottom w:val="nil"/>
              <w:right w:val="nil"/>
            </w:tcBorders>
            <w:shd w:val="clear" w:color="auto" w:fill="auto"/>
          </w:tcPr>
          <w:p w:rsidR="00CF1064" w:rsidRPr="008F2A9F" w:rsidRDefault="00CF1064" w:rsidP="00045F60">
            <w:pPr>
              <w:pStyle w:val="Tabletext"/>
              <w:tabs>
                <w:tab w:val="decimal" w:pos="346"/>
              </w:tabs>
              <w:jc w:val="right"/>
              <w:rPr>
                <w:b/>
                <w:lang w:eastAsia="en-AU"/>
              </w:rPr>
            </w:pPr>
          </w:p>
        </w:tc>
      </w:tr>
      <w:tr w:rsidR="00CF1064" w:rsidRPr="008F2A9F" w:rsidTr="00045F60">
        <w:trPr>
          <w:trHeight w:val="255"/>
        </w:trPr>
        <w:tc>
          <w:tcPr>
            <w:tcW w:w="4962" w:type="dxa"/>
            <w:tcBorders>
              <w:top w:val="nil"/>
              <w:left w:val="nil"/>
              <w:bottom w:val="nil"/>
              <w:right w:val="nil"/>
            </w:tcBorders>
            <w:shd w:val="clear" w:color="auto" w:fill="auto"/>
          </w:tcPr>
          <w:p w:rsidR="00CF1064" w:rsidRPr="008F2A9F" w:rsidRDefault="00CF1064" w:rsidP="00045F60">
            <w:pPr>
              <w:pStyle w:val="Tabletext"/>
              <w:rPr>
                <w:lang w:eastAsia="en-AU"/>
              </w:rPr>
            </w:pPr>
            <w:r w:rsidRPr="008F2A9F">
              <w:rPr>
                <w:lang w:eastAsia="en-AU"/>
              </w:rPr>
              <w:t>Employed after training</w:t>
            </w:r>
          </w:p>
        </w:tc>
        <w:tc>
          <w:tcPr>
            <w:tcW w:w="878"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78.6</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79.9</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80.7</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80.4</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77.3</w:t>
            </w:r>
          </w:p>
        </w:tc>
        <w:tc>
          <w:tcPr>
            <w:tcW w:w="878" w:type="dxa"/>
            <w:tcBorders>
              <w:top w:val="nil"/>
              <w:left w:val="nil"/>
              <w:bottom w:val="nil"/>
              <w:right w:val="nil"/>
            </w:tcBorders>
            <w:shd w:val="clear" w:color="auto" w:fill="auto"/>
          </w:tcPr>
          <w:p w:rsidR="00CF1064" w:rsidRPr="00A1508C" w:rsidRDefault="00CF1064" w:rsidP="00045F60">
            <w:pPr>
              <w:pStyle w:val="Tabletext"/>
              <w:jc w:val="center"/>
            </w:pPr>
            <w:r w:rsidRPr="00A1508C">
              <w:t>75.9</w:t>
            </w:r>
          </w:p>
        </w:tc>
        <w:tc>
          <w:tcPr>
            <w:tcW w:w="879" w:type="dxa"/>
            <w:tcBorders>
              <w:top w:val="nil"/>
              <w:left w:val="nil"/>
              <w:bottom w:val="nil"/>
              <w:right w:val="nil"/>
            </w:tcBorders>
            <w:shd w:val="clear" w:color="auto" w:fill="auto"/>
          </w:tcPr>
          <w:p w:rsidR="00CF1064" w:rsidRPr="00A1508C" w:rsidRDefault="00CF1064" w:rsidP="00045F60">
            <w:pPr>
              <w:pStyle w:val="Tabletext"/>
              <w:jc w:val="center"/>
            </w:pPr>
            <w:r w:rsidRPr="00A1508C">
              <w:t>77.4</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76.1</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74.8</w:t>
            </w:r>
          </w:p>
        </w:tc>
        <w:tc>
          <w:tcPr>
            <w:tcW w:w="879" w:type="dxa"/>
            <w:tcBorders>
              <w:top w:val="nil"/>
              <w:left w:val="nil"/>
              <w:bottom w:val="nil"/>
              <w:right w:val="nil"/>
            </w:tcBorders>
            <w:shd w:val="clear" w:color="auto" w:fill="auto"/>
            <w:noWrap/>
            <w:vAlign w:val="bottom"/>
          </w:tcPr>
          <w:p w:rsidR="00CF1064" w:rsidRPr="00A1508C" w:rsidRDefault="00CF1064" w:rsidP="00045F60">
            <w:pPr>
              <w:pStyle w:val="Tabletext"/>
              <w:jc w:val="center"/>
            </w:pPr>
            <w:r>
              <w:t>74.9</w:t>
            </w:r>
          </w:p>
        </w:tc>
      </w:tr>
      <w:tr w:rsidR="00CF1064" w:rsidRPr="008F2A9F" w:rsidTr="00045F60">
        <w:trPr>
          <w:trHeight w:val="255"/>
        </w:trPr>
        <w:tc>
          <w:tcPr>
            <w:tcW w:w="4962" w:type="dxa"/>
            <w:tcBorders>
              <w:top w:val="nil"/>
              <w:left w:val="nil"/>
              <w:bottom w:val="nil"/>
              <w:right w:val="nil"/>
            </w:tcBorders>
            <w:shd w:val="clear" w:color="auto" w:fill="auto"/>
          </w:tcPr>
          <w:p w:rsidR="00CF1064" w:rsidRPr="008F2A9F" w:rsidRDefault="00CF1064" w:rsidP="00045F60">
            <w:pPr>
              <w:pStyle w:val="Tabletext"/>
              <w:rPr>
                <w:color w:val="auto"/>
                <w:lang w:eastAsia="en-AU"/>
              </w:rPr>
            </w:pPr>
            <w:r w:rsidRPr="008F2A9F">
              <w:rPr>
                <w:color w:val="auto"/>
                <w:lang w:eastAsia="en-AU"/>
              </w:rPr>
              <w:t>Employed or in further study after training</w:t>
            </w:r>
          </w:p>
        </w:tc>
        <w:tc>
          <w:tcPr>
            <w:tcW w:w="878"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89.8</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90.0</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90.7</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90.7</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89.0</w:t>
            </w:r>
          </w:p>
        </w:tc>
        <w:tc>
          <w:tcPr>
            <w:tcW w:w="878" w:type="dxa"/>
            <w:tcBorders>
              <w:top w:val="nil"/>
              <w:left w:val="nil"/>
              <w:bottom w:val="nil"/>
              <w:right w:val="nil"/>
            </w:tcBorders>
            <w:shd w:val="clear" w:color="auto" w:fill="auto"/>
          </w:tcPr>
          <w:p w:rsidR="00CF1064" w:rsidRPr="00A1508C" w:rsidRDefault="00CF1064" w:rsidP="00045F60">
            <w:pPr>
              <w:pStyle w:val="Tabletext"/>
              <w:jc w:val="center"/>
            </w:pPr>
            <w:r w:rsidRPr="00A1508C">
              <w:t>88.0</w:t>
            </w:r>
          </w:p>
        </w:tc>
        <w:tc>
          <w:tcPr>
            <w:tcW w:w="879" w:type="dxa"/>
            <w:tcBorders>
              <w:top w:val="nil"/>
              <w:left w:val="nil"/>
              <w:bottom w:val="nil"/>
              <w:right w:val="nil"/>
            </w:tcBorders>
            <w:shd w:val="clear" w:color="auto" w:fill="auto"/>
          </w:tcPr>
          <w:p w:rsidR="00CF1064" w:rsidRPr="00A1508C" w:rsidRDefault="00CF1064" w:rsidP="00045F60">
            <w:pPr>
              <w:pStyle w:val="Tabletext"/>
              <w:jc w:val="center"/>
            </w:pPr>
            <w:r w:rsidRPr="00A1508C">
              <w:t>88.7</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88.3</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87.5</w:t>
            </w:r>
          </w:p>
        </w:tc>
        <w:tc>
          <w:tcPr>
            <w:tcW w:w="879" w:type="dxa"/>
            <w:tcBorders>
              <w:top w:val="nil"/>
              <w:left w:val="nil"/>
              <w:bottom w:val="nil"/>
              <w:right w:val="nil"/>
            </w:tcBorders>
            <w:shd w:val="clear" w:color="auto" w:fill="auto"/>
            <w:noWrap/>
            <w:vAlign w:val="bottom"/>
          </w:tcPr>
          <w:p w:rsidR="00CF1064" w:rsidRPr="00A1508C" w:rsidRDefault="00CF1064" w:rsidP="00045F60">
            <w:pPr>
              <w:pStyle w:val="Tabletext"/>
              <w:jc w:val="center"/>
            </w:pPr>
            <w:r>
              <w:t>87.8</w:t>
            </w:r>
          </w:p>
        </w:tc>
      </w:tr>
      <w:tr w:rsidR="00CF1064" w:rsidRPr="008F2A9F" w:rsidTr="00045F60">
        <w:trPr>
          <w:trHeight w:val="255"/>
        </w:trPr>
        <w:tc>
          <w:tcPr>
            <w:tcW w:w="4962" w:type="dxa"/>
            <w:tcBorders>
              <w:top w:val="nil"/>
              <w:left w:val="nil"/>
              <w:bottom w:val="nil"/>
              <w:right w:val="nil"/>
            </w:tcBorders>
            <w:shd w:val="clear" w:color="auto" w:fill="auto"/>
          </w:tcPr>
          <w:p w:rsidR="00CF1064" w:rsidRPr="008F2A9F" w:rsidRDefault="00CF1064" w:rsidP="00045F60">
            <w:pPr>
              <w:pStyle w:val="Tabletext"/>
              <w:rPr>
                <w:color w:val="auto"/>
                <w:lang w:eastAsia="en-AU"/>
              </w:rPr>
            </w:pPr>
            <w:r w:rsidRPr="008F2A9F">
              <w:rPr>
                <w:color w:val="auto"/>
                <w:lang w:eastAsia="en-AU"/>
              </w:rPr>
              <w:t>Enrolled in further study after training</w:t>
            </w:r>
          </w:p>
        </w:tc>
        <w:tc>
          <w:tcPr>
            <w:tcW w:w="878"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36.7</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35.9</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35.7</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38.1</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37.6</w:t>
            </w:r>
          </w:p>
        </w:tc>
        <w:tc>
          <w:tcPr>
            <w:tcW w:w="878" w:type="dxa"/>
            <w:tcBorders>
              <w:top w:val="nil"/>
              <w:left w:val="nil"/>
              <w:bottom w:val="nil"/>
              <w:right w:val="nil"/>
            </w:tcBorders>
            <w:shd w:val="clear" w:color="auto" w:fill="auto"/>
          </w:tcPr>
          <w:p w:rsidR="00CF1064" w:rsidRPr="00A1508C" w:rsidRDefault="00CF1064" w:rsidP="00045F60">
            <w:pPr>
              <w:pStyle w:val="Tabletext"/>
              <w:jc w:val="center"/>
            </w:pPr>
            <w:r w:rsidRPr="00A1508C">
              <w:t>36.6</w:t>
            </w:r>
          </w:p>
        </w:tc>
        <w:tc>
          <w:tcPr>
            <w:tcW w:w="879" w:type="dxa"/>
            <w:tcBorders>
              <w:top w:val="nil"/>
              <w:left w:val="nil"/>
              <w:bottom w:val="nil"/>
              <w:right w:val="nil"/>
            </w:tcBorders>
            <w:shd w:val="clear" w:color="auto" w:fill="auto"/>
          </w:tcPr>
          <w:p w:rsidR="00CF1064" w:rsidRPr="00A1508C" w:rsidRDefault="00CF1064" w:rsidP="00045F60">
            <w:pPr>
              <w:pStyle w:val="Tabletext"/>
              <w:jc w:val="center"/>
            </w:pPr>
            <w:r w:rsidRPr="00A1508C">
              <w:t>36.3</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38.6</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37.6</w:t>
            </w:r>
          </w:p>
        </w:tc>
        <w:tc>
          <w:tcPr>
            <w:tcW w:w="879" w:type="dxa"/>
            <w:tcBorders>
              <w:top w:val="nil"/>
              <w:left w:val="nil"/>
              <w:bottom w:val="nil"/>
              <w:right w:val="nil"/>
            </w:tcBorders>
            <w:shd w:val="clear" w:color="auto" w:fill="auto"/>
            <w:noWrap/>
            <w:vAlign w:val="bottom"/>
          </w:tcPr>
          <w:p w:rsidR="00CF1064" w:rsidRPr="00A1508C" w:rsidRDefault="00CF1064" w:rsidP="00045F60">
            <w:pPr>
              <w:pStyle w:val="Tabletext"/>
              <w:jc w:val="center"/>
            </w:pPr>
            <w:r>
              <w:t>38.1</w:t>
            </w:r>
          </w:p>
        </w:tc>
      </w:tr>
      <w:tr w:rsidR="00CF1064" w:rsidRPr="008F2A9F" w:rsidTr="00045F60">
        <w:trPr>
          <w:trHeight w:val="255"/>
        </w:trPr>
        <w:tc>
          <w:tcPr>
            <w:tcW w:w="4962" w:type="dxa"/>
            <w:tcBorders>
              <w:top w:val="nil"/>
              <w:left w:val="nil"/>
              <w:bottom w:val="nil"/>
              <w:right w:val="nil"/>
            </w:tcBorders>
            <w:shd w:val="clear" w:color="auto" w:fill="auto"/>
            <w:vAlign w:val="bottom"/>
          </w:tcPr>
          <w:p w:rsidR="00CF1064" w:rsidRPr="00CF1064" w:rsidRDefault="00CF1064" w:rsidP="00045F60">
            <w:pPr>
              <w:pStyle w:val="Tabletext"/>
              <w:rPr>
                <w:vertAlign w:val="subscript"/>
              </w:rPr>
            </w:pPr>
            <w:r w:rsidRPr="008F2A9F">
              <w:t>Satisfied with teaching</w:t>
            </w:r>
            <w:r w:rsidRPr="008F2A9F">
              <w:rPr>
                <w:vertAlign w:val="superscript"/>
              </w:rPr>
              <w:t>4</w:t>
            </w:r>
          </w:p>
        </w:tc>
        <w:tc>
          <w:tcPr>
            <w:tcW w:w="878"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89.4</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88.8</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89.7</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89.7</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89.9</w:t>
            </w:r>
          </w:p>
        </w:tc>
        <w:tc>
          <w:tcPr>
            <w:tcW w:w="878" w:type="dxa"/>
            <w:tcBorders>
              <w:top w:val="nil"/>
              <w:left w:val="nil"/>
              <w:bottom w:val="nil"/>
              <w:right w:val="nil"/>
            </w:tcBorders>
            <w:shd w:val="clear" w:color="auto" w:fill="auto"/>
          </w:tcPr>
          <w:p w:rsidR="00CF1064" w:rsidRPr="00A1508C" w:rsidRDefault="00CF1064" w:rsidP="00045F60">
            <w:pPr>
              <w:pStyle w:val="Tabletext"/>
              <w:jc w:val="center"/>
            </w:pPr>
            <w:r w:rsidRPr="00A1508C">
              <w:t>89.5</w:t>
            </w:r>
          </w:p>
        </w:tc>
        <w:tc>
          <w:tcPr>
            <w:tcW w:w="879" w:type="dxa"/>
            <w:tcBorders>
              <w:top w:val="nil"/>
              <w:left w:val="nil"/>
              <w:bottom w:val="nil"/>
              <w:right w:val="nil"/>
            </w:tcBorders>
            <w:shd w:val="clear" w:color="auto" w:fill="auto"/>
          </w:tcPr>
          <w:p w:rsidR="00CF1064" w:rsidRPr="00A1508C" w:rsidRDefault="00CF1064" w:rsidP="00045F60">
            <w:pPr>
              <w:pStyle w:val="Tabletext"/>
              <w:jc w:val="center"/>
            </w:pPr>
            <w:r w:rsidRPr="00A1508C">
              <w:t>90.5</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91.3</w:t>
            </w:r>
          </w:p>
        </w:tc>
        <w:tc>
          <w:tcPr>
            <w:tcW w:w="879" w:type="dxa"/>
            <w:tcBorders>
              <w:top w:val="nil"/>
              <w:left w:val="nil"/>
              <w:bottom w:val="nil"/>
              <w:right w:val="nil"/>
            </w:tcBorders>
            <w:shd w:val="clear" w:color="auto" w:fill="auto"/>
            <w:vAlign w:val="bottom"/>
          </w:tcPr>
          <w:p w:rsidR="00CF1064" w:rsidRPr="00A1508C" w:rsidRDefault="00CF1064" w:rsidP="00045F60">
            <w:pPr>
              <w:pStyle w:val="Tabletext"/>
              <w:jc w:val="center"/>
            </w:pPr>
            <w:r w:rsidRPr="00A1508C">
              <w:t>90.4</w:t>
            </w:r>
          </w:p>
        </w:tc>
        <w:tc>
          <w:tcPr>
            <w:tcW w:w="879" w:type="dxa"/>
            <w:tcBorders>
              <w:top w:val="nil"/>
              <w:left w:val="nil"/>
              <w:bottom w:val="nil"/>
              <w:right w:val="nil"/>
            </w:tcBorders>
            <w:shd w:val="clear" w:color="auto" w:fill="auto"/>
            <w:noWrap/>
            <w:vAlign w:val="bottom"/>
          </w:tcPr>
          <w:p w:rsidR="00CF1064" w:rsidRPr="00A1508C" w:rsidRDefault="00CF1064" w:rsidP="00045F60">
            <w:pPr>
              <w:pStyle w:val="Tabletext"/>
              <w:jc w:val="center"/>
            </w:pPr>
            <w:r>
              <w:t>90.1</w:t>
            </w:r>
          </w:p>
        </w:tc>
      </w:tr>
      <w:tr w:rsidR="00CF1064" w:rsidRPr="008F2A9F" w:rsidTr="00045F60">
        <w:trPr>
          <w:trHeight w:val="255"/>
        </w:trPr>
        <w:tc>
          <w:tcPr>
            <w:tcW w:w="4962" w:type="dxa"/>
            <w:tcBorders>
              <w:top w:val="nil"/>
              <w:left w:val="nil"/>
              <w:right w:val="nil"/>
            </w:tcBorders>
            <w:shd w:val="clear" w:color="auto" w:fill="auto"/>
            <w:noWrap/>
            <w:vAlign w:val="bottom"/>
          </w:tcPr>
          <w:p w:rsidR="00CF1064" w:rsidRPr="008F2A9F" w:rsidRDefault="00CF1064" w:rsidP="00045F60">
            <w:pPr>
              <w:pStyle w:val="Tabletext"/>
            </w:pPr>
            <w:r w:rsidRPr="008F2A9F">
              <w:t>Satisfied with assessment</w:t>
            </w:r>
            <w:r w:rsidRPr="008F2A9F">
              <w:rPr>
                <w:vertAlign w:val="superscript"/>
              </w:rPr>
              <w:t>4</w:t>
            </w:r>
          </w:p>
        </w:tc>
        <w:tc>
          <w:tcPr>
            <w:tcW w:w="878" w:type="dxa"/>
            <w:tcBorders>
              <w:top w:val="nil"/>
              <w:left w:val="nil"/>
              <w:right w:val="nil"/>
            </w:tcBorders>
            <w:shd w:val="clear" w:color="auto" w:fill="auto"/>
            <w:vAlign w:val="bottom"/>
          </w:tcPr>
          <w:p w:rsidR="00CF1064" w:rsidRPr="00A1508C" w:rsidRDefault="00CF1064" w:rsidP="00045F60">
            <w:pPr>
              <w:pStyle w:val="Tabletext"/>
              <w:jc w:val="center"/>
            </w:pPr>
            <w:r w:rsidRPr="00A1508C">
              <w:t>88.1</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88.0</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88.5</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88.8</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88.8</w:t>
            </w:r>
          </w:p>
        </w:tc>
        <w:tc>
          <w:tcPr>
            <w:tcW w:w="878" w:type="dxa"/>
            <w:tcBorders>
              <w:top w:val="nil"/>
              <w:left w:val="nil"/>
              <w:right w:val="nil"/>
            </w:tcBorders>
            <w:shd w:val="clear" w:color="auto" w:fill="auto"/>
          </w:tcPr>
          <w:p w:rsidR="00CF1064" w:rsidRPr="00A1508C" w:rsidRDefault="00CF1064" w:rsidP="00045F60">
            <w:pPr>
              <w:pStyle w:val="Tabletext"/>
              <w:jc w:val="center"/>
            </w:pPr>
            <w:r w:rsidRPr="00A1508C">
              <w:t>89.1</w:t>
            </w:r>
          </w:p>
        </w:tc>
        <w:tc>
          <w:tcPr>
            <w:tcW w:w="879" w:type="dxa"/>
            <w:tcBorders>
              <w:top w:val="nil"/>
              <w:left w:val="nil"/>
              <w:right w:val="nil"/>
            </w:tcBorders>
            <w:shd w:val="clear" w:color="auto" w:fill="auto"/>
          </w:tcPr>
          <w:p w:rsidR="00CF1064" w:rsidRPr="00A1508C" w:rsidRDefault="00CF1064" w:rsidP="00045F60">
            <w:pPr>
              <w:pStyle w:val="Tabletext"/>
              <w:jc w:val="center"/>
            </w:pPr>
            <w:r w:rsidRPr="00A1508C">
              <w:t>89.9</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90.4</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89.9</w:t>
            </w:r>
          </w:p>
        </w:tc>
        <w:tc>
          <w:tcPr>
            <w:tcW w:w="879" w:type="dxa"/>
            <w:tcBorders>
              <w:top w:val="nil"/>
              <w:left w:val="nil"/>
              <w:right w:val="nil"/>
            </w:tcBorders>
            <w:shd w:val="clear" w:color="auto" w:fill="auto"/>
            <w:noWrap/>
            <w:vAlign w:val="bottom"/>
          </w:tcPr>
          <w:p w:rsidR="00CF1064" w:rsidRPr="00A1508C" w:rsidRDefault="00CF1064" w:rsidP="00045F60">
            <w:pPr>
              <w:pStyle w:val="Tabletext"/>
              <w:jc w:val="center"/>
            </w:pPr>
            <w:r>
              <w:t>90.1</w:t>
            </w:r>
          </w:p>
        </w:tc>
      </w:tr>
      <w:tr w:rsidR="00CF1064" w:rsidRPr="008F2A9F" w:rsidTr="00045F60">
        <w:trPr>
          <w:trHeight w:val="255"/>
        </w:trPr>
        <w:tc>
          <w:tcPr>
            <w:tcW w:w="4962" w:type="dxa"/>
            <w:tcBorders>
              <w:top w:val="nil"/>
              <w:left w:val="nil"/>
              <w:right w:val="nil"/>
            </w:tcBorders>
            <w:shd w:val="clear" w:color="auto" w:fill="auto"/>
            <w:noWrap/>
            <w:vAlign w:val="bottom"/>
          </w:tcPr>
          <w:p w:rsidR="00CF1064" w:rsidRPr="008F2A9F" w:rsidRDefault="00CF1064" w:rsidP="00045F60">
            <w:pPr>
              <w:pStyle w:val="Tabletext"/>
            </w:pPr>
            <w:r w:rsidRPr="008F2A9F">
              <w:t>Satisfied with generic skills and learning experiences</w:t>
            </w:r>
            <w:r w:rsidRPr="008F2A9F">
              <w:rPr>
                <w:vertAlign w:val="superscript"/>
              </w:rPr>
              <w:t>4</w:t>
            </w:r>
          </w:p>
        </w:tc>
        <w:tc>
          <w:tcPr>
            <w:tcW w:w="878" w:type="dxa"/>
            <w:tcBorders>
              <w:top w:val="nil"/>
              <w:left w:val="nil"/>
              <w:right w:val="nil"/>
            </w:tcBorders>
            <w:shd w:val="clear" w:color="auto" w:fill="auto"/>
            <w:vAlign w:val="bottom"/>
          </w:tcPr>
          <w:p w:rsidR="00CF1064" w:rsidRPr="00A1508C" w:rsidRDefault="00CF1064" w:rsidP="00045F60">
            <w:pPr>
              <w:pStyle w:val="Tabletext"/>
              <w:jc w:val="center"/>
            </w:pPr>
            <w:r w:rsidRPr="00A1508C">
              <w:t>77.4</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76.9</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77.4</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77.9</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78.8</w:t>
            </w:r>
          </w:p>
        </w:tc>
        <w:tc>
          <w:tcPr>
            <w:tcW w:w="878" w:type="dxa"/>
            <w:tcBorders>
              <w:top w:val="nil"/>
              <w:left w:val="nil"/>
              <w:right w:val="nil"/>
            </w:tcBorders>
            <w:shd w:val="clear" w:color="auto" w:fill="auto"/>
          </w:tcPr>
          <w:p w:rsidR="00CF1064" w:rsidRPr="00A1508C" w:rsidRDefault="00CF1064" w:rsidP="00045F60">
            <w:pPr>
              <w:pStyle w:val="Tabletext"/>
              <w:jc w:val="center"/>
            </w:pPr>
            <w:r w:rsidRPr="00A1508C">
              <w:t>79.4</w:t>
            </w:r>
          </w:p>
        </w:tc>
        <w:tc>
          <w:tcPr>
            <w:tcW w:w="879" w:type="dxa"/>
            <w:tcBorders>
              <w:top w:val="nil"/>
              <w:left w:val="nil"/>
              <w:right w:val="nil"/>
            </w:tcBorders>
            <w:shd w:val="clear" w:color="auto" w:fill="auto"/>
          </w:tcPr>
          <w:p w:rsidR="00CF1064" w:rsidRPr="00A1508C" w:rsidRDefault="00CF1064" w:rsidP="00045F60">
            <w:pPr>
              <w:pStyle w:val="Tabletext"/>
              <w:jc w:val="center"/>
            </w:pPr>
            <w:r w:rsidRPr="00A1508C">
              <w:t>79.6</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80.5</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79.8</w:t>
            </w:r>
          </w:p>
        </w:tc>
        <w:tc>
          <w:tcPr>
            <w:tcW w:w="879" w:type="dxa"/>
            <w:tcBorders>
              <w:top w:val="nil"/>
              <w:left w:val="nil"/>
              <w:right w:val="nil"/>
            </w:tcBorders>
            <w:shd w:val="clear" w:color="auto" w:fill="auto"/>
            <w:noWrap/>
            <w:vAlign w:val="bottom"/>
          </w:tcPr>
          <w:p w:rsidR="00CF1064" w:rsidRPr="00A1508C" w:rsidRDefault="00CF1064" w:rsidP="00045F60">
            <w:pPr>
              <w:pStyle w:val="Tabletext"/>
              <w:jc w:val="center"/>
            </w:pPr>
            <w:r>
              <w:t>79.2</w:t>
            </w:r>
          </w:p>
        </w:tc>
      </w:tr>
      <w:tr w:rsidR="00CF1064" w:rsidRPr="008F2A9F" w:rsidTr="00045F60">
        <w:trPr>
          <w:trHeight w:val="255"/>
        </w:trPr>
        <w:tc>
          <w:tcPr>
            <w:tcW w:w="4962" w:type="dxa"/>
            <w:tcBorders>
              <w:top w:val="nil"/>
              <w:left w:val="nil"/>
              <w:right w:val="nil"/>
            </w:tcBorders>
            <w:shd w:val="clear" w:color="auto" w:fill="auto"/>
            <w:noWrap/>
          </w:tcPr>
          <w:p w:rsidR="00CF1064" w:rsidRPr="008F2A9F" w:rsidRDefault="00CF1064" w:rsidP="00045F60">
            <w:pPr>
              <w:pStyle w:val="Tabletext"/>
              <w:rPr>
                <w:lang w:eastAsia="en-AU"/>
              </w:rPr>
            </w:pPr>
            <w:r w:rsidRPr="008F2A9F">
              <w:rPr>
                <w:lang w:eastAsia="en-AU"/>
              </w:rPr>
              <w:t>Satisfied with the overall quality of training</w:t>
            </w:r>
          </w:p>
        </w:tc>
        <w:tc>
          <w:tcPr>
            <w:tcW w:w="878" w:type="dxa"/>
            <w:tcBorders>
              <w:top w:val="nil"/>
              <w:left w:val="nil"/>
              <w:right w:val="nil"/>
            </w:tcBorders>
            <w:shd w:val="clear" w:color="auto" w:fill="auto"/>
            <w:vAlign w:val="bottom"/>
          </w:tcPr>
          <w:p w:rsidR="00CF1064" w:rsidRPr="00A1508C" w:rsidRDefault="00CF1064" w:rsidP="00045F60">
            <w:pPr>
              <w:pStyle w:val="Tabletext"/>
              <w:jc w:val="center"/>
            </w:pPr>
            <w:r w:rsidRPr="00A1508C">
              <w:t>87.8</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87.9</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88.7</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88.5</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88.9</w:t>
            </w:r>
          </w:p>
        </w:tc>
        <w:tc>
          <w:tcPr>
            <w:tcW w:w="878" w:type="dxa"/>
            <w:tcBorders>
              <w:top w:val="nil"/>
              <w:left w:val="nil"/>
              <w:right w:val="nil"/>
            </w:tcBorders>
            <w:shd w:val="clear" w:color="auto" w:fill="auto"/>
          </w:tcPr>
          <w:p w:rsidR="00CF1064" w:rsidRPr="00A1508C" w:rsidRDefault="00CF1064" w:rsidP="00045F60">
            <w:pPr>
              <w:pStyle w:val="Tabletext"/>
              <w:jc w:val="center"/>
            </w:pPr>
            <w:r w:rsidRPr="00A1508C">
              <w:t>88.7</w:t>
            </w:r>
          </w:p>
        </w:tc>
        <w:tc>
          <w:tcPr>
            <w:tcW w:w="879" w:type="dxa"/>
            <w:tcBorders>
              <w:top w:val="nil"/>
              <w:left w:val="nil"/>
              <w:right w:val="nil"/>
            </w:tcBorders>
            <w:shd w:val="clear" w:color="auto" w:fill="auto"/>
          </w:tcPr>
          <w:p w:rsidR="00CF1064" w:rsidRPr="00A1508C" w:rsidRDefault="00CF1064" w:rsidP="00045F60">
            <w:pPr>
              <w:pStyle w:val="Tabletext"/>
              <w:jc w:val="center"/>
            </w:pPr>
            <w:r w:rsidRPr="00A1508C">
              <w:t>89.2</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89.4</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88.4</w:t>
            </w:r>
          </w:p>
        </w:tc>
        <w:tc>
          <w:tcPr>
            <w:tcW w:w="879" w:type="dxa"/>
            <w:tcBorders>
              <w:top w:val="nil"/>
              <w:left w:val="nil"/>
              <w:right w:val="nil"/>
            </w:tcBorders>
            <w:shd w:val="clear" w:color="auto" w:fill="auto"/>
            <w:noWrap/>
            <w:vAlign w:val="bottom"/>
          </w:tcPr>
          <w:p w:rsidR="00CF1064" w:rsidRPr="00A1508C" w:rsidRDefault="00CF1064" w:rsidP="00045F60">
            <w:pPr>
              <w:pStyle w:val="Tabletext"/>
              <w:jc w:val="center"/>
            </w:pPr>
            <w:r>
              <w:t>88.7</w:t>
            </w:r>
          </w:p>
        </w:tc>
      </w:tr>
      <w:tr w:rsidR="00CF1064" w:rsidRPr="008F2A9F" w:rsidTr="00045F60">
        <w:trPr>
          <w:trHeight w:val="255"/>
        </w:trPr>
        <w:tc>
          <w:tcPr>
            <w:tcW w:w="4962" w:type="dxa"/>
            <w:tcBorders>
              <w:top w:val="nil"/>
              <w:left w:val="nil"/>
              <w:right w:val="nil"/>
            </w:tcBorders>
            <w:shd w:val="clear" w:color="auto" w:fill="auto"/>
            <w:noWrap/>
          </w:tcPr>
          <w:p w:rsidR="00CF1064" w:rsidRPr="008F2A9F" w:rsidRDefault="00CF1064" w:rsidP="00045F60">
            <w:pPr>
              <w:pStyle w:val="Tabletext"/>
              <w:rPr>
                <w:lang w:eastAsia="en-AU"/>
              </w:rPr>
            </w:pPr>
            <w:r w:rsidRPr="008F2A9F">
              <w:rPr>
                <w:lang w:eastAsia="en-AU"/>
              </w:rPr>
              <w:t>Fully or partly achieved main reason for doing the training</w:t>
            </w:r>
          </w:p>
        </w:tc>
        <w:tc>
          <w:tcPr>
            <w:tcW w:w="878" w:type="dxa"/>
            <w:tcBorders>
              <w:top w:val="nil"/>
              <w:left w:val="nil"/>
              <w:right w:val="nil"/>
            </w:tcBorders>
            <w:shd w:val="clear" w:color="auto" w:fill="auto"/>
            <w:vAlign w:val="bottom"/>
          </w:tcPr>
          <w:p w:rsidR="00CF1064" w:rsidRPr="00A1508C" w:rsidRDefault="00CF1064" w:rsidP="00045F60">
            <w:pPr>
              <w:pStyle w:val="Tabletext"/>
              <w:jc w:val="center"/>
            </w:pPr>
            <w:r w:rsidRPr="00A1508C">
              <w:t>84.2</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85.1</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85.5</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86.9</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84.7</w:t>
            </w:r>
          </w:p>
        </w:tc>
        <w:tc>
          <w:tcPr>
            <w:tcW w:w="878" w:type="dxa"/>
            <w:tcBorders>
              <w:top w:val="nil"/>
              <w:left w:val="nil"/>
              <w:right w:val="nil"/>
            </w:tcBorders>
            <w:shd w:val="clear" w:color="auto" w:fill="auto"/>
          </w:tcPr>
          <w:p w:rsidR="00CF1064" w:rsidRPr="00A1508C" w:rsidRDefault="00CF1064" w:rsidP="00045F60">
            <w:pPr>
              <w:pStyle w:val="Tabletext"/>
              <w:jc w:val="center"/>
            </w:pPr>
            <w:r w:rsidRPr="00A1508C">
              <w:t>83.8</w:t>
            </w:r>
          </w:p>
        </w:tc>
        <w:tc>
          <w:tcPr>
            <w:tcW w:w="879" w:type="dxa"/>
            <w:tcBorders>
              <w:top w:val="nil"/>
              <w:left w:val="nil"/>
              <w:right w:val="nil"/>
            </w:tcBorders>
            <w:shd w:val="clear" w:color="auto" w:fill="auto"/>
          </w:tcPr>
          <w:p w:rsidR="00CF1064" w:rsidRPr="00A1508C" w:rsidRDefault="00CF1064" w:rsidP="00045F60">
            <w:pPr>
              <w:pStyle w:val="Tabletext"/>
              <w:jc w:val="center"/>
            </w:pPr>
            <w:r w:rsidRPr="00A1508C">
              <w:t>84.8</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84.5</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83.0</w:t>
            </w:r>
          </w:p>
        </w:tc>
        <w:tc>
          <w:tcPr>
            <w:tcW w:w="879" w:type="dxa"/>
            <w:tcBorders>
              <w:top w:val="nil"/>
              <w:left w:val="nil"/>
              <w:right w:val="nil"/>
            </w:tcBorders>
            <w:shd w:val="clear" w:color="auto" w:fill="auto"/>
            <w:noWrap/>
            <w:vAlign w:val="bottom"/>
          </w:tcPr>
          <w:p w:rsidR="00CF1064" w:rsidRPr="00A1508C" w:rsidRDefault="00CF1064" w:rsidP="00045F60">
            <w:pPr>
              <w:pStyle w:val="Tabletext"/>
              <w:jc w:val="center"/>
            </w:pPr>
            <w:r>
              <w:t>82.0</w:t>
            </w:r>
          </w:p>
        </w:tc>
      </w:tr>
      <w:tr w:rsidR="00CF1064" w:rsidRPr="008F2A9F" w:rsidTr="00045F60">
        <w:trPr>
          <w:trHeight w:val="255"/>
        </w:trPr>
        <w:tc>
          <w:tcPr>
            <w:tcW w:w="4962" w:type="dxa"/>
            <w:tcBorders>
              <w:top w:val="nil"/>
              <w:left w:val="nil"/>
              <w:right w:val="nil"/>
            </w:tcBorders>
            <w:shd w:val="clear" w:color="auto" w:fill="auto"/>
            <w:noWrap/>
            <w:vAlign w:val="bottom"/>
          </w:tcPr>
          <w:p w:rsidR="00CF1064" w:rsidRPr="008F2A9F" w:rsidRDefault="00CF1064" w:rsidP="00045F60">
            <w:pPr>
              <w:pStyle w:val="Tabletext"/>
            </w:pPr>
            <w:r w:rsidRPr="008F2A9F">
              <w:t>Of those employed after training</w:t>
            </w:r>
          </w:p>
        </w:tc>
        <w:tc>
          <w:tcPr>
            <w:tcW w:w="878"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8" w:type="dxa"/>
            <w:tcBorders>
              <w:top w:val="nil"/>
              <w:left w:val="nil"/>
              <w:right w:val="nil"/>
            </w:tcBorders>
            <w:shd w:val="clear" w:color="auto" w:fill="auto"/>
          </w:tcPr>
          <w:p w:rsidR="00CF1064" w:rsidRPr="00A1508C" w:rsidRDefault="00CF1064" w:rsidP="00045F60">
            <w:pPr>
              <w:pStyle w:val="Tabletext"/>
              <w:jc w:val="center"/>
            </w:pPr>
          </w:p>
        </w:tc>
        <w:tc>
          <w:tcPr>
            <w:tcW w:w="879" w:type="dxa"/>
            <w:tcBorders>
              <w:top w:val="nil"/>
              <w:left w:val="nil"/>
              <w:right w:val="nil"/>
            </w:tcBorders>
            <w:shd w:val="clear" w:color="auto" w:fill="auto"/>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noWrap/>
            <w:vAlign w:val="bottom"/>
          </w:tcPr>
          <w:p w:rsidR="00CF1064" w:rsidRPr="00A1508C" w:rsidRDefault="00CF1064" w:rsidP="00045F60">
            <w:pPr>
              <w:pStyle w:val="Tabletext"/>
              <w:jc w:val="center"/>
            </w:pPr>
          </w:p>
        </w:tc>
      </w:tr>
      <w:tr w:rsidR="00CF1064" w:rsidRPr="008F2A9F" w:rsidTr="00045F60">
        <w:trPr>
          <w:trHeight w:val="255"/>
        </w:trPr>
        <w:tc>
          <w:tcPr>
            <w:tcW w:w="4962" w:type="dxa"/>
            <w:tcBorders>
              <w:top w:val="nil"/>
              <w:left w:val="nil"/>
              <w:right w:val="nil"/>
            </w:tcBorders>
            <w:shd w:val="clear" w:color="auto" w:fill="auto"/>
            <w:noWrap/>
            <w:vAlign w:val="bottom"/>
          </w:tcPr>
          <w:p w:rsidR="00CF1064" w:rsidRPr="008F2A9F" w:rsidRDefault="00CF1064" w:rsidP="00045F60">
            <w:pPr>
              <w:pStyle w:val="Tabletext"/>
              <w:ind w:left="170"/>
            </w:pPr>
            <w:r w:rsidRPr="008F2A9F">
              <w:t>Found the training relevant to their current job</w:t>
            </w:r>
          </w:p>
        </w:tc>
        <w:tc>
          <w:tcPr>
            <w:tcW w:w="878" w:type="dxa"/>
            <w:tcBorders>
              <w:top w:val="nil"/>
              <w:left w:val="nil"/>
              <w:right w:val="nil"/>
            </w:tcBorders>
            <w:shd w:val="clear" w:color="auto" w:fill="auto"/>
            <w:vAlign w:val="bottom"/>
          </w:tcPr>
          <w:p w:rsidR="00CF1064" w:rsidRPr="00A1508C" w:rsidRDefault="00CF1064" w:rsidP="00045F60">
            <w:pPr>
              <w:pStyle w:val="Tabletext"/>
              <w:jc w:val="center"/>
            </w:pPr>
            <w:r w:rsidRPr="00A1508C">
              <w:t>74.5</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76.1</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77.5</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76.4</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77.3</w:t>
            </w:r>
          </w:p>
        </w:tc>
        <w:tc>
          <w:tcPr>
            <w:tcW w:w="878" w:type="dxa"/>
            <w:tcBorders>
              <w:top w:val="nil"/>
              <w:left w:val="nil"/>
              <w:right w:val="nil"/>
            </w:tcBorders>
            <w:shd w:val="clear" w:color="auto" w:fill="auto"/>
          </w:tcPr>
          <w:p w:rsidR="00CF1064" w:rsidRPr="00A1508C" w:rsidRDefault="00CF1064" w:rsidP="00045F60">
            <w:pPr>
              <w:pStyle w:val="Tabletext"/>
              <w:jc w:val="center"/>
            </w:pPr>
            <w:r w:rsidRPr="00A1508C">
              <w:t>77.5</w:t>
            </w:r>
          </w:p>
        </w:tc>
        <w:tc>
          <w:tcPr>
            <w:tcW w:w="879" w:type="dxa"/>
            <w:tcBorders>
              <w:top w:val="nil"/>
              <w:left w:val="nil"/>
              <w:right w:val="nil"/>
            </w:tcBorders>
            <w:shd w:val="clear" w:color="auto" w:fill="auto"/>
          </w:tcPr>
          <w:p w:rsidR="00CF1064" w:rsidRPr="00A1508C" w:rsidRDefault="00CF1064" w:rsidP="00045F60">
            <w:pPr>
              <w:pStyle w:val="Tabletext"/>
              <w:jc w:val="center"/>
            </w:pPr>
            <w:r w:rsidRPr="00A1508C">
              <w:t>78.4</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78.2</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80.0</w:t>
            </w:r>
          </w:p>
        </w:tc>
        <w:tc>
          <w:tcPr>
            <w:tcW w:w="879" w:type="dxa"/>
            <w:tcBorders>
              <w:top w:val="nil"/>
              <w:left w:val="nil"/>
              <w:right w:val="nil"/>
            </w:tcBorders>
            <w:shd w:val="clear" w:color="auto" w:fill="auto"/>
            <w:noWrap/>
            <w:vAlign w:val="bottom"/>
          </w:tcPr>
          <w:p w:rsidR="00CF1064" w:rsidRPr="00A1508C" w:rsidRDefault="00CF1064" w:rsidP="00045F60">
            <w:pPr>
              <w:pStyle w:val="Tabletext"/>
              <w:jc w:val="center"/>
            </w:pPr>
            <w:r>
              <w:t>76.3</w:t>
            </w:r>
          </w:p>
        </w:tc>
      </w:tr>
      <w:tr w:rsidR="00CF1064" w:rsidRPr="008F2A9F" w:rsidTr="00045F60">
        <w:trPr>
          <w:trHeight w:val="255"/>
        </w:trPr>
        <w:tc>
          <w:tcPr>
            <w:tcW w:w="4962" w:type="dxa"/>
            <w:tcBorders>
              <w:top w:val="nil"/>
              <w:left w:val="nil"/>
              <w:right w:val="nil"/>
            </w:tcBorders>
            <w:shd w:val="clear" w:color="auto" w:fill="auto"/>
            <w:noWrap/>
            <w:vAlign w:val="bottom"/>
          </w:tcPr>
          <w:p w:rsidR="00CF1064" w:rsidRPr="008F2A9F" w:rsidRDefault="00CF1064" w:rsidP="00045F60">
            <w:pPr>
              <w:pStyle w:val="Tabletext"/>
              <w:ind w:left="170"/>
            </w:pPr>
            <w:r w:rsidRPr="008F2A9F">
              <w:t>Received at least one job-related benefit</w:t>
            </w:r>
          </w:p>
        </w:tc>
        <w:tc>
          <w:tcPr>
            <w:tcW w:w="878" w:type="dxa"/>
            <w:tcBorders>
              <w:top w:val="nil"/>
              <w:left w:val="nil"/>
              <w:right w:val="nil"/>
            </w:tcBorders>
            <w:shd w:val="clear" w:color="auto" w:fill="auto"/>
            <w:vAlign w:val="bottom"/>
          </w:tcPr>
          <w:p w:rsidR="00CF1064" w:rsidRPr="00A1508C" w:rsidRDefault="00CF1064" w:rsidP="00045F60">
            <w:pPr>
              <w:pStyle w:val="Tabletext"/>
              <w:jc w:val="center"/>
            </w:pPr>
            <w:r w:rsidRPr="00A1508C">
              <w:t>81.1</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78.1</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76.7</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78.5</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76.3</w:t>
            </w:r>
          </w:p>
        </w:tc>
        <w:tc>
          <w:tcPr>
            <w:tcW w:w="878" w:type="dxa"/>
            <w:tcBorders>
              <w:top w:val="nil"/>
              <w:left w:val="nil"/>
              <w:right w:val="nil"/>
            </w:tcBorders>
            <w:shd w:val="clear" w:color="auto" w:fill="auto"/>
          </w:tcPr>
          <w:p w:rsidR="00CF1064" w:rsidRPr="00A1508C" w:rsidRDefault="00CF1064" w:rsidP="00045F60">
            <w:pPr>
              <w:pStyle w:val="Tabletext"/>
              <w:jc w:val="center"/>
            </w:pPr>
            <w:r w:rsidRPr="00A1508C">
              <w:t>75.0</w:t>
            </w:r>
          </w:p>
        </w:tc>
        <w:tc>
          <w:tcPr>
            <w:tcW w:w="879" w:type="dxa"/>
            <w:tcBorders>
              <w:top w:val="nil"/>
              <w:left w:val="nil"/>
              <w:right w:val="nil"/>
            </w:tcBorders>
            <w:shd w:val="clear" w:color="auto" w:fill="auto"/>
          </w:tcPr>
          <w:p w:rsidR="00CF1064" w:rsidRPr="00A1508C" w:rsidRDefault="00CF1064" w:rsidP="00045F60">
            <w:pPr>
              <w:pStyle w:val="Tabletext"/>
              <w:jc w:val="center"/>
            </w:pPr>
            <w:r w:rsidRPr="00A1508C">
              <w:t>77.2</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76.9</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76.1</w:t>
            </w:r>
          </w:p>
        </w:tc>
        <w:tc>
          <w:tcPr>
            <w:tcW w:w="879" w:type="dxa"/>
            <w:tcBorders>
              <w:top w:val="nil"/>
              <w:left w:val="nil"/>
              <w:right w:val="nil"/>
            </w:tcBorders>
            <w:shd w:val="clear" w:color="auto" w:fill="auto"/>
            <w:noWrap/>
            <w:vAlign w:val="bottom"/>
          </w:tcPr>
          <w:p w:rsidR="00CF1064" w:rsidRPr="00A1508C" w:rsidRDefault="00CF1064" w:rsidP="00045F60">
            <w:pPr>
              <w:pStyle w:val="Tabletext"/>
              <w:jc w:val="center"/>
            </w:pPr>
            <w:r>
              <w:t>74.3</w:t>
            </w:r>
          </w:p>
        </w:tc>
      </w:tr>
      <w:tr w:rsidR="00CF1064" w:rsidRPr="008F2A9F" w:rsidTr="00045F60">
        <w:trPr>
          <w:trHeight w:val="255"/>
        </w:trPr>
        <w:tc>
          <w:tcPr>
            <w:tcW w:w="4962" w:type="dxa"/>
            <w:tcBorders>
              <w:top w:val="nil"/>
              <w:left w:val="nil"/>
              <w:right w:val="nil"/>
            </w:tcBorders>
            <w:shd w:val="clear" w:color="auto" w:fill="auto"/>
            <w:noWrap/>
            <w:vAlign w:val="bottom"/>
          </w:tcPr>
          <w:p w:rsidR="00CF1064" w:rsidRPr="008F2A9F" w:rsidRDefault="00CF1064" w:rsidP="00045F60">
            <w:pPr>
              <w:pStyle w:val="Tabletext"/>
            </w:pPr>
            <w:r w:rsidRPr="008F2A9F">
              <w:t>Of those employed before training</w:t>
            </w:r>
          </w:p>
        </w:tc>
        <w:tc>
          <w:tcPr>
            <w:tcW w:w="878"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8" w:type="dxa"/>
            <w:tcBorders>
              <w:top w:val="nil"/>
              <w:left w:val="nil"/>
              <w:right w:val="nil"/>
            </w:tcBorders>
            <w:shd w:val="clear" w:color="auto" w:fill="auto"/>
          </w:tcPr>
          <w:p w:rsidR="00CF1064" w:rsidRPr="00A1508C" w:rsidRDefault="00CF1064" w:rsidP="00045F60">
            <w:pPr>
              <w:pStyle w:val="Tabletext"/>
              <w:jc w:val="center"/>
            </w:pPr>
          </w:p>
        </w:tc>
        <w:tc>
          <w:tcPr>
            <w:tcW w:w="879" w:type="dxa"/>
            <w:tcBorders>
              <w:top w:val="nil"/>
              <w:left w:val="nil"/>
              <w:right w:val="nil"/>
            </w:tcBorders>
            <w:shd w:val="clear" w:color="auto" w:fill="auto"/>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noWrap/>
            <w:vAlign w:val="bottom"/>
          </w:tcPr>
          <w:p w:rsidR="00CF1064" w:rsidRPr="00A1508C" w:rsidRDefault="00CF1064" w:rsidP="00045F60">
            <w:pPr>
              <w:pStyle w:val="Tabletext"/>
              <w:jc w:val="center"/>
            </w:pPr>
          </w:p>
        </w:tc>
      </w:tr>
      <w:tr w:rsidR="00CF1064" w:rsidRPr="008F2A9F" w:rsidTr="00045F60">
        <w:trPr>
          <w:trHeight w:val="255"/>
        </w:trPr>
        <w:tc>
          <w:tcPr>
            <w:tcW w:w="4962" w:type="dxa"/>
            <w:tcBorders>
              <w:top w:val="nil"/>
              <w:left w:val="nil"/>
              <w:right w:val="nil"/>
            </w:tcBorders>
            <w:shd w:val="clear" w:color="auto" w:fill="auto"/>
            <w:noWrap/>
            <w:vAlign w:val="bottom"/>
          </w:tcPr>
          <w:p w:rsidR="00CF1064" w:rsidRPr="008F2A9F" w:rsidRDefault="00CF1064" w:rsidP="00045F60">
            <w:pPr>
              <w:pStyle w:val="Tabletext"/>
              <w:ind w:left="170"/>
            </w:pPr>
            <w:r w:rsidRPr="008F2A9F">
              <w:t>Employed at a higher skill level</w:t>
            </w:r>
            <w:r w:rsidRPr="008F2A9F">
              <w:rPr>
                <w:szCs w:val="16"/>
                <w:vertAlign w:val="superscript"/>
              </w:rPr>
              <w:t xml:space="preserve">2 </w:t>
            </w:r>
            <w:r w:rsidRPr="008F2A9F">
              <w:rPr>
                <w:szCs w:val="16"/>
              </w:rPr>
              <w:t>after training</w:t>
            </w:r>
          </w:p>
        </w:tc>
        <w:tc>
          <w:tcPr>
            <w:tcW w:w="878" w:type="dxa"/>
            <w:tcBorders>
              <w:top w:val="nil"/>
              <w:left w:val="nil"/>
              <w:right w:val="nil"/>
            </w:tcBorders>
            <w:shd w:val="clear" w:color="auto" w:fill="auto"/>
            <w:vAlign w:val="bottom"/>
          </w:tcPr>
          <w:p w:rsidR="00CF1064" w:rsidRPr="00A1508C" w:rsidRDefault="00CF1064" w:rsidP="00045F60">
            <w:pPr>
              <w:pStyle w:val="Tabletext"/>
              <w:jc w:val="center"/>
            </w:pPr>
            <w:r w:rsidRPr="00A1508C">
              <w:t>21.5</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25.0</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26.2</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26.9</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27.4</w:t>
            </w:r>
          </w:p>
        </w:tc>
        <w:tc>
          <w:tcPr>
            <w:tcW w:w="878" w:type="dxa"/>
            <w:tcBorders>
              <w:top w:val="nil"/>
              <w:left w:val="nil"/>
              <w:right w:val="nil"/>
            </w:tcBorders>
            <w:shd w:val="clear" w:color="auto" w:fill="auto"/>
          </w:tcPr>
          <w:p w:rsidR="00CF1064" w:rsidRPr="00A1508C" w:rsidRDefault="00CF1064" w:rsidP="00045F60">
            <w:pPr>
              <w:pStyle w:val="Tabletext"/>
              <w:jc w:val="center"/>
            </w:pPr>
            <w:r w:rsidRPr="00A1508C">
              <w:t>24.6</w:t>
            </w:r>
          </w:p>
        </w:tc>
        <w:tc>
          <w:tcPr>
            <w:tcW w:w="879" w:type="dxa"/>
            <w:tcBorders>
              <w:top w:val="nil"/>
              <w:left w:val="nil"/>
              <w:right w:val="nil"/>
            </w:tcBorders>
            <w:shd w:val="clear" w:color="auto" w:fill="auto"/>
          </w:tcPr>
          <w:p w:rsidR="00CF1064" w:rsidRPr="00A1508C" w:rsidRDefault="00CF1064" w:rsidP="00045F60">
            <w:pPr>
              <w:pStyle w:val="Tabletext"/>
              <w:jc w:val="center"/>
            </w:pPr>
            <w:r w:rsidRPr="00A1508C">
              <w:t>23.5</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21.4</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19.6</w:t>
            </w:r>
          </w:p>
        </w:tc>
        <w:tc>
          <w:tcPr>
            <w:tcW w:w="879" w:type="dxa"/>
            <w:tcBorders>
              <w:top w:val="nil"/>
              <w:left w:val="nil"/>
              <w:right w:val="nil"/>
            </w:tcBorders>
            <w:shd w:val="clear" w:color="auto" w:fill="auto"/>
            <w:noWrap/>
            <w:vAlign w:val="bottom"/>
          </w:tcPr>
          <w:p w:rsidR="00CF1064" w:rsidRPr="00A1508C" w:rsidRDefault="00CF1064" w:rsidP="00045F60">
            <w:pPr>
              <w:pStyle w:val="Tabletext"/>
              <w:jc w:val="center"/>
            </w:pPr>
            <w:r>
              <w:t>17.3</w:t>
            </w:r>
          </w:p>
        </w:tc>
      </w:tr>
      <w:tr w:rsidR="00CF1064" w:rsidRPr="008F2A9F" w:rsidTr="00045F60">
        <w:trPr>
          <w:trHeight w:val="255"/>
        </w:trPr>
        <w:tc>
          <w:tcPr>
            <w:tcW w:w="4962" w:type="dxa"/>
            <w:tcBorders>
              <w:top w:val="nil"/>
              <w:left w:val="nil"/>
              <w:right w:val="nil"/>
            </w:tcBorders>
            <w:shd w:val="clear" w:color="auto" w:fill="auto"/>
            <w:noWrap/>
            <w:vAlign w:val="bottom"/>
          </w:tcPr>
          <w:p w:rsidR="00CF1064" w:rsidRPr="008F2A9F" w:rsidRDefault="00CF1064" w:rsidP="00045F60">
            <w:pPr>
              <w:pStyle w:val="Tabletext"/>
            </w:pPr>
            <w:r w:rsidRPr="008F2A9F">
              <w:t>Of those not employed</w:t>
            </w:r>
            <w:r w:rsidRPr="008F2A9F">
              <w:rPr>
                <w:vertAlign w:val="superscript"/>
              </w:rPr>
              <w:t>1</w:t>
            </w:r>
            <w:r w:rsidRPr="008F2A9F">
              <w:t xml:space="preserve"> before training</w:t>
            </w:r>
          </w:p>
        </w:tc>
        <w:tc>
          <w:tcPr>
            <w:tcW w:w="878"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8" w:type="dxa"/>
            <w:tcBorders>
              <w:top w:val="nil"/>
              <w:left w:val="nil"/>
              <w:right w:val="nil"/>
            </w:tcBorders>
            <w:shd w:val="clear" w:color="auto" w:fill="auto"/>
          </w:tcPr>
          <w:p w:rsidR="00CF1064" w:rsidRPr="00A1508C" w:rsidRDefault="00CF1064" w:rsidP="00045F60">
            <w:pPr>
              <w:pStyle w:val="Tabletext"/>
              <w:jc w:val="center"/>
            </w:pPr>
          </w:p>
        </w:tc>
        <w:tc>
          <w:tcPr>
            <w:tcW w:w="879" w:type="dxa"/>
            <w:tcBorders>
              <w:top w:val="nil"/>
              <w:left w:val="nil"/>
              <w:right w:val="nil"/>
            </w:tcBorders>
            <w:shd w:val="clear" w:color="auto" w:fill="auto"/>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p>
        </w:tc>
        <w:tc>
          <w:tcPr>
            <w:tcW w:w="879" w:type="dxa"/>
            <w:tcBorders>
              <w:top w:val="nil"/>
              <w:left w:val="nil"/>
              <w:right w:val="nil"/>
            </w:tcBorders>
            <w:shd w:val="clear" w:color="auto" w:fill="auto"/>
            <w:noWrap/>
            <w:vAlign w:val="bottom"/>
          </w:tcPr>
          <w:p w:rsidR="00CF1064" w:rsidRPr="00A1508C" w:rsidRDefault="00CF1064" w:rsidP="00045F60">
            <w:pPr>
              <w:pStyle w:val="Tabletext"/>
              <w:jc w:val="center"/>
            </w:pPr>
          </w:p>
        </w:tc>
      </w:tr>
      <w:tr w:rsidR="00CF1064" w:rsidRPr="008F2A9F" w:rsidTr="00045F60">
        <w:trPr>
          <w:trHeight w:val="255"/>
        </w:trPr>
        <w:tc>
          <w:tcPr>
            <w:tcW w:w="4962" w:type="dxa"/>
            <w:tcBorders>
              <w:top w:val="nil"/>
              <w:left w:val="nil"/>
              <w:right w:val="nil"/>
            </w:tcBorders>
            <w:shd w:val="clear" w:color="auto" w:fill="auto"/>
            <w:noWrap/>
            <w:vAlign w:val="bottom"/>
          </w:tcPr>
          <w:p w:rsidR="00CF1064" w:rsidRPr="008F2A9F" w:rsidRDefault="00CF1064" w:rsidP="00045F60">
            <w:pPr>
              <w:pStyle w:val="Tabletext"/>
              <w:ind w:left="170"/>
            </w:pPr>
            <w:r w:rsidRPr="008F2A9F">
              <w:t>Employed after training</w:t>
            </w:r>
          </w:p>
        </w:tc>
        <w:tc>
          <w:tcPr>
            <w:tcW w:w="878" w:type="dxa"/>
            <w:tcBorders>
              <w:top w:val="nil"/>
              <w:left w:val="nil"/>
              <w:right w:val="nil"/>
            </w:tcBorders>
            <w:shd w:val="clear" w:color="auto" w:fill="auto"/>
            <w:vAlign w:val="bottom"/>
          </w:tcPr>
          <w:p w:rsidR="00CF1064" w:rsidRPr="00A1508C" w:rsidRDefault="00CF1064" w:rsidP="00045F60">
            <w:pPr>
              <w:pStyle w:val="Tabletext"/>
              <w:jc w:val="center"/>
            </w:pPr>
            <w:r w:rsidRPr="00A1508C">
              <w:t>50.0</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52.2</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52.3</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52.1</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45.9</w:t>
            </w:r>
          </w:p>
        </w:tc>
        <w:tc>
          <w:tcPr>
            <w:tcW w:w="878" w:type="dxa"/>
            <w:tcBorders>
              <w:top w:val="nil"/>
              <w:left w:val="nil"/>
              <w:right w:val="nil"/>
            </w:tcBorders>
            <w:shd w:val="clear" w:color="auto" w:fill="auto"/>
          </w:tcPr>
          <w:p w:rsidR="00CF1064" w:rsidRPr="00A1508C" w:rsidRDefault="00CF1064" w:rsidP="00045F60">
            <w:pPr>
              <w:pStyle w:val="Tabletext"/>
              <w:jc w:val="center"/>
            </w:pPr>
            <w:r w:rsidRPr="00A1508C">
              <w:t>45.0</w:t>
            </w:r>
          </w:p>
        </w:tc>
        <w:tc>
          <w:tcPr>
            <w:tcW w:w="879" w:type="dxa"/>
            <w:tcBorders>
              <w:top w:val="nil"/>
              <w:left w:val="nil"/>
              <w:right w:val="nil"/>
            </w:tcBorders>
            <w:shd w:val="clear" w:color="auto" w:fill="auto"/>
          </w:tcPr>
          <w:p w:rsidR="00CF1064" w:rsidRPr="00A1508C" w:rsidRDefault="00CF1064" w:rsidP="00045F60">
            <w:pPr>
              <w:pStyle w:val="Tabletext"/>
              <w:jc w:val="center"/>
            </w:pPr>
            <w:r w:rsidRPr="00A1508C">
              <w:t>46.2</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44.3</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40.7</w:t>
            </w:r>
          </w:p>
        </w:tc>
        <w:tc>
          <w:tcPr>
            <w:tcW w:w="879" w:type="dxa"/>
            <w:tcBorders>
              <w:top w:val="nil"/>
              <w:left w:val="nil"/>
              <w:right w:val="nil"/>
            </w:tcBorders>
            <w:shd w:val="clear" w:color="auto" w:fill="auto"/>
            <w:noWrap/>
            <w:vAlign w:val="bottom"/>
          </w:tcPr>
          <w:p w:rsidR="00CF1064" w:rsidRPr="00A1508C" w:rsidRDefault="00CF1064" w:rsidP="00045F60">
            <w:pPr>
              <w:pStyle w:val="Tabletext"/>
              <w:jc w:val="center"/>
            </w:pPr>
            <w:r>
              <w:t>42.3</w:t>
            </w:r>
          </w:p>
        </w:tc>
      </w:tr>
      <w:tr w:rsidR="00CF1064" w:rsidRPr="008F2A9F" w:rsidTr="00045F60">
        <w:trPr>
          <w:trHeight w:val="255"/>
        </w:trPr>
        <w:tc>
          <w:tcPr>
            <w:tcW w:w="4962" w:type="dxa"/>
            <w:tcBorders>
              <w:top w:val="nil"/>
              <w:left w:val="nil"/>
              <w:right w:val="nil"/>
            </w:tcBorders>
            <w:shd w:val="clear" w:color="auto" w:fill="auto"/>
            <w:noWrap/>
            <w:vAlign w:val="bottom"/>
          </w:tcPr>
          <w:p w:rsidR="00CF1064" w:rsidRPr="008F2A9F" w:rsidRDefault="00CF1064" w:rsidP="00045F60">
            <w:pPr>
              <w:pStyle w:val="Tabletext"/>
            </w:pPr>
            <w:r w:rsidRPr="008F2A9F">
              <w:t>Improved employment status after training</w:t>
            </w:r>
            <w:r w:rsidRPr="008F2A9F">
              <w:rPr>
                <w:vertAlign w:val="superscript"/>
              </w:rPr>
              <w:t>5</w:t>
            </w:r>
          </w:p>
        </w:tc>
        <w:tc>
          <w:tcPr>
            <w:tcW w:w="878" w:type="dxa"/>
            <w:tcBorders>
              <w:top w:val="nil"/>
              <w:left w:val="nil"/>
              <w:right w:val="nil"/>
            </w:tcBorders>
            <w:shd w:val="clear" w:color="auto" w:fill="auto"/>
            <w:vAlign w:val="bottom"/>
          </w:tcPr>
          <w:p w:rsidR="00CF1064" w:rsidRPr="00A1508C" w:rsidRDefault="00CF1064" w:rsidP="00045F60">
            <w:pPr>
              <w:pStyle w:val="Tabletext"/>
              <w:jc w:val="center"/>
            </w:pPr>
            <w:r w:rsidRPr="00A1508C">
              <w:t>66.3</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66.3</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65.9</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67.3</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63.1</w:t>
            </w:r>
          </w:p>
        </w:tc>
        <w:tc>
          <w:tcPr>
            <w:tcW w:w="878" w:type="dxa"/>
            <w:tcBorders>
              <w:top w:val="nil"/>
              <w:left w:val="nil"/>
              <w:right w:val="nil"/>
            </w:tcBorders>
            <w:shd w:val="clear" w:color="auto" w:fill="auto"/>
          </w:tcPr>
          <w:p w:rsidR="00CF1064" w:rsidRPr="00A1508C" w:rsidRDefault="00CF1064" w:rsidP="00045F60">
            <w:pPr>
              <w:pStyle w:val="Tabletext"/>
              <w:jc w:val="center"/>
            </w:pPr>
            <w:r w:rsidRPr="00A1508C">
              <w:t>61.1</w:t>
            </w:r>
          </w:p>
        </w:tc>
        <w:tc>
          <w:tcPr>
            <w:tcW w:w="879" w:type="dxa"/>
            <w:tcBorders>
              <w:top w:val="nil"/>
              <w:left w:val="nil"/>
              <w:right w:val="nil"/>
            </w:tcBorders>
            <w:shd w:val="clear" w:color="auto" w:fill="auto"/>
          </w:tcPr>
          <w:p w:rsidR="00CF1064" w:rsidRPr="00A1508C" w:rsidRDefault="00CF1064" w:rsidP="00045F60">
            <w:pPr>
              <w:pStyle w:val="Tabletext"/>
              <w:jc w:val="center"/>
            </w:pPr>
            <w:r w:rsidRPr="00A1508C">
              <w:t>63.3</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62.0</w:t>
            </w:r>
          </w:p>
        </w:tc>
        <w:tc>
          <w:tcPr>
            <w:tcW w:w="879" w:type="dxa"/>
            <w:tcBorders>
              <w:top w:val="nil"/>
              <w:left w:val="nil"/>
              <w:right w:val="nil"/>
            </w:tcBorders>
            <w:shd w:val="clear" w:color="auto" w:fill="auto"/>
            <w:vAlign w:val="bottom"/>
          </w:tcPr>
          <w:p w:rsidR="00CF1064" w:rsidRPr="00A1508C" w:rsidRDefault="00CF1064" w:rsidP="00045F60">
            <w:pPr>
              <w:pStyle w:val="Tabletext"/>
              <w:jc w:val="center"/>
            </w:pPr>
            <w:r w:rsidRPr="00A1508C">
              <w:t>60.2</w:t>
            </w:r>
          </w:p>
        </w:tc>
        <w:tc>
          <w:tcPr>
            <w:tcW w:w="879" w:type="dxa"/>
            <w:tcBorders>
              <w:top w:val="nil"/>
              <w:left w:val="nil"/>
              <w:right w:val="nil"/>
            </w:tcBorders>
            <w:shd w:val="clear" w:color="auto" w:fill="auto"/>
            <w:noWrap/>
            <w:vAlign w:val="bottom"/>
          </w:tcPr>
          <w:p w:rsidR="00CF1064" w:rsidRPr="00A1508C" w:rsidRDefault="00CF1064" w:rsidP="00045F60">
            <w:pPr>
              <w:pStyle w:val="Tabletext"/>
              <w:jc w:val="center"/>
            </w:pPr>
            <w:r>
              <w:t>58.9</w:t>
            </w:r>
          </w:p>
        </w:tc>
      </w:tr>
      <w:tr w:rsidR="00CF1064" w:rsidRPr="008F2A9F" w:rsidTr="00045F60">
        <w:trPr>
          <w:trHeight w:val="255"/>
        </w:trPr>
        <w:tc>
          <w:tcPr>
            <w:tcW w:w="4962" w:type="dxa"/>
            <w:tcBorders>
              <w:top w:val="single" w:sz="4" w:space="0" w:color="008000"/>
              <w:left w:val="nil"/>
              <w:bottom w:val="nil"/>
              <w:right w:val="nil"/>
            </w:tcBorders>
            <w:shd w:val="clear" w:color="auto" w:fill="auto"/>
          </w:tcPr>
          <w:p w:rsidR="00CF1064" w:rsidRPr="008F2A9F" w:rsidRDefault="00CF1064" w:rsidP="00045F60">
            <w:pPr>
              <w:pStyle w:val="TableRowBold"/>
              <w:rPr>
                <w:lang w:eastAsia="en-AU"/>
              </w:rPr>
            </w:pPr>
            <w:r>
              <w:rPr>
                <w:lang w:eastAsia="en-AU"/>
              </w:rPr>
              <w:t>Government-funded Private Providers</w:t>
            </w:r>
          </w:p>
        </w:tc>
        <w:tc>
          <w:tcPr>
            <w:tcW w:w="878" w:type="dxa"/>
            <w:tcBorders>
              <w:top w:val="single" w:sz="4" w:space="0" w:color="008000"/>
              <w:left w:val="nil"/>
              <w:right w:val="nil"/>
            </w:tcBorders>
            <w:shd w:val="clear" w:color="auto" w:fill="auto"/>
          </w:tcPr>
          <w:p w:rsidR="00CF1064" w:rsidRPr="00A1508C" w:rsidRDefault="00CF1064" w:rsidP="00045F60">
            <w:pPr>
              <w:pStyle w:val="Tabletext"/>
              <w:jc w:val="center"/>
            </w:pPr>
          </w:p>
        </w:tc>
        <w:tc>
          <w:tcPr>
            <w:tcW w:w="879" w:type="dxa"/>
            <w:tcBorders>
              <w:top w:val="single" w:sz="4" w:space="0" w:color="008000"/>
              <w:left w:val="nil"/>
              <w:right w:val="nil"/>
            </w:tcBorders>
            <w:shd w:val="clear" w:color="auto" w:fill="auto"/>
          </w:tcPr>
          <w:p w:rsidR="00CF1064" w:rsidRPr="00A1508C" w:rsidRDefault="00CF1064" w:rsidP="00045F60">
            <w:pPr>
              <w:pStyle w:val="Tabletext"/>
              <w:jc w:val="center"/>
            </w:pPr>
          </w:p>
        </w:tc>
        <w:tc>
          <w:tcPr>
            <w:tcW w:w="879" w:type="dxa"/>
            <w:tcBorders>
              <w:top w:val="single" w:sz="4" w:space="0" w:color="008000"/>
              <w:left w:val="nil"/>
              <w:right w:val="nil"/>
            </w:tcBorders>
            <w:shd w:val="clear" w:color="auto" w:fill="auto"/>
          </w:tcPr>
          <w:p w:rsidR="00CF1064" w:rsidRPr="00A1508C" w:rsidRDefault="00CF1064" w:rsidP="00045F60">
            <w:pPr>
              <w:pStyle w:val="Tabletext"/>
              <w:jc w:val="center"/>
            </w:pPr>
          </w:p>
        </w:tc>
        <w:tc>
          <w:tcPr>
            <w:tcW w:w="879" w:type="dxa"/>
            <w:tcBorders>
              <w:top w:val="single" w:sz="4" w:space="0" w:color="008000"/>
              <w:left w:val="nil"/>
              <w:right w:val="nil"/>
            </w:tcBorders>
            <w:shd w:val="clear" w:color="auto" w:fill="auto"/>
          </w:tcPr>
          <w:p w:rsidR="00CF1064" w:rsidRPr="00A1508C" w:rsidRDefault="00CF1064" w:rsidP="00045F60">
            <w:pPr>
              <w:pStyle w:val="Tabletext"/>
              <w:jc w:val="center"/>
            </w:pPr>
          </w:p>
        </w:tc>
        <w:tc>
          <w:tcPr>
            <w:tcW w:w="879" w:type="dxa"/>
            <w:tcBorders>
              <w:top w:val="single" w:sz="4" w:space="0" w:color="008000"/>
              <w:left w:val="nil"/>
              <w:right w:val="nil"/>
            </w:tcBorders>
            <w:shd w:val="clear" w:color="auto" w:fill="auto"/>
          </w:tcPr>
          <w:p w:rsidR="00CF1064" w:rsidRPr="00A1508C" w:rsidRDefault="00CF1064" w:rsidP="00045F60">
            <w:pPr>
              <w:pStyle w:val="Tabletext"/>
              <w:jc w:val="center"/>
            </w:pPr>
          </w:p>
        </w:tc>
        <w:tc>
          <w:tcPr>
            <w:tcW w:w="878" w:type="dxa"/>
            <w:tcBorders>
              <w:top w:val="single" w:sz="4" w:space="0" w:color="008000"/>
              <w:left w:val="nil"/>
              <w:right w:val="nil"/>
            </w:tcBorders>
            <w:shd w:val="clear" w:color="auto" w:fill="auto"/>
          </w:tcPr>
          <w:p w:rsidR="00CF1064" w:rsidRPr="00A1508C" w:rsidRDefault="00CF1064" w:rsidP="00045F60">
            <w:pPr>
              <w:pStyle w:val="Tabletext"/>
              <w:jc w:val="center"/>
            </w:pPr>
          </w:p>
        </w:tc>
        <w:tc>
          <w:tcPr>
            <w:tcW w:w="879" w:type="dxa"/>
            <w:tcBorders>
              <w:top w:val="single" w:sz="4" w:space="0" w:color="008000"/>
              <w:left w:val="nil"/>
              <w:right w:val="nil"/>
            </w:tcBorders>
            <w:shd w:val="clear" w:color="auto" w:fill="auto"/>
          </w:tcPr>
          <w:p w:rsidR="00CF1064" w:rsidRPr="00A1508C" w:rsidRDefault="00CF1064" w:rsidP="00045F60">
            <w:pPr>
              <w:pStyle w:val="Tabletext"/>
              <w:jc w:val="center"/>
            </w:pPr>
          </w:p>
        </w:tc>
        <w:tc>
          <w:tcPr>
            <w:tcW w:w="879" w:type="dxa"/>
            <w:tcBorders>
              <w:top w:val="single" w:sz="4" w:space="0" w:color="008000"/>
              <w:left w:val="nil"/>
              <w:right w:val="nil"/>
            </w:tcBorders>
            <w:shd w:val="clear" w:color="auto" w:fill="auto"/>
          </w:tcPr>
          <w:p w:rsidR="00CF1064" w:rsidRPr="00A1508C" w:rsidRDefault="00CF1064" w:rsidP="00045F60">
            <w:pPr>
              <w:pStyle w:val="Tabletext"/>
              <w:jc w:val="center"/>
            </w:pPr>
          </w:p>
        </w:tc>
        <w:tc>
          <w:tcPr>
            <w:tcW w:w="879" w:type="dxa"/>
            <w:tcBorders>
              <w:top w:val="single" w:sz="4" w:space="0" w:color="008000"/>
              <w:left w:val="nil"/>
              <w:right w:val="nil"/>
            </w:tcBorders>
            <w:shd w:val="clear" w:color="auto" w:fill="auto"/>
          </w:tcPr>
          <w:p w:rsidR="00CF1064" w:rsidRPr="00A1508C" w:rsidRDefault="00CF1064" w:rsidP="00045F60">
            <w:pPr>
              <w:pStyle w:val="Tabletext"/>
              <w:jc w:val="center"/>
            </w:pPr>
          </w:p>
        </w:tc>
        <w:tc>
          <w:tcPr>
            <w:tcW w:w="879" w:type="dxa"/>
            <w:tcBorders>
              <w:top w:val="single" w:sz="4" w:space="0" w:color="008000"/>
              <w:left w:val="nil"/>
              <w:right w:val="nil"/>
            </w:tcBorders>
            <w:shd w:val="clear" w:color="auto" w:fill="auto"/>
          </w:tcPr>
          <w:p w:rsidR="00CF1064" w:rsidRPr="00A1508C" w:rsidRDefault="00CF1064" w:rsidP="00045F60">
            <w:pPr>
              <w:pStyle w:val="Tabletext"/>
              <w:jc w:val="center"/>
            </w:pPr>
          </w:p>
        </w:tc>
      </w:tr>
      <w:tr w:rsidR="00CF1064" w:rsidRPr="00E3725B" w:rsidTr="00045F60">
        <w:trPr>
          <w:trHeight w:val="255"/>
        </w:trPr>
        <w:tc>
          <w:tcPr>
            <w:tcW w:w="4962" w:type="dxa"/>
            <w:tcBorders>
              <w:top w:val="nil"/>
              <w:left w:val="nil"/>
              <w:bottom w:val="nil"/>
              <w:right w:val="nil"/>
            </w:tcBorders>
            <w:shd w:val="clear" w:color="auto" w:fill="auto"/>
          </w:tcPr>
          <w:p w:rsidR="00CF1064" w:rsidRPr="00E3725B" w:rsidRDefault="00CF1064" w:rsidP="00045F60">
            <w:pPr>
              <w:pStyle w:val="Tabletext"/>
              <w:rPr>
                <w:lang w:eastAsia="en-AU"/>
              </w:rPr>
            </w:pPr>
            <w:r w:rsidRPr="00E3725B">
              <w:rPr>
                <w:lang w:eastAsia="en-AU"/>
              </w:rPr>
              <w:t>Employed after training</w:t>
            </w:r>
          </w:p>
        </w:tc>
        <w:tc>
          <w:tcPr>
            <w:tcW w:w="878"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85.7</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86.5</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88.9</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86.8</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84.0</w:t>
            </w:r>
          </w:p>
        </w:tc>
        <w:tc>
          <w:tcPr>
            <w:tcW w:w="878" w:type="dxa"/>
            <w:tcBorders>
              <w:top w:val="nil"/>
              <w:left w:val="nil"/>
              <w:bottom w:val="nil"/>
              <w:right w:val="nil"/>
            </w:tcBorders>
            <w:shd w:val="clear" w:color="auto" w:fill="auto"/>
          </w:tcPr>
          <w:p w:rsidR="00CF1064" w:rsidRPr="00E3725B" w:rsidRDefault="00CF1064" w:rsidP="00045F60">
            <w:pPr>
              <w:pStyle w:val="Tabletext"/>
              <w:jc w:val="center"/>
            </w:pPr>
            <w:r w:rsidRPr="00E3725B">
              <w:t>78.7</w:t>
            </w:r>
          </w:p>
        </w:tc>
        <w:tc>
          <w:tcPr>
            <w:tcW w:w="879" w:type="dxa"/>
            <w:tcBorders>
              <w:top w:val="nil"/>
              <w:left w:val="nil"/>
              <w:bottom w:val="nil"/>
              <w:right w:val="nil"/>
            </w:tcBorders>
            <w:shd w:val="clear" w:color="auto" w:fill="auto"/>
          </w:tcPr>
          <w:p w:rsidR="00CF1064" w:rsidRPr="00E3725B" w:rsidRDefault="00CF1064" w:rsidP="00045F60">
            <w:pPr>
              <w:pStyle w:val="Tabletext"/>
              <w:jc w:val="center"/>
            </w:pPr>
            <w:r w:rsidRPr="00E3725B">
              <w:t>79.3</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78.9</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80.2</w:t>
            </w:r>
          </w:p>
        </w:tc>
        <w:tc>
          <w:tcPr>
            <w:tcW w:w="879" w:type="dxa"/>
            <w:tcBorders>
              <w:top w:val="nil"/>
              <w:left w:val="nil"/>
              <w:bottom w:val="nil"/>
              <w:right w:val="nil"/>
            </w:tcBorders>
            <w:shd w:val="clear" w:color="auto" w:fill="auto"/>
            <w:noWrap/>
            <w:vAlign w:val="bottom"/>
          </w:tcPr>
          <w:p w:rsidR="00CF1064" w:rsidRPr="00E3725B" w:rsidRDefault="00CF1064" w:rsidP="00045F60">
            <w:pPr>
              <w:pStyle w:val="Tabletext"/>
              <w:jc w:val="center"/>
            </w:pPr>
            <w:r w:rsidRPr="00E3725B">
              <w:t>78.8</w:t>
            </w:r>
          </w:p>
        </w:tc>
      </w:tr>
      <w:tr w:rsidR="00CF1064" w:rsidRPr="00E3725B" w:rsidTr="00045F60">
        <w:trPr>
          <w:trHeight w:val="255"/>
        </w:trPr>
        <w:tc>
          <w:tcPr>
            <w:tcW w:w="4962" w:type="dxa"/>
            <w:tcBorders>
              <w:top w:val="nil"/>
              <w:left w:val="nil"/>
              <w:bottom w:val="nil"/>
              <w:right w:val="nil"/>
            </w:tcBorders>
            <w:shd w:val="clear" w:color="auto" w:fill="auto"/>
          </w:tcPr>
          <w:p w:rsidR="00CF1064" w:rsidRPr="00E3725B" w:rsidRDefault="00CF1064" w:rsidP="00045F60">
            <w:pPr>
              <w:pStyle w:val="Tabletext"/>
              <w:rPr>
                <w:color w:val="auto"/>
                <w:lang w:eastAsia="en-AU"/>
              </w:rPr>
            </w:pPr>
            <w:r w:rsidRPr="00E3725B">
              <w:rPr>
                <w:color w:val="auto"/>
                <w:lang w:eastAsia="en-AU"/>
              </w:rPr>
              <w:t>Employed or in further study after training</w:t>
            </w:r>
          </w:p>
        </w:tc>
        <w:tc>
          <w:tcPr>
            <w:tcW w:w="878" w:type="dxa"/>
            <w:tcBorders>
              <w:top w:val="nil"/>
              <w:left w:val="nil"/>
              <w:right w:val="nil"/>
            </w:tcBorders>
            <w:shd w:val="clear" w:color="auto" w:fill="auto"/>
            <w:vAlign w:val="bottom"/>
          </w:tcPr>
          <w:p w:rsidR="00CF1064" w:rsidRPr="00E3725B" w:rsidRDefault="00CF1064" w:rsidP="00045F60">
            <w:pPr>
              <w:pStyle w:val="Tabletext"/>
              <w:jc w:val="center"/>
            </w:pPr>
            <w:r w:rsidRPr="00E3725B">
              <w:t>89.6</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91.0</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92.2</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90.9</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89.8</w:t>
            </w:r>
          </w:p>
        </w:tc>
        <w:tc>
          <w:tcPr>
            <w:tcW w:w="878" w:type="dxa"/>
            <w:tcBorders>
              <w:top w:val="nil"/>
              <w:left w:val="nil"/>
              <w:bottom w:val="nil"/>
              <w:right w:val="nil"/>
            </w:tcBorders>
            <w:shd w:val="clear" w:color="auto" w:fill="auto"/>
          </w:tcPr>
          <w:p w:rsidR="00CF1064" w:rsidRPr="00E3725B" w:rsidRDefault="00CF1064" w:rsidP="00045F60">
            <w:pPr>
              <w:pStyle w:val="Tabletext"/>
              <w:jc w:val="center"/>
            </w:pPr>
            <w:r w:rsidRPr="00E3725B">
              <w:t>85.3</w:t>
            </w:r>
          </w:p>
        </w:tc>
        <w:tc>
          <w:tcPr>
            <w:tcW w:w="879" w:type="dxa"/>
            <w:tcBorders>
              <w:top w:val="nil"/>
              <w:left w:val="nil"/>
              <w:bottom w:val="nil"/>
              <w:right w:val="nil"/>
            </w:tcBorders>
            <w:shd w:val="clear" w:color="auto" w:fill="auto"/>
          </w:tcPr>
          <w:p w:rsidR="00CF1064" w:rsidRPr="00E3725B" w:rsidRDefault="00CF1064" w:rsidP="00045F60">
            <w:pPr>
              <w:pStyle w:val="Tabletext"/>
              <w:jc w:val="center"/>
            </w:pPr>
            <w:r w:rsidRPr="00E3725B">
              <w:t>86.4</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87.4</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87.8</w:t>
            </w:r>
          </w:p>
        </w:tc>
        <w:tc>
          <w:tcPr>
            <w:tcW w:w="879" w:type="dxa"/>
            <w:tcBorders>
              <w:top w:val="nil"/>
              <w:left w:val="nil"/>
              <w:right w:val="nil"/>
            </w:tcBorders>
            <w:shd w:val="clear" w:color="auto" w:fill="auto"/>
            <w:noWrap/>
            <w:vAlign w:val="bottom"/>
          </w:tcPr>
          <w:p w:rsidR="00CF1064" w:rsidRPr="00E3725B" w:rsidRDefault="00CF1064" w:rsidP="00045F60">
            <w:pPr>
              <w:pStyle w:val="Tabletext"/>
              <w:jc w:val="center"/>
            </w:pPr>
            <w:r w:rsidRPr="00E3725B">
              <w:t>87.1</w:t>
            </w:r>
          </w:p>
        </w:tc>
      </w:tr>
      <w:tr w:rsidR="00CF1064" w:rsidRPr="00E3725B" w:rsidTr="00045F60">
        <w:trPr>
          <w:trHeight w:val="80"/>
        </w:trPr>
        <w:tc>
          <w:tcPr>
            <w:tcW w:w="4962" w:type="dxa"/>
            <w:tcBorders>
              <w:top w:val="nil"/>
              <w:left w:val="nil"/>
              <w:bottom w:val="nil"/>
              <w:right w:val="nil"/>
            </w:tcBorders>
            <w:shd w:val="clear" w:color="auto" w:fill="auto"/>
          </w:tcPr>
          <w:p w:rsidR="00CF1064" w:rsidRPr="00E3725B" w:rsidRDefault="00CF1064" w:rsidP="00045F60">
            <w:pPr>
              <w:pStyle w:val="Tabletext"/>
              <w:rPr>
                <w:color w:val="auto"/>
                <w:lang w:eastAsia="en-AU"/>
              </w:rPr>
            </w:pPr>
            <w:r w:rsidRPr="00E3725B">
              <w:rPr>
                <w:color w:val="auto"/>
                <w:lang w:eastAsia="en-AU"/>
              </w:rPr>
              <w:t>Enrolled in further study after training</w:t>
            </w:r>
          </w:p>
        </w:tc>
        <w:tc>
          <w:tcPr>
            <w:tcW w:w="878"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26.0</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29.6</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31.3</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31.1</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30.8</w:t>
            </w:r>
          </w:p>
        </w:tc>
        <w:tc>
          <w:tcPr>
            <w:tcW w:w="878" w:type="dxa"/>
            <w:tcBorders>
              <w:top w:val="nil"/>
              <w:left w:val="nil"/>
              <w:bottom w:val="nil"/>
              <w:right w:val="nil"/>
            </w:tcBorders>
            <w:shd w:val="clear" w:color="auto" w:fill="auto"/>
          </w:tcPr>
          <w:p w:rsidR="00CF1064" w:rsidRPr="00E3725B" w:rsidRDefault="00CF1064" w:rsidP="00045F60">
            <w:pPr>
              <w:pStyle w:val="Tabletext"/>
              <w:jc w:val="center"/>
            </w:pPr>
            <w:r w:rsidRPr="00E3725B">
              <w:t>31.1</w:t>
            </w:r>
          </w:p>
        </w:tc>
        <w:tc>
          <w:tcPr>
            <w:tcW w:w="879" w:type="dxa"/>
            <w:tcBorders>
              <w:top w:val="nil"/>
              <w:left w:val="nil"/>
              <w:bottom w:val="nil"/>
              <w:right w:val="nil"/>
            </w:tcBorders>
            <w:shd w:val="clear" w:color="auto" w:fill="auto"/>
          </w:tcPr>
          <w:p w:rsidR="00CF1064" w:rsidRPr="00E3725B" w:rsidRDefault="00CF1064" w:rsidP="00045F60">
            <w:pPr>
              <w:pStyle w:val="Tabletext"/>
              <w:jc w:val="center"/>
            </w:pPr>
            <w:r w:rsidRPr="00E3725B">
              <w:t>32.8</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34.1</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32.4</w:t>
            </w:r>
          </w:p>
        </w:tc>
        <w:tc>
          <w:tcPr>
            <w:tcW w:w="879" w:type="dxa"/>
            <w:tcBorders>
              <w:top w:val="nil"/>
              <w:left w:val="nil"/>
              <w:bottom w:val="nil"/>
              <w:right w:val="nil"/>
            </w:tcBorders>
            <w:shd w:val="clear" w:color="auto" w:fill="auto"/>
            <w:noWrap/>
            <w:vAlign w:val="bottom"/>
          </w:tcPr>
          <w:p w:rsidR="00CF1064" w:rsidRPr="00E3725B" w:rsidRDefault="00CF1064" w:rsidP="00045F60">
            <w:pPr>
              <w:pStyle w:val="Tabletext"/>
              <w:jc w:val="center"/>
            </w:pPr>
            <w:r w:rsidRPr="00E3725B">
              <w:t>31.7</w:t>
            </w:r>
          </w:p>
        </w:tc>
      </w:tr>
      <w:tr w:rsidR="00CF1064" w:rsidRPr="00E3725B" w:rsidTr="00045F60">
        <w:trPr>
          <w:trHeight w:val="255"/>
        </w:trPr>
        <w:tc>
          <w:tcPr>
            <w:tcW w:w="4962" w:type="dxa"/>
            <w:tcBorders>
              <w:top w:val="nil"/>
              <w:left w:val="nil"/>
              <w:right w:val="nil"/>
            </w:tcBorders>
            <w:shd w:val="clear" w:color="auto" w:fill="auto"/>
            <w:vAlign w:val="bottom"/>
          </w:tcPr>
          <w:p w:rsidR="00CF1064" w:rsidRPr="00E3725B" w:rsidRDefault="00CF1064" w:rsidP="00045F60">
            <w:pPr>
              <w:pStyle w:val="Tabletext"/>
            </w:pPr>
            <w:r w:rsidRPr="00E3725B">
              <w:t>Satisfied with teaching</w:t>
            </w:r>
            <w:r w:rsidRPr="00E3725B">
              <w:rPr>
                <w:vertAlign w:val="superscript"/>
              </w:rPr>
              <w:t>4</w:t>
            </w:r>
          </w:p>
        </w:tc>
        <w:tc>
          <w:tcPr>
            <w:tcW w:w="878" w:type="dxa"/>
            <w:tcBorders>
              <w:top w:val="nil"/>
              <w:left w:val="nil"/>
              <w:right w:val="nil"/>
            </w:tcBorders>
            <w:shd w:val="clear" w:color="auto" w:fill="auto"/>
            <w:vAlign w:val="bottom"/>
          </w:tcPr>
          <w:p w:rsidR="00CF1064" w:rsidRPr="00E3725B" w:rsidRDefault="00CF1064" w:rsidP="00045F60">
            <w:pPr>
              <w:pStyle w:val="Tabletext"/>
              <w:jc w:val="center"/>
            </w:pPr>
            <w:r w:rsidRPr="00E3725B">
              <w:t>87.6</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87.2</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90.2</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89.9</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91.3</w:t>
            </w:r>
          </w:p>
        </w:tc>
        <w:tc>
          <w:tcPr>
            <w:tcW w:w="878" w:type="dxa"/>
            <w:tcBorders>
              <w:top w:val="nil"/>
              <w:left w:val="nil"/>
              <w:right w:val="nil"/>
            </w:tcBorders>
            <w:shd w:val="clear" w:color="auto" w:fill="auto"/>
          </w:tcPr>
          <w:p w:rsidR="00CF1064" w:rsidRPr="00E3725B" w:rsidRDefault="00CF1064" w:rsidP="00045F60">
            <w:pPr>
              <w:pStyle w:val="Tabletext"/>
              <w:jc w:val="center"/>
            </w:pPr>
            <w:r w:rsidRPr="00E3725B">
              <w:t>91.3</w:t>
            </w:r>
          </w:p>
        </w:tc>
        <w:tc>
          <w:tcPr>
            <w:tcW w:w="879" w:type="dxa"/>
            <w:tcBorders>
              <w:top w:val="nil"/>
              <w:left w:val="nil"/>
              <w:right w:val="nil"/>
            </w:tcBorders>
            <w:shd w:val="clear" w:color="auto" w:fill="auto"/>
          </w:tcPr>
          <w:p w:rsidR="00CF1064" w:rsidRPr="00E3725B" w:rsidRDefault="00CF1064" w:rsidP="00045F60">
            <w:pPr>
              <w:pStyle w:val="Tabletext"/>
              <w:jc w:val="center"/>
            </w:pPr>
            <w:r w:rsidRPr="00E3725B">
              <w:t>91.5</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92.0</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89.7</w:t>
            </w:r>
          </w:p>
        </w:tc>
        <w:tc>
          <w:tcPr>
            <w:tcW w:w="879" w:type="dxa"/>
            <w:tcBorders>
              <w:top w:val="nil"/>
              <w:left w:val="nil"/>
              <w:right w:val="nil"/>
            </w:tcBorders>
            <w:shd w:val="clear" w:color="auto" w:fill="auto"/>
            <w:noWrap/>
            <w:vAlign w:val="bottom"/>
          </w:tcPr>
          <w:p w:rsidR="00CF1064" w:rsidRPr="00E3725B" w:rsidRDefault="00CF1064" w:rsidP="00045F60">
            <w:pPr>
              <w:pStyle w:val="Tabletext"/>
              <w:jc w:val="center"/>
            </w:pPr>
            <w:r w:rsidRPr="00E3725B">
              <w:t>89.6</w:t>
            </w:r>
          </w:p>
        </w:tc>
      </w:tr>
      <w:tr w:rsidR="00CF1064" w:rsidRPr="00E3725B" w:rsidTr="00045F60">
        <w:trPr>
          <w:trHeight w:val="255"/>
        </w:trPr>
        <w:tc>
          <w:tcPr>
            <w:tcW w:w="4962" w:type="dxa"/>
            <w:tcBorders>
              <w:top w:val="nil"/>
              <w:left w:val="nil"/>
              <w:right w:val="nil"/>
            </w:tcBorders>
            <w:shd w:val="clear" w:color="auto" w:fill="auto"/>
            <w:vAlign w:val="bottom"/>
          </w:tcPr>
          <w:p w:rsidR="00CF1064" w:rsidRPr="00E3725B" w:rsidRDefault="00CF1064" w:rsidP="00045F60">
            <w:pPr>
              <w:pStyle w:val="Tabletext"/>
            </w:pPr>
            <w:r w:rsidRPr="00E3725B">
              <w:t>Satisfied with assessment</w:t>
            </w:r>
            <w:r w:rsidRPr="00E3725B">
              <w:rPr>
                <w:vertAlign w:val="superscript"/>
              </w:rPr>
              <w:t>4</w:t>
            </w:r>
          </w:p>
        </w:tc>
        <w:tc>
          <w:tcPr>
            <w:tcW w:w="878" w:type="dxa"/>
            <w:tcBorders>
              <w:top w:val="nil"/>
              <w:left w:val="nil"/>
              <w:right w:val="nil"/>
            </w:tcBorders>
            <w:shd w:val="clear" w:color="auto" w:fill="auto"/>
            <w:vAlign w:val="bottom"/>
          </w:tcPr>
          <w:p w:rsidR="00CF1064" w:rsidRPr="00E3725B" w:rsidRDefault="00CF1064" w:rsidP="00045F60">
            <w:pPr>
              <w:pStyle w:val="Tabletext"/>
              <w:jc w:val="center"/>
            </w:pPr>
            <w:r w:rsidRPr="00E3725B">
              <w:t>84.0</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84.1</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85.8</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86.7</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88.1</w:t>
            </w:r>
          </w:p>
        </w:tc>
        <w:tc>
          <w:tcPr>
            <w:tcW w:w="878" w:type="dxa"/>
            <w:tcBorders>
              <w:top w:val="nil"/>
              <w:left w:val="nil"/>
              <w:right w:val="nil"/>
            </w:tcBorders>
            <w:shd w:val="clear" w:color="auto" w:fill="auto"/>
          </w:tcPr>
          <w:p w:rsidR="00CF1064" w:rsidRPr="00E3725B" w:rsidRDefault="00CF1064" w:rsidP="00045F60">
            <w:pPr>
              <w:pStyle w:val="Tabletext"/>
              <w:jc w:val="center"/>
            </w:pPr>
            <w:r w:rsidRPr="00E3725B">
              <w:t>88.5</w:t>
            </w:r>
          </w:p>
        </w:tc>
        <w:tc>
          <w:tcPr>
            <w:tcW w:w="879" w:type="dxa"/>
            <w:tcBorders>
              <w:top w:val="nil"/>
              <w:left w:val="nil"/>
              <w:right w:val="nil"/>
            </w:tcBorders>
            <w:shd w:val="clear" w:color="auto" w:fill="auto"/>
          </w:tcPr>
          <w:p w:rsidR="00CF1064" w:rsidRPr="00E3725B" w:rsidRDefault="00CF1064" w:rsidP="00045F60">
            <w:pPr>
              <w:pStyle w:val="Tabletext"/>
              <w:jc w:val="center"/>
            </w:pPr>
            <w:r w:rsidRPr="00E3725B">
              <w:t>89.3</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89.8</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87.8</w:t>
            </w:r>
          </w:p>
        </w:tc>
        <w:tc>
          <w:tcPr>
            <w:tcW w:w="879" w:type="dxa"/>
            <w:tcBorders>
              <w:top w:val="nil"/>
              <w:left w:val="nil"/>
              <w:right w:val="nil"/>
            </w:tcBorders>
            <w:shd w:val="clear" w:color="auto" w:fill="auto"/>
            <w:noWrap/>
            <w:vAlign w:val="bottom"/>
          </w:tcPr>
          <w:p w:rsidR="00CF1064" w:rsidRPr="00E3725B" w:rsidRDefault="00CF1064" w:rsidP="00045F60">
            <w:pPr>
              <w:pStyle w:val="Tabletext"/>
              <w:jc w:val="center"/>
            </w:pPr>
            <w:r w:rsidRPr="00E3725B">
              <w:t>87.4</w:t>
            </w:r>
          </w:p>
        </w:tc>
      </w:tr>
      <w:tr w:rsidR="00CF1064" w:rsidRPr="00E3725B" w:rsidTr="00045F60">
        <w:trPr>
          <w:trHeight w:val="255"/>
        </w:trPr>
        <w:tc>
          <w:tcPr>
            <w:tcW w:w="4962" w:type="dxa"/>
            <w:tcBorders>
              <w:top w:val="nil"/>
              <w:left w:val="nil"/>
              <w:right w:val="nil"/>
            </w:tcBorders>
            <w:shd w:val="clear" w:color="auto" w:fill="auto"/>
            <w:vAlign w:val="bottom"/>
          </w:tcPr>
          <w:p w:rsidR="00CF1064" w:rsidRPr="00E3725B" w:rsidRDefault="00CF1064" w:rsidP="00045F60">
            <w:pPr>
              <w:pStyle w:val="Tabletext"/>
            </w:pPr>
            <w:r w:rsidRPr="00E3725B">
              <w:t>Satisfied with generic skills and learning experiences</w:t>
            </w:r>
            <w:r w:rsidRPr="00E3725B">
              <w:rPr>
                <w:vertAlign w:val="superscript"/>
              </w:rPr>
              <w:t>4</w:t>
            </w:r>
          </w:p>
        </w:tc>
        <w:tc>
          <w:tcPr>
            <w:tcW w:w="878" w:type="dxa"/>
            <w:tcBorders>
              <w:top w:val="nil"/>
              <w:left w:val="nil"/>
              <w:right w:val="nil"/>
            </w:tcBorders>
            <w:shd w:val="clear" w:color="auto" w:fill="auto"/>
            <w:vAlign w:val="bottom"/>
          </w:tcPr>
          <w:p w:rsidR="00CF1064" w:rsidRPr="00E3725B" w:rsidRDefault="00CF1064" w:rsidP="00045F60">
            <w:pPr>
              <w:pStyle w:val="Tabletext"/>
              <w:jc w:val="center"/>
            </w:pPr>
            <w:r w:rsidRPr="00E3725B">
              <w:t>68.3</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68.0</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71.5</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73.8</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75.4</w:t>
            </w:r>
          </w:p>
        </w:tc>
        <w:tc>
          <w:tcPr>
            <w:tcW w:w="878" w:type="dxa"/>
            <w:tcBorders>
              <w:top w:val="nil"/>
              <w:left w:val="nil"/>
              <w:right w:val="nil"/>
            </w:tcBorders>
            <w:shd w:val="clear" w:color="auto" w:fill="auto"/>
          </w:tcPr>
          <w:p w:rsidR="00CF1064" w:rsidRPr="00E3725B" w:rsidRDefault="00CF1064" w:rsidP="00045F60">
            <w:pPr>
              <w:pStyle w:val="Tabletext"/>
              <w:jc w:val="center"/>
            </w:pPr>
            <w:r w:rsidRPr="00E3725B">
              <w:t>74.1</w:t>
            </w:r>
          </w:p>
        </w:tc>
        <w:tc>
          <w:tcPr>
            <w:tcW w:w="879" w:type="dxa"/>
            <w:tcBorders>
              <w:top w:val="nil"/>
              <w:left w:val="nil"/>
              <w:right w:val="nil"/>
            </w:tcBorders>
            <w:shd w:val="clear" w:color="auto" w:fill="auto"/>
          </w:tcPr>
          <w:p w:rsidR="00CF1064" w:rsidRPr="00E3725B" w:rsidRDefault="00CF1064" w:rsidP="00045F60">
            <w:pPr>
              <w:pStyle w:val="Tabletext"/>
              <w:jc w:val="center"/>
            </w:pPr>
            <w:r w:rsidRPr="00E3725B">
              <w:t>75.9</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76.6</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75.2</w:t>
            </w:r>
          </w:p>
        </w:tc>
        <w:tc>
          <w:tcPr>
            <w:tcW w:w="879" w:type="dxa"/>
            <w:tcBorders>
              <w:top w:val="nil"/>
              <w:left w:val="nil"/>
              <w:right w:val="nil"/>
            </w:tcBorders>
            <w:shd w:val="clear" w:color="auto" w:fill="auto"/>
            <w:noWrap/>
            <w:vAlign w:val="bottom"/>
          </w:tcPr>
          <w:p w:rsidR="00CF1064" w:rsidRPr="00E3725B" w:rsidRDefault="00CF1064" w:rsidP="00045F60">
            <w:pPr>
              <w:pStyle w:val="Tabletext"/>
              <w:jc w:val="center"/>
            </w:pPr>
            <w:r w:rsidRPr="00E3725B">
              <w:t>74.4</w:t>
            </w:r>
          </w:p>
        </w:tc>
      </w:tr>
      <w:tr w:rsidR="00CF1064" w:rsidRPr="00E3725B" w:rsidTr="00045F60">
        <w:trPr>
          <w:trHeight w:val="255"/>
        </w:trPr>
        <w:tc>
          <w:tcPr>
            <w:tcW w:w="4962" w:type="dxa"/>
            <w:tcBorders>
              <w:top w:val="nil"/>
              <w:left w:val="nil"/>
              <w:bottom w:val="nil"/>
              <w:right w:val="nil"/>
            </w:tcBorders>
            <w:shd w:val="clear" w:color="auto" w:fill="auto"/>
          </w:tcPr>
          <w:p w:rsidR="00CF1064" w:rsidRPr="00E3725B" w:rsidRDefault="00CF1064" w:rsidP="00045F60">
            <w:pPr>
              <w:pStyle w:val="Tabletext"/>
              <w:rPr>
                <w:lang w:eastAsia="en-AU"/>
              </w:rPr>
            </w:pPr>
            <w:r w:rsidRPr="00E3725B">
              <w:rPr>
                <w:lang w:eastAsia="en-AU"/>
              </w:rPr>
              <w:t>Satisfied with the overall quality of training</w:t>
            </w:r>
          </w:p>
        </w:tc>
        <w:tc>
          <w:tcPr>
            <w:tcW w:w="878"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80.4</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82.6</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86.0</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86.3</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87.8</w:t>
            </w:r>
          </w:p>
        </w:tc>
        <w:tc>
          <w:tcPr>
            <w:tcW w:w="878" w:type="dxa"/>
            <w:tcBorders>
              <w:top w:val="nil"/>
              <w:left w:val="nil"/>
              <w:right w:val="nil"/>
            </w:tcBorders>
            <w:shd w:val="clear" w:color="auto" w:fill="auto"/>
          </w:tcPr>
          <w:p w:rsidR="00CF1064" w:rsidRPr="00E3725B" w:rsidRDefault="00CF1064" w:rsidP="00045F60">
            <w:pPr>
              <w:pStyle w:val="Tabletext"/>
              <w:jc w:val="center"/>
            </w:pPr>
            <w:r w:rsidRPr="00E3725B">
              <w:t>88.7</w:t>
            </w:r>
          </w:p>
        </w:tc>
        <w:tc>
          <w:tcPr>
            <w:tcW w:w="879" w:type="dxa"/>
            <w:tcBorders>
              <w:top w:val="nil"/>
              <w:left w:val="nil"/>
              <w:right w:val="nil"/>
            </w:tcBorders>
            <w:shd w:val="clear" w:color="auto" w:fill="auto"/>
          </w:tcPr>
          <w:p w:rsidR="00CF1064" w:rsidRPr="00E3725B" w:rsidRDefault="00CF1064" w:rsidP="00045F60">
            <w:pPr>
              <w:pStyle w:val="Tabletext"/>
              <w:jc w:val="center"/>
            </w:pPr>
            <w:r w:rsidRPr="00E3725B">
              <w:t>88.4</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88.9</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86.2</w:t>
            </w:r>
          </w:p>
        </w:tc>
        <w:tc>
          <w:tcPr>
            <w:tcW w:w="879" w:type="dxa"/>
            <w:tcBorders>
              <w:top w:val="nil"/>
              <w:left w:val="nil"/>
              <w:bottom w:val="nil"/>
              <w:right w:val="nil"/>
            </w:tcBorders>
            <w:shd w:val="clear" w:color="auto" w:fill="auto"/>
            <w:noWrap/>
            <w:vAlign w:val="bottom"/>
          </w:tcPr>
          <w:p w:rsidR="00CF1064" w:rsidRPr="00E3725B" w:rsidRDefault="00CF1064" w:rsidP="00045F60">
            <w:pPr>
              <w:pStyle w:val="Tabletext"/>
              <w:jc w:val="center"/>
            </w:pPr>
            <w:r w:rsidRPr="00E3725B">
              <w:t>85.9</w:t>
            </w:r>
          </w:p>
        </w:tc>
      </w:tr>
      <w:tr w:rsidR="00CF1064" w:rsidRPr="00E3725B" w:rsidTr="00045F60">
        <w:trPr>
          <w:trHeight w:val="255"/>
        </w:trPr>
        <w:tc>
          <w:tcPr>
            <w:tcW w:w="4962" w:type="dxa"/>
            <w:tcBorders>
              <w:top w:val="nil"/>
              <w:left w:val="nil"/>
              <w:bottom w:val="nil"/>
              <w:right w:val="nil"/>
            </w:tcBorders>
            <w:shd w:val="clear" w:color="auto" w:fill="auto"/>
          </w:tcPr>
          <w:p w:rsidR="00CF1064" w:rsidRPr="00E3725B" w:rsidRDefault="00CF1064" w:rsidP="00045F60">
            <w:pPr>
              <w:pStyle w:val="Tabletext"/>
              <w:rPr>
                <w:lang w:eastAsia="en-AU"/>
              </w:rPr>
            </w:pPr>
            <w:r w:rsidRPr="00E3725B">
              <w:rPr>
                <w:lang w:eastAsia="en-AU"/>
              </w:rPr>
              <w:t>Fully or partly achieved main reason for doing the training</w:t>
            </w:r>
          </w:p>
        </w:tc>
        <w:tc>
          <w:tcPr>
            <w:tcW w:w="878"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88.0</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89.0</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90.2</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90.4</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89.9</w:t>
            </w:r>
          </w:p>
        </w:tc>
        <w:tc>
          <w:tcPr>
            <w:tcW w:w="878" w:type="dxa"/>
            <w:tcBorders>
              <w:top w:val="nil"/>
              <w:left w:val="nil"/>
              <w:bottom w:val="nil"/>
              <w:right w:val="nil"/>
            </w:tcBorders>
            <w:shd w:val="clear" w:color="auto" w:fill="auto"/>
          </w:tcPr>
          <w:p w:rsidR="00CF1064" w:rsidRPr="00E3725B" w:rsidRDefault="00CF1064" w:rsidP="00045F60">
            <w:pPr>
              <w:pStyle w:val="Tabletext"/>
              <w:jc w:val="center"/>
            </w:pPr>
            <w:r w:rsidRPr="00E3725B">
              <w:t>86.9</w:t>
            </w:r>
          </w:p>
        </w:tc>
        <w:tc>
          <w:tcPr>
            <w:tcW w:w="879" w:type="dxa"/>
            <w:tcBorders>
              <w:top w:val="nil"/>
              <w:left w:val="nil"/>
              <w:bottom w:val="nil"/>
              <w:right w:val="nil"/>
            </w:tcBorders>
            <w:shd w:val="clear" w:color="auto" w:fill="auto"/>
          </w:tcPr>
          <w:p w:rsidR="00CF1064" w:rsidRPr="00E3725B" w:rsidRDefault="00CF1064" w:rsidP="00045F60">
            <w:pPr>
              <w:pStyle w:val="Tabletext"/>
              <w:jc w:val="center"/>
            </w:pPr>
            <w:r w:rsidRPr="00E3725B">
              <w:t>85.8</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84.7</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82.9</w:t>
            </w:r>
          </w:p>
        </w:tc>
        <w:tc>
          <w:tcPr>
            <w:tcW w:w="879" w:type="dxa"/>
            <w:tcBorders>
              <w:top w:val="nil"/>
              <w:left w:val="nil"/>
              <w:bottom w:val="nil"/>
              <w:right w:val="nil"/>
            </w:tcBorders>
            <w:shd w:val="clear" w:color="auto" w:fill="auto"/>
            <w:vAlign w:val="bottom"/>
          </w:tcPr>
          <w:p w:rsidR="00CF1064" w:rsidRPr="00E3725B" w:rsidRDefault="00CF1064" w:rsidP="00045F60">
            <w:pPr>
              <w:pStyle w:val="Tabletext"/>
              <w:jc w:val="center"/>
            </w:pPr>
            <w:r w:rsidRPr="00E3725B">
              <w:t>81.6</w:t>
            </w:r>
          </w:p>
        </w:tc>
      </w:tr>
      <w:tr w:rsidR="00CF1064" w:rsidRPr="00E3725B" w:rsidTr="00045F60">
        <w:trPr>
          <w:trHeight w:val="255"/>
        </w:trPr>
        <w:tc>
          <w:tcPr>
            <w:tcW w:w="4962" w:type="dxa"/>
            <w:tcBorders>
              <w:top w:val="nil"/>
              <w:left w:val="nil"/>
              <w:right w:val="nil"/>
            </w:tcBorders>
            <w:shd w:val="clear" w:color="auto" w:fill="auto"/>
            <w:vAlign w:val="bottom"/>
          </w:tcPr>
          <w:p w:rsidR="00CF1064" w:rsidRPr="00E3725B" w:rsidRDefault="00CF1064" w:rsidP="00045F60">
            <w:pPr>
              <w:pStyle w:val="Tabletext"/>
            </w:pPr>
            <w:r w:rsidRPr="00E3725B">
              <w:t>Of those employed after training</w:t>
            </w:r>
          </w:p>
        </w:tc>
        <w:tc>
          <w:tcPr>
            <w:tcW w:w="878"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8" w:type="dxa"/>
            <w:tcBorders>
              <w:top w:val="nil"/>
              <w:left w:val="nil"/>
              <w:right w:val="nil"/>
            </w:tcBorders>
            <w:shd w:val="clear" w:color="auto" w:fill="auto"/>
          </w:tcPr>
          <w:p w:rsidR="00CF1064" w:rsidRPr="00E3725B" w:rsidRDefault="00CF1064" w:rsidP="00045F60">
            <w:pPr>
              <w:pStyle w:val="Tabletext"/>
              <w:jc w:val="center"/>
            </w:pPr>
          </w:p>
        </w:tc>
        <w:tc>
          <w:tcPr>
            <w:tcW w:w="879" w:type="dxa"/>
            <w:tcBorders>
              <w:top w:val="nil"/>
              <w:left w:val="nil"/>
              <w:right w:val="nil"/>
            </w:tcBorders>
            <w:shd w:val="clear" w:color="auto" w:fill="auto"/>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noWrap/>
            <w:vAlign w:val="bottom"/>
          </w:tcPr>
          <w:p w:rsidR="00CF1064" w:rsidRPr="00E3725B" w:rsidRDefault="00CF1064" w:rsidP="00045F60">
            <w:pPr>
              <w:pStyle w:val="Tabletext"/>
              <w:jc w:val="center"/>
            </w:pPr>
          </w:p>
        </w:tc>
      </w:tr>
      <w:tr w:rsidR="00CF1064" w:rsidRPr="00E3725B" w:rsidTr="00045F60">
        <w:trPr>
          <w:trHeight w:val="255"/>
        </w:trPr>
        <w:tc>
          <w:tcPr>
            <w:tcW w:w="4962" w:type="dxa"/>
            <w:tcBorders>
              <w:top w:val="nil"/>
              <w:left w:val="nil"/>
              <w:right w:val="nil"/>
            </w:tcBorders>
            <w:shd w:val="clear" w:color="auto" w:fill="auto"/>
            <w:vAlign w:val="bottom"/>
          </w:tcPr>
          <w:p w:rsidR="00CF1064" w:rsidRPr="00E3725B" w:rsidRDefault="00CF1064" w:rsidP="00045F60">
            <w:pPr>
              <w:pStyle w:val="Tabletext"/>
              <w:ind w:left="170"/>
            </w:pPr>
            <w:r w:rsidRPr="00E3725B">
              <w:t>Found the training relevant to their current job</w:t>
            </w:r>
          </w:p>
        </w:tc>
        <w:tc>
          <w:tcPr>
            <w:tcW w:w="878" w:type="dxa"/>
            <w:tcBorders>
              <w:top w:val="nil"/>
              <w:left w:val="nil"/>
              <w:right w:val="nil"/>
            </w:tcBorders>
            <w:shd w:val="clear" w:color="auto" w:fill="auto"/>
            <w:vAlign w:val="bottom"/>
          </w:tcPr>
          <w:p w:rsidR="00CF1064" w:rsidRPr="00E3725B" w:rsidRDefault="00CF1064" w:rsidP="00045F60">
            <w:pPr>
              <w:pStyle w:val="Tabletext"/>
              <w:jc w:val="center"/>
            </w:pPr>
            <w:r w:rsidRPr="00E3725B">
              <w:t>80.1</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78.9</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81.2</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82.6</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84.6</w:t>
            </w:r>
          </w:p>
        </w:tc>
        <w:tc>
          <w:tcPr>
            <w:tcW w:w="878" w:type="dxa"/>
            <w:tcBorders>
              <w:top w:val="nil"/>
              <w:left w:val="nil"/>
              <w:right w:val="nil"/>
            </w:tcBorders>
            <w:shd w:val="clear" w:color="auto" w:fill="auto"/>
          </w:tcPr>
          <w:p w:rsidR="00CF1064" w:rsidRPr="00E3725B" w:rsidRDefault="00CF1064" w:rsidP="00045F60">
            <w:pPr>
              <w:pStyle w:val="Tabletext"/>
              <w:jc w:val="center"/>
            </w:pPr>
            <w:r w:rsidRPr="00E3725B">
              <w:t>83.2</w:t>
            </w:r>
          </w:p>
        </w:tc>
        <w:tc>
          <w:tcPr>
            <w:tcW w:w="879" w:type="dxa"/>
            <w:tcBorders>
              <w:top w:val="nil"/>
              <w:left w:val="nil"/>
              <w:right w:val="nil"/>
            </w:tcBorders>
            <w:shd w:val="clear" w:color="auto" w:fill="auto"/>
          </w:tcPr>
          <w:p w:rsidR="00CF1064" w:rsidRPr="00E3725B" w:rsidRDefault="00CF1064" w:rsidP="00045F60">
            <w:pPr>
              <w:pStyle w:val="Tabletext"/>
              <w:jc w:val="center"/>
            </w:pPr>
            <w:r w:rsidRPr="00E3725B">
              <w:t>83.6</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81.5</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80.9</w:t>
            </w:r>
          </w:p>
        </w:tc>
        <w:tc>
          <w:tcPr>
            <w:tcW w:w="879" w:type="dxa"/>
            <w:tcBorders>
              <w:top w:val="nil"/>
              <w:left w:val="nil"/>
              <w:right w:val="nil"/>
            </w:tcBorders>
            <w:shd w:val="clear" w:color="auto" w:fill="auto"/>
            <w:noWrap/>
            <w:vAlign w:val="bottom"/>
          </w:tcPr>
          <w:p w:rsidR="00CF1064" w:rsidRPr="00E3725B" w:rsidRDefault="00CF1064" w:rsidP="00045F60">
            <w:pPr>
              <w:pStyle w:val="Tabletext"/>
              <w:jc w:val="center"/>
            </w:pPr>
            <w:r w:rsidRPr="00E3725B">
              <w:t>79.2</w:t>
            </w:r>
          </w:p>
        </w:tc>
      </w:tr>
      <w:tr w:rsidR="00CF1064" w:rsidRPr="00E3725B" w:rsidTr="00045F60">
        <w:trPr>
          <w:trHeight w:val="255"/>
        </w:trPr>
        <w:tc>
          <w:tcPr>
            <w:tcW w:w="4962" w:type="dxa"/>
            <w:tcBorders>
              <w:top w:val="nil"/>
              <w:left w:val="nil"/>
              <w:right w:val="nil"/>
            </w:tcBorders>
            <w:shd w:val="clear" w:color="auto" w:fill="auto"/>
            <w:vAlign w:val="bottom"/>
          </w:tcPr>
          <w:p w:rsidR="00CF1064" w:rsidRPr="00E3725B" w:rsidRDefault="00CF1064" w:rsidP="00045F60">
            <w:pPr>
              <w:pStyle w:val="Tabletext"/>
              <w:ind w:left="170"/>
            </w:pPr>
            <w:r w:rsidRPr="00E3725B">
              <w:t>Received at least one job-related benefit</w:t>
            </w:r>
          </w:p>
        </w:tc>
        <w:tc>
          <w:tcPr>
            <w:tcW w:w="878" w:type="dxa"/>
            <w:tcBorders>
              <w:top w:val="nil"/>
              <w:left w:val="nil"/>
              <w:right w:val="nil"/>
            </w:tcBorders>
            <w:shd w:val="clear" w:color="auto" w:fill="auto"/>
            <w:vAlign w:val="bottom"/>
          </w:tcPr>
          <w:p w:rsidR="00CF1064" w:rsidRPr="00E3725B" w:rsidRDefault="00CF1064" w:rsidP="00045F60">
            <w:pPr>
              <w:pStyle w:val="Tabletext"/>
              <w:jc w:val="center"/>
            </w:pPr>
            <w:r w:rsidRPr="00E3725B">
              <w:t>78.2</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76.5</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76.1</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77.3</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77.6</w:t>
            </w:r>
          </w:p>
        </w:tc>
        <w:tc>
          <w:tcPr>
            <w:tcW w:w="878" w:type="dxa"/>
            <w:tcBorders>
              <w:top w:val="nil"/>
              <w:left w:val="nil"/>
              <w:right w:val="nil"/>
            </w:tcBorders>
            <w:shd w:val="clear" w:color="auto" w:fill="auto"/>
          </w:tcPr>
          <w:p w:rsidR="00CF1064" w:rsidRPr="00E3725B" w:rsidRDefault="00CF1064" w:rsidP="00045F60">
            <w:pPr>
              <w:pStyle w:val="Tabletext"/>
              <w:jc w:val="center"/>
            </w:pPr>
            <w:r w:rsidRPr="00E3725B">
              <w:t>74.4</w:t>
            </w:r>
          </w:p>
        </w:tc>
        <w:tc>
          <w:tcPr>
            <w:tcW w:w="879" w:type="dxa"/>
            <w:tcBorders>
              <w:top w:val="nil"/>
              <w:left w:val="nil"/>
              <w:right w:val="nil"/>
            </w:tcBorders>
            <w:shd w:val="clear" w:color="auto" w:fill="auto"/>
          </w:tcPr>
          <w:p w:rsidR="00CF1064" w:rsidRPr="00E3725B" w:rsidRDefault="00CF1064" w:rsidP="00045F60">
            <w:pPr>
              <w:pStyle w:val="Tabletext"/>
              <w:jc w:val="center"/>
            </w:pPr>
            <w:r w:rsidRPr="00E3725B">
              <w:t>76.3</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74.2</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71.3</w:t>
            </w:r>
          </w:p>
        </w:tc>
        <w:tc>
          <w:tcPr>
            <w:tcW w:w="879" w:type="dxa"/>
            <w:tcBorders>
              <w:top w:val="nil"/>
              <w:left w:val="nil"/>
              <w:right w:val="nil"/>
            </w:tcBorders>
            <w:shd w:val="clear" w:color="auto" w:fill="auto"/>
            <w:noWrap/>
            <w:vAlign w:val="bottom"/>
          </w:tcPr>
          <w:p w:rsidR="00CF1064" w:rsidRPr="00E3725B" w:rsidRDefault="00CF1064" w:rsidP="00045F60">
            <w:pPr>
              <w:pStyle w:val="Tabletext"/>
              <w:jc w:val="center"/>
            </w:pPr>
            <w:r w:rsidRPr="00E3725B">
              <w:t>70.6</w:t>
            </w:r>
          </w:p>
        </w:tc>
      </w:tr>
      <w:tr w:rsidR="00CF1064" w:rsidRPr="00E3725B" w:rsidTr="00045F60">
        <w:trPr>
          <w:trHeight w:val="255"/>
        </w:trPr>
        <w:tc>
          <w:tcPr>
            <w:tcW w:w="4962" w:type="dxa"/>
            <w:tcBorders>
              <w:top w:val="nil"/>
              <w:left w:val="nil"/>
              <w:right w:val="nil"/>
            </w:tcBorders>
            <w:shd w:val="clear" w:color="auto" w:fill="auto"/>
            <w:vAlign w:val="bottom"/>
          </w:tcPr>
          <w:p w:rsidR="00CF1064" w:rsidRPr="00E3725B" w:rsidRDefault="00CF1064" w:rsidP="00045F60">
            <w:pPr>
              <w:pStyle w:val="Tabletext"/>
            </w:pPr>
            <w:r w:rsidRPr="00E3725B">
              <w:t>Of those employed before training</w:t>
            </w:r>
          </w:p>
        </w:tc>
        <w:tc>
          <w:tcPr>
            <w:tcW w:w="878"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8" w:type="dxa"/>
            <w:tcBorders>
              <w:top w:val="nil"/>
              <w:left w:val="nil"/>
              <w:right w:val="nil"/>
            </w:tcBorders>
            <w:shd w:val="clear" w:color="auto" w:fill="auto"/>
          </w:tcPr>
          <w:p w:rsidR="00CF1064" w:rsidRPr="00E3725B" w:rsidRDefault="00CF1064" w:rsidP="00045F60">
            <w:pPr>
              <w:pStyle w:val="Tabletext"/>
              <w:jc w:val="center"/>
            </w:pPr>
          </w:p>
        </w:tc>
        <w:tc>
          <w:tcPr>
            <w:tcW w:w="879" w:type="dxa"/>
            <w:tcBorders>
              <w:top w:val="nil"/>
              <w:left w:val="nil"/>
              <w:right w:val="nil"/>
            </w:tcBorders>
            <w:shd w:val="clear" w:color="auto" w:fill="auto"/>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noWrap/>
            <w:vAlign w:val="bottom"/>
          </w:tcPr>
          <w:p w:rsidR="00CF1064" w:rsidRPr="00E3725B" w:rsidRDefault="00CF1064" w:rsidP="00045F60">
            <w:pPr>
              <w:pStyle w:val="Tabletext"/>
              <w:jc w:val="center"/>
            </w:pPr>
          </w:p>
        </w:tc>
      </w:tr>
      <w:tr w:rsidR="00CF1064" w:rsidRPr="00E3725B" w:rsidTr="00045F60">
        <w:trPr>
          <w:trHeight w:val="255"/>
        </w:trPr>
        <w:tc>
          <w:tcPr>
            <w:tcW w:w="4962" w:type="dxa"/>
            <w:tcBorders>
              <w:top w:val="nil"/>
              <w:left w:val="nil"/>
              <w:right w:val="nil"/>
            </w:tcBorders>
            <w:shd w:val="clear" w:color="auto" w:fill="auto"/>
            <w:vAlign w:val="bottom"/>
          </w:tcPr>
          <w:p w:rsidR="00CF1064" w:rsidRPr="00E3725B" w:rsidRDefault="00CF1064" w:rsidP="00045F60">
            <w:pPr>
              <w:pStyle w:val="Tabletext"/>
              <w:ind w:left="170"/>
            </w:pPr>
            <w:r w:rsidRPr="00E3725B">
              <w:t>Employed at a higher skill level</w:t>
            </w:r>
            <w:r w:rsidRPr="00E3725B">
              <w:rPr>
                <w:szCs w:val="16"/>
                <w:vertAlign w:val="superscript"/>
              </w:rPr>
              <w:t xml:space="preserve">2 </w:t>
            </w:r>
            <w:r w:rsidRPr="00E3725B">
              <w:rPr>
                <w:szCs w:val="16"/>
              </w:rPr>
              <w:t>after training</w:t>
            </w:r>
          </w:p>
        </w:tc>
        <w:tc>
          <w:tcPr>
            <w:tcW w:w="878" w:type="dxa"/>
            <w:tcBorders>
              <w:top w:val="nil"/>
              <w:left w:val="nil"/>
              <w:right w:val="nil"/>
            </w:tcBorders>
            <w:shd w:val="clear" w:color="auto" w:fill="auto"/>
            <w:vAlign w:val="bottom"/>
          </w:tcPr>
          <w:p w:rsidR="00CF1064" w:rsidRPr="00E3725B" w:rsidRDefault="00CF1064" w:rsidP="00045F60">
            <w:pPr>
              <w:pStyle w:val="Tabletext"/>
              <w:jc w:val="center"/>
            </w:pPr>
            <w:r w:rsidRPr="00E3725B">
              <w:t>20.2</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22.6</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23.4</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22.3</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25.2</w:t>
            </w:r>
          </w:p>
        </w:tc>
        <w:tc>
          <w:tcPr>
            <w:tcW w:w="878" w:type="dxa"/>
            <w:tcBorders>
              <w:top w:val="nil"/>
              <w:left w:val="nil"/>
              <w:right w:val="nil"/>
            </w:tcBorders>
            <w:shd w:val="clear" w:color="auto" w:fill="auto"/>
          </w:tcPr>
          <w:p w:rsidR="00CF1064" w:rsidRPr="00E3725B" w:rsidRDefault="00CF1064" w:rsidP="00045F60">
            <w:pPr>
              <w:pStyle w:val="Tabletext"/>
              <w:jc w:val="center"/>
            </w:pPr>
            <w:r w:rsidRPr="00E3725B">
              <w:t>22.0</w:t>
            </w:r>
          </w:p>
        </w:tc>
        <w:tc>
          <w:tcPr>
            <w:tcW w:w="879" w:type="dxa"/>
            <w:tcBorders>
              <w:top w:val="nil"/>
              <w:left w:val="nil"/>
              <w:right w:val="nil"/>
            </w:tcBorders>
            <w:shd w:val="clear" w:color="auto" w:fill="auto"/>
          </w:tcPr>
          <w:p w:rsidR="00CF1064" w:rsidRPr="00E3725B" w:rsidRDefault="00CF1064" w:rsidP="00045F60">
            <w:pPr>
              <w:pStyle w:val="Tabletext"/>
              <w:jc w:val="center"/>
            </w:pPr>
            <w:r w:rsidRPr="00E3725B">
              <w:t>18.9</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17.3</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14.7</w:t>
            </w:r>
          </w:p>
        </w:tc>
        <w:tc>
          <w:tcPr>
            <w:tcW w:w="879" w:type="dxa"/>
            <w:tcBorders>
              <w:top w:val="nil"/>
              <w:left w:val="nil"/>
              <w:right w:val="nil"/>
            </w:tcBorders>
            <w:shd w:val="clear" w:color="auto" w:fill="auto"/>
            <w:noWrap/>
            <w:vAlign w:val="bottom"/>
          </w:tcPr>
          <w:p w:rsidR="00CF1064" w:rsidRPr="00E3725B" w:rsidRDefault="00CF1064" w:rsidP="00045F60">
            <w:pPr>
              <w:pStyle w:val="Tabletext"/>
              <w:jc w:val="center"/>
            </w:pPr>
            <w:r w:rsidRPr="00E3725B">
              <w:t>13.6</w:t>
            </w:r>
          </w:p>
        </w:tc>
      </w:tr>
      <w:tr w:rsidR="00CF1064" w:rsidRPr="00E3725B" w:rsidTr="00045F60">
        <w:trPr>
          <w:trHeight w:val="255"/>
        </w:trPr>
        <w:tc>
          <w:tcPr>
            <w:tcW w:w="4962" w:type="dxa"/>
            <w:tcBorders>
              <w:top w:val="nil"/>
              <w:left w:val="nil"/>
              <w:right w:val="nil"/>
            </w:tcBorders>
            <w:shd w:val="clear" w:color="auto" w:fill="auto"/>
            <w:vAlign w:val="bottom"/>
          </w:tcPr>
          <w:p w:rsidR="00CF1064" w:rsidRPr="00E3725B" w:rsidRDefault="00CF1064" w:rsidP="00045F60">
            <w:pPr>
              <w:pStyle w:val="Tabletext"/>
            </w:pPr>
            <w:r w:rsidRPr="00E3725B">
              <w:t>Of those not employed</w:t>
            </w:r>
            <w:r w:rsidRPr="00E3725B">
              <w:rPr>
                <w:vertAlign w:val="superscript"/>
              </w:rPr>
              <w:t>1</w:t>
            </w:r>
            <w:r w:rsidRPr="00E3725B">
              <w:t xml:space="preserve"> before training</w:t>
            </w:r>
          </w:p>
        </w:tc>
        <w:tc>
          <w:tcPr>
            <w:tcW w:w="878"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8" w:type="dxa"/>
            <w:tcBorders>
              <w:top w:val="nil"/>
              <w:left w:val="nil"/>
              <w:right w:val="nil"/>
            </w:tcBorders>
            <w:shd w:val="clear" w:color="auto" w:fill="auto"/>
          </w:tcPr>
          <w:p w:rsidR="00CF1064" w:rsidRPr="00E3725B" w:rsidRDefault="00CF1064" w:rsidP="00045F60">
            <w:pPr>
              <w:pStyle w:val="Tabletext"/>
              <w:jc w:val="center"/>
            </w:pPr>
          </w:p>
        </w:tc>
        <w:tc>
          <w:tcPr>
            <w:tcW w:w="879" w:type="dxa"/>
            <w:tcBorders>
              <w:top w:val="nil"/>
              <w:left w:val="nil"/>
              <w:right w:val="nil"/>
            </w:tcBorders>
            <w:shd w:val="clear" w:color="auto" w:fill="auto"/>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p>
        </w:tc>
        <w:tc>
          <w:tcPr>
            <w:tcW w:w="879" w:type="dxa"/>
            <w:tcBorders>
              <w:top w:val="nil"/>
              <w:left w:val="nil"/>
              <w:right w:val="nil"/>
            </w:tcBorders>
            <w:shd w:val="clear" w:color="auto" w:fill="auto"/>
            <w:noWrap/>
            <w:vAlign w:val="bottom"/>
          </w:tcPr>
          <w:p w:rsidR="00CF1064" w:rsidRPr="00E3725B" w:rsidRDefault="00CF1064" w:rsidP="00045F60">
            <w:pPr>
              <w:pStyle w:val="Tabletext"/>
              <w:jc w:val="center"/>
            </w:pPr>
          </w:p>
        </w:tc>
      </w:tr>
      <w:tr w:rsidR="00CF1064" w:rsidRPr="00E3725B" w:rsidTr="00045F60">
        <w:trPr>
          <w:trHeight w:val="255"/>
        </w:trPr>
        <w:tc>
          <w:tcPr>
            <w:tcW w:w="4962" w:type="dxa"/>
            <w:tcBorders>
              <w:top w:val="nil"/>
              <w:left w:val="nil"/>
              <w:right w:val="nil"/>
            </w:tcBorders>
            <w:shd w:val="clear" w:color="auto" w:fill="auto"/>
            <w:vAlign w:val="bottom"/>
          </w:tcPr>
          <w:p w:rsidR="00CF1064" w:rsidRPr="00E3725B" w:rsidRDefault="00CF1064" w:rsidP="00045F60">
            <w:pPr>
              <w:pStyle w:val="Tabletext"/>
              <w:ind w:left="170"/>
            </w:pPr>
            <w:r w:rsidRPr="00E3725B">
              <w:t>Employed after training</w:t>
            </w:r>
          </w:p>
        </w:tc>
        <w:tc>
          <w:tcPr>
            <w:tcW w:w="878" w:type="dxa"/>
            <w:tcBorders>
              <w:top w:val="nil"/>
              <w:left w:val="nil"/>
              <w:right w:val="nil"/>
            </w:tcBorders>
            <w:shd w:val="clear" w:color="auto" w:fill="auto"/>
            <w:vAlign w:val="bottom"/>
          </w:tcPr>
          <w:p w:rsidR="00CF1064" w:rsidRPr="00E3725B" w:rsidRDefault="00CF1064" w:rsidP="00045F60">
            <w:pPr>
              <w:pStyle w:val="Tabletext"/>
              <w:jc w:val="center"/>
            </w:pPr>
            <w:r w:rsidRPr="00E3725B">
              <w:t>61.8</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66.2</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74.0</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65.3</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60.1</w:t>
            </w:r>
          </w:p>
        </w:tc>
        <w:tc>
          <w:tcPr>
            <w:tcW w:w="878" w:type="dxa"/>
            <w:tcBorders>
              <w:top w:val="nil"/>
              <w:left w:val="nil"/>
              <w:right w:val="nil"/>
            </w:tcBorders>
            <w:shd w:val="clear" w:color="auto" w:fill="auto"/>
          </w:tcPr>
          <w:p w:rsidR="00CF1064" w:rsidRPr="00E3725B" w:rsidRDefault="00CF1064" w:rsidP="00045F60">
            <w:pPr>
              <w:pStyle w:val="Tabletext"/>
              <w:jc w:val="center"/>
            </w:pPr>
            <w:r w:rsidRPr="00E3725B">
              <w:t>51.6</w:t>
            </w:r>
          </w:p>
        </w:tc>
        <w:tc>
          <w:tcPr>
            <w:tcW w:w="879" w:type="dxa"/>
            <w:tcBorders>
              <w:top w:val="nil"/>
              <w:left w:val="nil"/>
              <w:right w:val="nil"/>
            </w:tcBorders>
            <w:shd w:val="clear" w:color="auto" w:fill="auto"/>
          </w:tcPr>
          <w:p w:rsidR="00CF1064" w:rsidRPr="00E3725B" w:rsidRDefault="00CF1064" w:rsidP="00045F60">
            <w:pPr>
              <w:pStyle w:val="Tabletext"/>
              <w:jc w:val="center"/>
            </w:pPr>
            <w:r w:rsidRPr="00E3725B">
              <w:t>51.8</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52.4</w:t>
            </w:r>
          </w:p>
        </w:tc>
        <w:tc>
          <w:tcPr>
            <w:tcW w:w="879" w:type="dxa"/>
            <w:tcBorders>
              <w:top w:val="nil"/>
              <w:left w:val="nil"/>
              <w:right w:val="nil"/>
            </w:tcBorders>
            <w:shd w:val="clear" w:color="auto" w:fill="auto"/>
            <w:vAlign w:val="bottom"/>
          </w:tcPr>
          <w:p w:rsidR="00CF1064" w:rsidRPr="00E3725B" w:rsidRDefault="00CF1064" w:rsidP="00045F60">
            <w:pPr>
              <w:pStyle w:val="Tabletext"/>
              <w:jc w:val="center"/>
            </w:pPr>
            <w:r w:rsidRPr="00E3725B">
              <w:t>48.3</w:t>
            </w:r>
          </w:p>
        </w:tc>
        <w:tc>
          <w:tcPr>
            <w:tcW w:w="879" w:type="dxa"/>
            <w:tcBorders>
              <w:top w:val="nil"/>
              <w:left w:val="nil"/>
              <w:right w:val="nil"/>
            </w:tcBorders>
            <w:shd w:val="clear" w:color="auto" w:fill="auto"/>
            <w:noWrap/>
            <w:vAlign w:val="bottom"/>
          </w:tcPr>
          <w:p w:rsidR="00CF1064" w:rsidRPr="00E3725B" w:rsidRDefault="00CF1064" w:rsidP="00045F60">
            <w:pPr>
              <w:pStyle w:val="Tabletext"/>
              <w:jc w:val="center"/>
            </w:pPr>
            <w:r w:rsidRPr="00E3725B">
              <w:t>47.2</w:t>
            </w:r>
          </w:p>
        </w:tc>
      </w:tr>
      <w:tr w:rsidR="00CF1064" w:rsidRPr="00E3725B" w:rsidTr="00045F60">
        <w:trPr>
          <w:trHeight w:val="255"/>
        </w:trPr>
        <w:tc>
          <w:tcPr>
            <w:tcW w:w="4962" w:type="dxa"/>
            <w:tcBorders>
              <w:top w:val="nil"/>
              <w:left w:val="nil"/>
              <w:bottom w:val="single" w:sz="4" w:space="0" w:color="008000"/>
              <w:right w:val="nil"/>
            </w:tcBorders>
            <w:shd w:val="clear" w:color="auto" w:fill="auto"/>
            <w:vAlign w:val="bottom"/>
          </w:tcPr>
          <w:p w:rsidR="00CF1064" w:rsidRPr="00E3725B" w:rsidRDefault="00CF1064" w:rsidP="00045F60">
            <w:pPr>
              <w:pStyle w:val="Tabletext"/>
            </w:pPr>
            <w:r w:rsidRPr="00E3725B">
              <w:t>Improved employment status after training</w:t>
            </w:r>
            <w:r w:rsidRPr="00E3725B">
              <w:rPr>
                <w:vertAlign w:val="superscript"/>
              </w:rPr>
              <w:t>5</w:t>
            </w:r>
          </w:p>
        </w:tc>
        <w:tc>
          <w:tcPr>
            <w:tcW w:w="878" w:type="dxa"/>
            <w:tcBorders>
              <w:top w:val="nil"/>
              <w:left w:val="nil"/>
              <w:bottom w:val="single" w:sz="4" w:space="0" w:color="008000"/>
              <w:right w:val="nil"/>
            </w:tcBorders>
            <w:shd w:val="clear" w:color="auto" w:fill="auto"/>
            <w:vAlign w:val="bottom"/>
          </w:tcPr>
          <w:p w:rsidR="00CF1064" w:rsidRPr="00E3725B" w:rsidRDefault="00CF1064" w:rsidP="00045F60">
            <w:pPr>
              <w:pStyle w:val="Tabletext"/>
              <w:jc w:val="center"/>
            </w:pPr>
            <w:r w:rsidRPr="00E3725B">
              <w:t>69.4</w:t>
            </w:r>
          </w:p>
        </w:tc>
        <w:tc>
          <w:tcPr>
            <w:tcW w:w="879" w:type="dxa"/>
            <w:tcBorders>
              <w:top w:val="nil"/>
              <w:left w:val="nil"/>
              <w:bottom w:val="single" w:sz="4" w:space="0" w:color="008000"/>
              <w:right w:val="nil"/>
            </w:tcBorders>
            <w:shd w:val="clear" w:color="auto" w:fill="auto"/>
            <w:vAlign w:val="bottom"/>
          </w:tcPr>
          <w:p w:rsidR="00CF1064" w:rsidRPr="00E3725B" w:rsidRDefault="00CF1064" w:rsidP="00045F60">
            <w:pPr>
              <w:pStyle w:val="Tabletext"/>
              <w:jc w:val="center"/>
            </w:pPr>
            <w:r w:rsidRPr="00E3725B">
              <w:t>70.5</w:t>
            </w:r>
          </w:p>
        </w:tc>
        <w:tc>
          <w:tcPr>
            <w:tcW w:w="879" w:type="dxa"/>
            <w:tcBorders>
              <w:top w:val="nil"/>
              <w:left w:val="nil"/>
              <w:bottom w:val="single" w:sz="4" w:space="0" w:color="008000"/>
              <w:right w:val="nil"/>
            </w:tcBorders>
            <w:shd w:val="clear" w:color="auto" w:fill="auto"/>
            <w:vAlign w:val="bottom"/>
          </w:tcPr>
          <w:p w:rsidR="00CF1064" w:rsidRPr="00E3725B" w:rsidRDefault="00CF1064" w:rsidP="00045F60">
            <w:pPr>
              <w:pStyle w:val="Tabletext"/>
              <w:jc w:val="center"/>
            </w:pPr>
            <w:r w:rsidRPr="00E3725B">
              <w:t>72.3</w:t>
            </w:r>
          </w:p>
        </w:tc>
        <w:tc>
          <w:tcPr>
            <w:tcW w:w="879" w:type="dxa"/>
            <w:tcBorders>
              <w:top w:val="nil"/>
              <w:left w:val="nil"/>
              <w:bottom w:val="single" w:sz="4" w:space="0" w:color="008000"/>
              <w:right w:val="nil"/>
            </w:tcBorders>
            <w:shd w:val="clear" w:color="auto" w:fill="auto"/>
            <w:vAlign w:val="bottom"/>
          </w:tcPr>
          <w:p w:rsidR="00CF1064" w:rsidRPr="00E3725B" w:rsidRDefault="00CF1064" w:rsidP="00045F60">
            <w:pPr>
              <w:pStyle w:val="Tabletext"/>
              <w:jc w:val="center"/>
            </w:pPr>
            <w:r w:rsidRPr="00E3725B">
              <w:t>70.9</w:t>
            </w:r>
          </w:p>
        </w:tc>
        <w:tc>
          <w:tcPr>
            <w:tcW w:w="879" w:type="dxa"/>
            <w:tcBorders>
              <w:top w:val="nil"/>
              <w:left w:val="nil"/>
              <w:bottom w:val="single" w:sz="4" w:space="0" w:color="008000"/>
              <w:right w:val="nil"/>
            </w:tcBorders>
            <w:shd w:val="clear" w:color="auto" w:fill="auto"/>
            <w:vAlign w:val="bottom"/>
          </w:tcPr>
          <w:p w:rsidR="00CF1064" w:rsidRPr="00E3725B" w:rsidRDefault="00CF1064" w:rsidP="00045F60">
            <w:pPr>
              <w:pStyle w:val="Tabletext"/>
              <w:jc w:val="center"/>
            </w:pPr>
            <w:r w:rsidRPr="00E3725B">
              <w:t>69.0</w:t>
            </w:r>
          </w:p>
        </w:tc>
        <w:tc>
          <w:tcPr>
            <w:tcW w:w="878" w:type="dxa"/>
            <w:tcBorders>
              <w:top w:val="nil"/>
              <w:left w:val="nil"/>
              <w:bottom w:val="single" w:sz="4" w:space="0" w:color="008000"/>
              <w:right w:val="nil"/>
            </w:tcBorders>
            <w:shd w:val="clear" w:color="auto" w:fill="auto"/>
          </w:tcPr>
          <w:p w:rsidR="00CF1064" w:rsidRPr="00E3725B" w:rsidRDefault="00CF1064" w:rsidP="00045F60">
            <w:pPr>
              <w:pStyle w:val="Tabletext"/>
              <w:jc w:val="center"/>
            </w:pPr>
            <w:r w:rsidRPr="00E3725B">
              <w:t>62.6</w:t>
            </w:r>
          </w:p>
        </w:tc>
        <w:tc>
          <w:tcPr>
            <w:tcW w:w="879" w:type="dxa"/>
            <w:tcBorders>
              <w:top w:val="nil"/>
              <w:left w:val="nil"/>
              <w:bottom w:val="single" w:sz="4" w:space="0" w:color="008000"/>
              <w:right w:val="nil"/>
            </w:tcBorders>
            <w:shd w:val="clear" w:color="auto" w:fill="auto"/>
          </w:tcPr>
          <w:p w:rsidR="00CF1064" w:rsidRPr="00E3725B" w:rsidRDefault="00CF1064" w:rsidP="00045F60">
            <w:pPr>
              <w:pStyle w:val="Tabletext"/>
              <w:jc w:val="center"/>
            </w:pPr>
            <w:r w:rsidRPr="00E3725B">
              <w:t>64.3</w:t>
            </w:r>
          </w:p>
        </w:tc>
        <w:tc>
          <w:tcPr>
            <w:tcW w:w="879" w:type="dxa"/>
            <w:tcBorders>
              <w:top w:val="nil"/>
              <w:left w:val="nil"/>
              <w:bottom w:val="single" w:sz="4" w:space="0" w:color="008000"/>
              <w:right w:val="nil"/>
            </w:tcBorders>
            <w:shd w:val="clear" w:color="auto" w:fill="auto"/>
            <w:vAlign w:val="bottom"/>
          </w:tcPr>
          <w:p w:rsidR="00CF1064" w:rsidRPr="00E3725B" w:rsidRDefault="00CF1064" w:rsidP="00045F60">
            <w:pPr>
              <w:pStyle w:val="Tabletext"/>
              <w:jc w:val="center"/>
            </w:pPr>
            <w:r w:rsidRPr="00E3725B">
              <w:t>63.3</w:t>
            </w:r>
          </w:p>
        </w:tc>
        <w:tc>
          <w:tcPr>
            <w:tcW w:w="879" w:type="dxa"/>
            <w:tcBorders>
              <w:top w:val="nil"/>
              <w:left w:val="nil"/>
              <w:bottom w:val="single" w:sz="4" w:space="0" w:color="008000"/>
              <w:right w:val="nil"/>
            </w:tcBorders>
            <w:shd w:val="clear" w:color="auto" w:fill="auto"/>
            <w:vAlign w:val="bottom"/>
          </w:tcPr>
          <w:p w:rsidR="00CF1064" w:rsidRPr="00E3725B" w:rsidRDefault="00CF1064" w:rsidP="00045F60">
            <w:pPr>
              <w:pStyle w:val="Tabletext"/>
              <w:jc w:val="center"/>
            </w:pPr>
            <w:r w:rsidRPr="00E3725B">
              <w:t>60.5</w:t>
            </w:r>
          </w:p>
        </w:tc>
        <w:tc>
          <w:tcPr>
            <w:tcW w:w="879" w:type="dxa"/>
            <w:tcBorders>
              <w:top w:val="nil"/>
              <w:left w:val="nil"/>
              <w:bottom w:val="single" w:sz="4" w:space="0" w:color="008000"/>
              <w:right w:val="nil"/>
            </w:tcBorders>
            <w:shd w:val="clear" w:color="auto" w:fill="auto"/>
            <w:noWrap/>
            <w:vAlign w:val="bottom"/>
          </w:tcPr>
          <w:p w:rsidR="00CF1064" w:rsidRPr="00E3725B" w:rsidRDefault="00CF1064" w:rsidP="00045F60">
            <w:pPr>
              <w:pStyle w:val="Tabletext"/>
              <w:jc w:val="center"/>
            </w:pPr>
            <w:r w:rsidRPr="00E3725B">
              <w:t>59.9</w:t>
            </w:r>
          </w:p>
        </w:tc>
      </w:tr>
    </w:tbl>
    <w:p w:rsidR="00CF1064" w:rsidRDefault="00CF1064" w:rsidP="00CF1064">
      <w:pPr>
        <w:pStyle w:val="Terms"/>
        <w:ind w:left="540" w:hanging="540"/>
        <w:rPr>
          <w:szCs w:val="18"/>
        </w:rPr>
      </w:pPr>
      <w:r>
        <w:rPr>
          <w:szCs w:val="18"/>
        </w:rPr>
        <w:lastRenderedPageBreak/>
        <w:t>Notes on table</w:t>
      </w:r>
    </w:p>
    <w:p w:rsidR="00CF1064" w:rsidRPr="008F2A9F" w:rsidRDefault="00CF1064" w:rsidP="00CF1064">
      <w:pPr>
        <w:pStyle w:val="Terms"/>
        <w:spacing w:before="60"/>
        <w:ind w:left="539" w:hanging="539"/>
        <w:rPr>
          <w:szCs w:val="18"/>
        </w:rPr>
      </w:pPr>
      <w:r w:rsidRPr="008F2A9F">
        <w:rPr>
          <w:szCs w:val="18"/>
        </w:rPr>
        <w:t>1</w:t>
      </w:r>
      <w:r w:rsidRPr="008F2A9F">
        <w:rPr>
          <w:szCs w:val="18"/>
        </w:rPr>
        <w:tab/>
        <w:t>‘Not employed’ is defined as unemployed (looking for full-time or part-time work), not in the labour force, or not employed (no further information).</w:t>
      </w:r>
    </w:p>
    <w:p w:rsidR="00CF1064" w:rsidRPr="008F2A9F" w:rsidRDefault="00CF1064" w:rsidP="00CF1064">
      <w:pPr>
        <w:pStyle w:val="Terms"/>
        <w:spacing w:before="60"/>
        <w:ind w:left="539" w:hanging="539"/>
        <w:rPr>
          <w:szCs w:val="18"/>
        </w:rPr>
      </w:pPr>
      <w:r w:rsidRPr="008F2A9F">
        <w:rPr>
          <w:szCs w:val="18"/>
        </w:rPr>
        <w:t>2</w:t>
      </w:r>
      <w:r w:rsidRPr="008F2A9F">
        <w:rPr>
          <w:szCs w:val="18"/>
        </w:rPr>
        <w:tab/>
        <w:t>These questions are not asked of students from community education providers. Therefore, the percentage reported represents the proportion of graduates or module completers, respectively, excluding those from community education providers.</w:t>
      </w:r>
    </w:p>
    <w:p w:rsidR="00CF1064" w:rsidRPr="008F2A9F" w:rsidRDefault="00CF1064" w:rsidP="00CF1064">
      <w:pPr>
        <w:pStyle w:val="Terms"/>
        <w:spacing w:before="60"/>
        <w:ind w:left="539" w:hanging="539"/>
      </w:pPr>
      <w:r w:rsidRPr="008F2A9F">
        <w:t>4</w:t>
      </w:r>
      <w:r w:rsidRPr="008F2A9F">
        <w:tab/>
        <w:t>Satisfied with teaching, assessment</w:t>
      </w:r>
      <w:r>
        <w:t>,</w:t>
      </w:r>
      <w:r w:rsidRPr="008F2A9F">
        <w:t xml:space="preserve"> and generic skills and learning experiences are derived by taking the average of the items under each heading in the questionnaire. Percentages are the proportion of respondents with average scores of 3.5 or higher on each scale. For more information see </w:t>
      </w:r>
      <w:proofErr w:type="gramStart"/>
      <w:r w:rsidRPr="00B676FF">
        <w:rPr>
          <w:i/>
        </w:rPr>
        <w:t>Measuring</w:t>
      </w:r>
      <w:proofErr w:type="gramEnd"/>
      <w:r w:rsidRPr="00B676FF">
        <w:rPr>
          <w:i/>
        </w:rPr>
        <w:t xml:space="preserve"> student satisfaction from the Student Outcomes Survey </w:t>
      </w:r>
      <w:r w:rsidRPr="008F2A9F">
        <w:t>(</w:t>
      </w:r>
      <w:hyperlink r:id="rId15" w:history="1">
        <w:r w:rsidRPr="00025AF8">
          <w:t>http://www.ncver.edu.au/publications/2492.html</w:t>
        </w:r>
      </w:hyperlink>
      <w:r w:rsidRPr="00025AF8">
        <w:t>) and</w:t>
      </w:r>
      <w:r w:rsidRPr="008F2A9F">
        <w:t xml:space="preserve"> </w:t>
      </w:r>
      <w:r w:rsidRPr="00B676FF">
        <w:rPr>
          <w:i/>
        </w:rPr>
        <w:t xml:space="preserve">Data dictionary: satisfaction outcomes </w:t>
      </w:r>
      <w:r w:rsidRPr="008F2A9F">
        <w:t>(</w:t>
      </w:r>
      <w:r w:rsidRPr="00EC2B02">
        <w:t>http://www.ncver.edu.au/</w:t>
      </w:r>
      <w:r>
        <w:t>publications/2755.html</w:t>
      </w:r>
      <w:r w:rsidRPr="00AE3CCE">
        <w:t>)</w:t>
      </w:r>
      <w:r>
        <w:t>.</w:t>
      </w:r>
    </w:p>
    <w:p w:rsidR="00CF1064" w:rsidRPr="00B62107" w:rsidRDefault="00CF1064" w:rsidP="00B62107">
      <w:pPr>
        <w:pStyle w:val="Terms"/>
        <w:spacing w:before="60"/>
        <w:ind w:left="539" w:hanging="539"/>
      </w:pPr>
      <w:r w:rsidRPr="008F2A9F">
        <w:t>5</w:t>
      </w:r>
      <w:r w:rsidRPr="008F2A9F">
        <w:tab/>
        <w:t xml:space="preserve">Improved employment status after training is employment status changing from not employed before training to </w:t>
      </w:r>
      <w:proofErr w:type="gramStart"/>
      <w:r w:rsidRPr="008F2A9F">
        <w:t>employed</w:t>
      </w:r>
      <w:proofErr w:type="gramEnd"/>
      <w:r w:rsidRPr="008F2A9F">
        <w:t xml:space="preserve"> after training OR employed at a higher skill level after training OR received a job-related benefit. An individual may have reported a positive response to more than one measure contributing to improved employment status after training. </w:t>
      </w:r>
      <w:r w:rsidR="0062206B">
        <w:t xml:space="preserve"> </w:t>
      </w:r>
    </w:p>
    <w:sectPr w:rsidR="00CF1064" w:rsidRPr="00B62107" w:rsidSect="00CF1064">
      <w:headerReference w:type="first" r:id="rId16"/>
      <w:pgSz w:w="16840" w:h="11900" w:orient="landscape" w:code="9"/>
      <w:pgMar w:top="1080" w:right="1440" w:bottom="1080" w:left="1440" w:header="567" w:footer="165"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B78" w:rsidRDefault="00D43B78" w:rsidP="00653A40">
      <w:r>
        <w:separator/>
      </w:r>
    </w:p>
  </w:endnote>
  <w:endnote w:type="continuationSeparator" w:id="0">
    <w:p w:rsidR="00D43B78" w:rsidRDefault="00D43B78" w:rsidP="00653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HelveticaNeueLTStd-Lt">
    <w:altName w:val="HelveticaNeueLT Std Lt"/>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B78" w:rsidRPr="00C179DC" w:rsidRDefault="00D43B78" w:rsidP="009F12A5">
    <w:pPr>
      <w:pStyle w:val="Footer"/>
      <w:pBdr>
        <w:top w:val="single" w:sz="4" w:space="1" w:color="auto"/>
      </w:pBdr>
      <w:tabs>
        <w:tab w:val="right" w:pos="9180"/>
      </w:tabs>
      <w:rPr>
        <w:rFonts w:cs="Arial"/>
        <w:szCs w:val="16"/>
      </w:rPr>
    </w:pPr>
    <w:r>
      <w:rPr>
        <w:spacing w:val="10"/>
        <w:lang w:val="en-US"/>
      </w:rPr>
      <w:t>Inquiry into t</w:t>
    </w:r>
    <w:r w:rsidRPr="002A4CC7">
      <w:rPr>
        <w:spacing w:val="10"/>
        <w:lang w:val="en-US"/>
      </w:rPr>
      <w:t>he operation, regulation and funding of private VET providers in Australia</w:t>
    </w:r>
    <w:r>
      <w:rPr>
        <w:rFonts w:cs="Arial"/>
        <w:szCs w:val="16"/>
      </w:rPr>
      <w:t>: NCVER Submission (#156257)</w:t>
    </w:r>
    <w:r>
      <w:rPr>
        <w:rFonts w:cs="Arial"/>
        <w:szCs w:val="16"/>
      </w:rPr>
      <w:tab/>
    </w:r>
    <w:r>
      <w:rPr>
        <w:rFonts w:cs="Arial"/>
        <w:szCs w:val="16"/>
      </w:rPr>
      <w:tab/>
    </w:r>
    <w:r w:rsidRPr="00C179DC">
      <w:rPr>
        <w:rFonts w:cs="Arial"/>
        <w:szCs w:val="16"/>
      </w:rPr>
      <w:fldChar w:fldCharType="begin"/>
    </w:r>
    <w:r w:rsidRPr="00C179DC">
      <w:rPr>
        <w:rFonts w:cs="Arial"/>
        <w:szCs w:val="16"/>
      </w:rPr>
      <w:instrText xml:space="preserve"> PAGE </w:instrText>
    </w:r>
    <w:r w:rsidRPr="00C179DC">
      <w:rPr>
        <w:rFonts w:cs="Arial"/>
        <w:szCs w:val="16"/>
      </w:rPr>
      <w:fldChar w:fldCharType="separate"/>
    </w:r>
    <w:r w:rsidR="004E3B50">
      <w:rPr>
        <w:rFonts w:cs="Arial"/>
        <w:noProof/>
        <w:szCs w:val="16"/>
      </w:rPr>
      <w:t>2</w:t>
    </w:r>
    <w:r w:rsidRPr="00C179DC">
      <w:rPr>
        <w:rFonts w:cs="Arial"/>
        <w:szCs w:val="16"/>
      </w:rPr>
      <w:fldChar w:fldCharType="end"/>
    </w:r>
  </w:p>
  <w:p w:rsidR="00D43B78" w:rsidRDefault="00D43B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B78" w:rsidRPr="00C179DC" w:rsidRDefault="00D43B78" w:rsidP="009F12A5">
    <w:pPr>
      <w:pStyle w:val="Footer"/>
      <w:pBdr>
        <w:top w:val="single" w:sz="4" w:space="1" w:color="auto"/>
      </w:pBdr>
      <w:tabs>
        <w:tab w:val="right" w:pos="9180"/>
      </w:tabs>
      <w:rPr>
        <w:rFonts w:cs="Arial"/>
        <w:szCs w:val="16"/>
      </w:rPr>
    </w:pPr>
    <w:r>
      <w:rPr>
        <w:spacing w:val="10"/>
        <w:lang w:val="en-US"/>
      </w:rPr>
      <w:t>Industry Engagement in Training Package Development</w:t>
    </w:r>
    <w:r>
      <w:rPr>
        <w:rFonts w:cs="Arial"/>
        <w:szCs w:val="16"/>
      </w:rPr>
      <w:t>: NCVER Submission (#155231)</w:t>
    </w:r>
    <w:r>
      <w:rPr>
        <w:rFonts w:cs="Arial"/>
        <w:szCs w:val="16"/>
      </w:rPr>
      <w:tab/>
    </w:r>
    <w:r>
      <w:rPr>
        <w:rFonts w:cs="Arial"/>
        <w:szCs w:val="16"/>
      </w:rPr>
      <w:tab/>
    </w:r>
    <w:r w:rsidRPr="00C179DC">
      <w:rPr>
        <w:rFonts w:cs="Arial"/>
        <w:szCs w:val="16"/>
      </w:rPr>
      <w:fldChar w:fldCharType="begin"/>
    </w:r>
    <w:r w:rsidRPr="00C179DC">
      <w:rPr>
        <w:rFonts w:cs="Arial"/>
        <w:szCs w:val="16"/>
      </w:rPr>
      <w:instrText xml:space="preserve"> PAGE </w:instrText>
    </w:r>
    <w:r w:rsidRPr="00C179DC">
      <w:rPr>
        <w:rFonts w:cs="Arial"/>
        <w:szCs w:val="16"/>
      </w:rPr>
      <w:fldChar w:fldCharType="separate"/>
    </w:r>
    <w:r w:rsidR="004E3B50">
      <w:rPr>
        <w:rFonts w:cs="Arial"/>
        <w:noProof/>
        <w:szCs w:val="16"/>
      </w:rPr>
      <w:t>1</w:t>
    </w:r>
    <w:r w:rsidRPr="00C179DC">
      <w:rPr>
        <w:rFonts w:cs="Arial"/>
        <w:szCs w:val="16"/>
      </w:rPr>
      <w:fldChar w:fldCharType="end"/>
    </w:r>
  </w:p>
  <w:p w:rsidR="00D43B78" w:rsidRDefault="00D43B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B78" w:rsidRDefault="00D43B78" w:rsidP="00653A40">
      <w:r>
        <w:separator/>
      </w:r>
    </w:p>
  </w:footnote>
  <w:footnote w:type="continuationSeparator" w:id="0">
    <w:p w:rsidR="00D43B78" w:rsidRDefault="00D43B78" w:rsidP="00653A40">
      <w:r>
        <w:continuationSeparator/>
      </w:r>
    </w:p>
  </w:footnote>
  <w:footnote w:id="1">
    <w:p w:rsidR="00DA797F" w:rsidRDefault="00DA797F">
      <w:pPr>
        <w:pStyle w:val="FootnoteText"/>
      </w:pPr>
      <w:r>
        <w:rPr>
          <w:rStyle w:val="FootnoteReference"/>
        </w:rPr>
        <w:footnoteRef/>
      </w:r>
      <w:r>
        <w:t xml:space="preserve"> </w:t>
      </w:r>
      <w:hyperlink r:id="rId1" w:history="1">
        <w:r w:rsidRPr="00DA797F">
          <w:rPr>
            <w:rStyle w:val="Hyperlink"/>
            <w:rFonts w:ascii="Arial" w:eastAsia="Times New Roman" w:hAnsi="Arial" w:cs="Arial"/>
            <w:sz w:val="16"/>
            <w:szCs w:val="16"/>
          </w:rPr>
          <w:t>http://www.aph.gov.au/Parliamentary_Business/Committees/Senate/Education_and_Employment/vocationaled</w:t>
        </w:r>
      </w:hyperlink>
    </w:p>
  </w:footnote>
  <w:footnote w:id="2">
    <w:p w:rsidR="00D43B78" w:rsidRPr="007E3FED" w:rsidRDefault="00D43B78">
      <w:pPr>
        <w:pStyle w:val="FootnoteText"/>
        <w:rPr>
          <w:rFonts w:ascii="Arial" w:hAnsi="Arial" w:cs="Arial"/>
          <w:sz w:val="16"/>
          <w:szCs w:val="16"/>
        </w:rPr>
      </w:pPr>
      <w:r w:rsidRPr="007E3FED">
        <w:rPr>
          <w:rStyle w:val="FootnoteReference"/>
          <w:rFonts w:ascii="Arial" w:hAnsi="Arial" w:cs="Arial"/>
          <w:sz w:val="16"/>
          <w:szCs w:val="16"/>
        </w:rPr>
        <w:footnoteRef/>
      </w:r>
      <w:r w:rsidRPr="007E3FED">
        <w:rPr>
          <w:rFonts w:ascii="Arial" w:hAnsi="Arial" w:cs="Arial"/>
          <w:sz w:val="16"/>
          <w:szCs w:val="16"/>
        </w:rPr>
        <w:t xml:space="preserve"> That is government funded </w:t>
      </w:r>
      <w:r w:rsidR="00635FF1">
        <w:rPr>
          <w:rFonts w:ascii="Arial" w:hAnsi="Arial" w:cs="Arial"/>
          <w:sz w:val="16"/>
          <w:szCs w:val="16"/>
        </w:rPr>
        <w:t xml:space="preserve">training </w:t>
      </w:r>
      <w:r w:rsidRPr="007E3FED">
        <w:rPr>
          <w:rFonts w:ascii="Arial" w:hAnsi="Arial" w:cs="Arial"/>
          <w:sz w:val="16"/>
          <w:szCs w:val="16"/>
        </w:rPr>
        <w:t>through the national agreement</w:t>
      </w:r>
      <w:r w:rsidR="00635FF1">
        <w:rPr>
          <w:rFonts w:ascii="Arial" w:hAnsi="Arial" w:cs="Arial"/>
          <w:sz w:val="16"/>
          <w:szCs w:val="16"/>
        </w:rPr>
        <w:t>s</w:t>
      </w:r>
      <w:r w:rsidRPr="007E3FED">
        <w:rPr>
          <w:rFonts w:ascii="Arial" w:hAnsi="Arial" w:cs="Arial"/>
          <w:sz w:val="16"/>
          <w:szCs w:val="16"/>
        </w:rPr>
        <w:t>.</w:t>
      </w:r>
      <w:r w:rsidR="007E3FED">
        <w:rPr>
          <w:rFonts w:ascii="Arial" w:hAnsi="Arial" w:cs="Arial"/>
          <w:sz w:val="16"/>
          <w:szCs w:val="16"/>
        </w:rPr>
        <w:t xml:space="preserve"> </w:t>
      </w:r>
    </w:p>
  </w:footnote>
  <w:footnote w:id="3">
    <w:p w:rsidR="00D43B78" w:rsidRPr="00D43B78" w:rsidRDefault="00D43B78">
      <w:pPr>
        <w:pStyle w:val="FootnoteText"/>
        <w:rPr>
          <w:rFonts w:ascii="Arial" w:hAnsi="Arial" w:cs="Arial"/>
          <w:sz w:val="16"/>
          <w:szCs w:val="16"/>
        </w:rPr>
      </w:pPr>
      <w:r>
        <w:rPr>
          <w:rStyle w:val="FootnoteReference"/>
        </w:rPr>
        <w:footnoteRef/>
      </w:r>
      <w:r>
        <w:t xml:space="preserve"> </w:t>
      </w:r>
      <w:r w:rsidRPr="00D43B78">
        <w:rPr>
          <w:rFonts w:ascii="Arial" w:hAnsi="Arial" w:cs="Arial"/>
          <w:sz w:val="16"/>
          <w:szCs w:val="16"/>
        </w:rPr>
        <w:t>The term TAFE also includes other government providers.</w:t>
      </w:r>
    </w:p>
  </w:footnote>
  <w:footnote w:id="4">
    <w:tbl>
      <w:tblPr>
        <w:tblW w:w="12037" w:type="dxa"/>
        <w:tblInd w:w="-34" w:type="dxa"/>
        <w:tblLook w:val="04A0" w:firstRow="1" w:lastRow="0" w:firstColumn="1" w:lastColumn="0" w:noHBand="0" w:noVBand="1"/>
      </w:tblPr>
      <w:tblGrid>
        <w:gridCol w:w="284"/>
        <w:gridCol w:w="1706"/>
        <w:gridCol w:w="5240"/>
        <w:gridCol w:w="1807"/>
        <w:gridCol w:w="1500"/>
        <w:gridCol w:w="1500"/>
      </w:tblGrid>
      <w:tr w:rsidR="00D43B78" w:rsidRPr="00D43B78" w:rsidTr="00D43B78">
        <w:trPr>
          <w:trHeight w:val="255"/>
        </w:trPr>
        <w:tc>
          <w:tcPr>
            <w:tcW w:w="9037" w:type="dxa"/>
            <w:gridSpan w:val="4"/>
            <w:tcBorders>
              <w:top w:val="nil"/>
              <w:left w:val="nil"/>
              <w:bottom w:val="nil"/>
              <w:right w:val="nil"/>
            </w:tcBorders>
            <w:shd w:val="clear" w:color="auto" w:fill="auto"/>
            <w:noWrap/>
            <w:vAlign w:val="bottom"/>
            <w:hideMark/>
          </w:tcPr>
          <w:p w:rsidR="00D43B78" w:rsidRPr="00D43B78" w:rsidRDefault="00D43B78" w:rsidP="00D43B78">
            <w:pPr>
              <w:keepLines/>
              <w:rPr>
                <w:rFonts w:ascii="Arial" w:hAnsi="Arial" w:cs="Arial"/>
                <w:sz w:val="16"/>
                <w:szCs w:val="16"/>
              </w:rPr>
            </w:pPr>
            <w:r>
              <w:rPr>
                <w:rFonts w:ascii="Arial" w:hAnsi="Arial" w:cs="Arial"/>
                <w:sz w:val="16"/>
                <w:szCs w:val="16"/>
              </w:rPr>
              <w:t xml:space="preserve"> </w:t>
            </w:r>
            <w:r w:rsidRPr="00D43B78">
              <w:rPr>
                <w:rStyle w:val="FootnoteReference"/>
                <w:rFonts w:ascii="Arial" w:hAnsi="Arial" w:cs="Arial"/>
                <w:sz w:val="16"/>
                <w:szCs w:val="16"/>
              </w:rPr>
              <w:footnoteRef/>
            </w:r>
            <w:r w:rsidRPr="00D43B78">
              <w:rPr>
                <w:rFonts w:ascii="Arial" w:hAnsi="Arial" w:cs="Arial"/>
                <w:sz w:val="16"/>
                <w:szCs w:val="16"/>
              </w:rPr>
              <w:t xml:space="preserve"> Publicly funded training </w:t>
            </w:r>
            <w:r w:rsidRPr="00D43B78">
              <w:rPr>
                <w:rFonts w:ascii="Arial" w:hAnsi="Arial" w:cs="Arial"/>
                <w:color w:val="000000"/>
                <w:sz w:val="16"/>
                <w:szCs w:val="16"/>
              </w:rPr>
              <w:t>includes VET delivered by:</w:t>
            </w: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r>
      <w:tr w:rsidR="00D43B78" w:rsidRPr="00D43B78" w:rsidTr="00D43B78">
        <w:trPr>
          <w:gridBefore w:val="1"/>
          <w:wBefore w:w="284" w:type="dxa"/>
          <w:trHeight w:val="255"/>
        </w:trPr>
        <w:tc>
          <w:tcPr>
            <w:tcW w:w="6946" w:type="dxa"/>
            <w:gridSpan w:val="2"/>
            <w:tcBorders>
              <w:top w:val="nil"/>
              <w:left w:val="nil"/>
              <w:bottom w:val="nil"/>
              <w:right w:val="nil"/>
            </w:tcBorders>
            <w:shd w:val="clear" w:color="auto" w:fill="auto"/>
            <w:noWrap/>
            <w:vAlign w:val="bottom"/>
            <w:hideMark/>
          </w:tcPr>
          <w:p w:rsidR="00D43B78" w:rsidRPr="00D43B78" w:rsidRDefault="00D43B78" w:rsidP="00D43B78">
            <w:pPr>
              <w:keepLines/>
              <w:spacing w:before="100" w:beforeAutospacing="1" w:after="100" w:afterAutospacing="1"/>
              <w:rPr>
                <w:rFonts w:ascii="Arial" w:hAnsi="Arial" w:cs="Arial"/>
                <w:color w:val="000000"/>
                <w:sz w:val="16"/>
                <w:szCs w:val="16"/>
              </w:rPr>
            </w:pPr>
            <w:r w:rsidRPr="00D43B78">
              <w:rPr>
                <w:rFonts w:ascii="Arial" w:hAnsi="Arial" w:cs="Arial"/>
                <w:color w:val="000000"/>
                <w:sz w:val="16"/>
                <w:szCs w:val="16"/>
              </w:rPr>
              <w:t xml:space="preserve">• TAFE and other government providers </w:t>
            </w:r>
            <w:r>
              <w:rPr>
                <w:rFonts w:ascii="Arial" w:hAnsi="Arial" w:cs="Arial"/>
                <w:color w:val="000000"/>
                <w:sz w:val="16"/>
                <w:szCs w:val="16"/>
              </w:rPr>
              <w:t xml:space="preserve"> </w:t>
            </w:r>
          </w:p>
        </w:tc>
        <w:tc>
          <w:tcPr>
            <w:tcW w:w="1807"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r>
      <w:tr w:rsidR="00D43B78" w:rsidRPr="00D43B78" w:rsidTr="00D43B78">
        <w:trPr>
          <w:gridBefore w:val="1"/>
          <w:wBefore w:w="284" w:type="dxa"/>
          <w:trHeight w:val="255"/>
        </w:trPr>
        <w:tc>
          <w:tcPr>
            <w:tcW w:w="6946" w:type="dxa"/>
            <w:gridSpan w:val="2"/>
            <w:tcBorders>
              <w:top w:val="nil"/>
              <w:left w:val="nil"/>
              <w:bottom w:val="nil"/>
              <w:right w:val="nil"/>
            </w:tcBorders>
            <w:shd w:val="clear" w:color="auto" w:fill="auto"/>
            <w:noWrap/>
            <w:vAlign w:val="bottom"/>
            <w:hideMark/>
          </w:tcPr>
          <w:p w:rsidR="00D43B78" w:rsidRPr="00D43B78" w:rsidRDefault="004E3B50" w:rsidP="00045F60">
            <w:pPr>
              <w:keepLines/>
              <w:spacing w:before="100" w:beforeAutospacing="1" w:after="100" w:afterAutospacing="1"/>
              <w:rPr>
                <w:rFonts w:ascii="Arial" w:hAnsi="Arial" w:cs="Arial"/>
                <w:color w:val="000000"/>
                <w:sz w:val="16"/>
                <w:szCs w:val="16"/>
              </w:rPr>
            </w:pPr>
            <w:hyperlink r:id="rId2" w:anchor="RANGE!A1" w:history="1">
              <w:r w:rsidR="00D43B78" w:rsidRPr="00D43B78">
                <w:rPr>
                  <w:rFonts w:ascii="Arial" w:hAnsi="Arial" w:cs="Arial"/>
                  <w:color w:val="000000"/>
                  <w:sz w:val="16"/>
                  <w:szCs w:val="16"/>
                </w:rPr>
                <w:t xml:space="preserve">• Multi-sector higher education institutions </w:t>
              </w:r>
            </w:hyperlink>
            <w:r w:rsidR="00D43B78">
              <w:rPr>
                <w:rFonts w:ascii="Arial" w:hAnsi="Arial" w:cs="Arial"/>
                <w:color w:val="000000"/>
                <w:sz w:val="16"/>
                <w:szCs w:val="16"/>
              </w:rPr>
              <w:t xml:space="preserve"> </w:t>
            </w:r>
          </w:p>
        </w:tc>
        <w:tc>
          <w:tcPr>
            <w:tcW w:w="1807"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r>
      <w:tr w:rsidR="00D43B78" w:rsidRPr="00D43B78" w:rsidTr="00D43B78">
        <w:trPr>
          <w:gridBefore w:val="1"/>
          <w:wBefore w:w="284" w:type="dxa"/>
          <w:trHeight w:val="255"/>
        </w:trPr>
        <w:tc>
          <w:tcPr>
            <w:tcW w:w="6946" w:type="dxa"/>
            <w:gridSpan w:val="2"/>
            <w:tcBorders>
              <w:top w:val="nil"/>
              <w:left w:val="nil"/>
              <w:bottom w:val="nil"/>
              <w:right w:val="nil"/>
            </w:tcBorders>
            <w:shd w:val="clear" w:color="auto" w:fill="auto"/>
            <w:noWrap/>
            <w:vAlign w:val="bottom"/>
            <w:hideMark/>
          </w:tcPr>
          <w:p w:rsidR="00D43B78" w:rsidRPr="00D43B78" w:rsidRDefault="00D43B78" w:rsidP="00045F60">
            <w:pPr>
              <w:keepLines/>
              <w:spacing w:before="100" w:beforeAutospacing="1" w:after="100" w:afterAutospacing="1"/>
              <w:rPr>
                <w:rFonts w:ascii="Arial" w:hAnsi="Arial" w:cs="Arial"/>
                <w:color w:val="000000"/>
                <w:sz w:val="16"/>
                <w:szCs w:val="16"/>
              </w:rPr>
            </w:pPr>
            <w:r w:rsidRPr="00D43B78">
              <w:rPr>
                <w:rFonts w:ascii="Arial" w:hAnsi="Arial" w:cs="Arial"/>
                <w:color w:val="000000"/>
                <w:sz w:val="16"/>
                <w:szCs w:val="16"/>
              </w:rPr>
              <w:t xml:space="preserve">• Community providers </w:t>
            </w:r>
          </w:p>
        </w:tc>
        <w:tc>
          <w:tcPr>
            <w:tcW w:w="1807"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r>
      <w:tr w:rsidR="00D43B78" w:rsidRPr="00D43B78" w:rsidTr="00D43B78">
        <w:trPr>
          <w:gridBefore w:val="1"/>
          <w:wBefore w:w="284" w:type="dxa"/>
          <w:trHeight w:val="255"/>
        </w:trPr>
        <w:tc>
          <w:tcPr>
            <w:tcW w:w="6946" w:type="dxa"/>
            <w:gridSpan w:val="2"/>
            <w:tcBorders>
              <w:top w:val="nil"/>
              <w:left w:val="nil"/>
              <w:bottom w:val="nil"/>
              <w:right w:val="nil"/>
            </w:tcBorders>
            <w:shd w:val="clear" w:color="auto" w:fill="auto"/>
            <w:noWrap/>
            <w:vAlign w:val="bottom"/>
            <w:hideMark/>
          </w:tcPr>
          <w:p w:rsidR="00D43B78" w:rsidRPr="00D43B78" w:rsidRDefault="00D43B78" w:rsidP="00045F60">
            <w:pPr>
              <w:keepLines/>
              <w:spacing w:before="100" w:beforeAutospacing="1" w:after="100" w:afterAutospacing="1"/>
              <w:rPr>
                <w:rFonts w:ascii="Arial" w:hAnsi="Arial" w:cs="Arial"/>
                <w:color w:val="000000"/>
                <w:sz w:val="16"/>
                <w:szCs w:val="16"/>
              </w:rPr>
            </w:pPr>
            <w:r w:rsidRPr="00D43B78">
              <w:rPr>
                <w:rFonts w:ascii="Arial" w:hAnsi="Arial" w:cs="Arial"/>
                <w:color w:val="000000"/>
                <w:sz w:val="16"/>
                <w:szCs w:val="16"/>
              </w:rPr>
              <w:t xml:space="preserve">• Private providers </w:t>
            </w:r>
          </w:p>
        </w:tc>
        <w:tc>
          <w:tcPr>
            <w:tcW w:w="1807"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r>
      <w:tr w:rsidR="00D43B78" w:rsidRPr="00D43B78" w:rsidTr="00D43B78">
        <w:trPr>
          <w:trHeight w:val="120"/>
        </w:trPr>
        <w:tc>
          <w:tcPr>
            <w:tcW w:w="1990" w:type="dxa"/>
            <w:gridSpan w:val="2"/>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524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807"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r>
      <w:tr w:rsidR="00D43B78" w:rsidRPr="00D43B78" w:rsidTr="00D43B78">
        <w:trPr>
          <w:gridBefore w:val="1"/>
          <w:wBefore w:w="284" w:type="dxa"/>
          <w:trHeight w:val="255"/>
        </w:trPr>
        <w:tc>
          <w:tcPr>
            <w:tcW w:w="10253" w:type="dxa"/>
            <w:gridSpan w:val="4"/>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r>
              <w:rPr>
                <w:rFonts w:ascii="Arial" w:hAnsi="Arial" w:cs="Arial"/>
                <w:color w:val="000000"/>
                <w:sz w:val="16"/>
                <w:szCs w:val="16"/>
              </w:rPr>
              <w:t>It</w:t>
            </w:r>
            <w:r w:rsidRPr="00D43B78">
              <w:rPr>
                <w:rFonts w:ascii="Arial" w:hAnsi="Arial" w:cs="Arial"/>
                <w:color w:val="000000"/>
                <w:sz w:val="16"/>
                <w:szCs w:val="16"/>
              </w:rPr>
              <w:t xml:space="preserve"> does not cover the following types of training activity:</w:t>
            </w: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r>
      <w:tr w:rsidR="00D43B78" w:rsidRPr="00D43B78" w:rsidTr="00D43B78">
        <w:trPr>
          <w:gridBefore w:val="1"/>
          <w:wBefore w:w="284" w:type="dxa"/>
          <w:trHeight w:val="255"/>
        </w:trPr>
        <w:tc>
          <w:tcPr>
            <w:tcW w:w="8753" w:type="dxa"/>
            <w:gridSpan w:val="3"/>
            <w:tcBorders>
              <w:top w:val="nil"/>
              <w:left w:val="nil"/>
              <w:bottom w:val="nil"/>
              <w:right w:val="nil"/>
            </w:tcBorders>
            <w:shd w:val="clear" w:color="auto" w:fill="auto"/>
            <w:noWrap/>
            <w:vAlign w:val="bottom"/>
            <w:hideMark/>
          </w:tcPr>
          <w:p w:rsidR="00D43B78" w:rsidRPr="00D43B78" w:rsidRDefault="004E3B50" w:rsidP="00045F60">
            <w:pPr>
              <w:keepLines/>
              <w:rPr>
                <w:rFonts w:ascii="Arial" w:hAnsi="Arial" w:cs="Arial"/>
                <w:color w:val="000000"/>
                <w:sz w:val="16"/>
                <w:szCs w:val="16"/>
              </w:rPr>
            </w:pPr>
            <w:hyperlink r:id="rId3" w:history="1">
              <w:r w:rsidR="00D43B78" w:rsidRPr="00D43B78">
                <w:rPr>
                  <w:rFonts w:ascii="Arial" w:hAnsi="Arial" w:cs="Arial"/>
                  <w:color w:val="000000"/>
                  <w:sz w:val="16"/>
                  <w:szCs w:val="16"/>
                </w:rPr>
                <w:t xml:space="preserve">• recreation, leisure and personal enrichment </w:t>
              </w:r>
            </w:hyperlink>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r>
      <w:tr w:rsidR="00D43B78" w:rsidRPr="00D43B78" w:rsidTr="00D43B78">
        <w:trPr>
          <w:gridBefore w:val="1"/>
          <w:wBefore w:w="284" w:type="dxa"/>
          <w:trHeight w:val="255"/>
        </w:trPr>
        <w:tc>
          <w:tcPr>
            <w:tcW w:w="6946" w:type="dxa"/>
            <w:gridSpan w:val="2"/>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r w:rsidRPr="00D43B78">
              <w:rPr>
                <w:rFonts w:ascii="Arial" w:hAnsi="Arial" w:cs="Arial"/>
                <w:color w:val="000000"/>
                <w:sz w:val="16"/>
                <w:szCs w:val="16"/>
              </w:rPr>
              <w:t xml:space="preserve">• fee-for-service VET by private providers </w:t>
            </w:r>
          </w:p>
        </w:tc>
        <w:tc>
          <w:tcPr>
            <w:tcW w:w="1807"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r>
      <w:tr w:rsidR="00D43B78" w:rsidRPr="00D43B78" w:rsidTr="00D43B78">
        <w:trPr>
          <w:gridBefore w:val="1"/>
          <w:wBefore w:w="284" w:type="dxa"/>
          <w:trHeight w:val="255"/>
        </w:trPr>
        <w:tc>
          <w:tcPr>
            <w:tcW w:w="10253" w:type="dxa"/>
            <w:gridSpan w:val="4"/>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r w:rsidRPr="00D43B78">
              <w:rPr>
                <w:rFonts w:ascii="Arial" w:hAnsi="Arial" w:cs="Arial"/>
                <w:color w:val="000000"/>
                <w:sz w:val="16"/>
                <w:szCs w:val="16"/>
              </w:rPr>
              <w:t xml:space="preserve">• delivery undertaken at overseas campuses of Australian VET institutions </w:t>
            </w: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r>
      <w:tr w:rsidR="00D43B78" w:rsidRPr="00D43B78" w:rsidTr="00D43B78">
        <w:trPr>
          <w:gridBefore w:val="1"/>
          <w:wBefore w:w="284" w:type="dxa"/>
          <w:trHeight w:val="255"/>
        </w:trPr>
        <w:tc>
          <w:tcPr>
            <w:tcW w:w="6946" w:type="dxa"/>
            <w:gridSpan w:val="2"/>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r w:rsidRPr="00D43B78">
              <w:rPr>
                <w:rFonts w:ascii="Arial" w:hAnsi="Arial" w:cs="Arial"/>
                <w:color w:val="000000"/>
                <w:sz w:val="16"/>
                <w:szCs w:val="16"/>
              </w:rPr>
              <w:t xml:space="preserve">• credit transfer </w:t>
            </w:r>
          </w:p>
        </w:tc>
        <w:tc>
          <w:tcPr>
            <w:tcW w:w="1807"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c>
          <w:tcPr>
            <w:tcW w:w="1500" w:type="dxa"/>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p>
        </w:tc>
      </w:tr>
      <w:tr w:rsidR="00D43B78" w:rsidRPr="00D43B78" w:rsidTr="00D43B78">
        <w:trPr>
          <w:gridBefore w:val="1"/>
          <w:wBefore w:w="284" w:type="dxa"/>
          <w:trHeight w:val="255"/>
        </w:trPr>
        <w:tc>
          <w:tcPr>
            <w:tcW w:w="11753" w:type="dxa"/>
            <w:gridSpan w:val="5"/>
            <w:tcBorders>
              <w:top w:val="nil"/>
              <w:left w:val="nil"/>
              <w:bottom w:val="nil"/>
              <w:right w:val="nil"/>
            </w:tcBorders>
            <w:shd w:val="clear" w:color="auto" w:fill="auto"/>
            <w:noWrap/>
            <w:vAlign w:val="bottom"/>
            <w:hideMark/>
          </w:tcPr>
          <w:p w:rsidR="00D43B78" w:rsidRPr="00D43B78" w:rsidRDefault="00D43B78" w:rsidP="00045F60">
            <w:pPr>
              <w:keepLines/>
              <w:rPr>
                <w:rFonts w:ascii="Arial" w:hAnsi="Arial" w:cs="Arial"/>
                <w:color w:val="000000"/>
                <w:sz w:val="16"/>
                <w:szCs w:val="16"/>
              </w:rPr>
            </w:pPr>
            <w:r w:rsidRPr="00D43B78">
              <w:rPr>
                <w:rFonts w:ascii="Arial" w:hAnsi="Arial" w:cs="Arial"/>
                <w:color w:val="000000"/>
                <w:sz w:val="16"/>
                <w:szCs w:val="16"/>
              </w:rPr>
              <w:t xml:space="preserve">• VET delivered in schools, where the delivery has been undertaken by schools. </w:t>
            </w:r>
          </w:p>
        </w:tc>
      </w:tr>
    </w:tbl>
    <w:p w:rsidR="00D43B78" w:rsidRPr="00D43B78" w:rsidRDefault="00D43B78">
      <w:pPr>
        <w:pStyle w:val="FootnoteText"/>
        <w:rPr>
          <w:rFonts w:ascii="Arial" w:hAnsi="Arial" w:cs="Arial"/>
          <w:sz w:val="16"/>
          <w:szCs w:val="16"/>
        </w:rPr>
      </w:pPr>
    </w:p>
  </w:footnote>
  <w:footnote w:id="5">
    <w:p w:rsidR="007E3FED" w:rsidRDefault="007E3FED">
      <w:pPr>
        <w:pStyle w:val="FootnoteText"/>
      </w:pPr>
      <w:r>
        <w:rPr>
          <w:rStyle w:val="FootnoteReference"/>
        </w:rPr>
        <w:footnoteRef/>
      </w:r>
      <w:r>
        <w:t xml:space="preserve"> </w:t>
      </w:r>
      <w:r w:rsidRPr="007E3FED">
        <w:rPr>
          <w:rFonts w:ascii="Arial" w:hAnsi="Arial" w:cs="Arial"/>
          <w:sz w:val="16"/>
          <w:szCs w:val="16"/>
        </w:rPr>
        <w:t>The financial data collection covers transactions that affect the financial performance, financial position and financing of the public VET system</w:t>
      </w:r>
      <w:r>
        <w:rPr>
          <w:rFonts w:ascii="Arial" w:hAnsi="Arial" w:cs="Arial"/>
          <w:sz w:val="16"/>
          <w:szCs w:val="16"/>
        </w:rPr>
        <w:t xml:space="preserve">, </w:t>
      </w:r>
      <w:r w:rsidRPr="007E3FED">
        <w:rPr>
          <w:rFonts w:ascii="Arial" w:hAnsi="Arial" w:cs="Arial"/>
          <w:sz w:val="16"/>
          <w:szCs w:val="16"/>
        </w:rPr>
        <w:t>administered or provided by the main training authority or training department within each state and territory, their public training providers and the Australian Government. Public funding for training delivery paid to private providers by the Australian Government and state and territory training authorities or departments is also included in this collection</w:t>
      </w:r>
      <w:r w:rsidR="00FC1232">
        <w:rPr>
          <w:rFonts w:ascii="Arial" w:hAnsi="Arial" w:cs="Arial"/>
          <w:sz w:val="16"/>
          <w:szCs w:val="16"/>
        </w:rPr>
        <w:t xml:space="preserve">, including VET Fee Help. </w:t>
      </w:r>
    </w:p>
  </w:footnote>
  <w:footnote w:id="6">
    <w:p w:rsidR="00D43B78" w:rsidRPr="00396544" w:rsidRDefault="00D43B78" w:rsidP="00396544">
      <w:pPr>
        <w:pStyle w:val="Text"/>
        <w:rPr>
          <w:sz w:val="16"/>
          <w:szCs w:val="16"/>
        </w:rPr>
      </w:pPr>
      <w:r>
        <w:rPr>
          <w:rStyle w:val="FootnoteReference"/>
        </w:rPr>
        <w:footnoteRef/>
      </w:r>
      <w:r>
        <w:t xml:space="preserve"> </w:t>
      </w:r>
      <w:r w:rsidRPr="007C5A32">
        <w:rPr>
          <w:sz w:val="16"/>
          <w:szCs w:val="16"/>
        </w:rPr>
        <w:t>The scope of the</w:t>
      </w:r>
      <w:r>
        <w:rPr>
          <w:sz w:val="16"/>
          <w:szCs w:val="16"/>
        </w:rPr>
        <w:t xml:space="preserve"> </w:t>
      </w:r>
      <w:r w:rsidRPr="007C5A32">
        <w:rPr>
          <w:sz w:val="16"/>
          <w:szCs w:val="16"/>
        </w:rPr>
        <w:t>Student Outcomes Survey is all students who completed their training with government funding as well as those students who completed their training with a TAFE as a full-fee-paying student.  The survey currently excludes full-fee paying students who completed their training with a private provider</w:t>
      </w:r>
      <w:r>
        <w:rPr>
          <w:sz w:val="16"/>
          <w:szCs w:val="16"/>
        </w:rPr>
        <w:t xml:space="preserve">. </w:t>
      </w:r>
      <w:r w:rsidRPr="00396544">
        <w:rPr>
          <w:sz w:val="16"/>
          <w:szCs w:val="16"/>
        </w:rPr>
        <w:t xml:space="preserve">In 2014, we received responses </w:t>
      </w:r>
      <w:proofErr w:type="gramStart"/>
      <w:r w:rsidRPr="00396544">
        <w:rPr>
          <w:sz w:val="16"/>
          <w:szCs w:val="16"/>
        </w:rPr>
        <w:t>from</w:t>
      </w:r>
      <w:r>
        <w:rPr>
          <w:sz w:val="16"/>
          <w:szCs w:val="16"/>
        </w:rPr>
        <w:t xml:space="preserve">  </w:t>
      </w:r>
      <w:r w:rsidRPr="00396544">
        <w:rPr>
          <w:sz w:val="16"/>
          <w:szCs w:val="16"/>
        </w:rPr>
        <w:t>20</w:t>
      </w:r>
      <w:r w:rsidR="00635FF1">
        <w:rPr>
          <w:sz w:val="16"/>
          <w:szCs w:val="16"/>
        </w:rPr>
        <w:t>,</w:t>
      </w:r>
      <w:r w:rsidRPr="00396544">
        <w:rPr>
          <w:sz w:val="16"/>
          <w:szCs w:val="16"/>
        </w:rPr>
        <w:t>420</w:t>
      </w:r>
      <w:proofErr w:type="gramEnd"/>
      <w:r w:rsidRPr="00396544">
        <w:rPr>
          <w:sz w:val="16"/>
          <w:szCs w:val="16"/>
        </w:rPr>
        <w:t xml:space="preserve"> government funded TAFE graduates</w:t>
      </w:r>
      <w:r>
        <w:rPr>
          <w:sz w:val="16"/>
          <w:szCs w:val="16"/>
        </w:rPr>
        <w:t xml:space="preserve"> and  </w:t>
      </w:r>
      <w:r w:rsidRPr="00396544">
        <w:rPr>
          <w:sz w:val="16"/>
          <w:szCs w:val="16"/>
        </w:rPr>
        <w:t>9,270 government funded private provider graduates</w:t>
      </w:r>
      <w:r>
        <w:rPr>
          <w:sz w:val="16"/>
          <w:szCs w:val="16"/>
        </w:rPr>
        <w:t>.</w:t>
      </w:r>
    </w:p>
    <w:p w:rsidR="00D43B78" w:rsidRDefault="00D43B78">
      <w:pPr>
        <w:pStyle w:val="FootnoteText"/>
      </w:pPr>
    </w:p>
  </w:footnote>
  <w:footnote w:id="7">
    <w:p w:rsidR="00D43B78" w:rsidRPr="00A76961" w:rsidRDefault="00D43B78" w:rsidP="00A76961">
      <w:pPr>
        <w:pStyle w:val="Text"/>
        <w:rPr>
          <w:rFonts w:ascii="Verdana" w:hAnsi="Verdana"/>
        </w:rPr>
      </w:pPr>
      <w:r>
        <w:rPr>
          <w:rStyle w:val="FootnoteReference"/>
        </w:rPr>
        <w:footnoteRef/>
      </w:r>
      <w:r>
        <w:t xml:space="preserve"> </w:t>
      </w:r>
      <w:r w:rsidRPr="00A76961">
        <w:rPr>
          <w:sz w:val="16"/>
          <w:szCs w:val="16"/>
        </w:rPr>
        <w:t>This information was also highlighted in our 2014 submission to the House of Representatives Standing Committee on Education and Employment, Inquiry into TAFE and its Operations</w:t>
      </w:r>
      <w:r w:rsidRPr="00A76961">
        <w:rPr>
          <w:rFonts w:ascii="Verdana" w:hAnsi="Verdana"/>
        </w:rPr>
        <w:t xml:space="preserve">. </w:t>
      </w:r>
    </w:p>
    <w:p w:rsidR="00D43B78" w:rsidRDefault="00D43B78">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B78" w:rsidRDefault="00D43B78">
    <w:pPr>
      <w:pStyle w:val="Header"/>
    </w:pPr>
    <w:r>
      <w:rPr>
        <w:noProof/>
        <w:lang w:eastAsia="en-AU"/>
      </w:rPr>
      <w:drawing>
        <wp:anchor distT="0" distB="0" distL="114300" distR="114300" simplePos="0" relativeHeight="251659264" behindDoc="1" locked="0" layoutInCell="1" allowOverlap="1" wp14:anchorId="4BBC914A" wp14:editId="1C1EB1A8">
          <wp:simplePos x="0" y="0"/>
          <wp:positionH relativeFrom="page">
            <wp:posOffset>142875</wp:posOffset>
          </wp:positionH>
          <wp:positionV relativeFrom="page">
            <wp:posOffset>152400</wp:posOffset>
          </wp:positionV>
          <wp:extent cx="7552019" cy="128587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87968"/>
                  <a:stretch/>
                </pic:blipFill>
                <pic:spPr bwMode="auto">
                  <a:xfrm>
                    <a:off x="0" y="0"/>
                    <a:ext cx="7555517" cy="1286471"/>
                  </a:xfrm>
                  <a:prstGeom prst="rect">
                    <a:avLst/>
                  </a:prstGeom>
                  <a:noFill/>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B78" w:rsidRDefault="00D43B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804A41E"/>
    <w:lvl w:ilvl="0">
      <w:start w:val="8"/>
      <w:numFmt w:val="decimal"/>
      <w:pStyle w:val="ListBullet"/>
      <w:lvlText w:val="%1."/>
      <w:lvlJc w:val="left"/>
      <w:pPr>
        <w:ind w:left="644" w:hanging="360"/>
      </w:pPr>
      <w:rPr>
        <w:rFonts w:hint="default"/>
        <w:i w:val="0"/>
      </w:rPr>
    </w:lvl>
  </w:abstractNum>
  <w:abstractNum w:abstractNumId="1">
    <w:nsid w:val="05217003"/>
    <w:multiLevelType w:val="hybridMultilevel"/>
    <w:tmpl w:val="05AAACCC"/>
    <w:lvl w:ilvl="0" w:tplc="7C320B82">
      <w:start w:val="1"/>
      <w:numFmt w:val="decimal"/>
      <w:pStyle w:val="Numbered"/>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nsid w:val="05C33A3E"/>
    <w:multiLevelType w:val="hybridMultilevel"/>
    <w:tmpl w:val="3BCA3E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682625B"/>
    <w:multiLevelType w:val="hybridMultilevel"/>
    <w:tmpl w:val="F08CCA9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nsid w:val="0C2F2BBF"/>
    <w:multiLevelType w:val="hybridMultilevel"/>
    <w:tmpl w:val="F282F77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1AE44955"/>
    <w:multiLevelType w:val="hybridMultilevel"/>
    <w:tmpl w:val="F740F648"/>
    <w:lvl w:ilvl="0" w:tplc="D7D0D4C6">
      <w:start w:val="1"/>
      <w:numFmt w:val="bullet"/>
      <w:pStyle w:val="Dotpoin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nsid w:val="2921087D"/>
    <w:multiLevelType w:val="hybridMultilevel"/>
    <w:tmpl w:val="281C2AD6"/>
    <w:lvl w:ilvl="0" w:tplc="9C144C22">
      <w:start w:val="1"/>
      <w:numFmt w:val="bullet"/>
      <w:pStyle w:val="Dotpoint2"/>
      <w:lvlText w:val=""/>
      <w:lvlJc w:val="left"/>
      <w:pPr>
        <w:tabs>
          <w:tab w:val="num" w:pos="851"/>
        </w:tabs>
        <w:ind w:left="851" w:hanging="341"/>
      </w:pPr>
      <w:rPr>
        <w:rFonts w:ascii="Symbol" w:hAnsi="Symbol" w:hint="default"/>
        <w:sz w:val="18"/>
      </w:rPr>
    </w:lvl>
    <w:lvl w:ilvl="1" w:tplc="D7FC6A34">
      <w:start w:val="1"/>
      <w:numFmt w:val="bullet"/>
      <w:lvlText w:val=""/>
      <w:lvlJc w:val="left"/>
      <w:pPr>
        <w:tabs>
          <w:tab w:val="num" w:pos="737"/>
        </w:tabs>
        <w:ind w:left="737" w:hanging="170"/>
      </w:pPr>
      <w:rPr>
        <w:rFonts w:ascii="Symbol" w:hAnsi="Symbol" w:hint="default"/>
        <w:sz w:val="18"/>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2F18645A"/>
    <w:multiLevelType w:val="multilevel"/>
    <w:tmpl w:val="4BCE6C88"/>
    <w:name w:val="RTNumbering3"/>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702"/>
        </w:tabs>
        <w:ind w:left="1702" w:hanging="1702"/>
      </w:pPr>
      <w:rPr>
        <w:rFonts w:hint="default"/>
      </w:rPr>
    </w:lvl>
    <w:lvl w:ilvl="6">
      <w:start w:val="1"/>
      <w:numFmt w:val="decimal"/>
      <w:lvlText w:val="%1.%2.%3.%4.%5.%6.%7"/>
      <w:lvlJc w:val="left"/>
      <w:pPr>
        <w:tabs>
          <w:tab w:val="num" w:pos="1702"/>
        </w:tabs>
        <w:ind w:left="1702" w:hanging="1702"/>
      </w:pPr>
      <w:rPr>
        <w:rFonts w:hint="default"/>
      </w:rPr>
    </w:lvl>
    <w:lvl w:ilvl="7">
      <w:start w:val="1"/>
      <w:numFmt w:val="decimal"/>
      <w:lvlText w:val="%1.%2.%3.%4.%5.%6.%7.%8"/>
      <w:lvlJc w:val="left"/>
      <w:pPr>
        <w:tabs>
          <w:tab w:val="num" w:pos="1985"/>
        </w:tabs>
        <w:ind w:left="1985" w:hanging="1985"/>
      </w:pPr>
      <w:rPr>
        <w:rFonts w:hint="default"/>
      </w:rPr>
    </w:lvl>
    <w:lvl w:ilvl="8">
      <w:start w:val="1"/>
      <w:numFmt w:val="decimal"/>
      <w:lvlText w:val="%1.%2.%3.%4.%5.%6.%7.%8.%9"/>
      <w:lvlJc w:val="left"/>
      <w:pPr>
        <w:tabs>
          <w:tab w:val="num" w:pos="1985"/>
        </w:tabs>
        <w:ind w:left="1985" w:hanging="1985"/>
      </w:pPr>
      <w:rPr>
        <w:rFonts w:hint="default"/>
      </w:rPr>
    </w:lvl>
  </w:abstractNum>
  <w:abstractNum w:abstractNumId="8">
    <w:nsid w:val="33383A75"/>
    <w:multiLevelType w:val="hybridMultilevel"/>
    <w:tmpl w:val="69C4E79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38357A75"/>
    <w:multiLevelType w:val="hybridMultilevel"/>
    <w:tmpl w:val="E40E971C"/>
    <w:lvl w:ilvl="0" w:tplc="F4B214CA">
      <w:numFmt w:val="bullet"/>
      <w:lvlText w:val="•"/>
      <w:lvlJc w:val="left"/>
      <w:pPr>
        <w:ind w:left="1080" w:hanging="720"/>
      </w:pPr>
      <w:rPr>
        <w:rFonts w:ascii="Verdana" w:eastAsiaTheme="minorEastAsia" w:hAnsi="Verdana"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392C04DE"/>
    <w:multiLevelType w:val="hybridMultilevel"/>
    <w:tmpl w:val="EBEA19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BD51955"/>
    <w:multiLevelType w:val="multilevel"/>
    <w:tmpl w:val="D1D09784"/>
    <w:lvl w:ilvl="0">
      <w:start w:val="1"/>
      <w:numFmt w:val="bullet"/>
      <w:pStyle w:val="ListContinue"/>
      <w:lvlText w:val=""/>
      <w:lvlJc w:val="left"/>
      <w:pPr>
        <w:tabs>
          <w:tab w:val="num" w:pos="1080"/>
        </w:tabs>
        <w:ind w:left="108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
      <w:lvlJc w:val="left"/>
      <w:pPr>
        <w:tabs>
          <w:tab w:val="num" w:pos="2520"/>
        </w:tabs>
        <w:ind w:left="2520" w:hanging="360"/>
      </w:pPr>
      <w:rPr>
        <w:rFonts w:ascii="Symbol" w:hAnsi="Symbol"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240"/>
        </w:tabs>
        <w:ind w:left="3240" w:hanging="360"/>
      </w:pPr>
      <w:rPr>
        <w:rFonts w:ascii="Wingdings" w:hAnsi="Wingdings"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12">
    <w:nsid w:val="414A0438"/>
    <w:multiLevelType w:val="hybridMultilevel"/>
    <w:tmpl w:val="1FF2E5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nsid w:val="438B68FA"/>
    <w:multiLevelType w:val="hybridMultilevel"/>
    <w:tmpl w:val="82C68A1A"/>
    <w:lvl w:ilvl="0" w:tplc="8F96D12E">
      <w:start w:val="1"/>
      <w:numFmt w:val="bullet"/>
      <w:lvlText w:val="/"/>
      <w:lvlJc w:val="left"/>
      <w:pPr>
        <w:tabs>
          <w:tab w:val="num" w:pos="284"/>
        </w:tabs>
        <w:ind w:left="284" w:hanging="284"/>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7F70429"/>
    <w:multiLevelType w:val="hybridMultilevel"/>
    <w:tmpl w:val="7AAC7850"/>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nsid w:val="4E210033"/>
    <w:multiLevelType w:val="hybridMultilevel"/>
    <w:tmpl w:val="AA3EA9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69D14422"/>
    <w:multiLevelType w:val="hybridMultilevel"/>
    <w:tmpl w:val="AEC67CF8"/>
    <w:lvl w:ilvl="0" w:tplc="0C09000F">
      <w:start w:val="1"/>
      <w:numFmt w:val="decimal"/>
      <w:lvlText w:val="%1."/>
      <w:lvlJc w:val="left"/>
      <w:pPr>
        <w:tabs>
          <w:tab w:val="num" w:pos="720"/>
        </w:tabs>
        <w:ind w:left="720" w:hanging="360"/>
      </w:pPr>
      <w:rPr>
        <w:rFonts w:hint="default"/>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nsid w:val="6AC01FAC"/>
    <w:multiLevelType w:val="hybridMultilevel"/>
    <w:tmpl w:val="ECDEAA96"/>
    <w:lvl w:ilvl="0" w:tplc="EF008466">
      <w:start w:val="1"/>
      <w:numFmt w:val="decimal"/>
      <w:lvlText w:val="%1."/>
      <w:lvlJc w:val="left"/>
      <w:pPr>
        <w:tabs>
          <w:tab w:val="num" w:pos="255"/>
        </w:tabs>
        <w:ind w:left="255" w:hanging="2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DA353FB"/>
    <w:multiLevelType w:val="hybridMultilevel"/>
    <w:tmpl w:val="198423C4"/>
    <w:lvl w:ilvl="0" w:tplc="0C09000F">
      <w:start w:val="1"/>
      <w:numFmt w:val="decimal"/>
      <w:lvlText w:val="%1."/>
      <w:lvlJc w:val="lef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9">
    <w:nsid w:val="6DA46B7A"/>
    <w:multiLevelType w:val="hybridMultilevel"/>
    <w:tmpl w:val="0994C8C4"/>
    <w:lvl w:ilvl="0" w:tplc="F4B214CA">
      <w:numFmt w:val="bullet"/>
      <w:lvlText w:val="•"/>
      <w:lvlJc w:val="left"/>
      <w:pPr>
        <w:ind w:left="1080" w:hanging="720"/>
      </w:pPr>
      <w:rPr>
        <w:rFonts w:ascii="Verdana" w:eastAsiaTheme="minorEastAsia" w:hAnsi="Verdana"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7585454C"/>
    <w:multiLevelType w:val="hybridMultilevel"/>
    <w:tmpl w:val="805264D2"/>
    <w:lvl w:ilvl="0" w:tplc="0C090003">
      <w:start w:val="1"/>
      <w:numFmt w:val="bullet"/>
      <w:lvlText w:val="o"/>
      <w:lvlJc w:val="left"/>
      <w:pPr>
        <w:ind w:left="644" w:hanging="360"/>
      </w:pPr>
      <w:rPr>
        <w:rFonts w:ascii="Courier New" w:hAnsi="Courier New" w:cs="Courier New" w:hint="default"/>
      </w:rPr>
    </w:lvl>
    <w:lvl w:ilvl="1" w:tplc="0C090003">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num w:numId="1">
    <w:abstractNumId w:val="13"/>
  </w:num>
  <w:num w:numId="2">
    <w:abstractNumId w:val="17"/>
  </w:num>
  <w:num w:numId="3">
    <w:abstractNumId w:val="7"/>
  </w:num>
  <w:num w:numId="4">
    <w:abstractNumId w:val="6"/>
  </w:num>
  <w:num w:numId="5">
    <w:abstractNumId w:val="16"/>
  </w:num>
  <w:num w:numId="6">
    <w:abstractNumId w:val="14"/>
  </w:num>
  <w:num w:numId="7">
    <w:abstractNumId w:val="4"/>
  </w:num>
  <w:num w:numId="8">
    <w:abstractNumId w:val="5"/>
  </w:num>
  <w:num w:numId="9">
    <w:abstractNumId w:val="3"/>
  </w:num>
  <w:num w:numId="10">
    <w:abstractNumId w:val="1"/>
  </w:num>
  <w:num w:numId="11">
    <w:abstractNumId w:val="8"/>
  </w:num>
  <w:num w:numId="12">
    <w:abstractNumId w:val="12"/>
  </w:num>
  <w:num w:numId="13">
    <w:abstractNumId w:val="0"/>
  </w:num>
  <w:num w:numId="14">
    <w:abstractNumId w:val="18"/>
  </w:num>
  <w:num w:numId="15">
    <w:abstractNumId w:val="20"/>
  </w:num>
  <w:num w:numId="16">
    <w:abstractNumId w:val="0"/>
    <w:lvlOverride w:ilvl="0">
      <w:startOverride w:val="3"/>
    </w:lvlOverride>
  </w:num>
  <w:num w:numId="17">
    <w:abstractNumId w:val="11"/>
  </w:num>
  <w:num w:numId="18">
    <w:abstractNumId w:val="2"/>
  </w:num>
  <w:num w:numId="19">
    <w:abstractNumId w:val="15"/>
  </w:num>
  <w:num w:numId="20">
    <w:abstractNumId w:val="10"/>
  </w:num>
  <w:num w:numId="21">
    <w:abstractNumId w:val="9"/>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7168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16B"/>
    <w:rsid w:val="00006AE1"/>
    <w:rsid w:val="00010A83"/>
    <w:rsid w:val="000177FC"/>
    <w:rsid w:val="00031D54"/>
    <w:rsid w:val="000373AD"/>
    <w:rsid w:val="00042A5B"/>
    <w:rsid w:val="00045F60"/>
    <w:rsid w:val="00052008"/>
    <w:rsid w:val="00060C31"/>
    <w:rsid w:val="000654A2"/>
    <w:rsid w:val="00073747"/>
    <w:rsid w:val="00092B56"/>
    <w:rsid w:val="000A1561"/>
    <w:rsid w:val="000B370E"/>
    <w:rsid w:val="000B7C0C"/>
    <w:rsid w:val="000F2A23"/>
    <w:rsid w:val="00106A3E"/>
    <w:rsid w:val="00113726"/>
    <w:rsid w:val="00116AEF"/>
    <w:rsid w:val="00150381"/>
    <w:rsid w:val="001626AC"/>
    <w:rsid w:val="00176021"/>
    <w:rsid w:val="00177CB8"/>
    <w:rsid w:val="0018777F"/>
    <w:rsid w:val="00195D7D"/>
    <w:rsid w:val="001A01E6"/>
    <w:rsid w:val="001A75E7"/>
    <w:rsid w:val="001B062C"/>
    <w:rsid w:val="001B360E"/>
    <w:rsid w:val="001C194A"/>
    <w:rsid w:val="001C28C5"/>
    <w:rsid w:val="001D13F2"/>
    <w:rsid w:val="001D2ECA"/>
    <w:rsid w:val="001D302C"/>
    <w:rsid w:val="001D3679"/>
    <w:rsid w:val="001E584C"/>
    <w:rsid w:val="001F31B5"/>
    <w:rsid w:val="0022000F"/>
    <w:rsid w:val="00254712"/>
    <w:rsid w:val="002629D7"/>
    <w:rsid w:val="002701AA"/>
    <w:rsid w:val="00282BF1"/>
    <w:rsid w:val="002A4CC7"/>
    <w:rsid w:val="002B16FD"/>
    <w:rsid w:val="002B1A7A"/>
    <w:rsid w:val="003120BF"/>
    <w:rsid w:val="0031487D"/>
    <w:rsid w:val="00324E6E"/>
    <w:rsid w:val="00326A8A"/>
    <w:rsid w:val="00327AC6"/>
    <w:rsid w:val="00354173"/>
    <w:rsid w:val="00364359"/>
    <w:rsid w:val="00380E5B"/>
    <w:rsid w:val="00384EA9"/>
    <w:rsid w:val="00391AA5"/>
    <w:rsid w:val="003928EF"/>
    <w:rsid w:val="00394AA0"/>
    <w:rsid w:val="00396544"/>
    <w:rsid w:val="003A32AF"/>
    <w:rsid w:val="003A65E1"/>
    <w:rsid w:val="003C5EBA"/>
    <w:rsid w:val="003C781D"/>
    <w:rsid w:val="003D26B2"/>
    <w:rsid w:val="003D7C21"/>
    <w:rsid w:val="00406C3D"/>
    <w:rsid w:val="00407C72"/>
    <w:rsid w:val="004252D4"/>
    <w:rsid w:val="004330B5"/>
    <w:rsid w:val="004423D3"/>
    <w:rsid w:val="00450213"/>
    <w:rsid w:val="00452FE4"/>
    <w:rsid w:val="004C02ED"/>
    <w:rsid w:val="004C6659"/>
    <w:rsid w:val="004C6B53"/>
    <w:rsid w:val="004D464C"/>
    <w:rsid w:val="004D47A0"/>
    <w:rsid w:val="004E3B50"/>
    <w:rsid w:val="005011F4"/>
    <w:rsid w:val="00506448"/>
    <w:rsid w:val="00517DBD"/>
    <w:rsid w:val="005341DE"/>
    <w:rsid w:val="00591E04"/>
    <w:rsid w:val="005B2EC4"/>
    <w:rsid w:val="005C0678"/>
    <w:rsid w:val="005E1D2B"/>
    <w:rsid w:val="00607123"/>
    <w:rsid w:val="006073E1"/>
    <w:rsid w:val="0062206B"/>
    <w:rsid w:val="00635FF1"/>
    <w:rsid w:val="006450DE"/>
    <w:rsid w:val="00653A40"/>
    <w:rsid w:val="00657FBC"/>
    <w:rsid w:val="00664574"/>
    <w:rsid w:val="0066460E"/>
    <w:rsid w:val="00673DC7"/>
    <w:rsid w:val="006754E3"/>
    <w:rsid w:val="00687DF4"/>
    <w:rsid w:val="006B4BB0"/>
    <w:rsid w:val="006B52FB"/>
    <w:rsid w:val="006C6FC7"/>
    <w:rsid w:val="006E1109"/>
    <w:rsid w:val="006E6862"/>
    <w:rsid w:val="006F72FC"/>
    <w:rsid w:val="007036A4"/>
    <w:rsid w:val="007176F1"/>
    <w:rsid w:val="00717F0F"/>
    <w:rsid w:val="007263A2"/>
    <w:rsid w:val="007718B9"/>
    <w:rsid w:val="00774DFD"/>
    <w:rsid w:val="00782FE9"/>
    <w:rsid w:val="00790DFE"/>
    <w:rsid w:val="00795E9D"/>
    <w:rsid w:val="00797FCC"/>
    <w:rsid w:val="007A4E03"/>
    <w:rsid w:val="007A5D4D"/>
    <w:rsid w:val="007C5A32"/>
    <w:rsid w:val="007D6648"/>
    <w:rsid w:val="007E3FED"/>
    <w:rsid w:val="007F029B"/>
    <w:rsid w:val="007F3875"/>
    <w:rsid w:val="00810DF0"/>
    <w:rsid w:val="00822F81"/>
    <w:rsid w:val="00823758"/>
    <w:rsid w:val="00834D59"/>
    <w:rsid w:val="00835B2C"/>
    <w:rsid w:val="008538E5"/>
    <w:rsid w:val="008717EF"/>
    <w:rsid w:val="0087186D"/>
    <w:rsid w:val="008755E6"/>
    <w:rsid w:val="00875EE7"/>
    <w:rsid w:val="008761C9"/>
    <w:rsid w:val="008B2A7F"/>
    <w:rsid w:val="008C464D"/>
    <w:rsid w:val="008D7A77"/>
    <w:rsid w:val="008E4DAA"/>
    <w:rsid w:val="008F0179"/>
    <w:rsid w:val="00900F65"/>
    <w:rsid w:val="0090584C"/>
    <w:rsid w:val="00913388"/>
    <w:rsid w:val="00935BC9"/>
    <w:rsid w:val="00950CDF"/>
    <w:rsid w:val="00974030"/>
    <w:rsid w:val="0099232C"/>
    <w:rsid w:val="00992DD7"/>
    <w:rsid w:val="009B3918"/>
    <w:rsid w:val="009E699C"/>
    <w:rsid w:val="009F073D"/>
    <w:rsid w:val="009F12A5"/>
    <w:rsid w:val="009F4225"/>
    <w:rsid w:val="00A2779F"/>
    <w:rsid w:val="00A454FA"/>
    <w:rsid w:val="00A61638"/>
    <w:rsid w:val="00A679BC"/>
    <w:rsid w:val="00A70C8F"/>
    <w:rsid w:val="00A76961"/>
    <w:rsid w:val="00A80DD7"/>
    <w:rsid w:val="00A92F7A"/>
    <w:rsid w:val="00A95865"/>
    <w:rsid w:val="00A969A8"/>
    <w:rsid w:val="00AB5C6B"/>
    <w:rsid w:val="00AD0506"/>
    <w:rsid w:val="00AD5A78"/>
    <w:rsid w:val="00AE3B60"/>
    <w:rsid w:val="00AE4F01"/>
    <w:rsid w:val="00B0244B"/>
    <w:rsid w:val="00B05543"/>
    <w:rsid w:val="00B10897"/>
    <w:rsid w:val="00B15F3C"/>
    <w:rsid w:val="00B30978"/>
    <w:rsid w:val="00B3322E"/>
    <w:rsid w:val="00B35943"/>
    <w:rsid w:val="00B52C5F"/>
    <w:rsid w:val="00B62107"/>
    <w:rsid w:val="00B7586C"/>
    <w:rsid w:val="00B7771B"/>
    <w:rsid w:val="00B93114"/>
    <w:rsid w:val="00BC70D2"/>
    <w:rsid w:val="00BF7C26"/>
    <w:rsid w:val="00C03897"/>
    <w:rsid w:val="00C0713A"/>
    <w:rsid w:val="00C17160"/>
    <w:rsid w:val="00C301F3"/>
    <w:rsid w:val="00C33E02"/>
    <w:rsid w:val="00C43787"/>
    <w:rsid w:val="00C47875"/>
    <w:rsid w:val="00C718E5"/>
    <w:rsid w:val="00C748DE"/>
    <w:rsid w:val="00C8463C"/>
    <w:rsid w:val="00C967E7"/>
    <w:rsid w:val="00CA5DEB"/>
    <w:rsid w:val="00CB4EE9"/>
    <w:rsid w:val="00CB7BD7"/>
    <w:rsid w:val="00CC09E8"/>
    <w:rsid w:val="00CD5173"/>
    <w:rsid w:val="00CE077D"/>
    <w:rsid w:val="00CF1064"/>
    <w:rsid w:val="00D06CFB"/>
    <w:rsid w:val="00D25E20"/>
    <w:rsid w:val="00D43B78"/>
    <w:rsid w:val="00D46598"/>
    <w:rsid w:val="00D47568"/>
    <w:rsid w:val="00D55EB5"/>
    <w:rsid w:val="00D56267"/>
    <w:rsid w:val="00D71D27"/>
    <w:rsid w:val="00D86CAA"/>
    <w:rsid w:val="00D92378"/>
    <w:rsid w:val="00D94F24"/>
    <w:rsid w:val="00D968ED"/>
    <w:rsid w:val="00DA6E0C"/>
    <w:rsid w:val="00DA797F"/>
    <w:rsid w:val="00DE01EE"/>
    <w:rsid w:val="00DE184C"/>
    <w:rsid w:val="00DE242D"/>
    <w:rsid w:val="00DE2CEB"/>
    <w:rsid w:val="00DF2236"/>
    <w:rsid w:val="00E06A4C"/>
    <w:rsid w:val="00E2460D"/>
    <w:rsid w:val="00E40BF1"/>
    <w:rsid w:val="00E47B6E"/>
    <w:rsid w:val="00E61D11"/>
    <w:rsid w:val="00E620C7"/>
    <w:rsid w:val="00E6336D"/>
    <w:rsid w:val="00E63F92"/>
    <w:rsid w:val="00EA03C3"/>
    <w:rsid w:val="00EA3B52"/>
    <w:rsid w:val="00EB6F8D"/>
    <w:rsid w:val="00EC5270"/>
    <w:rsid w:val="00ED134F"/>
    <w:rsid w:val="00EE297E"/>
    <w:rsid w:val="00EF4131"/>
    <w:rsid w:val="00F0016B"/>
    <w:rsid w:val="00F56151"/>
    <w:rsid w:val="00F57BAC"/>
    <w:rsid w:val="00F82F72"/>
    <w:rsid w:val="00F95799"/>
    <w:rsid w:val="00FC1232"/>
    <w:rsid w:val="00FC6E44"/>
    <w:rsid w:val="00FD669D"/>
    <w:rsid w:val="00FD723A"/>
    <w:rsid w:val="00FE594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Body Text" w:uiPriority="0"/>
    <w:lsdException w:name="List Continue"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A5B"/>
    <w:rPr>
      <w:lang w:val="en-AU"/>
    </w:rPr>
  </w:style>
  <w:style w:type="paragraph" w:styleId="Heading1">
    <w:name w:val="heading 1"/>
    <w:next w:val="Normal"/>
    <w:link w:val="Heading1Char"/>
    <w:autoRedefine/>
    <w:unhideWhenUsed/>
    <w:rsid w:val="00394AA0"/>
    <w:pPr>
      <w:spacing w:before="240" w:after="360"/>
      <w:outlineLvl w:val="0"/>
    </w:pPr>
    <w:rPr>
      <w:rFonts w:ascii="Arial" w:eastAsia="Times New Roman" w:hAnsi="Arial" w:cs="Arial"/>
      <w:b/>
      <w:bCs/>
      <w:color w:val="000000" w:themeColor="text1"/>
      <w:sz w:val="20"/>
      <w:szCs w:val="26"/>
      <w:lang w:val="en-GB"/>
    </w:rPr>
  </w:style>
  <w:style w:type="paragraph" w:styleId="Heading2">
    <w:name w:val="heading 2"/>
    <w:basedOn w:val="Normal"/>
    <w:next w:val="Normal"/>
    <w:link w:val="Heading2Char"/>
    <w:uiPriority w:val="9"/>
    <w:unhideWhenUsed/>
    <w:rsid w:val="00042A5B"/>
    <w:pPr>
      <w:keepNext/>
      <w:keepLines/>
      <w:spacing w:before="200"/>
      <w:outlineLvl w:val="1"/>
    </w:pPr>
    <w:rPr>
      <w:rFonts w:ascii="Arial" w:eastAsiaTheme="majorEastAsia" w:hAnsi="Arial" w:cstheme="majorBidi"/>
      <w:b/>
      <w:bCs/>
      <w:color w:val="000000" w:themeColor="text1"/>
      <w:sz w:val="20"/>
      <w:szCs w:val="26"/>
    </w:rPr>
  </w:style>
  <w:style w:type="paragraph" w:styleId="Heading3">
    <w:name w:val="heading 3"/>
    <w:basedOn w:val="Normal"/>
    <w:next w:val="Normal"/>
    <w:link w:val="Heading3Char"/>
    <w:uiPriority w:val="9"/>
    <w:unhideWhenUsed/>
    <w:rsid w:val="00042A5B"/>
    <w:pPr>
      <w:keepNext/>
      <w:keepLines/>
      <w:spacing w:before="200"/>
      <w:outlineLvl w:val="2"/>
    </w:pPr>
    <w:rPr>
      <w:rFonts w:ascii="Arial" w:eastAsiaTheme="majorEastAsia" w:hAnsi="Arial" w:cstheme="majorBidi"/>
      <w:bCs/>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
    <w:name w:val="Numbered"/>
    <w:basedOn w:val="Normal"/>
    <w:qFormat/>
    <w:rsid w:val="00042A5B"/>
    <w:pPr>
      <w:numPr>
        <w:numId w:val="10"/>
      </w:numPr>
      <w:spacing w:after="120"/>
    </w:pPr>
    <w:rPr>
      <w:rFonts w:ascii="Arial" w:eastAsiaTheme="minorHAnsi" w:hAnsi="Arial"/>
      <w:color w:val="000000" w:themeColor="text1"/>
      <w:sz w:val="20"/>
    </w:rPr>
  </w:style>
  <w:style w:type="character" w:customStyle="1" w:styleId="Heading1Char">
    <w:name w:val="Heading 1 Char"/>
    <w:basedOn w:val="DefaultParagraphFont"/>
    <w:link w:val="Heading1"/>
    <w:rsid w:val="00394AA0"/>
    <w:rPr>
      <w:rFonts w:ascii="Arial" w:eastAsia="Times New Roman" w:hAnsi="Arial" w:cs="Arial"/>
      <w:b/>
      <w:bCs/>
      <w:color w:val="000000" w:themeColor="text1"/>
      <w:sz w:val="20"/>
      <w:szCs w:val="26"/>
      <w:lang w:val="en-GB"/>
    </w:rPr>
  </w:style>
  <w:style w:type="paragraph" w:styleId="Header">
    <w:name w:val="header"/>
    <w:basedOn w:val="Normal"/>
    <w:link w:val="HeaderChar"/>
    <w:uiPriority w:val="99"/>
    <w:unhideWhenUsed/>
    <w:rsid w:val="00653A40"/>
    <w:pPr>
      <w:tabs>
        <w:tab w:val="center" w:pos="4320"/>
        <w:tab w:val="right" w:pos="8640"/>
      </w:tabs>
    </w:pPr>
  </w:style>
  <w:style w:type="character" w:customStyle="1" w:styleId="HeaderChar">
    <w:name w:val="Header Char"/>
    <w:basedOn w:val="DefaultParagraphFont"/>
    <w:link w:val="Header"/>
    <w:uiPriority w:val="99"/>
    <w:rsid w:val="00653A40"/>
  </w:style>
  <w:style w:type="paragraph" w:styleId="Footer">
    <w:name w:val="footer"/>
    <w:basedOn w:val="Normal"/>
    <w:link w:val="FooterChar"/>
    <w:unhideWhenUsed/>
    <w:rsid w:val="00394AA0"/>
    <w:pPr>
      <w:tabs>
        <w:tab w:val="center" w:pos="4320"/>
        <w:tab w:val="right" w:pos="8640"/>
      </w:tabs>
    </w:pPr>
    <w:rPr>
      <w:rFonts w:ascii="Arial" w:hAnsi="Arial"/>
      <w:sz w:val="16"/>
    </w:rPr>
  </w:style>
  <w:style w:type="character" w:customStyle="1" w:styleId="FooterChar">
    <w:name w:val="Footer Char"/>
    <w:basedOn w:val="DefaultParagraphFont"/>
    <w:link w:val="Footer"/>
    <w:rsid w:val="00394AA0"/>
    <w:rPr>
      <w:rFonts w:ascii="Arial" w:hAnsi="Arial"/>
      <w:sz w:val="16"/>
    </w:rPr>
  </w:style>
  <w:style w:type="paragraph" w:styleId="BalloonText">
    <w:name w:val="Balloon Text"/>
    <w:basedOn w:val="Normal"/>
    <w:link w:val="BalloonTextChar"/>
    <w:uiPriority w:val="99"/>
    <w:semiHidden/>
    <w:unhideWhenUsed/>
    <w:rsid w:val="00653A40"/>
    <w:rPr>
      <w:rFonts w:ascii="Lucida Grande" w:hAnsi="Lucida Grande"/>
      <w:sz w:val="18"/>
      <w:szCs w:val="18"/>
    </w:rPr>
  </w:style>
  <w:style w:type="character" w:customStyle="1" w:styleId="BalloonTextChar">
    <w:name w:val="Balloon Text Char"/>
    <w:basedOn w:val="DefaultParagraphFont"/>
    <w:link w:val="BalloonText"/>
    <w:uiPriority w:val="99"/>
    <w:semiHidden/>
    <w:rsid w:val="00653A40"/>
    <w:rPr>
      <w:rFonts w:ascii="Lucida Grande" w:hAnsi="Lucida Grande"/>
      <w:sz w:val="18"/>
      <w:szCs w:val="18"/>
    </w:rPr>
  </w:style>
  <w:style w:type="paragraph" w:customStyle="1" w:styleId="NoParagraphStyle">
    <w:name w:val="[No Paragraph Style]"/>
    <w:rsid w:val="00653A40"/>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rsid w:val="00653A40"/>
    <w:pPr>
      <w:tabs>
        <w:tab w:val="left" w:pos="283"/>
      </w:tabs>
      <w:suppressAutoHyphens/>
      <w:spacing w:line="220" w:lineRule="atLeast"/>
    </w:pPr>
    <w:rPr>
      <w:rFonts w:ascii="HelveticaNeueLTStd-Lt" w:hAnsi="HelveticaNeueLTStd-Lt" w:cs="HelveticaNeueLTStd-Lt"/>
      <w:sz w:val="18"/>
      <w:szCs w:val="18"/>
    </w:rPr>
  </w:style>
  <w:style w:type="paragraph" w:customStyle="1" w:styleId="Text">
    <w:name w:val="Text"/>
    <w:basedOn w:val="Normal"/>
    <w:link w:val="TextChar"/>
    <w:qFormat/>
    <w:rsid w:val="00042A5B"/>
    <w:pPr>
      <w:spacing w:after="240"/>
    </w:pPr>
    <w:rPr>
      <w:rFonts w:ascii="Arial" w:hAnsi="Arial" w:cs="Arial"/>
      <w:sz w:val="20"/>
      <w:szCs w:val="20"/>
    </w:rPr>
  </w:style>
  <w:style w:type="paragraph" w:customStyle="1" w:styleId="Dotpoint2">
    <w:name w:val="Dotpoint2"/>
    <w:basedOn w:val="Normal"/>
    <w:locked/>
    <w:rsid w:val="00042A5B"/>
    <w:pPr>
      <w:numPr>
        <w:numId w:val="4"/>
      </w:numPr>
      <w:tabs>
        <w:tab w:val="clear" w:pos="851"/>
        <w:tab w:val="num" w:pos="709"/>
      </w:tabs>
      <w:spacing w:after="120"/>
      <w:ind w:left="709" w:hanging="283"/>
    </w:pPr>
    <w:rPr>
      <w:rFonts w:ascii="Verdana" w:eastAsia="Times New Roman" w:hAnsi="Verdana" w:cs="Times New Roman"/>
      <w:sz w:val="20"/>
      <w:szCs w:val="20"/>
      <w:lang w:eastAsia="en-AU"/>
    </w:rPr>
  </w:style>
  <w:style w:type="character" w:customStyle="1" w:styleId="TextChar">
    <w:name w:val="Text Char"/>
    <w:basedOn w:val="DefaultParagraphFont"/>
    <w:link w:val="Text"/>
    <w:rsid w:val="00042A5B"/>
    <w:rPr>
      <w:rFonts w:ascii="Arial" w:hAnsi="Arial" w:cs="Arial"/>
      <w:sz w:val="20"/>
      <w:szCs w:val="20"/>
    </w:rPr>
  </w:style>
  <w:style w:type="paragraph" w:customStyle="1" w:styleId="Dotpoint1">
    <w:name w:val="Dotpoint1"/>
    <w:basedOn w:val="Text"/>
    <w:qFormat/>
    <w:rsid w:val="00042A5B"/>
    <w:pPr>
      <w:numPr>
        <w:numId w:val="8"/>
      </w:numPr>
    </w:pPr>
  </w:style>
  <w:style w:type="character" w:customStyle="1" w:styleId="Heading2Char">
    <w:name w:val="Heading 2 Char"/>
    <w:basedOn w:val="DefaultParagraphFont"/>
    <w:link w:val="Heading2"/>
    <w:uiPriority w:val="9"/>
    <w:rsid w:val="00042A5B"/>
    <w:rPr>
      <w:rFonts w:ascii="Arial" w:eastAsiaTheme="majorEastAsia" w:hAnsi="Arial" w:cstheme="majorBidi"/>
      <w:b/>
      <w:bCs/>
      <w:color w:val="000000" w:themeColor="text1"/>
      <w:sz w:val="20"/>
      <w:szCs w:val="26"/>
    </w:rPr>
  </w:style>
  <w:style w:type="character" w:customStyle="1" w:styleId="Heading3Char">
    <w:name w:val="Heading 3 Char"/>
    <w:basedOn w:val="DefaultParagraphFont"/>
    <w:link w:val="Heading3"/>
    <w:uiPriority w:val="9"/>
    <w:rsid w:val="00042A5B"/>
    <w:rPr>
      <w:rFonts w:ascii="Arial" w:eastAsiaTheme="majorEastAsia" w:hAnsi="Arial" w:cstheme="majorBidi"/>
      <w:bCs/>
      <w:i/>
      <w:sz w:val="20"/>
    </w:rPr>
  </w:style>
  <w:style w:type="paragraph" w:customStyle="1" w:styleId="Heading10">
    <w:name w:val="Heading1"/>
    <w:basedOn w:val="Text"/>
    <w:rsid w:val="00394AA0"/>
    <w:pPr>
      <w:spacing w:before="280" w:after="120"/>
    </w:pPr>
    <w:rPr>
      <w:rFonts w:eastAsia="Times New Roman"/>
      <w:spacing w:val="10"/>
      <w:lang w:eastAsia="en-AU"/>
    </w:rPr>
  </w:style>
  <w:style w:type="character" w:styleId="Hyperlink">
    <w:name w:val="Hyperlink"/>
    <w:basedOn w:val="DefaultParagraphFont"/>
    <w:unhideWhenUsed/>
    <w:rsid w:val="002B1A7A"/>
    <w:rPr>
      <w:color w:val="0000FF" w:themeColor="hyperlink"/>
      <w:u w:val="single"/>
    </w:rPr>
  </w:style>
  <w:style w:type="paragraph" w:styleId="PlainText">
    <w:name w:val="Plain Text"/>
    <w:basedOn w:val="Normal"/>
    <w:link w:val="PlainTextChar"/>
    <w:uiPriority w:val="99"/>
    <w:semiHidden/>
    <w:unhideWhenUsed/>
    <w:rsid w:val="004C6B53"/>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4C6B53"/>
    <w:rPr>
      <w:rFonts w:ascii="Calibri" w:eastAsiaTheme="minorHAnsi" w:hAnsi="Calibri" w:cs="Consolas"/>
      <w:sz w:val="22"/>
      <w:szCs w:val="21"/>
      <w:lang w:val="en-AU"/>
    </w:rPr>
  </w:style>
  <w:style w:type="paragraph" w:styleId="Title">
    <w:name w:val="Title"/>
    <w:basedOn w:val="Normal"/>
    <w:next w:val="Normal"/>
    <w:link w:val="TitleChar"/>
    <w:uiPriority w:val="10"/>
    <w:qFormat/>
    <w:rsid w:val="00A95865"/>
    <w:pPr>
      <w:spacing w:after="30" w:line="264" w:lineRule="atLeast"/>
    </w:pPr>
    <w:rPr>
      <w:rFonts w:ascii="Verdana" w:eastAsiaTheme="majorEastAsia" w:hAnsi="Verdana" w:cs="Times New Roman"/>
      <w:color w:val="484848"/>
      <w:sz w:val="36"/>
      <w:szCs w:val="36"/>
      <w:lang w:eastAsia="en-AU"/>
    </w:rPr>
  </w:style>
  <w:style w:type="character" w:customStyle="1" w:styleId="TitleChar">
    <w:name w:val="Title Char"/>
    <w:basedOn w:val="DefaultParagraphFont"/>
    <w:link w:val="Title"/>
    <w:uiPriority w:val="10"/>
    <w:rsid w:val="00A95865"/>
    <w:rPr>
      <w:rFonts w:ascii="Verdana" w:eastAsiaTheme="majorEastAsia" w:hAnsi="Verdana" w:cs="Times New Roman"/>
      <w:color w:val="484848"/>
      <w:sz w:val="36"/>
      <w:szCs w:val="36"/>
      <w:lang w:val="en-AU" w:eastAsia="en-AU"/>
    </w:rPr>
  </w:style>
  <w:style w:type="paragraph" w:styleId="ListParagraph">
    <w:name w:val="List Paragraph"/>
    <w:basedOn w:val="Normal"/>
    <w:uiPriority w:val="34"/>
    <w:qFormat/>
    <w:rsid w:val="00A95865"/>
    <w:pPr>
      <w:ind w:left="720"/>
      <w:contextualSpacing/>
    </w:pPr>
    <w:rPr>
      <w:rFonts w:ascii="Verdana" w:eastAsia="Times New Roman" w:hAnsi="Verdana" w:cs="Times New Roman"/>
      <w:sz w:val="22"/>
      <w:lang w:eastAsia="en-AU"/>
    </w:rPr>
  </w:style>
  <w:style w:type="paragraph" w:customStyle="1" w:styleId="Titleofenquiry">
    <w:name w:val="Title of enquiry"/>
    <w:basedOn w:val="Normal"/>
    <w:rsid w:val="00A95865"/>
    <w:pPr>
      <w:spacing w:before="120" w:after="120"/>
      <w:jc w:val="center"/>
    </w:pPr>
    <w:rPr>
      <w:rFonts w:ascii="Verdana" w:eastAsia="Times New Roman" w:hAnsi="Verdana" w:cs="Times New Roman"/>
      <w:b/>
      <w:color w:val="FFFFFF"/>
      <w:sz w:val="28"/>
      <w:szCs w:val="28"/>
      <w:lang w:eastAsia="en-AU"/>
    </w:rPr>
  </w:style>
  <w:style w:type="paragraph" w:styleId="ListBullet">
    <w:name w:val="List Bullet"/>
    <w:basedOn w:val="Normal"/>
    <w:autoRedefine/>
    <w:rsid w:val="00D94F24"/>
    <w:pPr>
      <w:numPr>
        <w:numId w:val="13"/>
      </w:numPr>
      <w:spacing w:after="200"/>
    </w:pPr>
    <w:rPr>
      <w:rFonts w:ascii="Arial" w:eastAsia="Times New Roman" w:hAnsi="Arial" w:cs="Times New Roman"/>
      <w:sz w:val="22"/>
      <w:szCs w:val="22"/>
    </w:rPr>
  </w:style>
  <w:style w:type="character" w:styleId="Strong">
    <w:name w:val="Strong"/>
    <w:qFormat/>
    <w:rsid w:val="00D94F24"/>
    <w:rPr>
      <w:b/>
    </w:rPr>
  </w:style>
  <w:style w:type="character" w:styleId="Emphasis">
    <w:name w:val="Emphasis"/>
    <w:qFormat/>
    <w:rsid w:val="00D94F24"/>
    <w:rPr>
      <w:i/>
    </w:rPr>
  </w:style>
  <w:style w:type="paragraph" w:styleId="BodyText">
    <w:name w:val="Body Text"/>
    <w:basedOn w:val="Normal"/>
    <w:link w:val="BodyTextChar"/>
    <w:rsid w:val="00D94F24"/>
    <w:pPr>
      <w:spacing w:after="200"/>
    </w:pPr>
    <w:rPr>
      <w:rFonts w:ascii="Arial" w:eastAsia="Times New Roman" w:hAnsi="Arial" w:cs="Times New Roman"/>
      <w:sz w:val="22"/>
      <w:szCs w:val="22"/>
    </w:rPr>
  </w:style>
  <w:style w:type="character" w:customStyle="1" w:styleId="BodyTextChar">
    <w:name w:val="Body Text Char"/>
    <w:basedOn w:val="DefaultParagraphFont"/>
    <w:link w:val="BodyText"/>
    <w:rsid w:val="00D94F24"/>
    <w:rPr>
      <w:rFonts w:ascii="Arial" w:eastAsia="Times New Roman" w:hAnsi="Arial" w:cs="Times New Roman"/>
      <w:sz w:val="22"/>
      <w:szCs w:val="22"/>
      <w:lang w:val="en-AU"/>
    </w:rPr>
  </w:style>
  <w:style w:type="table" w:styleId="TableGrid">
    <w:name w:val="Table Grid"/>
    <w:basedOn w:val="TableNormal"/>
    <w:uiPriority w:val="59"/>
    <w:rsid w:val="00D94F24"/>
    <w:pPr>
      <w:spacing w:after="80"/>
    </w:pPr>
    <w:rPr>
      <w:rFonts w:ascii="Calibri" w:eastAsia="Times New Roman" w:hAnsi="Calibri" w:cs="Times New Roman"/>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
    <w:name w:val="List Continue"/>
    <w:basedOn w:val="Normal"/>
    <w:rsid w:val="00D94F24"/>
    <w:pPr>
      <w:numPr>
        <w:numId w:val="17"/>
      </w:numPr>
      <w:spacing w:after="200"/>
    </w:pPr>
    <w:rPr>
      <w:rFonts w:ascii="Arial" w:eastAsia="Times New Roman" w:hAnsi="Arial" w:cs="Times New Roman"/>
      <w:sz w:val="22"/>
      <w:szCs w:val="22"/>
    </w:rPr>
  </w:style>
  <w:style w:type="paragraph" w:styleId="FootnoteText">
    <w:name w:val="footnote text"/>
    <w:basedOn w:val="Normal"/>
    <w:link w:val="FootnoteTextChar"/>
    <w:uiPriority w:val="99"/>
    <w:semiHidden/>
    <w:unhideWhenUsed/>
    <w:rsid w:val="007C5A32"/>
    <w:rPr>
      <w:sz w:val="20"/>
      <w:szCs w:val="20"/>
    </w:rPr>
  </w:style>
  <w:style w:type="character" w:customStyle="1" w:styleId="FootnoteTextChar">
    <w:name w:val="Footnote Text Char"/>
    <w:basedOn w:val="DefaultParagraphFont"/>
    <w:link w:val="FootnoteText"/>
    <w:uiPriority w:val="99"/>
    <w:semiHidden/>
    <w:rsid w:val="007C5A32"/>
    <w:rPr>
      <w:sz w:val="20"/>
      <w:szCs w:val="20"/>
      <w:lang w:val="en-AU"/>
    </w:rPr>
  </w:style>
  <w:style w:type="character" w:styleId="FootnoteReference">
    <w:name w:val="footnote reference"/>
    <w:basedOn w:val="DefaultParagraphFont"/>
    <w:unhideWhenUsed/>
    <w:rsid w:val="007C5A32"/>
    <w:rPr>
      <w:vertAlign w:val="superscript"/>
    </w:rPr>
  </w:style>
  <w:style w:type="paragraph" w:customStyle="1" w:styleId="StatsHeading3">
    <w:name w:val="StatsHeading3"/>
    <w:basedOn w:val="Normal"/>
    <w:rsid w:val="00CF1064"/>
    <w:pPr>
      <w:spacing w:before="240"/>
    </w:pPr>
    <w:rPr>
      <w:rFonts w:ascii="Arial" w:eastAsia="Times New Roman" w:hAnsi="Arial" w:cs="Arial"/>
      <w:color w:val="008000"/>
      <w:sz w:val="22"/>
      <w:szCs w:val="20"/>
    </w:rPr>
  </w:style>
  <w:style w:type="paragraph" w:customStyle="1" w:styleId="Tabletitle">
    <w:name w:val="Tabletitle"/>
    <w:next w:val="Text"/>
    <w:link w:val="TabletitleCharChar"/>
    <w:rsid w:val="00CF1064"/>
    <w:pPr>
      <w:tabs>
        <w:tab w:val="left" w:pos="900"/>
      </w:tabs>
      <w:spacing w:before="320" w:after="80"/>
    </w:pPr>
    <w:rPr>
      <w:rFonts w:ascii="Arial" w:eastAsia="Times New Roman" w:hAnsi="Arial" w:cs="Times New Roman"/>
      <w:b/>
      <w:color w:val="008000"/>
      <w:sz w:val="17"/>
      <w:szCs w:val="17"/>
      <w:lang w:val="en-AU"/>
    </w:rPr>
  </w:style>
  <w:style w:type="character" w:customStyle="1" w:styleId="TabletitleCharChar">
    <w:name w:val="Tabletitle Char Char"/>
    <w:link w:val="Tabletitle"/>
    <w:rsid w:val="00CF1064"/>
    <w:rPr>
      <w:rFonts w:ascii="Arial" w:eastAsia="Times New Roman" w:hAnsi="Arial" w:cs="Times New Roman"/>
      <w:b/>
      <w:color w:val="008000"/>
      <w:sz w:val="17"/>
      <w:szCs w:val="17"/>
      <w:lang w:val="en-AU"/>
    </w:rPr>
  </w:style>
  <w:style w:type="paragraph" w:customStyle="1" w:styleId="Tabletext">
    <w:name w:val="Table text"/>
    <w:next w:val="Text"/>
    <w:rsid w:val="00CF1064"/>
    <w:pPr>
      <w:spacing w:before="40" w:after="40"/>
    </w:pPr>
    <w:rPr>
      <w:rFonts w:ascii="Arial" w:eastAsia="Times New Roman" w:hAnsi="Arial" w:cs="Times New Roman"/>
      <w:color w:val="000000"/>
      <w:sz w:val="16"/>
      <w:szCs w:val="15"/>
      <w:lang w:val="en-AU"/>
    </w:rPr>
  </w:style>
  <w:style w:type="paragraph" w:customStyle="1" w:styleId="Tablehead1">
    <w:name w:val="Tablehead1"/>
    <w:rsid w:val="00CF1064"/>
    <w:pPr>
      <w:tabs>
        <w:tab w:val="left" w:pos="900"/>
      </w:tabs>
      <w:spacing w:before="120" w:after="40"/>
      <w:jc w:val="center"/>
    </w:pPr>
    <w:rPr>
      <w:rFonts w:ascii="Arial" w:eastAsia="Times New Roman" w:hAnsi="Arial" w:cs="Times New Roman"/>
      <w:b/>
      <w:color w:val="008000"/>
      <w:sz w:val="16"/>
      <w:szCs w:val="20"/>
      <w:lang w:val="en-AU"/>
    </w:rPr>
  </w:style>
  <w:style w:type="paragraph" w:customStyle="1" w:styleId="TableRowBold">
    <w:name w:val="TableRowBold"/>
    <w:basedOn w:val="Tabletext"/>
    <w:rsid w:val="00CF1064"/>
    <w:pPr>
      <w:spacing w:before="80"/>
    </w:pPr>
    <w:rPr>
      <w:b/>
      <w:color w:val="008000"/>
    </w:rPr>
  </w:style>
  <w:style w:type="paragraph" w:customStyle="1" w:styleId="Terms">
    <w:name w:val="Terms"/>
    <w:basedOn w:val="Text"/>
    <w:link w:val="TermsChar"/>
    <w:rsid w:val="00CF1064"/>
    <w:pPr>
      <w:tabs>
        <w:tab w:val="left" w:pos="1418"/>
      </w:tabs>
      <w:spacing w:before="120" w:after="0" w:line="260" w:lineRule="exact"/>
    </w:pPr>
    <w:rPr>
      <w:rFonts w:eastAsia="Times New Roman" w:cs="Times New Roman"/>
      <w:sz w:val="18"/>
    </w:rPr>
  </w:style>
  <w:style w:type="character" w:customStyle="1" w:styleId="TermsChar">
    <w:name w:val="Terms Char"/>
    <w:basedOn w:val="DefaultParagraphFont"/>
    <w:link w:val="Terms"/>
    <w:rsid w:val="00CF1064"/>
    <w:rPr>
      <w:rFonts w:ascii="Arial" w:eastAsia="Times New Roman" w:hAnsi="Arial" w:cs="Times New Roman"/>
      <w:sz w:val="18"/>
      <w:szCs w:val="20"/>
      <w:lang w:val="en-AU"/>
    </w:rPr>
  </w:style>
  <w:style w:type="character" w:styleId="FollowedHyperlink">
    <w:name w:val="FollowedHyperlink"/>
    <w:basedOn w:val="DefaultParagraphFont"/>
    <w:uiPriority w:val="99"/>
    <w:semiHidden/>
    <w:unhideWhenUsed/>
    <w:rsid w:val="008C464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Body Text" w:uiPriority="0"/>
    <w:lsdException w:name="List Continue"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A5B"/>
    <w:rPr>
      <w:lang w:val="en-AU"/>
    </w:rPr>
  </w:style>
  <w:style w:type="paragraph" w:styleId="Heading1">
    <w:name w:val="heading 1"/>
    <w:next w:val="Normal"/>
    <w:link w:val="Heading1Char"/>
    <w:autoRedefine/>
    <w:unhideWhenUsed/>
    <w:rsid w:val="00394AA0"/>
    <w:pPr>
      <w:spacing w:before="240" w:after="360"/>
      <w:outlineLvl w:val="0"/>
    </w:pPr>
    <w:rPr>
      <w:rFonts w:ascii="Arial" w:eastAsia="Times New Roman" w:hAnsi="Arial" w:cs="Arial"/>
      <w:b/>
      <w:bCs/>
      <w:color w:val="000000" w:themeColor="text1"/>
      <w:sz w:val="20"/>
      <w:szCs w:val="26"/>
      <w:lang w:val="en-GB"/>
    </w:rPr>
  </w:style>
  <w:style w:type="paragraph" w:styleId="Heading2">
    <w:name w:val="heading 2"/>
    <w:basedOn w:val="Normal"/>
    <w:next w:val="Normal"/>
    <w:link w:val="Heading2Char"/>
    <w:uiPriority w:val="9"/>
    <w:unhideWhenUsed/>
    <w:rsid w:val="00042A5B"/>
    <w:pPr>
      <w:keepNext/>
      <w:keepLines/>
      <w:spacing w:before="200"/>
      <w:outlineLvl w:val="1"/>
    </w:pPr>
    <w:rPr>
      <w:rFonts w:ascii="Arial" w:eastAsiaTheme="majorEastAsia" w:hAnsi="Arial" w:cstheme="majorBidi"/>
      <w:b/>
      <w:bCs/>
      <w:color w:val="000000" w:themeColor="text1"/>
      <w:sz w:val="20"/>
      <w:szCs w:val="26"/>
    </w:rPr>
  </w:style>
  <w:style w:type="paragraph" w:styleId="Heading3">
    <w:name w:val="heading 3"/>
    <w:basedOn w:val="Normal"/>
    <w:next w:val="Normal"/>
    <w:link w:val="Heading3Char"/>
    <w:uiPriority w:val="9"/>
    <w:unhideWhenUsed/>
    <w:rsid w:val="00042A5B"/>
    <w:pPr>
      <w:keepNext/>
      <w:keepLines/>
      <w:spacing w:before="200"/>
      <w:outlineLvl w:val="2"/>
    </w:pPr>
    <w:rPr>
      <w:rFonts w:ascii="Arial" w:eastAsiaTheme="majorEastAsia" w:hAnsi="Arial" w:cstheme="majorBidi"/>
      <w:bCs/>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
    <w:name w:val="Numbered"/>
    <w:basedOn w:val="Normal"/>
    <w:qFormat/>
    <w:rsid w:val="00042A5B"/>
    <w:pPr>
      <w:numPr>
        <w:numId w:val="10"/>
      </w:numPr>
      <w:spacing w:after="120"/>
    </w:pPr>
    <w:rPr>
      <w:rFonts w:ascii="Arial" w:eastAsiaTheme="minorHAnsi" w:hAnsi="Arial"/>
      <w:color w:val="000000" w:themeColor="text1"/>
      <w:sz w:val="20"/>
    </w:rPr>
  </w:style>
  <w:style w:type="character" w:customStyle="1" w:styleId="Heading1Char">
    <w:name w:val="Heading 1 Char"/>
    <w:basedOn w:val="DefaultParagraphFont"/>
    <w:link w:val="Heading1"/>
    <w:rsid w:val="00394AA0"/>
    <w:rPr>
      <w:rFonts w:ascii="Arial" w:eastAsia="Times New Roman" w:hAnsi="Arial" w:cs="Arial"/>
      <w:b/>
      <w:bCs/>
      <w:color w:val="000000" w:themeColor="text1"/>
      <w:sz w:val="20"/>
      <w:szCs w:val="26"/>
      <w:lang w:val="en-GB"/>
    </w:rPr>
  </w:style>
  <w:style w:type="paragraph" w:styleId="Header">
    <w:name w:val="header"/>
    <w:basedOn w:val="Normal"/>
    <w:link w:val="HeaderChar"/>
    <w:uiPriority w:val="99"/>
    <w:unhideWhenUsed/>
    <w:rsid w:val="00653A40"/>
    <w:pPr>
      <w:tabs>
        <w:tab w:val="center" w:pos="4320"/>
        <w:tab w:val="right" w:pos="8640"/>
      </w:tabs>
    </w:pPr>
  </w:style>
  <w:style w:type="character" w:customStyle="1" w:styleId="HeaderChar">
    <w:name w:val="Header Char"/>
    <w:basedOn w:val="DefaultParagraphFont"/>
    <w:link w:val="Header"/>
    <w:uiPriority w:val="99"/>
    <w:rsid w:val="00653A40"/>
  </w:style>
  <w:style w:type="paragraph" w:styleId="Footer">
    <w:name w:val="footer"/>
    <w:basedOn w:val="Normal"/>
    <w:link w:val="FooterChar"/>
    <w:unhideWhenUsed/>
    <w:rsid w:val="00394AA0"/>
    <w:pPr>
      <w:tabs>
        <w:tab w:val="center" w:pos="4320"/>
        <w:tab w:val="right" w:pos="8640"/>
      </w:tabs>
    </w:pPr>
    <w:rPr>
      <w:rFonts w:ascii="Arial" w:hAnsi="Arial"/>
      <w:sz w:val="16"/>
    </w:rPr>
  </w:style>
  <w:style w:type="character" w:customStyle="1" w:styleId="FooterChar">
    <w:name w:val="Footer Char"/>
    <w:basedOn w:val="DefaultParagraphFont"/>
    <w:link w:val="Footer"/>
    <w:rsid w:val="00394AA0"/>
    <w:rPr>
      <w:rFonts w:ascii="Arial" w:hAnsi="Arial"/>
      <w:sz w:val="16"/>
    </w:rPr>
  </w:style>
  <w:style w:type="paragraph" w:styleId="BalloonText">
    <w:name w:val="Balloon Text"/>
    <w:basedOn w:val="Normal"/>
    <w:link w:val="BalloonTextChar"/>
    <w:uiPriority w:val="99"/>
    <w:semiHidden/>
    <w:unhideWhenUsed/>
    <w:rsid w:val="00653A40"/>
    <w:rPr>
      <w:rFonts w:ascii="Lucida Grande" w:hAnsi="Lucida Grande"/>
      <w:sz w:val="18"/>
      <w:szCs w:val="18"/>
    </w:rPr>
  </w:style>
  <w:style w:type="character" w:customStyle="1" w:styleId="BalloonTextChar">
    <w:name w:val="Balloon Text Char"/>
    <w:basedOn w:val="DefaultParagraphFont"/>
    <w:link w:val="BalloonText"/>
    <w:uiPriority w:val="99"/>
    <w:semiHidden/>
    <w:rsid w:val="00653A40"/>
    <w:rPr>
      <w:rFonts w:ascii="Lucida Grande" w:hAnsi="Lucida Grande"/>
      <w:sz w:val="18"/>
      <w:szCs w:val="18"/>
    </w:rPr>
  </w:style>
  <w:style w:type="paragraph" w:customStyle="1" w:styleId="NoParagraphStyle">
    <w:name w:val="[No Paragraph Style]"/>
    <w:rsid w:val="00653A40"/>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rsid w:val="00653A40"/>
    <w:pPr>
      <w:tabs>
        <w:tab w:val="left" w:pos="283"/>
      </w:tabs>
      <w:suppressAutoHyphens/>
      <w:spacing w:line="220" w:lineRule="atLeast"/>
    </w:pPr>
    <w:rPr>
      <w:rFonts w:ascii="HelveticaNeueLTStd-Lt" w:hAnsi="HelveticaNeueLTStd-Lt" w:cs="HelveticaNeueLTStd-Lt"/>
      <w:sz w:val="18"/>
      <w:szCs w:val="18"/>
    </w:rPr>
  </w:style>
  <w:style w:type="paragraph" w:customStyle="1" w:styleId="Text">
    <w:name w:val="Text"/>
    <w:basedOn w:val="Normal"/>
    <w:link w:val="TextChar"/>
    <w:qFormat/>
    <w:rsid w:val="00042A5B"/>
    <w:pPr>
      <w:spacing w:after="240"/>
    </w:pPr>
    <w:rPr>
      <w:rFonts w:ascii="Arial" w:hAnsi="Arial" w:cs="Arial"/>
      <w:sz w:val="20"/>
      <w:szCs w:val="20"/>
    </w:rPr>
  </w:style>
  <w:style w:type="paragraph" w:customStyle="1" w:styleId="Dotpoint2">
    <w:name w:val="Dotpoint2"/>
    <w:basedOn w:val="Normal"/>
    <w:locked/>
    <w:rsid w:val="00042A5B"/>
    <w:pPr>
      <w:numPr>
        <w:numId w:val="4"/>
      </w:numPr>
      <w:tabs>
        <w:tab w:val="clear" w:pos="851"/>
        <w:tab w:val="num" w:pos="709"/>
      </w:tabs>
      <w:spacing w:after="120"/>
      <w:ind w:left="709" w:hanging="283"/>
    </w:pPr>
    <w:rPr>
      <w:rFonts w:ascii="Verdana" w:eastAsia="Times New Roman" w:hAnsi="Verdana" w:cs="Times New Roman"/>
      <w:sz w:val="20"/>
      <w:szCs w:val="20"/>
      <w:lang w:eastAsia="en-AU"/>
    </w:rPr>
  </w:style>
  <w:style w:type="character" w:customStyle="1" w:styleId="TextChar">
    <w:name w:val="Text Char"/>
    <w:basedOn w:val="DefaultParagraphFont"/>
    <w:link w:val="Text"/>
    <w:rsid w:val="00042A5B"/>
    <w:rPr>
      <w:rFonts w:ascii="Arial" w:hAnsi="Arial" w:cs="Arial"/>
      <w:sz w:val="20"/>
      <w:szCs w:val="20"/>
    </w:rPr>
  </w:style>
  <w:style w:type="paragraph" w:customStyle="1" w:styleId="Dotpoint1">
    <w:name w:val="Dotpoint1"/>
    <w:basedOn w:val="Text"/>
    <w:qFormat/>
    <w:rsid w:val="00042A5B"/>
    <w:pPr>
      <w:numPr>
        <w:numId w:val="8"/>
      </w:numPr>
    </w:pPr>
  </w:style>
  <w:style w:type="character" w:customStyle="1" w:styleId="Heading2Char">
    <w:name w:val="Heading 2 Char"/>
    <w:basedOn w:val="DefaultParagraphFont"/>
    <w:link w:val="Heading2"/>
    <w:uiPriority w:val="9"/>
    <w:rsid w:val="00042A5B"/>
    <w:rPr>
      <w:rFonts w:ascii="Arial" w:eastAsiaTheme="majorEastAsia" w:hAnsi="Arial" w:cstheme="majorBidi"/>
      <w:b/>
      <w:bCs/>
      <w:color w:val="000000" w:themeColor="text1"/>
      <w:sz w:val="20"/>
      <w:szCs w:val="26"/>
    </w:rPr>
  </w:style>
  <w:style w:type="character" w:customStyle="1" w:styleId="Heading3Char">
    <w:name w:val="Heading 3 Char"/>
    <w:basedOn w:val="DefaultParagraphFont"/>
    <w:link w:val="Heading3"/>
    <w:uiPriority w:val="9"/>
    <w:rsid w:val="00042A5B"/>
    <w:rPr>
      <w:rFonts w:ascii="Arial" w:eastAsiaTheme="majorEastAsia" w:hAnsi="Arial" w:cstheme="majorBidi"/>
      <w:bCs/>
      <w:i/>
      <w:sz w:val="20"/>
    </w:rPr>
  </w:style>
  <w:style w:type="paragraph" w:customStyle="1" w:styleId="Heading10">
    <w:name w:val="Heading1"/>
    <w:basedOn w:val="Text"/>
    <w:rsid w:val="00394AA0"/>
    <w:pPr>
      <w:spacing w:before="280" w:after="120"/>
    </w:pPr>
    <w:rPr>
      <w:rFonts w:eastAsia="Times New Roman"/>
      <w:spacing w:val="10"/>
      <w:lang w:eastAsia="en-AU"/>
    </w:rPr>
  </w:style>
  <w:style w:type="character" w:styleId="Hyperlink">
    <w:name w:val="Hyperlink"/>
    <w:basedOn w:val="DefaultParagraphFont"/>
    <w:unhideWhenUsed/>
    <w:rsid w:val="002B1A7A"/>
    <w:rPr>
      <w:color w:val="0000FF" w:themeColor="hyperlink"/>
      <w:u w:val="single"/>
    </w:rPr>
  </w:style>
  <w:style w:type="paragraph" w:styleId="PlainText">
    <w:name w:val="Plain Text"/>
    <w:basedOn w:val="Normal"/>
    <w:link w:val="PlainTextChar"/>
    <w:uiPriority w:val="99"/>
    <w:semiHidden/>
    <w:unhideWhenUsed/>
    <w:rsid w:val="004C6B53"/>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4C6B53"/>
    <w:rPr>
      <w:rFonts w:ascii="Calibri" w:eastAsiaTheme="minorHAnsi" w:hAnsi="Calibri" w:cs="Consolas"/>
      <w:sz w:val="22"/>
      <w:szCs w:val="21"/>
      <w:lang w:val="en-AU"/>
    </w:rPr>
  </w:style>
  <w:style w:type="paragraph" w:styleId="Title">
    <w:name w:val="Title"/>
    <w:basedOn w:val="Normal"/>
    <w:next w:val="Normal"/>
    <w:link w:val="TitleChar"/>
    <w:uiPriority w:val="10"/>
    <w:qFormat/>
    <w:rsid w:val="00A95865"/>
    <w:pPr>
      <w:spacing w:after="30" w:line="264" w:lineRule="atLeast"/>
    </w:pPr>
    <w:rPr>
      <w:rFonts w:ascii="Verdana" w:eastAsiaTheme="majorEastAsia" w:hAnsi="Verdana" w:cs="Times New Roman"/>
      <w:color w:val="484848"/>
      <w:sz w:val="36"/>
      <w:szCs w:val="36"/>
      <w:lang w:eastAsia="en-AU"/>
    </w:rPr>
  </w:style>
  <w:style w:type="character" w:customStyle="1" w:styleId="TitleChar">
    <w:name w:val="Title Char"/>
    <w:basedOn w:val="DefaultParagraphFont"/>
    <w:link w:val="Title"/>
    <w:uiPriority w:val="10"/>
    <w:rsid w:val="00A95865"/>
    <w:rPr>
      <w:rFonts w:ascii="Verdana" w:eastAsiaTheme="majorEastAsia" w:hAnsi="Verdana" w:cs="Times New Roman"/>
      <w:color w:val="484848"/>
      <w:sz w:val="36"/>
      <w:szCs w:val="36"/>
      <w:lang w:val="en-AU" w:eastAsia="en-AU"/>
    </w:rPr>
  </w:style>
  <w:style w:type="paragraph" w:styleId="ListParagraph">
    <w:name w:val="List Paragraph"/>
    <w:basedOn w:val="Normal"/>
    <w:uiPriority w:val="34"/>
    <w:qFormat/>
    <w:rsid w:val="00A95865"/>
    <w:pPr>
      <w:ind w:left="720"/>
      <w:contextualSpacing/>
    </w:pPr>
    <w:rPr>
      <w:rFonts w:ascii="Verdana" w:eastAsia="Times New Roman" w:hAnsi="Verdana" w:cs="Times New Roman"/>
      <w:sz w:val="22"/>
      <w:lang w:eastAsia="en-AU"/>
    </w:rPr>
  </w:style>
  <w:style w:type="paragraph" w:customStyle="1" w:styleId="Titleofenquiry">
    <w:name w:val="Title of enquiry"/>
    <w:basedOn w:val="Normal"/>
    <w:rsid w:val="00A95865"/>
    <w:pPr>
      <w:spacing w:before="120" w:after="120"/>
      <w:jc w:val="center"/>
    </w:pPr>
    <w:rPr>
      <w:rFonts w:ascii="Verdana" w:eastAsia="Times New Roman" w:hAnsi="Verdana" w:cs="Times New Roman"/>
      <w:b/>
      <w:color w:val="FFFFFF"/>
      <w:sz w:val="28"/>
      <w:szCs w:val="28"/>
      <w:lang w:eastAsia="en-AU"/>
    </w:rPr>
  </w:style>
  <w:style w:type="paragraph" w:styleId="ListBullet">
    <w:name w:val="List Bullet"/>
    <w:basedOn w:val="Normal"/>
    <w:autoRedefine/>
    <w:rsid w:val="00D94F24"/>
    <w:pPr>
      <w:numPr>
        <w:numId w:val="13"/>
      </w:numPr>
      <w:spacing w:after="200"/>
    </w:pPr>
    <w:rPr>
      <w:rFonts w:ascii="Arial" w:eastAsia="Times New Roman" w:hAnsi="Arial" w:cs="Times New Roman"/>
      <w:sz w:val="22"/>
      <w:szCs w:val="22"/>
    </w:rPr>
  </w:style>
  <w:style w:type="character" w:styleId="Strong">
    <w:name w:val="Strong"/>
    <w:qFormat/>
    <w:rsid w:val="00D94F24"/>
    <w:rPr>
      <w:b/>
    </w:rPr>
  </w:style>
  <w:style w:type="character" w:styleId="Emphasis">
    <w:name w:val="Emphasis"/>
    <w:qFormat/>
    <w:rsid w:val="00D94F24"/>
    <w:rPr>
      <w:i/>
    </w:rPr>
  </w:style>
  <w:style w:type="paragraph" w:styleId="BodyText">
    <w:name w:val="Body Text"/>
    <w:basedOn w:val="Normal"/>
    <w:link w:val="BodyTextChar"/>
    <w:rsid w:val="00D94F24"/>
    <w:pPr>
      <w:spacing w:after="200"/>
    </w:pPr>
    <w:rPr>
      <w:rFonts w:ascii="Arial" w:eastAsia="Times New Roman" w:hAnsi="Arial" w:cs="Times New Roman"/>
      <w:sz w:val="22"/>
      <w:szCs w:val="22"/>
    </w:rPr>
  </w:style>
  <w:style w:type="character" w:customStyle="1" w:styleId="BodyTextChar">
    <w:name w:val="Body Text Char"/>
    <w:basedOn w:val="DefaultParagraphFont"/>
    <w:link w:val="BodyText"/>
    <w:rsid w:val="00D94F24"/>
    <w:rPr>
      <w:rFonts w:ascii="Arial" w:eastAsia="Times New Roman" w:hAnsi="Arial" w:cs="Times New Roman"/>
      <w:sz w:val="22"/>
      <w:szCs w:val="22"/>
      <w:lang w:val="en-AU"/>
    </w:rPr>
  </w:style>
  <w:style w:type="table" w:styleId="TableGrid">
    <w:name w:val="Table Grid"/>
    <w:basedOn w:val="TableNormal"/>
    <w:uiPriority w:val="59"/>
    <w:rsid w:val="00D94F24"/>
    <w:pPr>
      <w:spacing w:after="80"/>
    </w:pPr>
    <w:rPr>
      <w:rFonts w:ascii="Calibri" w:eastAsia="Times New Roman" w:hAnsi="Calibri" w:cs="Times New Roman"/>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
    <w:name w:val="List Continue"/>
    <w:basedOn w:val="Normal"/>
    <w:rsid w:val="00D94F24"/>
    <w:pPr>
      <w:numPr>
        <w:numId w:val="17"/>
      </w:numPr>
      <w:spacing w:after="200"/>
    </w:pPr>
    <w:rPr>
      <w:rFonts w:ascii="Arial" w:eastAsia="Times New Roman" w:hAnsi="Arial" w:cs="Times New Roman"/>
      <w:sz w:val="22"/>
      <w:szCs w:val="22"/>
    </w:rPr>
  </w:style>
  <w:style w:type="paragraph" w:styleId="FootnoteText">
    <w:name w:val="footnote text"/>
    <w:basedOn w:val="Normal"/>
    <w:link w:val="FootnoteTextChar"/>
    <w:uiPriority w:val="99"/>
    <w:semiHidden/>
    <w:unhideWhenUsed/>
    <w:rsid w:val="007C5A32"/>
    <w:rPr>
      <w:sz w:val="20"/>
      <w:szCs w:val="20"/>
    </w:rPr>
  </w:style>
  <w:style w:type="character" w:customStyle="1" w:styleId="FootnoteTextChar">
    <w:name w:val="Footnote Text Char"/>
    <w:basedOn w:val="DefaultParagraphFont"/>
    <w:link w:val="FootnoteText"/>
    <w:uiPriority w:val="99"/>
    <w:semiHidden/>
    <w:rsid w:val="007C5A32"/>
    <w:rPr>
      <w:sz w:val="20"/>
      <w:szCs w:val="20"/>
      <w:lang w:val="en-AU"/>
    </w:rPr>
  </w:style>
  <w:style w:type="character" w:styleId="FootnoteReference">
    <w:name w:val="footnote reference"/>
    <w:basedOn w:val="DefaultParagraphFont"/>
    <w:unhideWhenUsed/>
    <w:rsid w:val="007C5A32"/>
    <w:rPr>
      <w:vertAlign w:val="superscript"/>
    </w:rPr>
  </w:style>
  <w:style w:type="paragraph" w:customStyle="1" w:styleId="StatsHeading3">
    <w:name w:val="StatsHeading3"/>
    <w:basedOn w:val="Normal"/>
    <w:rsid w:val="00CF1064"/>
    <w:pPr>
      <w:spacing w:before="240"/>
    </w:pPr>
    <w:rPr>
      <w:rFonts w:ascii="Arial" w:eastAsia="Times New Roman" w:hAnsi="Arial" w:cs="Arial"/>
      <w:color w:val="008000"/>
      <w:sz w:val="22"/>
      <w:szCs w:val="20"/>
    </w:rPr>
  </w:style>
  <w:style w:type="paragraph" w:customStyle="1" w:styleId="Tabletitle">
    <w:name w:val="Tabletitle"/>
    <w:next w:val="Text"/>
    <w:link w:val="TabletitleCharChar"/>
    <w:rsid w:val="00CF1064"/>
    <w:pPr>
      <w:tabs>
        <w:tab w:val="left" w:pos="900"/>
      </w:tabs>
      <w:spacing w:before="320" w:after="80"/>
    </w:pPr>
    <w:rPr>
      <w:rFonts w:ascii="Arial" w:eastAsia="Times New Roman" w:hAnsi="Arial" w:cs="Times New Roman"/>
      <w:b/>
      <w:color w:val="008000"/>
      <w:sz w:val="17"/>
      <w:szCs w:val="17"/>
      <w:lang w:val="en-AU"/>
    </w:rPr>
  </w:style>
  <w:style w:type="character" w:customStyle="1" w:styleId="TabletitleCharChar">
    <w:name w:val="Tabletitle Char Char"/>
    <w:link w:val="Tabletitle"/>
    <w:rsid w:val="00CF1064"/>
    <w:rPr>
      <w:rFonts w:ascii="Arial" w:eastAsia="Times New Roman" w:hAnsi="Arial" w:cs="Times New Roman"/>
      <w:b/>
      <w:color w:val="008000"/>
      <w:sz w:val="17"/>
      <w:szCs w:val="17"/>
      <w:lang w:val="en-AU"/>
    </w:rPr>
  </w:style>
  <w:style w:type="paragraph" w:customStyle="1" w:styleId="Tabletext">
    <w:name w:val="Table text"/>
    <w:next w:val="Text"/>
    <w:rsid w:val="00CF1064"/>
    <w:pPr>
      <w:spacing w:before="40" w:after="40"/>
    </w:pPr>
    <w:rPr>
      <w:rFonts w:ascii="Arial" w:eastAsia="Times New Roman" w:hAnsi="Arial" w:cs="Times New Roman"/>
      <w:color w:val="000000"/>
      <w:sz w:val="16"/>
      <w:szCs w:val="15"/>
      <w:lang w:val="en-AU"/>
    </w:rPr>
  </w:style>
  <w:style w:type="paragraph" w:customStyle="1" w:styleId="Tablehead1">
    <w:name w:val="Tablehead1"/>
    <w:rsid w:val="00CF1064"/>
    <w:pPr>
      <w:tabs>
        <w:tab w:val="left" w:pos="900"/>
      </w:tabs>
      <w:spacing w:before="120" w:after="40"/>
      <w:jc w:val="center"/>
    </w:pPr>
    <w:rPr>
      <w:rFonts w:ascii="Arial" w:eastAsia="Times New Roman" w:hAnsi="Arial" w:cs="Times New Roman"/>
      <w:b/>
      <w:color w:val="008000"/>
      <w:sz w:val="16"/>
      <w:szCs w:val="20"/>
      <w:lang w:val="en-AU"/>
    </w:rPr>
  </w:style>
  <w:style w:type="paragraph" w:customStyle="1" w:styleId="TableRowBold">
    <w:name w:val="TableRowBold"/>
    <w:basedOn w:val="Tabletext"/>
    <w:rsid w:val="00CF1064"/>
    <w:pPr>
      <w:spacing w:before="80"/>
    </w:pPr>
    <w:rPr>
      <w:b/>
      <w:color w:val="008000"/>
    </w:rPr>
  </w:style>
  <w:style w:type="paragraph" w:customStyle="1" w:styleId="Terms">
    <w:name w:val="Terms"/>
    <w:basedOn w:val="Text"/>
    <w:link w:val="TermsChar"/>
    <w:rsid w:val="00CF1064"/>
    <w:pPr>
      <w:tabs>
        <w:tab w:val="left" w:pos="1418"/>
      </w:tabs>
      <w:spacing w:before="120" w:after="0" w:line="260" w:lineRule="exact"/>
    </w:pPr>
    <w:rPr>
      <w:rFonts w:eastAsia="Times New Roman" w:cs="Times New Roman"/>
      <w:sz w:val="18"/>
    </w:rPr>
  </w:style>
  <w:style w:type="character" w:customStyle="1" w:styleId="TermsChar">
    <w:name w:val="Terms Char"/>
    <w:basedOn w:val="DefaultParagraphFont"/>
    <w:link w:val="Terms"/>
    <w:rsid w:val="00CF1064"/>
    <w:rPr>
      <w:rFonts w:ascii="Arial" w:eastAsia="Times New Roman" w:hAnsi="Arial" w:cs="Times New Roman"/>
      <w:sz w:val="18"/>
      <w:szCs w:val="20"/>
      <w:lang w:val="en-AU"/>
    </w:rPr>
  </w:style>
  <w:style w:type="character" w:styleId="FollowedHyperlink">
    <w:name w:val="FollowedHyperlink"/>
    <w:basedOn w:val="DefaultParagraphFont"/>
    <w:uiPriority w:val="99"/>
    <w:semiHidden/>
    <w:unhideWhenUsed/>
    <w:rsid w:val="008C46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213630">
      <w:bodyDiv w:val="1"/>
      <w:marLeft w:val="0"/>
      <w:marRight w:val="0"/>
      <w:marTop w:val="0"/>
      <w:marBottom w:val="0"/>
      <w:divBdr>
        <w:top w:val="none" w:sz="0" w:space="0" w:color="auto"/>
        <w:left w:val="none" w:sz="0" w:space="0" w:color="auto"/>
        <w:bottom w:val="none" w:sz="0" w:space="0" w:color="auto"/>
        <w:right w:val="none" w:sz="0" w:space="0" w:color="auto"/>
      </w:divBdr>
    </w:div>
    <w:div w:id="304089823">
      <w:bodyDiv w:val="1"/>
      <w:marLeft w:val="0"/>
      <w:marRight w:val="0"/>
      <w:marTop w:val="0"/>
      <w:marBottom w:val="0"/>
      <w:divBdr>
        <w:top w:val="none" w:sz="0" w:space="0" w:color="auto"/>
        <w:left w:val="none" w:sz="0" w:space="0" w:color="auto"/>
        <w:bottom w:val="none" w:sz="0" w:space="0" w:color="auto"/>
        <w:right w:val="none" w:sz="0" w:space="0" w:color="auto"/>
      </w:divBdr>
      <w:divsChild>
        <w:div w:id="49545974">
          <w:marLeft w:val="45"/>
          <w:marRight w:val="45"/>
          <w:marTop w:val="0"/>
          <w:marBottom w:val="300"/>
          <w:divBdr>
            <w:top w:val="single" w:sz="2" w:space="0" w:color="B2BBBF"/>
            <w:left w:val="single" w:sz="6" w:space="15" w:color="B2BBBF"/>
            <w:bottom w:val="single" w:sz="6" w:space="15" w:color="B2BBBF"/>
            <w:right w:val="single" w:sz="6" w:space="15" w:color="B2BBBF"/>
          </w:divBdr>
          <w:divsChild>
            <w:div w:id="130620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895498">
      <w:bodyDiv w:val="1"/>
      <w:marLeft w:val="0"/>
      <w:marRight w:val="0"/>
      <w:marTop w:val="0"/>
      <w:marBottom w:val="0"/>
      <w:divBdr>
        <w:top w:val="none" w:sz="0" w:space="0" w:color="auto"/>
        <w:left w:val="none" w:sz="0" w:space="0" w:color="auto"/>
        <w:bottom w:val="none" w:sz="0" w:space="0" w:color="auto"/>
        <w:right w:val="none" w:sz="0" w:space="0" w:color="auto"/>
      </w:divBdr>
    </w:div>
    <w:div w:id="771323922">
      <w:bodyDiv w:val="1"/>
      <w:marLeft w:val="0"/>
      <w:marRight w:val="0"/>
      <w:marTop w:val="0"/>
      <w:marBottom w:val="0"/>
      <w:divBdr>
        <w:top w:val="none" w:sz="0" w:space="0" w:color="auto"/>
        <w:left w:val="none" w:sz="0" w:space="0" w:color="auto"/>
        <w:bottom w:val="none" w:sz="0" w:space="0" w:color="auto"/>
        <w:right w:val="none" w:sz="0" w:space="0" w:color="auto"/>
      </w:divBdr>
    </w:div>
    <w:div w:id="963922697">
      <w:bodyDiv w:val="1"/>
      <w:marLeft w:val="0"/>
      <w:marRight w:val="0"/>
      <w:marTop w:val="0"/>
      <w:marBottom w:val="0"/>
      <w:divBdr>
        <w:top w:val="none" w:sz="0" w:space="0" w:color="auto"/>
        <w:left w:val="none" w:sz="0" w:space="0" w:color="auto"/>
        <w:bottom w:val="none" w:sz="0" w:space="0" w:color="auto"/>
        <w:right w:val="none" w:sz="0" w:space="0" w:color="auto"/>
      </w:divBdr>
    </w:div>
    <w:div w:id="1505631314">
      <w:bodyDiv w:val="1"/>
      <w:marLeft w:val="0"/>
      <w:marRight w:val="0"/>
      <w:marTop w:val="0"/>
      <w:marBottom w:val="0"/>
      <w:divBdr>
        <w:top w:val="none" w:sz="0" w:space="0" w:color="auto"/>
        <w:left w:val="none" w:sz="0" w:space="0" w:color="auto"/>
        <w:bottom w:val="none" w:sz="0" w:space="0" w:color="auto"/>
        <w:right w:val="none" w:sz="0" w:space="0" w:color="auto"/>
      </w:divBdr>
    </w:div>
    <w:div w:id="1866289440">
      <w:bodyDiv w:val="1"/>
      <w:marLeft w:val="0"/>
      <w:marRight w:val="0"/>
      <w:marTop w:val="0"/>
      <w:marBottom w:val="0"/>
      <w:divBdr>
        <w:top w:val="none" w:sz="0" w:space="0" w:color="auto"/>
        <w:left w:val="none" w:sz="0" w:space="0" w:color="auto"/>
        <w:bottom w:val="none" w:sz="0" w:space="0" w:color="auto"/>
        <w:right w:val="none" w:sz="0" w:space="0" w:color="auto"/>
      </w:divBdr>
    </w:div>
    <w:div w:id="18766962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ph.gov.au/Parliamentary_Business/Committees/House/Education_and_Employment/TAFE/Submissions" TargetMode="External"/><Relationship Id="rId5" Type="http://schemas.openxmlformats.org/officeDocument/2006/relationships/settings" Target="settings.xml"/><Relationship Id="rId15" Type="http://schemas.openxmlformats.org/officeDocument/2006/relationships/hyperlink" Target="http://www.ncver.edu.au/publications/2492.html" TargetMode="External"/><Relationship Id="rId10" Type="http://schemas.openxmlformats.org/officeDocument/2006/relationships/hyperlink" Target="mailto:craig.fowler@ncver.edu.au" TargetMode="External"/><Relationship Id="rId4" Type="http://schemas.microsoft.com/office/2007/relationships/stylesWithEffects" Target="stylesWithEffects.xml"/><Relationship Id="rId9" Type="http://schemas.openxmlformats.org/officeDocument/2006/relationships/hyperlink" Target="mailto:eec.sen@aph.gov.au"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ncver.edu.au/avetmiss/21055.html" TargetMode="External"/><Relationship Id="rId2" Type="http://schemas.openxmlformats.org/officeDocument/2006/relationships/hyperlink" Target="file:///C:\Documents%20and%20Settings\suefergusson\Local%20Settings\Temporary%20Internet%20Files\Content.MSO\20202BF9.XLSX" TargetMode="External"/><Relationship Id="rId1" Type="http://schemas.openxmlformats.org/officeDocument/2006/relationships/hyperlink" Target="http://www.aph.gov.au/Parliamentary_Business/Committees/Senate/Education_and_Employment/vocational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43A16-21E7-4505-82CA-6F840FC9C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3085</Words>
  <Characters>17589</Characters>
  <Application>Microsoft Office Word</Application>
  <DocSecurity>4</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Algo Mas Marketing</Company>
  <LinksUpToDate>false</LinksUpToDate>
  <CharactersWithSpaces>20633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eleenabuchiw</dc:creator>
  <cp:lastModifiedBy>Lea-Ann Harris</cp:lastModifiedBy>
  <cp:revision>2</cp:revision>
  <cp:lastPrinted>2015-02-13T01:46:00Z</cp:lastPrinted>
  <dcterms:created xsi:type="dcterms:W3CDTF">2015-03-02T04:05:00Z</dcterms:created>
  <dcterms:modified xsi:type="dcterms:W3CDTF">2015-03-02T04:05:00Z</dcterms:modified>
</cp:coreProperties>
</file>